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593C55">
      <w:pPr>
        <w:ind w:left="0" w:leftChars="0" w:firstLine="0" w:firstLineChars="0"/>
        <w:jc w:val="left"/>
        <w:rPr>
          <w:rFonts w:hint="default" w:eastAsia="宋体" w:cs="Times New Roman"/>
          <w:snapToGrid w:val="0"/>
          <w:color w:val="auto"/>
          <w:kern w:val="0"/>
          <w:highlight w:val="none"/>
          <w:lang w:val="en-US" w:eastAsia="zh-CN"/>
        </w:rPr>
      </w:pPr>
      <w:r>
        <w:rPr>
          <w:rFonts w:hint="eastAsia" w:cs="Times New Roman"/>
          <w:snapToGrid w:val="0"/>
          <w:color w:val="auto"/>
          <w:kern w:val="0"/>
          <w:highlight w:val="none"/>
          <w:lang w:val="en-US" w:eastAsia="zh-CN"/>
        </w:rPr>
        <w:t xml:space="preserve"> </w:t>
      </w:r>
    </w:p>
    <w:p w14:paraId="6FB032B7">
      <w:pPr>
        <w:jc w:val="left"/>
        <w:rPr>
          <w:rFonts w:cs="Times New Roman"/>
          <w:snapToGrid w:val="0"/>
          <w:color w:val="auto"/>
          <w:kern w:val="0"/>
          <w:highlight w:val="none"/>
        </w:rPr>
      </w:pPr>
    </w:p>
    <w:p w14:paraId="7045DF6E">
      <w:pPr>
        <w:ind w:left="0" w:leftChars="0" w:firstLine="0" w:firstLineChars="0"/>
        <w:jc w:val="both"/>
        <w:rPr>
          <w:rFonts w:cs="Times New Roman"/>
          <w:snapToGrid w:val="0"/>
          <w:color w:val="auto"/>
          <w:kern w:val="0"/>
          <w:highlight w:val="none"/>
        </w:rPr>
      </w:pPr>
    </w:p>
    <w:p w14:paraId="73B9D6CB">
      <w:pPr>
        <w:keepNext w:val="0"/>
        <w:keepLines w:val="0"/>
        <w:pageBreakBefore w:val="0"/>
        <w:widowControl w:val="0"/>
        <w:kinsoku/>
        <w:wordWrap/>
        <w:overflowPunct/>
        <w:topLinePunct w:val="0"/>
        <w:autoSpaceDE/>
        <w:autoSpaceDN/>
        <w:bidi w:val="0"/>
        <w:adjustRightInd w:val="0"/>
        <w:snapToGrid w:val="0"/>
        <w:ind w:firstLine="5160" w:firstLineChars="2150"/>
        <w:jc w:val="right"/>
        <w:textAlignment w:val="auto"/>
        <w:rPr>
          <w:rFonts w:cs="Times New Roman"/>
          <w:snapToGrid w:val="0"/>
          <w:color w:val="auto"/>
          <w:kern w:val="0"/>
          <w:highlight w:val="none"/>
        </w:rPr>
      </w:pPr>
      <w:r>
        <w:rPr>
          <w:rFonts w:cs="Times New Roman"/>
          <w:snapToGrid w:val="0"/>
          <w:color w:val="auto"/>
          <w:kern w:val="0"/>
          <w:highlight w:val="none"/>
        </w:rPr>
        <w:t xml:space="preserve">   </w:t>
      </w:r>
    </w:p>
    <w:p w14:paraId="792C7F06">
      <w:pPr>
        <w:keepNext w:val="0"/>
        <w:keepLines w:val="0"/>
        <w:pageBreakBefore w:val="0"/>
        <w:widowControl w:val="0"/>
        <w:kinsoku/>
        <w:wordWrap/>
        <w:overflowPunct/>
        <w:topLinePunct w:val="0"/>
        <w:autoSpaceDE/>
        <w:autoSpaceDN/>
        <w:bidi w:val="0"/>
        <w:adjustRightInd w:val="0"/>
        <w:snapToGrid w:val="0"/>
        <w:spacing w:line="480" w:lineRule="auto"/>
        <w:ind w:firstLine="0" w:firstLineChars="0"/>
        <w:jc w:val="center"/>
        <w:textAlignment w:val="auto"/>
        <w:rPr>
          <w:rFonts w:hint="eastAsia" w:eastAsia="黑体" w:cs="Times New Roman"/>
          <w:b/>
          <w:snapToGrid w:val="0"/>
          <w:color w:val="auto"/>
          <w:kern w:val="0"/>
          <w:sz w:val="52"/>
          <w:szCs w:val="44"/>
          <w:highlight w:val="none"/>
          <w:lang w:val="en-US" w:eastAsia="zh-CN"/>
        </w:rPr>
      </w:pPr>
      <w:bookmarkStart w:id="0" w:name="_Hlk515109029"/>
      <w:r>
        <w:rPr>
          <w:rFonts w:hint="eastAsia" w:eastAsia="黑体" w:cs="Times New Roman"/>
          <w:b/>
          <w:snapToGrid w:val="0"/>
          <w:color w:val="auto"/>
          <w:kern w:val="0"/>
          <w:sz w:val="52"/>
          <w:szCs w:val="44"/>
          <w:highlight w:val="none"/>
          <w:lang w:val="en-US" w:eastAsia="zh-CN"/>
        </w:rPr>
        <w:t>双鸭山市兴昌屠宰有限公司</w:t>
      </w:r>
    </w:p>
    <w:p w14:paraId="1A138773">
      <w:pPr>
        <w:keepNext w:val="0"/>
        <w:keepLines w:val="0"/>
        <w:pageBreakBefore w:val="0"/>
        <w:widowControl w:val="0"/>
        <w:kinsoku/>
        <w:wordWrap/>
        <w:overflowPunct/>
        <w:topLinePunct w:val="0"/>
        <w:autoSpaceDE/>
        <w:autoSpaceDN/>
        <w:bidi w:val="0"/>
        <w:adjustRightInd w:val="0"/>
        <w:snapToGrid w:val="0"/>
        <w:spacing w:line="480" w:lineRule="auto"/>
        <w:ind w:firstLine="0" w:firstLineChars="0"/>
        <w:jc w:val="center"/>
        <w:textAlignment w:val="auto"/>
        <w:rPr>
          <w:rFonts w:eastAsia="黑体" w:cs="Times New Roman"/>
          <w:b/>
          <w:snapToGrid w:val="0"/>
          <w:color w:val="auto"/>
          <w:kern w:val="0"/>
          <w:sz w:val="52"/>
          <w:szCs w:val="44"/>
          <w:highlight w:val="none"/>
        </w:rPr>
      </w:pPr>
      <w:r>
        <w:rPr>
          <w:rFonts w:eastAsia="黑体" w:cs="Times New Roman"/>
          <w:b/>
          <w:snapToGrid w:val="0"/>
          <w:color w:val="auto"/>
          <w:kern w:val="0"/>
          <w:sz w:val="52"/>
          <w:szCs w:val="44"/>
          <w:highlight w:val="none"/>
        </w:rPr>
        <w:t>建设项目环境影响报告书</w:t>
      </w:r>
    </w:p>
    <w:bookmarkEnd w:id="0"/>
    <w:p w14:paraId="402325D5">
      <w:pPr>
        <w:keepNext w:val="0"/>
        <w:keepLines w:val="0"/>
        <w:pageBreakBefore w:val="0"/>
        <w:widowControl w:val="0"/>
        <w:kinsoku/>
        <w:wordWrap/>
        <w:overflowPunct/>
        <w:topLinePunct w:val="0"/>
        <w:autoSpaceDE/>
        <w:autoSpaceDN/>
        <w:bidi w:val="0"/>
        <w:adjustRightInd w:val="0"/>
        <w:snapToGrid w:val="0"/>
        <w:ind w:firstLine="560"/>
        <w:textAlignment w:val="auto"/>
        <w:rPr>
          <w:rFonts w:cs="Times New Roman"/>
          <w:snapToGrid w:val="0"/>
          <w:color w:val="auto"/>
          <w:kern w:val="0"/>
          <w:sz w:val="28"/>
          <w:highlight w:val="none"/>
        </w:rPr>
      </w:pPr>
    </w:p>
    <w:p w14:paraId="65CFAE2B">
      <w:pPr>
        <w:keepNext w:val="0"/>
        <w:keepLines w:val="0"/>
        <w:pageBreakBefore w:val="0"/>
        <w:widowControl w:val="0"/>
        <w:kinsoku/>
        <w:wordWrap/>
        <w:overflowPunct/>
        <w:topLinePunct w:val="0"/>
        <w:autoSpaceDE/>
        <w:autoSpaceDN/>
        <w:bidi w:val="0"/>
        <w:adjustRightInd w:val="0"/>
        <w:snapToGrid w:val="0"/>
        <w:ind w:firstLine="560"/>
        <w:textAlignment w:val="auto"/>
        <w:rPr>
          <w:rFonts w:cs="Times New Roman"/>
          <w:snapToGrid w:val="0"/>
          <w:color w:val="auto"/>
          <w:kern w:val="0"/>
          <w:sz w:val="28"/>
          <w:highlight w:val="none"/>
        </w:rPr>
      </w:pPr>
    </w:p>
    <w:p w14:paraId="1ACC5DCA">
      <w:pPr>
        <w:keepNext w:val="0"/>
        <w:keepLines w:val="0"/>
        <w:pageBreakBefore w:val="0"/>
        <w:widowControl w:val="0"/>
        <w:kinsoku/>
        <w:wordWrap/>
        <w:overflowPunct/>
        <w:topLinePunct w:val="0"/>
        <w:autoSpaceDE/>
        <w:autoSpaceDN/>
        <w:bidi w:val="0"/>
        <w:adjustRightInd w:val="0"/>
        <w:snapToGrid w:val="0"/>
        <w:ind w:firstLine="560"/>
        <w:textAlignment w:val="auto"/>
        <w:rPr>
          <w:rFonts w:hint="eastAsia" w:eastAsia="宋体" w:cs="Times New Roman"/>
          <w:snapToGrid w:val="0"/>
          <w:color w:val="auto"/>
          <w:kern w:val="0"/>
          <w:sz w:val="28"/>
          <w:highlight w:val="none"/>
          <w:lang w:eastAsia="zh-CN"/>
        </w:rPr>
      </w:pPr>
    </w:p>
    <w:p w14:paraId="1173E3FE">
      <w:pPr>
        <w:keepNext w:val="0"/>
        <w:keepLines w:val="0"/>
        <w:pageBreakBefore w:val="0"/>
        <w:widowControl w:val="0"/>
        <w:kinsoku/>
        <w:wordWrap/>
        <w:overflowPunct/>
        <w:topLinePunct w:val="0"/>
        <w:autoSpaceDE/>
        <w:autoSpaceDN/>
        <w:bidi w:val="0"/>
        <w:adjustRightInd w:val="0"/>
        <w:snapToGrid w:val="0"/>
        <w:ind w:firstLine="560"/>
        <w:textAlignment w:val="auto"/>
        <w:rPr>
          <w:rFonts w:hint="eastAsia" w:eastAsia="宋体" w:cs="Times New Roman"/>
          <w:snapToGrid w:val="0"/>
          <w:color w:val="auto"/>
          <w:kern w:val="0"/>
          <w:sz w:val="28"/>
          <w:highlight w:val="none"/>
          <w:lang w:eastAsia="zh-CN"/>
        </w:rPr>
      </w:pPr>
    </w:p>
    <w:p w14:paraId="38346BF4">
      <w:pPr>
        <w:keepNext w:val="0"/>
        <w:keepLines w:val="0"/>
        <w:pageBreakBefore w:val="0"/>
        <w:widowControl w:val="0"/>
        <w:kinsoku/>
        <w:wordWrap/>
        <w:overflowPunct/>
        <w:topLinePunct w:val="0"/>
        <w:autoSpaceDE/>
        <w:autoSpaceDN/>
        <w:bidi w:val="0"/>
        <w:adjustRightInd w:val="0"/>
        <w:snapToGrid w:val="0"/>
        <w:ind w:firstLine="560"/>
        <w:textAlignment w:val="auto"/>
        <w:rPr>
          <w:rFonts w:hint="eastAsia" w:eastAsia="宋体" w:cs="Times New Roman"/>
          <w:snapToGrid w:val="0"/>
          <w:color w:val="auto"/>
          <w:kern w:val="0"/>
          <w:sz w:val="28"/>
          <w:highlight w:val="none"/>
          <w:lang w:eastAsia="zh-CN"/>
        </w:rPr>
      </w:pPr>
    </w:p>
    <w:p w14:paraId="1C79B2DD">
      <w:pPr>
        <w:keepNext w:val="0"/>
        <w:keepLines w:val="0"/>
        <w:pageBreakBefore w:val="0"/>
        <w:widowControl w:val="0"/>
        <w:kinsoku/>
        <w:wordWrap/>
        <w:overflowPunct/>
        <w:topLinePunct w:val="0"/>
        <w:autoSpaceDE/>
        <w:autoSpaceDN/>
        <w:bidi w:val="0"/>
        <w:adjustRightInd w:val="0"/>
        <w:snapToGrid w:val="0"/>
        <w:ind w:firstLine="560"/>
        <w:textAlignment w:val="auto"/>
        <w:rPr>
          <w:rFonts w:cs="Times New Roman"/>
          <w:snapToGrid w:val="0"/>
          <w:color w:val="auto"/>
          <w:kern w:val="0"/>
          <w:sz w:val="28"/>
          <w:highlight w:val="none"/>
        </w:rPr>
      </w:pPr>
    </w:p>
    <w:p w14:paraId="4A6AA2DE">
      <w:pPr>
        <w:keepNext w:val="0"/>
        <w:keepLines w:val="0"/>
        <w:pageBreakBefore w:val="0"/>
        <w:widowControl w:val="0"/>
        <w:kinsoku/>
        <w:wordWrap/>
        <w:overflowPunct/>
        <w:topLinePunct w:val="0"/>
        <w:autoSpaceDE/>
        <w:autoSpaceDN/>
        <w:bidi w:val="0"/>
        <w:adjustRightInd w:val="0"/>
        <w:snapToGrid w:val="0"/>
        <w:ind w:firstLine="560"/>
        <w:textAlignment w:val="auto"/>
        <w:rPr>
          <w:rFonts w:cs="Times New Roman"/>
          <w:snapToGrid w:val="0"/>
          <w:color w:val="auto"/>
          <w:kern w:val="0"/>
          <w:sz w:val="28"/>
          <w:highlight w:val="none"/>
        </w:rPr>
      </w:pPr>
    </w:p>
    <w:p w14:paraId="36A1B69F">
      <w:pPr>
        <w:keepNext w:val="0"/>
        <w:keepLines w:val="0"/>
        <w:pageBreakBefore w:val="0"/>
        <w:widowControl w:val="0"/>
        <w:kinsoku/>
        <w:wordWrap/>
        <w:overflowPunct/>
        <w:topLinePunct w:val="0"/>
        <w:autoSpaceDE/>
        <w:autoSpaceDN/>
        <w:bidi w:val="0"/>
        <w:adjustRightInd w:val="0"/>
        <w:snapToGrid w:val="0"/>
        <w:ind w:firstLine="560"/>
        <w:textAlignment w:val="auto"/>
        <w:rPr>
          <w:rFonts w:cs="Times New Roman"/>
          <w:snapToGrid w:val="0"/>
          <w:color w:val="auto"/>
          <w:kern w:val="0"/>
          <w:sz w:val="28"/>
          <w:highlight w:val="none"/>
        </w:rPr>
      </w:pPr>
      <w:r>
        <w:rPr>
          <w:rFonts w:cs="Times New Roman"/>
          <w:snapToGrid w:val="0"/>
          <w:color w:val="auto"/>
          <w:kern w:val="0"/>
          <w:sz w:val="28"/>
          <w:highlight w:val="none"/>
        </w:rPr>
        <w:t xml:space="preserve"> </w:t>
      </w:r>
    </w:p>
    <w:p w14:paraId="515D87CC">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cs="Times New Roman"/>
          <w:snapToGrid w:val="0"/>
          <w:color w:val="auto"/>
          <w:kern w:val="0"/>
          <w:sz w:val="28"/>
          <w:highlight w:val="none"/>
        </w:rPr>
      </w:pPr>
    </w:p>
    <w:p w14:paraId="66C0CC74">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cs="Times New Roman"/>
          <w:snapToGrid w:val="0"/>
          <w:color w:val="auto"/>
          <w:kern w:val="0"/>
          <w:sz w:val="28"/>
          <w:highlight w:val="none"/>
        </w:rPr>
      </w:pPr>
    </w:p>
    <w:p w14:paraId="4AF1C507">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eastAsia="黑体" w:cs="Times New Roman"/>
          <w:snapToGrid w:val="0"/>
          <w:color w:val="auto"/>
          <w:kern w:val="0"/>
          <w:sz w:val="32"/>
          <w:szCs w:val="32"/>
          <w:highlight w:val="none"/>
        </w:rPr>
      </w:pPr>
    </w:p>
    <w:p w14:paraId="6F6E47CE">
      <w:pPr>
        <w:keepNext w:val="0"/>
        <w:keepLines w:val="0"/>
        <w:pageBreakBefore w:val="0"/>
        <w:widowControl w:val="0"/>
        <w:kinsoku/>
        <w:wordWrap/>
        <w:overflowPunct/>
        <w:topLinePunct w:val="0"/>
        <w:autoSpaceDE/>
        <w:autoSpaceDN/>
        <w:bidi w:val="0"/>
        <w:adjustRightInd w:val="0"/>
        <w:snapToGrid w:val="0"/>
        <w:ind w:firstLine="321" w:firstLineChars="100"/>
        <w:jc w:val="center"/>
        <w:textAlignment w:val="auto"/>
        <w:rPr>
          <w:rFonts w:hint="default" w:eastAsia="黑体" w:cs="Times New Roman"/>
          <w:b/>
          <w:snapToGrid w:val="0"/>
          <w:color w:val="auto"/>
          <w:kern w:val="0"/>
          <w:sz w:val="32"/>
          <w:szCs w:val="32"/>
          <w:highlight w:val="none"/>
          <w:lang w:val="en-US" w:eastAsia="zh-CN"/>
        </w:rPr>
      </w:pPr>
      <w:r>
        <w:rPr>
          <w:rFonts w:eastAsia="黑体" w:cs="Times New Roman"/>
          <w:b/>
          <w:snapToGrid w:val="0"/>
          <w:color w:val="auto"/>
          <w:kern w:val="0"/>
          <w:sz w:val="32"/>
          <w:szCs w:val="32"/>
          <w:highlight w:val="none"/>
        </w:rPr>
        <w:t>建设单位（盖章）：</w:t>
      </w:r>
      <w:r>
        <w:rPr>
          <w:rFonts w:hint="eastAsia" w:eastAsia="黑体" w:cs="Times New Roman"/>
          <w:b/>
          <w:snapToGrid w:val="0"/>
          <w:color w:val="auto"/>
          <w:kern w:val="0"/>
          <w:sz w:val="32"/>
          <w:szCs w:val="32"/>
          <w:highlight w:val="none"/>
          <w:lang w:val="en-US" w:eastAsia="zh-CN"/>
        </w:rPr>
        <w:t>双鸭山市兴昌屠宰有限公司</w:t>
      </w:r>
    </w:p>
    <w:p w14:paraId="1369CA73">
      <w:pPr>
        <w:keepNext w:val="0"/>
        <w:keepLines w:val="0"/>
        <w:pageBreakBefore w:val="0"/>
        <w:widowControl w:val="0"/>
        <w:kinsoku/>
        <w:wordWrap/>
        <w:overflowPunct/>
        <w:topLinePunct w:val="0"/>
        <w:autoSpaceDE/>
        <w:autoSpaceDN/>
        <w:bidi w:val="0"/>
        <w:adjustRightInd w:val="0"/>
        <w:snapToGrid w:val="0"/>
        <w:ind w:firstLine="321" w:firstLineChars="100"/>
        <w:jc w:val="center"/>
        <w:textAlignment w:val="auto"/>
        <w:rPr>
          <w:rFonts w:hint="eastAsia" w:ascii="Times New Roman" w:hAnsi="Times New Roman" w:eastAsia="黑体" w:cs="Times New Roman"/>
          <w:b/>
          <w:snapToGrid w:val="0"/>
          <w:color w:val="auto"/>
          <w:kern w:val="0"/>
          <w:sz w:val="32"/>
          <w:szCs w:val="32"/>
          <w:highlight w:val="none"/>
          <w:lang w:val="en-US" w:eastAsia="zh-CN"/>
        </w:rPr>
      </w:pPr>
      <w:r>
        <w:rPr>
          <w:rFonts w:eastAsia="黑体" w:cs="Times New Roman"/>
          <w:b/>
          <w:snapToGrid w:val="0"/>
          <w:color w:val="auto"/>
          <w:kern w:val="0"/>
          <w:sz w:val="32"/>
          <w:szCs w:val="32"/>
          <w:highlight w:val="none"/>
        </w:rPr>
        <w:t>编</w:t>
      </w:r>
      <w:r>
        <w:rPr>
          <w:rFonts w:hint="eastAsia" w:ascii="Times New Roman" w:hAnsi="Times New Roman" w:eastAsia="黑体" w:cs="Times New Roman"/>
          <w:b/>
          <w:snapToGrid w:val="0"/>
          <w:color w:val="auto"/>
          <w:kern w:val="0"/>
          <w:sz w:val="32"/>
          <w:szCs w:val="32"/>
          <w:highlight w:val="none"/>
          <w:lang w:val="en-US" w:eastAsia="zh-CN"/>
        </w:rPr>
        <w:t>制单位：</w:t>
      </w:r>
      <w:r>
        <w:rPr>
          <w:rFonts w:hint="default" w:ascii="Times New Roman" w:hAnsi="Times New Roman" w:eastAsia="黑体" w:cs="Times New Roman"/>
          <w:b/>
          <w:snapToGrid w:val="0"/>
          <w:color w:val="auto"/>
          <w:kern w:val="0"/>
          <w:sz w:val="32"/>
          <w:szCs w:val="32"/>
          <w:highlight w:val="none"/>
          <w:lang w:val="en-US" w:eastAsia="zh-CN"/>
        </w:rPr>
        <w:t>黑龙江泽文生态环境科技有限公司</w:t>
      </w:r>
    </w:p>
    <w:p w14:paraId="09C33488">
      <w:pPr>
        <w:keepNext w:val="0"/>
        <w:keepLines w:val="0"/>
        <w:pageBreakBefore w:val="0"/>
        <w:widowControl w:val="0"/>
        <w:kinsoku/>
        <w:wordWrap/>
        <w:overflowPunct/>
        <w:topLinePunct w:val="0"/>
        <w:autoSpaceDE/>
        <w:autoSpaceDN/>
        <w:bidi w:val="0"/>
        <w:adjustRightInd w:val="0"/>
        <w:snapToGrid w:val="0"/>
        <w:ind w:firstLine="321" w:firstLineChars="100"/>
        <w:jc w:val="left"/>
        <w:textAlignment w:val="auto"/>
        <w:rPr>
          <w:rFonts w:hint="eastAsia" w:ascii="Times New Roman" w:hAnsi="Times New Roman" w:eastAsia="黑体" w:cs="Times New Roman"/>
          <w:b/>
          <w:snapToGrid w:val="0"/>
          <w:color w:val="auto"/>
          <w:kern w:val="0"/>
          <w:sz w:val="32"/>
          <w:szCs w:val="32"/>
          <w:highlight w:val="none"/>
          <w:lang w:val="en-US" w:eastAsia="zh-CN"/>
        </w:rPr>
      </w:pPr>
    </w:p>
    <w:p w14:paraId="6F680D94">
      <w:pPr>
        <w:keepNext w:val="0"/>
        <w:keepLines w:val="0"/>
        <w:pageBreakBefore w:val="0"/>
        <w:widowControl w:val="0"/>
        <w:kinsoku/>
        <w:wordWrap/>
        <w:overflowPunct/>
        <w:topLinePunct w:val="0"/>
        <w:autoSpaceDE/>
        <w:autoSpaceDN/>
        <w:bidi w:val="0"/>
        <w:adjustRightInd w:val="0"/>
        <w:snapToGrid w:val="0"/>
        <w:ind w:firstLine="643"/>
        <w:jc w:val="center"/>
        <w:textAlignment w:val="auto"/>
        <w:rPr>
          <w:rFonts w:eastAsia="黑体" w:cs="Times New Roman"/>
          <w:b/>
          <w:bCs/>
          <w:color w:val="auto"/>
          <w:sz w:val="32"/>
          <w:szCs w:val="32"/>
          <w:highlight w:val="none"/>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rFonts w:eastAsia="黑体" w:cs="Times New Roman"/>
          <w:b/>
          <w:bCs/>
          <w:color w:val="auto"/>
          <w:sz w:val="32"/>
          <w:szCs w:val="32"/>
          <w:highlight w:val="none"/>
        </w:rPr>
        <w:t>二〇二</w:t>
      </w:r>
      <w:r>
        <w:rPr>
          <w:rFonts w:hint="eastAsia" w:eastAsia="黑体" w:cs="Times New Roman"/>
          <w:b/>
          <w:bCs/>
          <w:color w:val="auto"/>
          <w:sz w:val="32"/>
          <w:szCs w:val="32"/>
          <w:highlight w:val="none"/>
          <w:lang w:val="en-US" w:eastAsia="zh-CN"/>
        </w:rPr>
        <w:t>五</w:t>
      </w:r>
      <w:r>
        <w:rPr>
          <w:rFonts w:eastAsia="黑体" w:cs="Times New Roman"/>
          <w:b/>
          <w:bCs/>
          <w:color w:val="auto"/>
          <w:sz w:val="32"/>
          <w:szCs w:val="32"/>
          <w:highlight w:val="none"/>
        </w:rPr>
        <w:t>年</w:t>
      </w:r>
      <w:r>
        <w:rPr>
          <w:rFonts w:hint="eastAsia" w:eastAsia="黑体" w:cs="Times New Roman"/>
          <w:b/>
          <w:bCs/>
          <w:color w:val="auto"/>
          <w:sz w:val="32"/>
          <w:szCs w:val="32"/>
          <w:highlight w:val="none"/>
          <w:lang w:val="en-US" w:eastAsia="zh-CN"/>
        </w:rPr>
        <w:t>九</w:t>
      </w:r>
      <w:r>
        <w:rPr>
          <w:rFonts w:eastAsia="黑体" w:cs="Times New Roman"/>
          <w:b/>
          <w:bCs/>
          <w:color w:val="auto"/>
          <w:sz w:val="32"/>
          <w:szCs w:val="32"/>
          <w:highlight w:val="none"/>
        </w:rPr>
        <w:t>月</w:t>
      </w:r>
    </w:p>
    <w:p w14:paraId="269116AA">
      <w:pPr>
        <w:pStyle w:val="2"/>
        <w:spacing w:line="360" w:lineRule="auto"/>
        <w:jc w:val="both"/>
        <w:rPr>
          <w:rFonts w:hint="eastAsia" w:eastAsia="黑体" w:cs="Times New Roman"/>
          <w:color w:val="auto"/>
          <w:highlight w:val="none"/>
          <w:lang w:eastAsia="zh-CN"/>
        </w:rPr>
        <w:sectPr>
          <w:headerReference r:id="rId6" w:type="default"/>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bookmarkStart w:id="485" w:name="_GoBack"/>
      <w:bookmarkEnd w:id="485"/>
    </w:p>
    <w:p w14:paraId="13A016AE">
      <w:pPr>
        <w:adjustRightInd/>
        <w:snapToGrid/>
        <w:spacing w:line="240" w:lineRule="auto"/>
        <w:ind w:firstLine="0" w:firstLineChars="0"/>
        <w:jc w:val="center"/>
        <w:rPr>
          <w:rFonts w:eastAsia="黑体" w:cs="Times New Roman"/>
          <w:b/>
          <w:snapToGrid w:val="0"/>
          <w:color w:val="auto"/>
          <w:kern w:val="0"/>
          <w:szCs w:val="24"/>
          <w:highlight w:val="none"/>
        </w:rPr>
      </w:pPr>
      <w:r>
        <w:rPr>
          <w:rFonts w:eastAsia="黑体" w:cs="Times New Roman"/>
          <w:b/>
          <w:snapToGrid w:val="0"/>
          <w:color w:val="auto"/>
          <w:kern w:val="0"/>
          <w:sz w:val="36"/>
          <w:szCs w:val="36"/>
          <w:highlight w:val="none"/>
        </w:rPr>
        <w:t>目  录</w:t>
      </w:r>
    </w:p>
    <w:p w14:paraId="6D775830">
      <w:pPr>
        <w:pStyle w:val="31"/>
        <w:tabs>
          <w:tab w:val="right" w:leader="dot" w:pos="8306"/>
        </w:tabs>
        <w:spacing w:line="440" w:lineRule="exact"/>
        <w:rPr>
          <w:rFonts w:eastAsia="黑体"/>
          <w:color w:val="auto"/>
          <w:sz w:val="24"/>
          <w:szCs w:val="24"/>
          <w:highlight w:val="none"/>
        </w:rPr>
      </w:pPr>
      <w:r>
        <w:rPr>
          <w:rFonts w:eastAsia="黑体"/>
          <w:b w:val="0"/>
          <w:snapToGrid w:val="0"/>
          <w:color w:val="auto"/>
          <w:sz w:val="24"/>
          <w:szCs w:val="24"/>
          <w:highlight w:val="none"/>
        </w:rPr>
        <w:fldChar w:fldCharType="begin"/>
      </w:r>
      <w:r>
        <w:rPr>
          <w:rFonts w:eastAsia="黑体"/>
          <w:snapToGrid w:val="0"/>
          <w:color w:val="auto"/>
          <w:sz w:val="24"/>
          <w:szCs w:val="24"/>
          <w:highlight w:val="none"/>
        </w:rPr>
        <w:instrText xml:space="preserve"> TOC \o "1-3" \h \z \u </w:instrText>
      </w:r>
      <w:r>
        <w:rPr>
          <w:rFonts w:eastAsia="黑体"/>
          <w:b w:val="0"/>
          <w:snapToGrid w:val="0"/>
          <w:color w:val="auto"/>
          <w:sz w:val="24"/>
          <w:szCs w:val="24"/>
          <w:highlight w:val="none"/>
        </w:rPr>
        <w:fldChar w:fldCharType="separate"/>
      </w:r>
      <w:r>
        <w:rPr>
          <w:color w:val="auto"/>
          <w:highlight w:val="none"/>
        </w:rPr>
        <w:fldChar w:fldCharType="begin"/>
      </w:r>
      <w:r>
        <w:rPr>
          <w:color w:val="auto"/>
          <w:highlight w:val="none"/>
        </w:rPr>
        <w:instrText xml:space="preserve"> HYPERLINK \l "_Toc24712" </w:instrText>
      </w:r>
      <w:r>
        <w:rPr>
          <w:color w:val="auto"/>
          <w:highlight w:val="none"/>
        </w:rPr>
        <w:fldChar w:fldCharType="separate"/>
      </w:r>
      <w:r>
        <w:rPr>
          <w:rFonts w:eastAsia="黑体"/>
          <w:snapToGrid w:val="0"/>
          <w:color w:val="auto"/>
          <w:sz w:val="24"/>
          <w:szCs w:val="24"/>
          <w:highlight w:val="none"/>
        </w:rPr>
        <w:t>1概述</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_Toc24712 \h </w:instrText>
      </w:r>
      <w:r>
        <w:rPr>
          <w:rFonts w:eastAsia="黑体"/>
          <w:color w:val="auto"/>
          <w:sz w:val="24"/>
          <w:szCs w:val="24"/>
          <w:highlight w:val="none"/>
        </w:rPr>
        <w:fldChar w:fldCharType="separate"/>
      </w:r>
      <w:r>
        <w:rPr>
          <w:rFonts w:eastAsia="黑体"/>
          <w:color w:val="auto"/>
          <w:sz w:val="24"/>
          <w:szCs w:val="24"/>
          <w:highlight w:val="none"/>
        </w:rPr>
        <w:t>1</w:t>
      </w:r>
      <w:r>
        <w:rPr>
          <w:rFonts w:eastAsia="黑体"/>
          <w:color w:val="auto"/>
          <w:sz w:val="24"/>
          <w:szCs w:val="24"/>
          <w:highlight w:val="none"/>
        </w:rPr>
        <w:fldChar w:fldCharType="end"/>
      </w:r>
      <w:r>
        <w:rPr>
          <w:rFonts w:eastAsia="黑体"/>
          <w:color w:val="auto"/>
          <w:sz w:val="24"/>
          <w:szCs w:val="24"/>
          <w:highlight w:val="none"/>
        </w:rPr>
        <w:fldChar w:fldCharType="end"/>
      </w:r>
    </w:p>
    <w:p w14:paraId="0DD4EAED">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"_Toc23941" </w:instrText>
      </w:r>
      <w:r>
        <w:rPr>
          <w:color w:val="auto"/>
          <w:highlight w:val="none"/>
        </w:rPr>
        <w:fldChar w:fldCharType="separate"/>
      </w:r>
      <w:r>
        <w:rPr>
          <w:rFonts w:eastAsia="黑体"/>
          <w:color w:val="auto"/>
          <w:sz w:val="24"/>
          <w:szCs w:val="24"/>
          <w:highlight w:val="none"/>
        </w:rPr>
        <w:t>1.1项目由来</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_Toc23941 \h </w:instrText>
      </w:r>
      <w:r>
        <w:rPr>
          <w:rFonts w:eastAsia="黑体"/>
          <w:color w:val="auto"/>
          <w:sz w:val="24"/>
          <w:szCs w:val="24"/>
          <w:highlight w:val="none"/>
        </w:rPr>
        <w:fldChar w:fldCharType="separate"/>
      </w:r>
      <w:r>
        <w:rPr>
          <w:rFonts w:eastAsia="黑体"/>
          <w:color w:val="auto"/>
          <w:sz w:val="24"/>
          <w:szCs w:val="24"/>
          <w:highlight w:val="none"/>
        </w:rPr>
        <w:t>1</w:t>
      </w:r>
      <w:r>
        <w:rPr>
          <w:rFonts w:eastAsia="黑体"/>
          <w:color w:val="auto"/>
          <w:sz w:val="24"/>
          <w:szCs w:val="24"/>
          <w:highlight w:val="none"/>
        </w:rPr>
        <w:fldChar w:fldCharType="end"/>
      </w:r>
      <w:r>
        <w:rPr>
          <w:rFonts w:eastAsia="黑体"/>
          <w:color w:val="auto"/>
          <w:sz w:val="24"/>
          <w:szCs w:val="24"/>
          <w:highlight w:val="none"/>
        </w:rPr>
        <w:fldChar w:fldCharType="end"/>
      </w:r>
    </w:p>
    <w:p w14:paraId="03D003A9">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"_Toc29586" </w:instrText>
      </w:r>
      <w:r>
        <w:rPr>
          <w:color w:val="auto"/>
          <w:highlight w:val="none"/>
        </w:rPr>
        <w:fldChar w:fldCharType="separate"/>
      </w:r>
      <w:r>
        <w:rPr>
          <w:rFonts w:eastAsia="黑体"/>
          <w:bCs/>
          <w:snapToGrid w:val="0"/>
          <w:color w:val="auto"/>
          <w:sz w:val="24"/>
          <w:szCs w:val="24"/>
          <w:highlight w:val="none"/>
        </w:rPr>
        <w:t>1.2项目特点</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_Toc29586 \h </w:instrText>
      </w:r>
      <w:r>
        <w:rPr>
          <w:rFonts w:eastAsia="黑体"/>
          <w:color w:val="auto"/>
          <w:sz w:val="24"/>
          <w:szCs w:val="24"/>
          <w:highlight w:val="none"/>
        </w:rPr>
        <w:fldChar w:fldCharType="separate"/>
      </w:r>
      <w:r>
        <w:rPr>
          <w:rFonts w:eastAsia="黑体"/>
          <w:color w:val="auto"/>
          <w:sz w:val="24"/>
          <w:szCs w:val="24"/>
          <w:highlight w:val="none"/>
        </w:rPr>
        <w:t>2</w:t>
      </w:r>
      <w:r>
        <w:rPr>
          <w:rFonts w:eastAsia="黑体"/>
          <w:color w:val="auto"/>
          <w:sz w:val="24"/>
          <w:szCs w:val="24"/>
          <w:highlight w:val="none"/>
        </w:rPr>
        <w:fldChar w:fldCharType="end"/>
      </w:r>
      <w:r>
        <w:rPr>
          <w:rFonts w:eastAsia="黑体"/>
          <w:color w:val="auto"/>
          <w:sz w:val="24"/>
          <w:szCs w:val="24"/>
          <w:highlight w:val="none"/>
        </w:rPr>
        <w:fldChar w:fldCharType="end"/>
      </w:r>
    </w:p>
    <w:p w14:paraId="545A8B61">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"_Toc2763" </w:instrText>
      </w:r>
      <w:r>
        <w:rPr>
          <w:color w:val="auto"/>
          <w:highlight w:val="none"/>
        </w:rPr>
        <w:fldChar w:fldCharType="separate"/>
      </w:r>
      <w:r>
        <w:rPr>
          <w:rFonts w:eastAsia="黑体"/>
          <w:bCs/>
          <w:snapToGrid w:val="0"/>
          <w:color w:val="auto"/>
          <w:sz w:val="24"/>
          <w:szCs w:val="24"/>
          <w:highlight w:val="none"/>
        </w:rPr>
        <w:t>1.3环境影响评价工作过程</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_Toc2763 \h </w:instrText>
      </w:r>
      <w:r>
        <w:rPr>
          <w:rFonts w:eastAsia="黑体"/>
          <w:color w:val="auto"/>
          <w:sz w:val="24"/>
          <w:szCs w:val="24"/>
          <w:highlight w:val="none"/>
        </w:rPr>
        <w:fldChar w:fldCharType="separate"/>
      </w:r>
      <w:r>
        <w:rPr>
          <w:rFonts w:eastAsia="黑体"/>
          <w:color w:val="auto"/>
          <w:sz w:val="24"/>
          <w:szCs w:val="24"/>
          <w:highlight w:val="none"/>
        </w:rPr>
        <w:t>5</w:t>
      </w:r>
      <w:r>
        <w:rPr>
          <w:rFonts w:eastAsia="黑体"/>
          <w:color w:val="auto"/>
          <w:sz w:val="24"/>
          <w:szCs w:val="24"/>
          <w:highlight w:val="none"/>
        </w:rPr>
        <w:fldChar w:fldCharType="end"/>
      </w:r>
      <w:r>
        <w:rPr>
          <w:rFonts w:eastAsia="黑体"/>
          <w:color w:val="auto"/>
          <w:sz w:val="24"/>
          <w:szCs w:val="24"/>
          <w:highlight w:val="none"/>
        </w:rPr>
        <w:fldChar w:fldCharType="end"/>
      </w:r>
    </w:p>
    <w:p w14:paraId="0A25274E">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"_Toc30641" </w:instrText>
      </w:r>
      <w:r>
        <w:rPr>
          <w:color w:val="auto"/>
          <w:highlight w:val="none"/>
        </w:rPr>
        <w:fldChar w:fldCharType="separate"/>
      </w:r>
      <w:r>
        <w:rPr>
          <w:rFonts w:eastAsia="黑体"/>
          <w:bCs/>
          <w:snapToGrid w:val="0"/>
          <w:color w:val="auto"/>
          <w:sz w:val="24"/>
          <w:szCs w:val="24"/>
          <w:highlight w:val="none"/>
        </w:rPr>
        <w:t>1.4分析判定相关情况</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_Toc30641 \h </w:instrText>
      </w:r>
      <w:r>
        <w:rPr>
          <w:rFonts w:eastAsia="黑体"/>
          <w:color w:val="auto"/>
          <w:sz w:val="24"/>
          <w:szCs w:val="24"/>
          <w:highlight w:val="none"/>
        </w:rPr>
        <w:fldChar w:fldCharType="separate"/>
      </w:r>
      <w:r>
        <w:rPr>
          <w:rFonts w:eastAsia="黑体"/>
          <w:color w:val="auto"/>
          <w:sz w:val="24"/>
          <w:szCs w:val="24"/>
          <w:highlight w:val="none"/>
        </w:rPr>
        <w:t>6</w:t>
      </w:r>
      <w:r>
        <w:rPr>
          <w:rFonts w:eastAsia="黑体"/>
          <w:color w:val="auto"/>
          <w:sz w:val="24"/>
          <w:szCs w:val="24"/>
          <w:highlight w:val="none"/>
        </w:rPr>
        <w:fldChar w:fldCharType="end"/>
      </w:r>
      <w:r>
        <w:rPr>
          <w:rFonts w:eastAsia="黑体"/>
          <w:color w:val="auto"/>
          <w:sz w:val="24"/>
          <w:szCs w:val="24"/>
          <w:highlight w:val="none"/>
        </w:rPr>
        <w:fldChar w:fldCharType="end"/>
      </w:r>
    </w:p>
    <w:p w14:paraId="1C3B7A7A">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"_Toc7485" </w:instrText>
      </w:r>
      <w:r>
        <w:rPr>
          <w:color w:val="auto"/>
          <w:highlight w:val="none"/>
        </w:rPr>
        <w:fldChar w:fldCharType="separate"/>
      </w:r>
      <w:r>
        <w:rPr>
          <w:rFonts w:eastAsia="黑体"/>
          <w:bCs/>
          <w:i w:val="0"/>
          <w:color w:val="auto"/>
          <w:sz w:val="24"/>
          <w:szCs w:val="24"/>
          <w:highlight w:val="none"/>
        </w:rPr>
        <w:t>1.4.1产业政策符合性分析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_Toc7485 \h </w:instrText>
      </w:r>
      <w:r>
        <w:rPr>
          <w:rFonts w:eastAsia="黑体"/>
          <w:i w:val="0"/>
          <w:color w:val="auto"/>
          <w:sz w:val="24"/>
          <w:szCs w:val="24"/>
          <w:highlight w:val="none"/>
        </w:rPr>
        <w:fldChar w:fldCharType="separate"/>
      </w:r>
      <w:r>
        <w:rPr>
          <w:rFonts w:eastAsia="黑体"/>
          <w:i w:val="0"/>
          <w:color w:val="auto"/>
          <w:sz w:val="24"/>
          <w:szCs w:val="24"/>
          <w:highlight w:val="none"/>
        </w:rPr>
        <w:t>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0889466">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"_Toc7180" </w:instrText>
      </w:r>
      <w:r>
        <w:rPr>
          <w:color w:val="auto"/>
          <w:highlight w:val="none"/>
        </w:rPr>
        <w:fldChar w:fldCharType="separate"/>
      </w:r>
      <w:r>
        <w:rPr>
          <w:rFonts w:eastAsia="黑体"/>
          <w:bCs/>
          <w:i w:val="0"/>
          <w:color w:val="auto"/>
          <w:sz w:val="24"/>
          <w:szCs w:val="24"/>
          <w:highlight w:val="none"/>
        </w:rPr>
        <w:t>1.4.2与相关规划符合性分析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_Toc7180 \h </w:instrText>
      </w:r>
      <w:r>
        <w:rPr>
          <w:rFonts w:eastAsia="黑体"/>
          <w:i w:val="0"/>
          <w:color w:val="auto"/>
          <w:sz w:val="24"/>
          <w:szCs w:val="24"/>
          <w:highlight w:val="none"/>
        </w:rPr>
        <w:fldChar w:fldCharType="separate"/>
      </w:r>
      <w:r>
        <w:rPr>
          <w:rFonts w:eastAsia="黑体"/>
          <w:i w:val="0"/>
          <w:color w:val="auto"/>
          <w:sz w:val="24"/>
          <w:szCs w:val="24"/>
          <w:highlight w:val="none"/>
        </w:rPr>
        <w:t>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49C51093">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"_Toc29880" </w:instrText>
      </w:r>
      <w:r>
        <w:rPr>
          <w:color w:val="auto"/>
          <w:highlight w:val="none"/>
        </w:rPr>
        <w:fldChar w:fldCharType="separate"/>
      </w:r>
      <w:r>
        <w:rPr>
          <w:rFonts w:eastAsia="黑体"/>
          <w:bCs/>
          <w:i w:val="0"/>
          <w:color w:val="auto"/>
          <w:sz w:val="24"/>
          <w:szCs w:val="24"/>
          <w:highlight w:val="none"/>
        </w:rPr>
        <w:t>1.4.3与相关政策符合性分析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_Toc29880 \h </w:instrText>
      </w:r>
      <w:r>
        <w:rPr>
          <w:rFonts w:eastAsia="黑体"/>
          <w:i w:val="0"/>
          <w:color w:val="auto"/>
          <w:sz w:val="24"/>
          <w:szCs w:val="24"/>
          <w:highlight w:val="none"/>
        </w:rPr>
        <w:fldChar w:fldCharType="separate"/>
      </w:r>
      <w:r>
        <w:rPr>
          <w:rFonts w:eastAsia="黑体"/>
          <w:i w:val="0"/>
          <w:color w:val="auto"/>
          <w:sz w:val="24"/>
          <w:szCs w:val="24"/>
          <w:highlight w:val="none"/>
        </w:rPr>
        <w:t>9</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D046395">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"_Toc16663" </w:instrText>
      </w:r>
      <w:r>
        <w:rPr>
          <w:color w:val="auto"/>
          <w:highlight w:val="none"/>
        </w:rPr>
        <w:fldChar w:fldCharType="separate"/>
      </w:r>
      <w:r>
        <w:rPr>
          <w:rFonts w:eastAsia="黑体"/>
          <w:bCs/>
          <w:i w:val="0"/>
          <w:color w:val="auto"/>
          <w:sz w:val="24"/>
          <w:szCs w:val="24"/>
          <w:highlight w:val="none"/>
        </w:rPr>
        <w:t>1.4.4选址合理性分析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_Toc16663 \h </w:instrText>
      </w:r>
      <w:r>
        <w:rPr>
          <w:rFonts w:eastAsia="黑体"/>
          <w:i w:val="0"/>
          <w:color w:val="auto"/>
          <w:sz w:val="24"/>
          <w:szCs w:val="24"/>
          <w:highlight w:val="none"/>
        </w:rPr>
        <w:fldChar w:fldCharType="separate"/>
      </w:r>
      <w:r>
        <w:rPr>
          <w:rFonts w:eastAsia="黑体"/>
          <w:i w:val="0"/>
          <w:color w:val="auto"/>
          <w:sz w:val="24"/>
          <w:szCs w:val="24"/>
          <w:highlight w:val="none"/>
        </w:rPr>
        <w:t>15</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C0CF68A">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"_Toc6081" </w:instrText>
      </w:r>
      <w:r>
        <w:rPr>
          <w:color w:val="auto"/>
          <w:highlight w:val="none"/>
        </w:rPr>
        <w:fldChar w:fldCharType="separate"/>
      </w:r>
      <w:r>
        <w:rPr>
          <w:rFonts w:eastAsia="黑体"/>
          <w:bCs/>
          <w:i w:val="0"/>
          <w:color w:val="auto"/>
          <w:sz w:val="24"/>
          <w:szCs w:val="24"/>
          <w:highlight w:val="none"/>
        </w:rPr>
        <w:t>1.4.5相关污染防治政策的符合性分析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_Toc6081 \h </w:instrText>
      </w:r>
      <w:r>
        <w:rPr>
          <w:rFonts w:eastAsia="黑体"/>
          <w:i w:val="0"/>
          <w:color w:val="auto"/>
          <w:sz w:val="24"/>
          <w:szCs w:val="24"/>
          <w:highlight w:val="none"/>
        </w:rPr>
        <w:fldChar w:fldCharType="separate"/>
      </w:r>
      <w:r>
        <w:rPr>
          <w:rFonts w:eastAsia="黑体"/>
          <w:i w:val="0"/>
          <w:color w:val="auto"/>
          <w:sz w:val="24"/>
          <w:szCs w:val="24"/>
          <w:highlight w:val="none"/>
        </w:rPr>
        <w:t>18</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A98AC0F">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"_Toc25504" </w:instrText>
      </w:r>
      <w:r>
        <w:rPr>
          <w:color w:val="auto"/>
          <w:highlight w:val="none"/>
        </w:rPr>
        <w:fldChar w:fldCharType="separate"/>
      </w:r>
      <w:r>
        <w:rPr>
          <w:rFonts w:eastAsia="黑体"/>
          <w:snapToGrid w:val="0"/>
          <w:color w:val="auto"/>
          <w:sz w:val="24"/>
          <w:szCs w:val="24"/>
          <w:highlight w:val="none"/>
        </w:rPr>
        <w:t>1.5关注的主要环境问题及环境影响</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_Toc25504 \h </w:instrText>
      </w:r>
      <w:r>
        <w:rPr>
          <w:rFonts w:eastAsia="黑体"/>
          <w:color w:val="auto"/>
          <w:sz w:val="24"/>
          <w:szCs w:val="24"/>
          <w:highlight w:val="none"/>
        </w:rPr>
        <w:fldChar w:fldCharType="separate"/>
      </w:r>
      <w:r>
        <w:rPr>
          <w:rFonts w:eastAsia="黑体"/>
          <w:color w:val="auto"/>
          <w:sz w:val="24"/>
          <w:szCs w:val="24"/>
          <w:highlight w:val="none"/>
        </w:rPr>
        <w:t>19</w:t>
      </w:r>
      <w:r>
        <w:rPr>
          <w:rFonts w:eastAsia="黑体"/>
          <w:color w:val="auto"/>
          <w:sz w:val="24"/>
          <w:szCs w:val="24"/>
          <w:highlight w:val="none"/>
        </w:rPr>
        <w:fldChar w:fldCharType="end"/>
      </w:r>
      <w:r>
        <w:rPr>
          <w:rFonts w:eastAsia="黑体"/>
          <w:color w:val="auto"/>
          <w:sz w:val="24"/>
          <w:szCs w:val="24"/>
          <w:highlight w:val="none"/>
        </w:rPr>
        <w:fldChar w:fldCharType="end"/>
      </w:r>
    </w:p>
    <w:p w14:paraId="5100E95F">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"_Toc18145" </w:instrText>
      </w:r>
      <w:r>
        <w:rPr>
          <w:color w:val="auto"/>
          <w:highlight w:val="none"/>
        </w:rPr>
        <w:fldChar w:fldCharType="separate"/>
      </w:r>
      <w:r>
        <w:rPr>
          <w:rFonts w:eastAsia="黑体"/>
          <w:snapToGrid w:val="0"/>
          <w:color w:val="auto"/>
          <w:sz w:val="24"/>
          <w:szCs w:val="24"/>
          <w:highlight w:val="none"/>
        </w:rPr>
        <w:t>1.6环境影响评价主要结论</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_Toc18145 \h </w:instrText>
      </w:r>
      <w:r>
        <w:rPr>
          <w:rFonts w:eastAsia="黑体"/>
          <w:color w:val="auto"/>
          <w:sz w:val="24"/>
          <w:szCs w:val="24"/>
          <w:highlight w:val="none"/>
        </w:rPr>
        <w:fldChar w:fldCharType="separate"/>
      </w:r>
      <w:r>
        <w:rPr>
          <w:rFonts w:eastAsia="黑体"/>
          <w:color w:val="auto"/>
          <w:sz w:val="24"/>
          <w:szCs w:val="24"/>
          <w:highlight w:val="none"/>
        </w:rPr>
        <w:t>22</w:t>
      </w:r>
      <w:r>
        <w:rPr>
          <w:rFonts w:eastAsia="黑体"/>
          <w:color w:val="auto"/>
          <w:sz w:val="24"/>
          <w:szCs w:val="24"/>
          <w:highlight w:val="none"/>
        </w:rPr>
        <w:fldChar w:fldCharType="end"/>
      </w:r>
      <w:r>
        <w:rPr>
          <w:rFonts w:eastAsia="黑体"/>
          <w:color w:val="auto"/>
          <w:sz w:val="24"/>
          <w:szCs w:val="24"/>
          <w:highlight w:val="none"/>
        </w:rPr>
        <w:fldChar w:fldCharType="end"/>
      </w:r>
    </w:p>
    <w:p w14:paraId="27A33AE8">
      <w:pPr>
        <w:pStyle w:val="31"/>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"_Toc25904" </w:instrText>
      </w:r>
      <w:r>
        <w:rPr>
          <w:color w:val="auto"/>
          <w:highlight w:val="none"/>
        </w:rPr>
        <w:fldChar w:fldCharType="separate"/>
      </w:r>
      <w:r>
        <w:rPr>
          <w:rFonts w:eastAsia="黑体"/>
          <w:snapToGrid w:val="0"/>
          <w:color w:val="auto"/>
          <w:sz w:val="24"/>
          <w:szCs w:val="24"/>
          <w:highlight w:val="none"/>
        </w:rPr>
        <w:t>2总则</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_Toc25904 \h </w:instrText>
      </w:r>
      <w:r>
        <w:rPr>
          <w:rFonts w:eastAsia="黑体"/>
          <w:color w:val="auto"/>
          <w:sz w:val="24"/>
          <w:szCs w:val="24"/>
          <w:highlight w:val="none"/>
        </w:rPr>
        <w:fldChar w:fldCharType="separate"/>
      </w:r>
      <w:r>
        <w:rPr>
          <w:rFonts w:eastAsia="黑体"/>
          <w:color w:val="auto"/>
          <w:sz w:val="24"/>
          <w:szCs w:val="24"/>
          <w:highlight w:val="none"/>
        </w:rPr>
        <w:t>23</w:t>
      </w:r>
      <w:r>
        <w:rPr>
          <w:rFonts w:eastAsia="黑体"/>
          <w:color w:val="auto"/>
          <w:sz w:val="24"/>
          <w:szCs w:val="24"/>
          <w:highlight w:val="none"/>
        </w:rPr>
        <w:fldChar w:fldCharType="end"/>
      </w:r>
      <w:r>
        <w:rPr>
          <w:rFonts w:eastAsia="黑体"/>
          <w:color w:val="auto"/>
          <w:sz w:val="24"/>
          <w:szCs w:val="24"/>
          <w:highlight w:val="none"/>
        </w:rPr>
        <w:fldChar w:fldCharType="end"/>
      </w:r>
    </w:p>
    <w:p w14:paraId="2327A96D">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"_Toc7166" </w:instrText>
      </w:r>
      <w:r>
        <w:rPr>
          <w:color w:val="auto"/>
          <w:highlight w:val="none"/>
        </w:rPr>
        <w:fldChar w:fldCharType="separate"/>
      </w:r>
      <w:r>
        <w:rPr>
          <w:rFonts w:eastAsia="黑体"/>
          <w:bCs/>
          <w:snapToGrid w:val="0"/>
          <w:color w:val="auto"/>
          <w:sz w:val="24"/>
          <w:szCs w:val="24"/>
          <w:highlight w:val="none"/>
        </w:rPr>
        <w:t>2.1编制依据</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_Toc7166 \h </w:instrText>
      </w:r>
      <w:r>
        <w:rPr>
          <w:rFonts w:eastAsia="黑体"/>
          <w:color w:val="auto"/>
          <w:sz w:val="24"/>
          <w:szCs w:val="24"/>
          <w:highlight w:val="none"/>
        </w:rPr>
        <w:fldChar w:fldCharType="separate"/>
      </w:r>
      <w:r>
        <w:rPr>
          <w:rFonts w:eastAsia="黑体"/>
          <w:color w:val="auto"/>
          <w:sz w:val="24"/>
          <w:szCs w:val="24"/>
          <w:highlight w:val="none"/>
        </w:rPr>
        <w:t>23</w:t>
      </w:r>
      <w:r>
        <w:rPr>
          <w:rFonts w:eastAsia="黑体"/>
          <w:color w:val="auto"/>
          <w:sz w:val="24"/>
          <w:szCs w:val="24"/>
          <w:highlight w:val="none"/>
        </w:rPr>
        <w:fldChar w:fldCharType="end"/>
      </w:r>
      <w:r>
        <w:rPr>
          <w:rFonts w:eastAsia="黑体"/>
          <w:color w:val="auto"/>
          <w:sz w:val="24"/>
          <w:szCs w:val="24"/>
          <w:highlight w:val="none"/>
        </w:rPr>
        <w:fldChar w:fldCharType="end"/>
      </w:r>
    </w:p>
    <w:p w14:paraId="4D626935">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"_Toc17554" </w:instrText>
      </w:r>
      <w:r>
        <w:rPr>
          <w:color w:val="auto"/>
          <w:highlight w:val="none"/>
        </w:rPr>
        <w:fldChar w:fldCharType="separate"/>
      </w:r>
      <w:r>
        <w:rPr>
          <w:rFonts w:eastAsia="黑体"/>
          <w:bCs/>
          <w:i w:val="0"/>
          <w:snapToGrid w:val="0"/>
          <w:color w:val="auto"/>
          <w:sz w:val="24"/>
          <w:szCs w:val="24"/>
          <w:highlight w:val="none"/>
        </w:rPr>
        <w:t>2.1.1相关环境保护法律、法规</w:t>
      </w:r>
      <w:r>
        <w:rPr>
          <w:rFonts w:hint="eastAsia" w:eastAsia="黑体"/>
          <w:bCs/>
          <w:i w:val="0"/>
          <w:snapToGrid w:val="0"/>
          <w:color w:val="auto"/>
          <w:sz w:val="24"/>
          <w:szCs w:val="24"/>
          <w:highlight w:val="none"/>
          <w:lang w:eastAsia="zh-CN"/>
        </w:rPr>
        <w:t>、</w:t>
      </w:r>
      <w:r>
        <w:rPr>
          <w:rFonts w:hint="eastAsia" w:eastAsia="黑体"/>
          <w:bCs/>
          <w:i w:val="0"/>
          <w:snapToGrid w:val="0"/>
          <w:color w:val="auto"/>
          <w:sz w:val="24"/>
          <w:szCs w:val="24"/>
          <w:highlight w:val="none"/>
          <w:lang w:val="en-US" w:eastAsia="zh-CN"/>
        </w:rPr>
        <w:t>条例</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_Toc17554 \h </w:instrText>
      </w:r>
      <w:r>
        <w:rPr>
          <w:rFonts w:eastAsia="黑体"/>
          <w:i w:val="0"/>
          <w:color w:val="auto"/>
          <w:sz w:val="24"/>
          <w:szCs w:val="24"/>
          <w:highlight w:val="none"/>
        </w:rPr>
        <w:fldChar w:fldCharType="separate"/>
      </w:r>
      <w:r>
        <w:rPr>
          <w:rFonts w:eastAsia="黑体"/>
          <w:i w:val="0"/>
          <w:color w:val="auto"/>
          <w:sz w:val="24"/>
          <w:szCs w:val="24"/>
          <w:highlight w:val="none"/>
        </w:rPr>
        <w:t>23</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54080724">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"_Toc12162" </w:instrText>
      </w:r>
      <w:r>
        <w:rPr>
          <w:color w:val="auto"/>
          <w:highlight w:val="none"/>
        </w:rPr>
        <w:fldChar w:fldCharType="separate"/>
      </w:r>
      <w:r>
        <w:rPr>
          <w:rFonts w:eastAsia="黑体"/>
          <w:bCs/>
          <w:i w:val="0"/>
          <w:snapToGrid w:val="0"/>
          <w:color w:val="auto"/>
          <w:sz w:val="24"/>
          <w:szCs w:val="24"/>
          <w:highlight w:val="none"/>
        </w:rPr>
        <w:t>2.1.</w:t>
      </w:r>
      <w:r>
        <w:rPr>
          <w:rFonts w:hint="eastAsia" w:eastAsia="黑体"/>
          <w:bCs/>
          <w:i w:val="0"/>
          <w:snapToGrid w:val="0"/>
          <w:color w:val="auto"/>
          <w:sz w:val="24"/>
          <w:szCs w:val="24"/>
          <w:highlight w:val="none"/>
          <w:lang w:val="en-US" w:eastAsia="zh-CN"/>
        </w:rPr>
        <w:t>2</w:t>
      </w:r>
      <w:r>
        <w:rPr>
          <w:rFonts w:eastAsia="黑体"/>
          <w:bCs/>
          <w:i w:val="0"/>
          <w:snapToGrid w:val="0"/>
          <w:color w:val="auto"/>
          <w:sz w:val="24"/>
          <w:szCs w:val="24"/>
          <w:highlight w:val="none"/>
        </w:rPr>
        <w:t>技术导则与规范</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_Toc12162 \h </w:instrText>
      </w:r>
      <w:r>
        <w:rPr>
          <w:rFonts w:eastAsia="黑体"/>
          <w:i w:val="0"/>
          <w:color w:val="auto"/>
          <w:sz w:val="24"/>
          <w:szCs w:val="24"/>
          <w:highlight w:val="none"/>
        </w:rPr>
        <w:fldChar w:fldCharType="separate"/>
      </w:r>
      <w:r>
        <w:rPr>
          <w:rFonts w:eastAsia="黑体"/>
          <w:i w:val="0"/>
          <w:color w:val="auto"/>
          <w:sz w:val="24"/>
          <w:szCs w:val="24"/>
          <w:highlight w:val="none"/>
        </w:rPr>
        <w:t>25</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943D9F1">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"_Toc10414" </w:instrText>
      </w:r>
      <w:r>
        <w:rPr>
          <w:color w:val="auto"/>
          <w:highlight w:val="none"/>
        </w:rPr>
        <w:fldChar w:fldCharType="separate"/>
      </w:r>
      <w:r>
        <w:rPr>
          <w:rFonts w:eastAsia="黑体"/>
          <w:bCs/>
          <w:i w:val="0"/>
          <w:snapToGrid w:val="0"/>
          <w:color w:val="auto"/>
          <w:sz w:val="24"/>
          <w:szCs w:val="24"/>
          <w:highlight w:val="none"/>
        </w:rPr>
        <w:t>2.1.</w:t>
      </w:r>
      <w:r>
        <w:rPr>
          <w:rFonts w:hint="eastAsia" w:eastAsia="黑体"/>
          <w:bCs/>
          <w:i w:val="0"/>
          <w:snapToGrid w:val="0"/>
          <w:color w:val="auto"/>
          <w:sz w:val="24"/>
          <w:szCs w:val="24"/>
          <w:highlight w:val="none"/>
          <w:lang w:val="en-US" w:eastAsia="zh-CN"/>
        </w:rPr>
        <w:t>3</w:t>
      </w:r>
      <w:r>
        <w:rPr>
          <w:rFonts w:eastAsia="黑体"/>
          <w:bCs/>
          <w:i w:val="0"/>
          <w:snapToGrid w:val="0"/>
          <w:color w:val="auto"/>
          <w:sz w:val="24"/>
          <w:szCs w:val="24"/>
          <w:highlight w:val="none"/>
        </w:rPr>
        <w:t>建设项目有关文件</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_Toc10414 \h </w:instrText>
      </w:r>
      <w:r>
        <w:rPr>
          <w:rFonts w:eastAsia="黑体"/>
          <w:i w:val="0"/>
          <w:color w:val="auto"/>
          <w:sz w:val="24"/>
          <w:szCs w:val="24"/>
          <w:highlight w:val="none"/>
        </w:rPr>
        <w:fldChar w:fldCharType="separate"/>
      </w:r>
      <w:r>
        <w:rPr>
          <w:rFonts w:eastAsia="黑体"/>
          <w:i w:val="0"/>
          <w:color w:val="auto"/>
          <w:sz w:val="24"/>
          <w:szCs w:val="24"/>
          <w:highlight w:val="none"/>
        </w:rPr>
        <w:t>26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48F129D3">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"_Toc24267" </w:instrText>
      </w:r>
      <w:r>
        <w:rPr>
          <w:color w:val="auto"/>
          <w:highlight w:val="none"/>
        </w:rPr>
        <w:fldChar w:fldCharType="separate"/>
      </w:r>
      <w:r>
        <w:rPr>
          <w:rFonts w:eastAsia="黑体"/>
          <w:color w:val="auto"/>
          <w:sz w:val="24"/>
          <w:szCs w:val="24"/>
          <w:highlight w:val="none"/>
        </w:rPr>
        <w:t>2.2 评价因子与评价标准</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_Toc24267 \h </w:instrText>
      </w:r>
      <w:r>
        <w:rPr>
          <w:rFonts w:eastAsia="黑体"/>
          <w:color w:val="auto"/>
          <w:sz w:val="24"/>
          <w:szCs w:val="24"/>
          <w:highlight w:val="none"/>
        </w:rPr>
        <w:fldChar w:fldCharType="separate"/>
      </w:r>
      <w:r>
        <w:rPr>
          <w:rFonts w:eastAsia="黑体"/>
          <w:color w:val="auto"/>
          <w:sz w:val="24"/>
          <w:szCs w:val="24"/>
          <w:highlight w:val="none"/>
        </w:rPr>
        <w:t>27</w:t>
      </w:r>
      <w:r>
        <w:rPr>
          <w:rFonts w:eastAsia="黑体"/>
          <w:color w:val="auto"/>
          <w:sz w:val="24"/>
          <w:szCs w:val="24"/>
          <w:highlight w:val="none"/>
        </w:rPr>
        <w:fldChar w:fldCharType="end"/>
      </w:r>
      <w:r>
        <w:rPr>
          <w:rFonts w:eastAsia="黑体"/>
          <w:color w:val="auto"/>
          <w:sz w:val="24"/>
          <w:szCs w:val="24"/>
          <w:highlight w:val="none"/>
        </w:rPr>
        <w:fldChar w:fldCharType="end"/>
      </w:r>
    </w:p>
    <w:p w14:paraId="194D8534">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"_Toc1027" </w:instrText>
      </w:r>
      <w:r>
        <w:rPr>
          <w:color w:val="auto"/>
          <w:highlight w:val="none"/>
        </w:rPr>
        <w:fldChar w:fldCharType="separate"/>
      </w:r>
      <w:r>
        <w:rPr>
          <w:rFonts w:eastAsia="黑体"/>
          <w:i w:val="0"/>
          <w:color w:val="auto"/>
          <w:sz w:val="24"/>
          <w:szCs w:val="24"/>
          <w:highlight w:val="none"/>
        </w:rPr>
        <w:t>2.2.1 评价因子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_Toc1027 \h </w:instrText>
      </w:r>
      <w:r>
        <w:rPr>
          <w:rFonts w:eastAsia="黑体"/>
          <w:i w:val="0"/>
          <w:color w:val="auto"/>
          <w:sz w:val="24"/>
          <w:szCs w:val="24"/>
          <w:highlight w:val="none"/>
        </w:rPr>
        <w:fldChar w:fldCharType="separate"/>
      </w:r>
      <w:r>
        <w:rPr>
          <w:rFonts w:eastAsia="黑体"/>
          <w:i w:val="0"/>
          <w:color w:val="auto"/>
          <w:sz w:val="24"/>
          <w:szCs w:val="24"/>
          <w:highlight w:val="none"/>
        </w:rPr>
        <w:t>27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4F66121">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"_Toc20268" </w:instrText>
      </w:r>
      <w:r>
        <w:rPr>
          <w:color w:val="auto"/>
          <w:highlight w:val="none"/>
        </w:rPr>
        <w:fldChar w:fldCharType="separate"/>
      </w:r>
      <w:r>
        <w:rPr>
          <w:rFonts w:eastAsia="黑体"/>
          <w:i w:val="0"/>
          <w:color w:val="auto"/>
          <w:sz w:val="24"/>
          <w:szCs w:val="24"/>
          <w:highlight w:val="none"/>
        </w:rPr>
        <w:t>2.2.2 评价标准</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_Toc20268 \h </w:instrText>
      </w:r>
      <w:r>
        <w:rPr>
          <w:rFonts w:eastAsia="黑体"/>
          <w:i w:val="0"/>
          <w:color w:val="auto"/>
          <w:sz w:val="24"/>
          <w:szCs w:val="24"/>
          <w:highlight w:val="none"/>
        </w:rPr>
        <w:fldChar w:fldCharType="separate"/>
      </w:r>
      <w:r>
        <w:rPr>
          <w:rFonts w:eastAsia="黑体"/>
          <w:i w:val="0"/>
          <w:color w:val="auto"/>
          <w:sz w:val="24"/>
          <w:szCs w:val="24"/>
          <w:highlight w:val="none"/>
        </w:rPr>
        <w:t>28</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28BDF5B">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"_Toc24009" </w:instrText>
      </w:r>
      <w:r>
        <w:rPr>
          <w:color w:val="auto"/>
          <w:highlight w:val="none"/>
        </w:rPr>
        <w:fldChar w:fldCharType="separate"/>
      </w:r>
      <w:r>
        <w:rPr>
          <w:rFonts w:eastAsia="黑体"/>
          <w:bCs/>
          <w:snapToGrid w:val="0"/>
          <w:color w:val="auto"/>
          <w:sz w:val="24"/>
          <w:szCs w:val="24"/>
          <w:highlight w:val="none"/>
        </w:rPr>
        <w:t>2.3评价工作等级</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_Toc24009 \h </w:instrText>
      </w:r>
      <w:r>
        <w:rPr>
          <w:rFonts w:eastAsia="黑体"/>
          <w:color w:val="auto"/>
          <w:sz w:val="24"/>
          <w:szCs w:val="24"/>
          <w:highlight w:val="none"/>
        </w:rPr>
        <w:fldChar w:fldCharType="separate"/>
      </w:r>
      <w:r>
        <w:rPr>
          <w:rFonts w:eastAsia="黑体"/>
          <w:color w:val="auto"/>
          <w:sz w:val="24"/>
          <w:szCs w:val="24"/>
          <w:highlight w:val="none"/>
        </w:rPr>
        <w:t>34</w:t>
      </w:r>
      <w:r>
        <w:rPr>
          <w:rFonts w:eastAsia="黑体"/>
          <w:color w:val="auto"/>
          <w:sz w:val="24"/>
          <w:szCs w:val="24"/>
          <w:highlight w:val="none"/>
        </w:rPr>
        <w:fldChar w:fldCharType="end"/>
      </w:r>
      <w:r>
        <w:rPr>
          <w:rFonts w:eastAsia="黑体"/>
          <w:color w:val="auto"/>
          <w:sz w:val="24"/>
          <w:szCs w:val="24"/>
          <w:highlight w:val="none"/>
        </w:rPr>
        <w:fldChar w:fldCharType="end"/>
      </w:r>
    </w:p>
    <w:p w14:paraId="6612A811">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"_Toc4386" </w:instrText>
      </w:r>
      <w:r>
        <w:rPr>
          <w:color w:val="auto"/>
          <w:highlight w:val="none"/>
        </w:rPr>
        <w:fldChar w:fldCharType="separate"/>
      </w:r>
      <w:r>
        <w:rPr>
          <w:rFonts w:eastAsia="黑体"/>
          <w:bCs/>
          <w:i w:val="0"/>
          <w:snapToGrid w:val="0"/>
          <w:color w:val="auto"/>
          <w:sz w:val="24"/>
          <w:szCs w:val="24"/>
          <w:highlight w:val="none"/>
        </w:rPr>
        <w:t>2.3.1大气环境影响评价等级</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_Toc4386 \h </w:instrText>
      </w:r>
      <w:r>
        <w:rPr>
          <w:rFonts w:eastAsia="黑体"/>
          <w:i w:val="0"/>
          <w:color w:val="auto"/>
          <w:sz w:val="24"/>
          <w:szCs w:val="24"/>
          <w:highlight w:val="none"/>
        </w:rPr>
        <w:fldChar w:fldCharType="separate"/>
      </w:r>
      <w:r>
        <w:rPr>
          <w:rFonts w:eastAsia="黑体"/>
          <w:i w:val="0"/>
          <w:color w:val="auto"/>
          <w:sz w:val="24"/>
          <w:szCs w:val="24"/>
          <w:highlight w:val="none"/>
        </w:rPr>
        <w:t>34</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5445CA70">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"_Toc134" </w:instrText>
      </w:r>
      <w:r>
        <w:rPr>
          <w:color w:val="auto"/>
          <w:highlight w:val="none"/>
        </w:rPr>
        <w:fldChar w:fldCharType="separate"/>
      </w:r>
      <w:r>
        <w:rPr>
          <w:rFonts w:eastAsia="黑体"/>
          <w:bCs/>
          <w:i w:val="0"/>
          <w:snapToGrid w:val="0"/>
          <w:color w:val="auto"/>
          <w:sz w:val="24"/>
          <w:szCs w:val="24"/>
          <w:highlight w:val="none"/>
        </w:rPr>
        <w:t>2.3.2地表水环境评价等级</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_Toc134 \h </w:instrText>
      </w:r>
      <w:r>
        <w:rPr>
          <w:rFonts w:eastAsia="黑体"/>
          <w:i w:val="0"/>
          <w:color w:val="auto"/>
          <w:sz w:val="24"/>
          <w:szCs w:val="24"/>
          <w:highlight w:val="none"/>
        </w:rPr>
        <w:fldChar w:fldCharType="separate"/>
      </w:r>
      <w:r>
        <w:rPr>
          <w:rFonts w:eastAsia="黑体"/>
          <w:i w:val="0"/>
          <w:color w:val="auto"/>
          <w:sz w:val="24"/>
          <w:szCs w:val="24"/>
          <w:highlight w:val="none"/>
        </w:rPr>
        <w:t>38</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B348F56">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"_Toc11967" </w:instrText>
      </w:r>
      <w:r>
        <w:rPr>
          <w:color w:val="auto"/>
          <w:highlight w:val="none"/>
        </w:rPr>
        <w:fldChar w:fldCharType="separate"/>
      </w:r>
      <w:r>
        <w:rPr>
          <w:rFonts w:eastAsia="黑体"/>
          <w:bCs/>
          <w:i w:val="0"/>
          <w:snapToGrid w:val="0"/>
          <w:color w:val="auto"/>
          <w:sz w:val="24"/>
          <w:szCs w:val="24"/>
          <w:highlight w:val="none"/>
        </w:rPr>
        <w:t>2.3.3地下水环境评价等级</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_Toc11967 \h </w:instrText>
      </w:r>
      <w:r>
        <w:rPr>
          <w:rFonts w:eastAsia="黑体"/>
          <w:i w:val="0"/>
          <w:color w:val="auto"/>
          <w:sz w:val="24"/>
          <w:szCs w:val="24"/>
          <w:highlight w:val="none"/>
        </w:rPr>
        <w:fldChar w:fldCharType="separate"/>
      </w:r>
      <w:r>
        <w:rPr>
          <w:rFonts w:eastAsia="黑体"/>
          <w:i w:val="0"/>
          <w:color w:val="auto"/>
          <w:sz w:val="24"/>
          <w:szCs w:val="24"/>
          <w:highlight w:val="none"/>
        </w:rPr>
        <w:t>39</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4547A1F">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"_Toc9430" </w:instrText>
      </w:r>
      <w:r>
        <w:rPr>
          <w:color w:val="auto"/>
          <w:highlight w:val="none"/>
        </w:rPr>
        <w:fldChar w:fldCharType="separate"/>
      </w:r>
      <w:r>
        <w:rPr>
          <w:rFonts w:eastAsia="黑体"/>
          <w:bCs/>
          <w:i w:val="0"/>
          <w:snapToGrid w:val="0"/>
          <w:color w:val="auto"/>
          <w:sz w:val="24"/>
          <w:szCs w:val="24"/>
          <w:highlight w:val="none"/>
        </w:rPr>
        <w:t>2.3.4声环境评价等级</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_Toc9430 \h </w:instrText>
      </w:r>
      <w:r>
        <w:rPr>
          <w:rFonts w:eastAsia="黑体"/>
          <w:i w:val="0"/>
          <w:color w:val="auto"/>
          <w:sz w:val="24"/>
          <w:szCs w:val="24"/>
          <w:highlight w:val="none"/>
        </w:rPr>
        <w:fldChar w:fldCharType="separate"/>
      </w:r>
      <w:r>
        <w:rPr>
          <w:rFonts w:eastAsia="黑体"/>
          <w:i w:val="0"/>
          <w:color w:val="auto"/>
          <w:sz w:val="24"/>
          <w:szCs w:val="24"/>
          <w:highlight w:val="none"/>
        </w:rPr>
        <w:t>40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23CC0350">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"_Toc7803" </w:instrText>
      </w:r>
      <w:r>
        <w:rPr>
          <w:color w:val="auto"/>
          <w:highlight w:val="none"/>
        </w:rPr>
        <w:fldChar w:fldCharType="separate"/>
      </w:r>
      <w:r>
        <w:rPr>
          <w:rFonts w:eastAsia="黑体"/>
          <w:bCs/>
          <w:i w:val="0"/>
          <w:snapToGrid w:val="0"/>
          <w:color w:val="auto"/>
          <w:sz w:val="24"/>
          <w:szCs w:val="24"/>
          <w:highlight w:val="none"/>
        </w:rPr>
        <w:t>2.3.5生态环境评价等级</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_Toc7803 \h </w:instrText>
      </w:r>
      <w:r>
        <w:rPr>
          <w:rFonts w:eastAsia="黑体"/>
          <w:i w:val="0"/>
          <w:color w:val="auto"/>
          <w:sz w:val="24"/>
          <w:szCs w:val="24"/>
          <w:highlight w:val="none"/>
        </w:rPr>
        <w:fldChar w:fldCharType="separate"/>
      </w:r>
      <w:r>
        <w:rPr>
          <w:rFonts w:eastAsia="黑体"/>
          <w:i w:val="0"/>
          <w:color w:val="auto"/>
          <w:sz w:val="24"/>
          <w:szCs w:val="24"/>
          <w:highlight w:val="none"/>
        </w:rPr>
        <w:t>40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599B0BE">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"_Toc17214" </w:instrText>
      </w:r>
      <w:r>
        <w:rPr>
          <w:color w:val="auto"/>
          <w:highlight w:val="none"/>
        </w:rPr>
        <w:fldChar w:fldCharType="separate"/>
      </w:r>
      <w:r>
        <w:rPr>
          <w:rFonts w:eastAsia="黑体"/>
          <w:bCs/>
          <w:i w:val="0"/>
          <w:snapToGrid w:val="0"/>
          <w:color w:val="auto"/>
          <w:sz w:val="24"/>
          <w:szCs w:val="24"/>
          <w:highlight w:val="none"/>
        </w:rPr>
        <w:t>2.3.6土壤评价等级</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_Toc17214 \h </w:instrText>
      </w:r>
      <w:r>
        <w:rPr>
          <w:rFonts w:eastAsia="黑体"/>
          <w:i w:val="0"/>
          <w:color w:val="auto"/>
          <w:sz w:val="24"/>
          <w:szCs w:val="24"/>
          <w:highlight w:val="none"/>
        </w:rPr>
        <w:fldChar w:fldCharType="separate"/>
      </w:r>
      <w:r>
        <w:rPr>
          <w:rFonts w:eastAsia="黑体"/>
          <w:i w:val="0"/>
          <w:color w:val="auto"/>
          <w:sz w:val="24"/>
          <w:szCs w:val="24"/>
          <w:highlight w:val="none"/>
        </w:rPr>
        <w:t>40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11F453F">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"_Toc28565" </w:instrText>
      </w:r>
      <w:r>
        <w:rPr>
          <w:color w:val="auto"/>
          <w:highlight w:val="none"/>
        </w:rPr>
        <w:fldChar w:fldCharType="separate"/>
      </w:r>
      <w:r>
        <w:rPr>
          <w:rFonts w:eastAsia="黑体"/>
          <w:bCs/>
          <w:i w:val="0"/>
          <w:snapToGrid w:val="0"/>
          <w:color w:val="auto"/>
          <w:sz w:val="24"/>
          <w:szCs w:val="24"/>
          <w:highlight w:val="none"/>
        </w:rPr>
        <w:t>2.3.7风险评价等级</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_Toc28565 \h </w:instrText>
      </w:r>
      <w:r>
        <w:rPr>
          <w:rFonts w:eastAsia="黑体"/>
          <w:i w:val="0"/>
          <w:color w:val="auto"/>
          <w:sz w:val="24"/>
          <w:szCs w:val="24"/>
          <w:highlight w:val="none"/>
        </w:rPr>
        <w:fldChar w:fldCharType="separate"/>
      </w:r>
      <w:r>
        <w:rPr>
          <w:rFonts w:eastAsia="黑体"/>
          <w:i w:val="0"/>
          <w:color w:val="auto"/>
          <w:sz w:val="24"/>
          <w:szCs w:val="24"/>
          <w:highlight w:val="none"/>
        </w:rPr>
        <w:t>41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4B13BDE">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"_Toc27553" </w:instrText>
      </w:r>
      <w:r>
        <w:rPr>
          <w:color w:val="auto"/>
          <w:highlight w:val="none"/>
        </w:rPr>
        <w:fldChar w:fldCharType="separate"/>
      </w:r>
      <w:r>
        <w:rPr>
          <w:rFonts w:eastAsia="黑体"/>
          <w:color w:val="auto"/>
          <w:sz w:val="24"/>
          <w:szCs w:val="24"/>
          <w:highlight w:val="none"/>
        </w:rPr>
        <w:t>2.4 评价范围</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_Toc27553 \h </w:instrText>
      </w:r>
      <w:r>
        <w:rPr>
          <w:rFonts w:eastAsia="黑体"/>
          <w:color w:val="auto"/>
          <w:sz w:val="24"/>
          <w:szCs w:val="24"/>
          <w:highlight w:val="none"/>
        </w:rPr>
        <w:fldChar w:fldCharType="separate"/>
      </w:r>
      <w:r>
        <w:rPr>
          <w:rFonts w:eastAsia="黑体"/>
          <w:color w:val="auto"/>
          <w:sz w:val="24"/>
          <w:szCs w:val="24"/>
          <w:highlight w:val="none"/>
        </w:rPr>
        <w:t>41</w:t>
      </w:r>
      <w:r>
        <w:rPr>
          <w:rFonts w:eastAsia="黑体"/>
          <w:color w:val="auto"/>
          <w:sz w:val="24"/>
          <w:szCs w:val="24"/>
          <w:highlight w:val="none"/>
        </w:rPr>
        <w:fldChar w:fldCharType="end"/>
      </w:r>
      <w:r>
        <w:rPr>
          <w:rFonts w:eastAsia="黑体"/>
          <w:color w:val="auto"/>
          <w:sz w:val="24"/>
          <w:szCs w:val="24"/>
          <w:highlight w:val="none"/>
        </w:rPr>
        <w:fldChar w:fldCharType="end"/>
      </w:r>
    </w:p>
    <w:p w14:paraId="23A1DE59">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"_Toc16760" </w:instrText>
      </w:r>
      <w:r>
        <w:rPr>
          <w:color w:val="auto"/>
          <w:highlight w:val="none"/>
        </w:rPr>
        <w:fldChar w:fldCharType="separate"/>
      </w:r>
      <w:r>
        <w:rPr>
          <w:rFonts w:eastAsia="黑体"/>
          <w:i w:val="0"/>
          <w:color w:val="auto"/>
          <w:sz w:val="24"/>
          <w:szCs w:val="24"/>
          <w:highlight w:val="none"/>
        </w:rPr>
        <w:t>2.4.1 大气评价范围</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_Toc16760 \h </w:instrText>
      </w:r>
      <w:r>
        <w:rPr>
          <w:rFonts w:eastAsia="黑体"/>
          <w:i w:val="0"/>
          <w:color w:val="auto"/>
          <w:sz w:val="24"/>
          <w:szCs w:val="24"/>
          <w:highlight w:val="none"/>
        </w:rPr>
        <w:fldChar w:fldCharType="separate"/>
      </w:r>
      <w:r>
        <w:rPr>
          <w:rFonts w:eastAsia="黑体"/>
          <w:i w:val="0"/>
          <w:color w:val="auto"/>
          <w:sz w:val="24"/>
          <w:szCs w:val="24"/>
          <w:highlight w:val="none"/>
        </w:rPr>
        <w:t>42</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25E31A58">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"_Toc14961" </w:instrText>
      </w:r>
      <w:r>
        <w:rPr>
          <w:color w:val="auto"/>
          <w:highlight w:val="none"/>
        </w:rPr>
        <w:fldChar w:fldCharType="separate"/>
      </w:r>
      <w:r>
        <w:rPr>
          <w:rFonts w:eastAsia="黑体"/>
          <w:i w:val="0"/>
          <w:color w:val="auto"/>
          <w:sz w:val="24"/>
          <w:szCs w:val="24"/>
          <w:highlight w:val="none"/>
        </w:rPr>
        <w:t>2.4.2 水环境评价范围</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_Toc14961 \h </w:instrText>
      </w:r>
      <w:r>
        <w:rPr>
          <w:rFonts w:eastAsia="黑体"/>
          <w:i w:val="0"/>
          <w:color w:val="auto"/>
          <w:sz w:val="24"/>
          <w:szCs w:val="24"/>
          <w:highlight w:val="none"/>
        </w:rPr>
        <w:fldChar w:fldCharType="separate"/>
      </w:r>
      <w:r>
        <w:rPr>
          <w:rFonts w:eastAsia="黑体"/>
          <w:i w:val="0"/>
          <w:color w:val="auto"/>
          <w:sz w:val="24"/>
          <w:szCs w:val="24"/>
          <w:highlight w:val="none"/>
        </w:rPr>
        <w:t>42</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013BDC7B">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"_Toc19747" </w:instrText>
      </w:r>
      <w:r>
        <w:rPr>
          <w:color w:val="auto"/>
          <w:highlight w:val="none"/>
        </w:rPr>
        <w:fldChar w:fldCharType="separate"/>
      </w:r>
      <w:r>
        <w:rPr>
          <w:rFonts w:eastAsia="黑体"/>
          <w:i w:val="0"/>
          <w:color w:val="auto"/>
          <w:sz w:val="24"/>
          <w:szCs w:val="24"/>
          <w:highlight w:val="none"/>
        </w:rPr>
        <w:t>2.4.3 声环境评价范围</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_Toc19747 \h </w:instrText>
      </w:r>
      <w:r>
        <w:rPr>
          <w:rFonts w:eastAsia="黑体"/>
          <w:i w:val="0"/>
          <w:color w:val="auto"/>
          <w:sz w:val="24"/>
          <w:szCs w:val="24"/>
          <w:highlight w:val="none"/>
        </w:rPr>
        <w:fldChar w:fldCharType="separate"/>
      </w:r>
      <w:r>
        <w:rPr>
          <w:rFonts w:eastAsia="黑体"/>
          <w:i w:val="0"/>
          <w:color w:val="auto"/>
          <w:sz w:val="24"/>
          <w:szCs w:val="24"/>
          <w:highlight w:val="none"/>
        </w:rPr>
        <w:t>42</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2CBADEA">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"_Toc28115" </w:instrText>
      </w:r>
      <w:r>
        <w:rPr>
          <w:color w:val="auto"/>
          <w:highlight w:val="none"/>
        </w:rPr>
        <w:fldChar w:fldCharType="separate"/>
      </w:r>
      <w:r>
        <w:rPr>
          <w:rFonts w:eastAsia="黑体"/>
          <w:i w:val="0"/>
          <w:color w:val="auto"/>
          <w:sz w:val="24"/>
          <w:szCs w:val="24"/>
          <w:highlight w:val="none"/>
        </w:rPr>
        <w:t>2.4.4 风险评价范围</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_Toc28115 \h </w:instrText>
      </w:r>
      <w:r>
        <w:rPr>
          <w:rFonts w:eastAsia="黑体"/>
          <w:i w:val="0"/>
          <w:color w:val="auto"/>
          <w:sz w:val="24"/>
          <w:szCs w:val="24"/>
          <w:highlight w:val="none"/>
        </w:rPr>
        <w:fldChar w:fldCharType="separate"/>
      </w:r>
      <w:r>
        <w:rPr>
          <w:rFonts w:eastAsia="黑体"/>
          <w:i w:val="0"/>
          <w:color w:val="auto"/>
          <w:sz w:val="24"/>
          <w:szCs w:val="24"/>
          <w:highlight w:val="none"/>
        </w:rPr>
        <w:t>42</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0DA0D3BB">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"_Toc20056" </w:instrText>
      </w:r>
      <w:r>
        <w:rPr>
          <w:color w:val="auto"/>
          <w:highlight w:val="none"/>
        </w:rPr>
        <w:fldChar w:fldCharType="separate"/>
      </w:r>
      <w:r>
        <w:rPr>
          <w:rFonts w:eastAsia="黑体"/>
          <w:color w:val="auto"/>
          <w:sz w:val="24"/>
          <w:szCs w:val="24"/>
          <w:highlight w:val="none"/>
        </w:rPr>
        <w:t>2.5 评价重点与环境保护目标</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_Toc20056 \h </w:instrText>
      </w:r>
      <w:r>
        <w:rPr>
          <w:rFonts w:eastAsia="黑体"/>
          <w:color w:val="auto"/>
          <w:sz w:val="24"/>
          <w:szCs w:val="24"/>
          <w:highlight w:val="none"/>
        </w:rPr>
        <w:fldChar w:fldCharType="separate"/>
      </w:r>
      <w:r>
        <w:rPr>
          <w:rFonts w:eastAsia="黑体"/>
          <w:color w:val="auto"/>
          <w:sz w:val="24"/>
          <w:szCs w:val="24"/>
          <w:highlight w:val="none"/>
        </w:rPr>
        <w:t>43</w:t>
      </w:r>
      <w:r>
        <w:rPr>
          <w:rFonts w:eastAsia="黑体"/>
          <w:color w:val="auto"/>
          <w:sz w:val="24"/>
          <w:szCs w:val="24"/>
          <w:highlight w:val="none"/>
        </w:rPr>
        <w:fldChar w:fldCharType="end"/>
      </w:r>
      <w:r>
        <w:rPr>
          <w:rFonts w:eastAsia="黑体"/>
          <w:color w:val="auto"/>
          <w:sz w:val="24"/>
          <w:szCs w:val="24"/>
          <w:highlight w:val="none"/>
        </w:rPr>
        <w:fldChar w:fldCharType="end"/>
      </w:r>
    </w:p>
    <w:p w14:paraId="0B39FB62">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"_Toc12258" </w:instrText>
      </w:r>
      <w:r>
        <w:rPr>
          <w:color w:val="auto"/>
          <w:highlight w:val="none"/>
        </w:rPr>
        <w:fldChar w:fldCharType="separate"/>
      </w:r>
      <w:r>
        <w:rPr>
          <w:rFonts w:eastAsia="黑体"/>
          <w:i w:val="0"/>
          <w:color w:val="auto"/>
          <w:sz w:val="24"/>
          <w:szCs w:val="24"/>
          <w:highlight w:val="none"/>
        </w:rPr>
        <w:t>2.5.1 评价重点</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_Toc12258 \h </w:instrText>
      </w:r>
      <w:r>
        <w:rPr>
          <w:rFonts w:eastAsia="黑体"/>
          <w:i w:val="0"/>
          <w:color w:val="auto"/>
          <w:sz w:val="24"/>
          <w:szCs w:val="24"/>
          <w:highlight w:val="none"/>
        </w:rPr>
        <w:fldChar w:fldCharType="separate"/>
      </w:r>
      <w:r>
        <w:rPr>
          <w:rFonts w:eastAsia="黑体"/>
          <w:i w:val="0"/>
          <w:color w:val="auto"/>
          <w:sz w:val="24"/>
          <w:szCs w:val="24"/>
          <w:highlight w:val="none"/>
        </w:rPr>
        <w:t>43</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528E2384">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"_Toc21505" </w:instrText>
      </w:r>
      <w:r>
        <w:rPr>
          <w:color w:val="auto"/>
          <w:highlight w:val="none"/>
        </w:rPr>
        <w:fldChar w:fldCharType="separate"/>
      </w:r>
      <w:r>
        <w:rPr>
          <w:rFonts w:eastAsia="黑体"/>
          <w:i w:val="0"/>
          <w:color w:val="auto"/>
          <w:sz w:val="24"/>
          <w:szCs w:val="24"/>
          <w:highlight w:val="none"/>
        </w:rPr>
        <w:t>2.5.2 环境保护目标</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_Toc21505 \h </w:instrText>
      </w:r>
      <w:r>
        <w:rPr>
          <w:rFonts w:eastAsia="黑体"/>
          <w:i w:val="0"/>
          <w:color w:val="auto"/>
          <w:sz w:val="24"/>
          <w:szCs w:val="24"/>
          <w:highlight w:val="none"/>
        </w:rPr>
        <w:fldChar w:fldCharType="separate"/>
      </w:r>
      <w:r>
        <w:rPr>
          <w:rFonts w:eastAsia="黑体"/>
          <w:i w:val="0"/>
          <w:color w:val="auto"/>
          <w:sz w:val="24"/>
          <w:szCs w:val="24"/>
          <w:highlight w:val="none"/>
        </w:rPr>
        <w:t>43</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8FD59A9">
      <w:pPr>
        <w:pStyle w:val="31"/>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"_Toc8733" </w:instrText>
      </w:r>
      <w:r>
        <w:rPr>
          <w:color w:val="auto"/>
          <w:highlight w:val="none"/>
        </w:rPr>
        <w:fldChar w:fldCharType="separate"/>
      </w:r>
      <w:r>
        <w:rPr>
          <w:rFonts w:eastAsia="黑体"/>
          <w:snapToGrid w:val="0"/>
          <w:color w:val="auto"/>
          <w:sz w:val="24"/>
          <w:szCs w:val="24"/>
          <w:highlight w:val="none"/>
        </w:rPr>
        <w:t>3工程分析</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_Toc8733 \h </w:instrText>
      </w:r>
      <w:r>
        <w:rPr>
          <w:rFonts w:eastAsia="黑体"/>
          <w:color w:val="auto"/>
          <w:sz w:val="24"/>
          <w:szCs w:val="24"/>
          <w:highlight w:val="none"/>
        </w:rPr>
        <w:fldChar w:fldCharType="separate"/>
      </w:r>
      <w:r>
        <w:rPr>
          <w:rFonts w:eastAsia="黑体"/>
          <w:color w:val="auto"/>
          <w:sz w:val="24"/>
          <w:szCs w:val="24"/>
          <w:highlight w:val="none"/>
        </w:rPr>
        <w:t>46</w:t>
      </w:r>
      <w:r>
        <w:rPr>
          <w:rFonts w:eastAsia="黑体"/>
          <w:color w:val="auto"/>
          <w:sz w:val="24"/>
          <w:szCs w:val="24"/>
          <w:highlight w:val="none"/>
        </w:rPr>
        <w:fldChar w:fldCharType="end"/>
      </w:r>
      <w:r>
        <w:rPr>
          <w:rFonts w:eastAsia="黑体"/>
          <w:color w:val="auto"/>
          <w:sz w:val="24"/>
          <w:szCs w:val="24"/>
          <w:highlight w:val="none"/>
        </w:rPr>
        <w:fldChar w:fldCharType="end"/>
      </w:r>
    </w:p>
    <w:p w14:paraId="7BF94081">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"_Toc2640" </w:instrText>
      </w:r>
      <w:r>
        <w:rPr>
          <w:color w:val="auto"/>
          <w:highlight w:val="none"/>
        </w:rPr>
        <w:fldChar w:fldCharType="separate"/>
      </w:r>
      <w:r>
        <w:rPr>
          <w:rFonts w:eastAsia="黑体"/>
          <w:bCs/>
          <w:snapToGrid w:val="0"/>
          <w:color w:val="auto"/>
          <w:sz w:val="24"/>
          <w:szCs w:val="24"/>
          <w:highlight w:val="none"/>
        </w:rPr>
        <w:t>3.1项目概况</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_Toc2640 \h </w:instrText>
      </w:r>
      <w:r>
        <w:rPr>
          <w:rFonts w:eastAsia="黑体"/>
          <w:color w:val="auto"/>
          <w:sz w:val="24"/>
          <w:szCs w:val="24"/>
          <w:highlight w:val="none"/>
        </w:rPr>
        <w:fldChar w:fldCharType="separate"/>
      </w:r>
      <w:r>
        <w:rPr>
          <w:rFonts w:eastAsia="黑体"/>
          <w:color w:val="auto"/>
          <w:sz w:val="24"/>
          <w:szCs w:val="24"/>
          <w:highlight w:val="none"/>
        </w:rPr>
        <w:t>46</w:t>
      </w:r>
      <w:r>
        <w:rPr>
          <w:rFonts w:eastAsia="黑体"/>
          <w:color w:val="auto"/>
          <w:sz w:val="24"/>
          <w:szCs w:val="24"/>
          <w:highlight w:val="none"/>
        </w:rPr>
        <w:fldChar w:fldCharType="end"/>
      </w:r>
      <w:r>
        <w:rPr>
          <w:rFonts w:eastAsia="黑体"/>
          <w:color w:val="auto"/>
          <w:sz w:val="24"/>
          <w:szCs w:val="24"/>
          <w:highlight w:val="none"/>
        </w:rPr>
        <w:fldChar w:fldCharType="end"/>
      </w:r>
    </w:p>
    <w:p w14:paraId="097015F5">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"_Toc5197" </w:instrText>
      </w:r>
      <w:r>
        <w:rPr>
          <w:color w:val="auto"/>
          <w:highlight w:val="none"/>
        </w:rPr>
        <w:fldChar w:fldCharType="separate"/>
      </w:r>
      <w:r>
        <w:rPr>
          <w:rFonts w:eastAsia="黑体"/>
          <w:bCs/>
          <w:i w:val="0"/>
          <w:snapToGrid w:val="0"/>
          <w:color w:val="auto"/>
          <w:sz w:val="24"/>
          <w:szCs w:val="24"/>
          <w:highlight w:val="none"/>
        </w:rPr>
        <w:t>3.1.1项目名称及基本组成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_Toc5197 \h </w:instrText>
      </w:r>
      <w:r>
        <w:rPr>
          <w:rFonts w:eastAsia="黑体"/>
          <w:i w:val="0"/>
          <w:color w:val="auto"/>
          <w:sz w:val="24"/>
          <w:szCs w:val="24"/>
          <w:highlight w:val="none"/>
        </w:rPr>
        <w:fldChar w:fldCharType="separate"/>
      </w:r>
      <w:r>
        <w:rPr>
          <w:rFonts w:eastAsia="黑体"/>
          <w:i w:val="0"/>
          <w:color w:val="auto"/>
          <w:sz w:val="24"/>
          <w:szCs w:val="24"/>
          <w:highlight w:val="none"/>
        </w:rPr>
        <w:t>46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C3DBF43">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"_Toc16391" </w:instrText>
      </w:r>
      <w:r>
        <w:rPr>
          <w:color w:val="auto"/>
          <w:highlight w:val="none"/>
        </w:rPr>
        <w:fldChar w:fldCharType="separate"/>
      </w:r>
      <w:r>
        <w:rPr>
          <w:rFonts w:eastAsia="黑体"/>
          <w:i w:val="0"/>
          <w:snapToGrid w:val="0"/>
          <w:color w:val="auto"/>
          <w:sz w:val="24"/>
          <w:szCs w:val="24"/>
          <w:highlight w:val="none"/>
        </w:rPr>
        <w:t>3.1.2建设内容及规模</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_Toc16391 \h </w:instrText>
      </w:r>
      <w:r>
        <w:rPr>
          <w:rFonts w:eastAsia="黑体"/>
          <w:i w:val="0"/>
          <w:color w:val="auto"/>
          <w:sz w:val="24"/>
          <w:szCs w:val="24"/>
          <w:highlight w:val="none"/>
        </w:rPr>
        <w:fldChar w:fldCharType="separate"/>
      </w:r>
      <w:r>
        <w:rPr>
          <w:rFonts w:eastAsia="黑体"/>
          <w:i w:val="0"/>
          <w:color w:val="auto"/>
          <w:sz w:val="24"/>
          <w:szCs w:val="24"/>
          <w:highlight w:val="none"/>
        </w:rPr>
        <w:t>46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1495750">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"_Toc27515" </w:instrText>
      </w:r>
      <w:r>
        <w:rPr>
          <w:color w:val="auto"/>
          <w:highlight w:val="none"/>
        </w:rPr>
        <w:fldChar w:fldCharType="separate"/>
      </w:r>
      <w:r>
        <w:rPr>
          <w:rFonts w:eastAsia="黑体"/>
          <w:bCs/>
          <w:i w:val="0"/>
          <w:snapToGrid w:val="0"/>
          <w:color w:val="auto"/>
          <w:sz w:val="24"/>
          <w:szCs w:val="24"/>
          <w:highlight w:val="none"/>
        </w:rPr>
        <w:t>3.1.3主要设备</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_Toc27515 \h </w:instrText>
      </w:r>
      <w:r>
        <w:rPr>
          <w:rFonts w:eastAsia="黑体"/>
          <w:i w:val="0"/>
          <w:color w:val="auto"/>
          <w:sz w:val="24"/>
          <w:szCs w:val="24"/>
          <w:highlight w:val="none"/>
        </w:rPr>
        <w:fldChar w:fldCharType="separate"/>
      </w:r>
      <w:r>
        <w:rPr>
          <w:rFonts w:eastAsia="黑体"/>
          <w:i w:val="0"/>
          <w:color w:val="auto"/>
          <w:sz w:val="24"/>
          <w:szCs w:val="24"/>
          <w:highlight w:val="none"/>
        </w:rPr>
        <w:t>51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5A266079">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"_Toc31270" </w:instrText>
      </w:r>
      <w:r>
        <w:rPr>
          <w:color w:val="auto"/>
          <w:highlight w:val="none"/>
        </w:rPr>
        <w:fldChar w:fldCharType="separate"/>
      </w:r>
      <w:r>
        <w:rPr>
          <w:rFonts w:eastAsia="黑体"/>
          <w:bCs/>
          <w:i w:val="0"/>
          <w:snapToGrid w:val="0"/>
          <w:color w:val="auto"/>
          <w:sz w:val="24"/>
          <w:szCs w:val="24"/>
          <w:highlight w:val="none"/>
        </w:rPr>
        <w:t>3.1.4主要原辅材料消耗</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_Toc31270 \h </w:instrText>
      </w:r>
      <w:r>
        <w:rPr>
          <w:rFonts w:eastAsia="黑体"/>
          <w:i w:val="0"/>
          <w:color w:val="auto"/>
          <w:sz w:val="24"/>
          <w:szCs w:val="24"/>
          <w:highlight w:val="none"/>
        </w:rPr>
        <w:fldChar w:fldCharType="separate"/>
      </w:r>
      <w:r>
        <w:rPr>
          <w:rFonts w:eastAsia="黑体"/>
          <w:i w:val="0"/>
          <w:color w:val="auto"/>
          <w:sz w:val="24"/>
          <w:szCs w:val="24"/>
          <w:highlight w:val="none"/>
        </w:rPr>
        <w:t>51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FEABFD6">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"_Toc1085" </w:instrText>
      </w:r>
      <w:r>
        <w:rPr>
          <w:color w:val="auto"/>
          <w:highlight w:val="none"/>
        </w:rPr>
        <w:fldChar w:fldCharType="separate"/>
      </w:r>
      <w:r>
        <w:rPr>
          <w:rFonts w:eastAsia="黑体"/>
          <w:bCs/>
          <w:i w:val="0"/>
          <w:snapToGrid w:val="0"/>
          <w:color w:val="auto"/>
          <w:sz w:val="24"/>
          <w:szCs w:val="24"/>
          <w:highlight w:val="none"/>
        </w:rPr>
        <w:t>3.1.5产品方案</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_Toc1085 \h </w:instrText>
      </w:r>
      <w:r>
        <w:rPr>
          <w:rFonts w:eastAsia="黑体"/>
          <w:i w:val="0"/>
          <w:color w:val="auto"/>
          <w:sz w:val="24"/>
          <w:szCs w:val="24"/>
          <w:highlight w:val="none"/>
        </w:rPr>
        <w:fldChar w:fldCharType="separate"/>
      </w:r>
      <w:r>
        <w:rPr>
          <w:rFonts w:eastAsia="黑体"/>
          <w:i w:val="0"/>
          <w:color w:val="auto"/>
          <w:sz w:val="24"/>
          <w:szCs w:val="24"/>
          <w:highlight w:val="none"/>
        </w:rPr>
        <w:t>57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077E975">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"_Toc18469" </w:instrText>
      </w:r>
      <w:r>
        <w:rPr>
          <w:color w:val="auto"/>
          <w:highlight w:val="none"/>
        </w:rPr>
        <w:fldChar w:fldCharType="separate"/>
      </w:r>
      <w:r>
        <w:rPr>
          <w:rFonts w:eastAsia="黑体"/>
          <w:bCs/>
          <w:i w:val="0"/>
          <w:snapToGrid w:val="0"/>
          <w:color w:val="auto"/>
          <w:sz w:val="24"/>
          <w:szCs w:val="24"/>
          <w:highlight w:val="none"/>
        </w:rPr>
        <w:t>3.1.6生产班制及劳动定员</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_Toc18469 \h </w:instrText>
      </w:r>
      <w:r>
        <w:rPr>
          <w:rFonts w:eastAsia="黑体"/>
          <w:i w:val="0"/>
          <w:color w:val="auto"/>
          <w:sz w:val="24"/>
          <w:szCs w:val="24"/>
          <w:highlight w:val="none"/>
        </w:rPr>
        <w:fldChar w:fldCharType="separate"/>
      </w:r>
      <w:r>
        <w:rPr>
          <w:rFonts w:eastAsia="黑体"/>
          <w:i w:val="0"/>
          <w:color w:val="auto"/>
          <w:sz w:val="24"/>
          <w:szCs w:val="24"/>
          <w:highlight w:val="none"/>
        </w:rPr>
        <w:t>57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501CF47">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"_Toc2198" </w:instrText>
      </w:r>
      <w:r>
        <w:rPr>
          <w:color w:val="auto"/>
          <w:highlight w:val="none"/>
        </w:rPr>
        <w:fldChar w:fldCharType="separate"/>
      </w:r>
      <w:r>
        <w:rPr>
          <w:rFonts w:eastAsia="黑体"/>
          <w:bCs/>
          <w:snapToGrid w:val="0"/>
          <w:color w:val="auto"/>
          <w:sz w:val="24"/>
          <w:szCs w:val="24"/>
          <w:highlight w:val="none"/>
        </w:rPr>
        <w:t>3.2公用及辅助工程</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_Toc2198 \h </w:instrText>
      </w:r>
      <w:r>
        <w:rPr>
          <w:rFonts w:eastAsia="黑体"/>
          <w:color w:val="auto"/>
          <w:sz w:val="24"/>
          <w:szCs w:val="24"/>
          <w:highlight w:val="none"/>
        </w:rPr>
        <w:fldChar w:fldCharType="separate"/>
      </w:r>
      <w:r>
        <w:rPr>
          <w:rFonts w:eastAsia="黑体"/>
          <w:color w:val="auto"/>
          <w:sz w:val="24"/>
          <w:szCs w:val="24"/>
          <w:highlight w:val="none"/>
        </w:rPr>
        <w:t>57</w:t>
      </w:r>
      <w:r>
        <w:rPr>
          <w:rFonts w:eastAsia="黑体"/>
          <w:color w:val="auto"/>
          <w:sz w:val="24"/>
          <w:szCs w:val="24"/>
          <w:highlight w:val="none"/>
        </w:rPr>
        <w:fldChar w:fldCharType="end"/>
      </w:r>
      <w:r>
        <w:rPr>
          <w:rFonts w:eastAsia="黑体"/>
          <w:color w:val="auto"/>
          <w:sz w:val="24"/>
          <w:szCs w:val="24"/>
          <w:highlight w:val="none"/>
        </w:rPr>
        <w:fldChar w:fldCharType="end"/>
      </w:r>
    </w:p>
    <w:p w14:paraId="57222E4E">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"_Toc19128" </w:instrText>
      </w:r>
      <w:r>
        <w:rPr>
          <w:color w:val="auto"/>
          <w:highlight w:val="none"/>
        </w:rPr>
        <w:fldChar w:fldCharType="separate"/>
      </w:r>
      <w:r>
        <w:rPr>
          <w:rFonts w:eastAsia="黑体"/>
          <w:bCs/>
          <w:i w:val="0"/>
          <w:snapToGrid w:val="0"/>
          <w:color w:val="auto"/>
          <w:sz w:val="24"/>
          <w:szCs w:val="24"/>
          <w:highlight w:val="none"/>
        </w:rPr>
        <w:t>3.2.1给水工程</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_Toc19128 \h </w:instrText>
      </w:r>
      <w:r>
        <w:rPr>
          <w:rFonts w:eastAsia="黑体"/>
          <w:i w:val="0"/>
          <w:color w:val="auto"/>
          <w:sz w:val="24"/>
          <w:szCs w:val="24"/>
          <w:highlight w:val="none"/>
        </w:rPr>
        <w:fldChar w:fldCharType="separate"/>
      </w:r>
      <w:r>
        <w:rPr>
          <w:rFonts w:eastAsia="黑体"/>
          <w:i w:val="0"/>
          <w:color w:val="auto"/>
          <w:sz w:val="24"/>
          <w:szCs w:val="24"/>
          <w:highlight w:val="none"/>
        </w:rPr>
        <w:t>57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A9A8336">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"_Toc16933" </w:instrText>
      </w:r>
      <w:r>
        <w:rPr>
          <w:color w:val="auto"/>
          <w:highlight w:val="none"/>
        </w:rPr>
        <w:fldChar w:fldCharType="separate"/>
      </w:r>
      <w:r>
        <w:rPr>
          <w:rFonts w:eastAsia="黑体"/>
          <w:bCs/>
          <w:i w:val="0"/>
          <w:snapToGrid w:val="0"/>
          <w:color w:val="auto"/>
          <w:sz w:val="24"/>
          <w:szCs w:val="24"/>
          <w:highlight w:val="none"/>
        </w:rPr>
        <w:t>3.2.2排水工程</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_Toc16933 \h </w:instrText>
      </w:r>
      <w:r>
        <w:rPr>
          <w:rFonts w:eastAsia="黑体"/>
          <w:i w:val="0"/>
          <w:color w:val="auto"/>
          <w:sz w:val="24"/>
          <w:szCs w:val="24"/>
          <w:highlight w:val="none"/>
        </w:rPr>
        <w:fldChar w:fldCharType="separate"/>
      </w:r>
      <w:r>
        <w:rPr>
          <w:rFonts w:eastAsia="黑体"/>
          <w:i w:val="0"/>
          <w:color w:val="auto"/>
          <w:sz w:val="24"/>
          <w:szCs w:val="24"/>
          <w:highlight w:val="none"/>
        </w:rPr>
        <w:t>58</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726E1E6">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"_Toc2515" </w:instrText>
      </w:r>
      <w:r>
        <w:rPr>
          <w:color w:val="auto"/>
          <w:highlight w:val="none"/>
        </w:rPr>
        <w:fldChar w:fldCharType="separate"/>
      </w:r>
      <w:r>
        <w:rPr>
          <w:rFonts w:eastAsia="黑体"/>
          <w:bCs/>
          <w:i w:val="0"/>
          <w:snapToGrid w:val="0"/>
          <w:color w:val="auto"/>
          <w:sz w:val="24"/>
          <w:szCs w:val="24"/>
          <w:highlight w:val="none"/>
        </w:rPr>
        <w:t>3.2.3供电工程</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_Toc2515 \h </w:instrText>
      </w:r>
      <w:r>
        <w:rPr>
          <w:rFonts w:eastAsia="黑体"/>
          <w:i w:val="0"/>
          <w:color w:val="auto"/>
          <w:sz w:val="24"/>
          <w:szCs w:val="24"/>
          <w:highlight w:val="none"/>
        </w:rPr>
        <w:fldChar w:fldCharType="separate"/>
      </w:r>
      <w:r>
        <w:rPr>
          <w:rFonts w:eastAsia="黑体"/>
          <w:i w:val="0"/>
          <w:color w:val="auto"/>
          <w:sz w:val="24"/>
          <w:szCs w:val="24"/>
          <w:highlight w:val="none"/>
        </w:rPr>
        <w:t>60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71FC914">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"_Toc12951" </w:instrText>
      </w:r>
      <w:r>
        <w:rPr>
          <w:color w:val="auto"/>
          <w:highlight w:val="none"/>
        </w:rPr>
        <w:fldChar w:fldCharType="separate"/>
      </w:r>
      <w:r>
        <w:rPr>
          <w:rFonts w:eastAsia="黑体"/>
          <w:bCs/>
          <w:i w:val="0"/>
          <w:snapToGrid w:val="0"/>
          <w:color w:val="auto"/>
          <w:sz w:val="24"/>
          <w:szCs w:val="24"/>
          <w:highlight w:val="none"/>
        </w:rPr>
        <w:t>3.2.4供热工程</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_Toc12951 \h </w:instrText>
      </w:r>
      <w:r>
        <w:rPr>
          <w:rFonts w:eastAsia="黑体"/>
          <w:i w:val="0"/>
          <w:color w:val="auto"/>
          <w:sz w:val="24"/>
          <w:szCs w:val="24"/>
          <w:highlight w:val="none"/>
        </w:rPr>
        <w:fldChar w:fldCharType="separate"/>
      </w:r>
      <w:r>
        <w:rPr>
          <w:rFonts w:eastAsia="黑体"/>
          <w:i w:val="0"/>
          <w:color w:val="auto"/>
          <w:sz w:val="24"/>
          <w:szCs w:val="24"/>
          <w:highlight w:val="none"/>
        </w:rPr>
        <w:t>60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EF16E3F">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"_Toc23510" </w:instrText>
      </w:r>
      <w:r>
        <w:rPr>
          <w:color w:val="auto"/>
          <w:highlight w:val="none"/>
        </w:rPr>
        <w:fldChar w:fldCharType="separate"/>
      </w:r>
      <w:r>
        <w:rPr>
          <w:rFonts w:eastAsia="黑体"/>
          <w:i w:val="0"/>
          <w:snapToGrid w:val="0"/>
          <w:color w:val="auto"/>
          <w:sz w:val="24"/>
          <w:szCs w:val="24"/>
          <w:highlight w:val="none"/>
        </w:rPr>
        <w:t>3.2.5制冷工程</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_Toc23510 \h </w:instrText>
      </w:r>
      <w:r>
        <w:rPr>
          <w:rFonts w:eastAsia="黑体"/>
          <w:i w:val="0"/>
          <w:color w:val="auto"/>
          <w:sz w:val="24"/>
          <w:szCs w:val="24"/>
          <w:highlight w:val="none"/>
        </w:rPr>
        <w:fldChar w:fldCharType="separate"/>
      </w:r>
      <w:r>
        <w:rPr>
          <w:rFonts w:eastAsia="黑体"/>
          <w:i w:val="0"/>
          <w:color w:val="auto"/>
          <w:sz w:val="24"/>
          <w:szCs w:val="24"/>
          <w:highlight w:val="none"/>
        </w:rPr>
        <w:t>60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45A9E1E">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"_Toc19622" </w:instrText>
      </w:r>
      <w:r>
        <w:rPr>
          <w:color w:val="auto"/>
          <w:highlight w:val="none"/>
        </w:rPr>
        <w:fldChar w:fldCharType="separate"/>
      </w:r>
      <w:r>
        <w:rPr>
          <w:rFonts w:eastAsia="黑体"/>
          <w:bCs/>
          <w:snapToGrid w:val="0"/>
          <w:color w:val="auto"/>
          <w:sz w:val="24"/>
          <w:szCs w:val="24"/>
          <w:highlight w:val="none"/>
        </w:rPr>
        <w:t>3.3项目生产工艺及产污环节</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_Toc19622 \h </w:instrText>
      </w:r>
      <w:r>
        <w:rPr>
          <w:rFonts w:eastAsia="黑体"/>
          <w:color w:val="auto"/>
          <w:sz w:val="24"/>
          <w:szCs w:val="24"/>
          <w:highlight w:val="none"/>
        </w:rPr>
        <w:fldChar w:fldCharType="separate"/>
      </w:r>
      <w:r>
        <w:rPr>
          <w:rFonts w:eastAsia="黑体"/>
          <w:color w:val="auto"/>
          <w:sz w:val="24"/>
          <w:szCs w:val="24"/>
          <w:highlight w:val="none"/>
        </w:rPr>
        <w:t>61</w:t>
      </w:r>
      <w:r>
        <w:rPr>
          <w:rFonts w:eastAsia="黑体"/>
          <w:color w:val="auto"/>
          <w:sz w:val="24"/>
          <w:szCs w:val="24"/>
          <w:highlight w:val="none"/>
        </w:rPr>
        <w:fldChar w:fldCharType="end"/>
      </w:r>
      <w:r>
        <w:rPr>
          <w:rFonts w:eastAsia="黑体"/>
          <w:color w:val="auto"/>
          <w:sz w:val="24"/>
          <w:szCs w:val="24"/>
          <w:highlight w:val="none"/>
        </w:rPr>
        <w:fldChar w:fldCharType="end"/>
      </w:r>
    </w:p>
    <w:p w14:paraId="57C23349">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"_Toc28418" </w:instrText>
      </w:r>
      <w:r>
        <w:rPr>
          <w:color w:val="auto"/>
          <w:highlight w:val="none"/>
        </w:rPr>
        <w:fldChar w:fldCharType="separate"/>
      </w:r>
      <w:r>
        <w:rPr>
          <w:rFonts w:eastAsia="黑体"/>
          <w:i w:val="0"/>
          <w:snapToGrid w:val="0"/>
          <w:color w:val="auto"/>
          <w:sz w:val="24"/>
          <w:szCs w:val="24"/>
          <w:highlight w:val="none"/>
        </w:rPr>
        <w:t>3.3.1牛、羊屠宰加工工艺流程</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_Toc28418 \h </w:instrText>
      </w:r>
      <w:r>
        <w:rPr>
          <w:rFonts w:eastAsia="黑体"/>
          <w:i w:val="0"/>
          <w:color w:val="auto"/>
          <w:sz w:val="24"/>
          <w:szCs w:val="24"/>
          <w:highlight w:val="none"/>
        </w:rPr>
        <w:fldChar w:fldCharType="separate"/>
      </w:r>
      <w:r>
        <w:rPr>
          <w:rFonts w:eastAsia="黑体"/>
          <w:i w:val="0"/>
          <w:color w:val="auto"/>
          <w:sz w:val="24"/>
          <w:szCs w:val="24"/>
          <w:highlight w:val="none"/>
        </w:rPr>
        <w:t>61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09CD4CA7">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"_Toc14904" </w:instrText>
      </w:r>
      <w:r>
        <w:rPr>
          <w:color w:val="auto"/>
          <w:highlight w:val="none"/>
        </w:rPr>
        <w:fldChar w:fldCharType="separate"/>
      </w:r>
      <w:r>
        <w:rPr>
          <w:rFonts w:eastAsia="黑体"/>
          <w:i w:val="0"/>
          <w:snapToGrid w:val="0"/>
          <w:color w:val="auto"/>
          <w:sz w:val="24"/>
          <w:szCs w:val="24"/>
          <w:highlight w:val="none"/>
        </w:rPr>
        <w:t>3.3.2物料平衡</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_Toc14904 \h </w:instrText>
      </w:r>
      <w:r>
        <w:rPr>
          <w:rFonts w:eastAsia="黑体"/>
          <w:i w:val="0"/>
          <w:color w:val="auto"/>
          <w:sz w:val="24"/>
          <w:szCs w:val="24"/>
          <w:highlight w:val="none"/>
        </w:rPr>
        <w:fldChar w:fldCharType="separate"/>
      </w:r>
      <w:r>
        <w:rPr>
          <w:rFonts w:eastAsia="黑体"/>
          <w:i w:val="0"/>
          <w:color w:val="auto"/>
          <w:sz w:val="24"/>
          <w:szCs w:val="24"/>
          <w:highlight w:val="none"/>
        </w:rPr>
        <w:t>64</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0E841C74">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"_Toc20390" </w:instrText>
      </w:r>
      <w:r>
        <w:rPr>
          <w:color w:val="auto"/>
          <w:highlight w:val="none"/>
        </w:rPr>
        <w:fldChar w:fldCharType="separate"/>
      </w:r>
      <w:r>
        <w:rPr>
          <w:rFonts w:eastAsia="黑体"/>
          <w:bCs/>
          <w:snapToGrid w:val="0"/>
          <w:color w:val="auto"/>
          <w:sz w:val="24"/>
          <w:szCs w:val="24"/>
          <w:highlight w:val="none"/>
        </w:rPr>
        <w:t>3.4工程污染源强分析</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_Toc20390 \h </w:instrText>
      </w:r>
      <w:r>
        <w:rPr>
          <w:rFonts w:eastAsia="黑体"/>
          <w:color w:val="auto"/>
          <w:sz w:val="24"/>
          <w:szCs w:val="24"/>
          <w:highlight w:val="none"/>
        </w:rPr>
        <w:fldChar w:fldCharType="separate"/>
      </w:r>
      <w:r>
        <w:rPr>
          <w:rFonts w:eastAsia="黑体"/>
          <w:color w:val="auto"/>
          <w:sz w:val="24"/>
          <w:szCs w:val="24"/>
          <w:highlight w:val="none"/>
        </w:rPr>
        <w:t>64</w:t>
      </w:r>
      <w:r>
        <w:rPr>
          <w:rFonts w:eastAsia="黑体"/>
          <w:color w:val="auto"/>
          <w:sz w:val="24"/>
          <w:szCs w:val="24"/>
          <w:highlight w:val="none"/>
        </w:rPr>
        <w:fldChar w:fldCharType="end"/>
      </w:r>
      <w:r>
        <w:rPr>
          <w:rFonts w:eastAsia="黑体"/>
          <w:color w:val="auto"/>
          <w:sz w:val="24"/>
          <w:szCs w:val="24"/>
          <w:highlight w:val="none"/>
        </w:rPr>
        <w:fldChar w:fldCharType="end"/>
      </w:r>
    </w:p>
    <w:p w14:paraId="11CCE0AA">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"_Toc16477" </w:instrText>
      </w:r>
      <w:r>
        <w:rPr>
          <w:color w:val="auto"/>
          <w:highlight w:val="none"/>
        </w:rPr>
        <w:fldChar w:fldCharType="separate"/>
      </w:r>
      <w:r>
        <w:rPr>
          <w:rFonts w:eastAsia="黑体"/>
          <w:bCs/>
          <w:i w:val="0"/>
          <w:snapToGrid w:val="0"/>
          <w:color w:val="auto"/>
          <w:sz w:val="24"/>
          <w:szCs w:val="24"/>
          <w:highlight w:val="none"/>
        </w:rPr>
        <w:t>3.4.1施工期污染源及源强分析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_Toc16477 \h </w:instrText>
      </w:r>
      <w:r>
        <w:rPr>
          <w:rFonts w:eastAsia="黑体"/>
          <w:i w:val="0"/>
          <w:color w:val="auto"/>
          <w:sz w:val="24"/>
          <w:szCs w:val="24"/>
          <w:highlight w:val="none"/>
        </w:rPr>
        <w:fldChar w:fldCharType="separate"/>
      </w:r>
      <w:r>
        <w:rPr>
          <w:rFonts w:eastAsia="黑体"/>
          <w:i w:val="0"/>
          <w:color w:val="auto"/>
          <w:sz w:val="24"/>
          <w:szCs w:val="24"/>
          <w:highlight w:val="none"/>
        </w:rPr>
        <w:t>67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FC99D20">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"_Toc22693" </w:instrText>
      </w:r>
      <w:r>
        <w:rPr>
          <w:color w:val="auto"/>
          <w:highlight w:val="none"/>
        </w:rPr>
        <w:fldChar w:fldCharType="separate"/>
      </w:r>
      <w:r>
        <w:rPr>
          <w:rFonts w:eastAsia="黑体"/>
          <w:bCs/>
          <w:i w:val="0"/>
          <w:snapToGrid w:val="0"/>
          <w:color w:val="auto"/>
          <w:sz w:val="24"/>
          <w:szCs w:val="24"/>
          <w:highlight w:val="none"/>
        </w:rPr>
        <w:t>3.4.2运营期污染源及源强分析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_Toc22693 \h </w:instrText>
      </w:r>
      <w:r>
        <w:rPr>
          <w:rFonts w:eastAsia="黑体"/>
          <w:i w:val="0"/>
          <w:color w:val="auto"/>
          <w:sz w:val="24"/>
          <w:szCs w:val="24"/>
          <w:highlight w:val="none"/>
        </w:rPr>
        <w:fldChar w:fldCharType="separate"/>
      </w:r>
      <w:r>
        <w:rPr>
          <w:rFonts w:eastAsia="黑体"/>
          <w:i w:val="0"/>
          <w:color w:val="auto"/>
          <w:sz w:val="24"/>
          <w:szCs w:val="24"/>
          <w:highlight w:val="none"/>
        </w:rPr>
        <w:t>69</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53A8671">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"_Toc6196" </w:instrText>
      </w:r>
      <w:r>
        <w:rPr>
          <w:color w:val="auto"/>
          <w:highlight w:val="none"/>
        </w:rPr>
        <w:fldChar w:fldCharType="separate"/>
      </w:r>
      <w:r>
        <w:rPr>
          <w:rFonts w:eastAsia="黑体"/>
          <w:bCs/>
          <w:snapToGrid w:val="0"/>
          <w:color w:val="auto"/>
          <w:sz w:val="24"/>
          <w:szCs w:val="24"/>
          <w:highlight w:val="none"/>
        </w:rPr>
        <w:t>3.4 清洁生产分析</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_Toc6196 \h </w:instrText>
      </w:r>
      <w:r>
        <w:rPr>
          <w:rFonts w:eastAsia="黑体"/>
          <w:color w:val="auto"/>
          <w:sz w:val="24"/>
          <w:szCs w:val="24"/>
          <w:highlight w:val="none"/>
        </w:rPr>
        <w:fldChar w:fldCharType="separate"/>
      </w:r>
      <w:r>
        <w:rPr>
          <w:rFonts w:eastAsia="黑体"/>
          <w:color w:val="auto"/>
          <w:sz w:val="24"/>
          <w:szCs w:val="24"/>
          <w:highlight w:val="none"/>
        </w:rPr>
        <w:t>83</w:t>
      </w:r>
      <w:r>
        <w:rPr>
          <w:rFonts w:eastAsia="黑体"/>
          <w:color w:val="auto"/>
          <w:sz w:val="24"/>
          <w:szCs w:val="24"/>
          <w:highlight w:val="none"/>
        </w:rPr>
        <w:fldChar w:fldCharType="end"/>
      </w:r>
      <w:r>
        <w:rPr>
          <w:rFonts w:eastAsia="黑体"/>
          <w:color w:val="auto"/>
          <w:sz w:val="24"/>
          <w:szCs w:val="24"/>
          <w:highlight w:val="none"/>
        </w:rPr>
        <w:fldChar w:fldCharType="end"/>
      </w:r>
    </w:p>
    <w:p w14:paraId="64AAAAC5">
      <w:pPr>
        <w:pStyle w:val="31"/>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"_Toc10566" </w:instrText>
      </w:r>
      <w:r>
        <w:rPr>
          <w:color w:val="auto"/>
          <w:highlight w:val="none"/>
        </w:rPr>
        <w:fldChar w:fldCharType="separate"/>
      </w:r>
      <w:r>
        <w:rPr>
          <w:rFonts w:eastAsia="黑体"/>
          <w:color w:val="auto"/>
          <w:sz w:val="24"/>
          <w:szCs w:val="24"/>
          <w:highlight w:val="none"/>
        </w:rPr>
        <w:t>4环境现状调查与评价</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_Toc10566 \h </w:instrText>
      </w:r>
      <w:r>
        <w:rPr>
          <w:rFonts w:eastAsia="黑体"/>
          <w:color w:val="auto"/>
          <w:sz w:val="24"/>
          <w:szCs w:val="24"/>
          <w:highlight w:val="none"/>
        </w:rPr>
        <w:fldChar w:fldCharType="separate"/>
      </w:r>
      <w:r>
        <w:rPr>
          <w:rFonts w:eastAsia="黑体"/>
          <w:color w:val="auto"/>
          <w:sz w:val="24"/>
          <w:szCs w:val="24"/>
          <w:highlight w:val="none"/>
        </w:rPr>
        <w:t>91</w:t>
      </w:r>
      <w:r>
        <w:rPr>
          <w:rFonts w:eastAsia="黑体"/>
          <w:color w:val="auto"/>
          <w:sz w:val="24"/>
          <w:szCs w:val="24"/>
          <w:highlight w:val="none"/>
        </w:rPr>
        <w:fldChar w:fldCharType="end"/>
      </w:r>
      <w:r>
        <w:rPr>
          <w:rFonts w:eastAsia="黑体"/>
          <w:color w:val="auto"/>
          <w:sz w:val="24"/>
          <w:szCs w:val="24"/>
          <w:highlight w:val="none"/>
        </w:rPr>
        <w:fldChar w:fldCharType="end"/>
      </w:r>
    </w:p>
    <w:p w14:paraId="217D8356">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"_Toc3072" </w:instrText>
      </w:r>
      <w:r>
        <w:rPr>
          <w:color w:val="auto"/>
          <w:highlight w:val="none"/>
        </w:rPr>
        <w:fldChar w:fldCharType="separate"/>
      </w:r>
      <w:r>
        <w:rPr>
          <w:rFonts w:eastAsia="黑体"/>
          <w:color w:val="auto"/>
          <w:sz w:val="24"/>
          <w:szCs w:val="24"/>
          <w:highlight w:val="none"/>
          <w:lang w:val="zh-CN"/>
        </w:rPr>
        <w:t>4.1 自然环境现状调查与评价</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_Toc3072 \h </w:instrText>
      </w:r>
      <w:r>
        <w:rPr>
          <w:rFonts w:eastAsia="黑体"/>
          <w:color w:val="auto"/>
          <w:sz w:val="24"/>
          <w:szCs w:val="24"/>
          <w:highlight w:val="none"/>
        </w:rPr>
        <w:fldChar w:fldCharType="separate"/>
      </w:r>
      <w:r>
        <w:rPr>
          <w:rFonts w:eastAsia="黑体"/>
          <w:color w:val="auto"/>
          <w:sz w:val="24"/>
          <w:szCs w:val="24"/>
          <w:highlight w:val="none"/>
        </w:rPr>
        <w:t>91</w:t>
      </w:r>
      <w:r>
        <w:rPr>
          <w:rFonts w:eastAsia="黑体"/>
          <w:color w:val="auto"/>
          <w:sz w:val="24"/>
          <w:szCs w:val="24"/>
          <w:highlight w:val="none"/>
        </w:rPr>
        <w:fldChar w:fldCharType="end"/>
      </w:r>
      <w:r>
        <w:rPr>
          <w:rFonts w:eastAsia="黑体"/>
          <w:color w:val="auto"/>
          <w:sz w:val="24"/>
          <w:szCs w:val="24"/>
          <w:highlight w:val="none"/>
        </w:rPr>
        <w:fldChar w:fldCharType="end"/>
      </w:r>
    </w:p>
    <w:p w14:paraId="47D742CC">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"_Toc21104" </w:instrText>
      </w:r>
      <w:r>
        <w:rPr>
          <w:color w:val="auto"/>
          <w:highlight w:val="none"/>
        </w:rPr>
        <w:fldChar w:fldCharType="separate"/>
      </w:r>
      <w:r>
        <w:rPr>
          <w:rFonts w:eastAsia="黑体"/>
          <w:i w:val="0"/>
          <w:color w:val="auto"/>
          <w:sz w:val="24"/>
          <w:szCs w:val="24"/>
          <w:highlight w:val="none"/>
          <w:lang w:val="zh-CN"/>
        </w:rPr>
        <w:t>4.1.1 地理位置</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_Toc21104 \h </w:instrText>
      </w:r>
      <w:r>
        <w:rPr>
          <w:rFonts w:eastAsia="黑体"/>
          <w:i w:val="0"/>
          <w:color w:val="auto"/>
          <w:sz w:val="24"/>
          <w:szCs w:val="24"/>
          <w:highlight w:val="none"/>
        </w:rPr>
        <w:fldChar w:fldCharType="separate"/>
      </w:r>
      <w:r>
        <w:rPr>
          <w:rFonts w:eastAsia="黑体"/>
          <w:i w:val="0"/>
          <w:color w:val="auto"/>
          <w:sz w:val="24"/>
          <w:szCs w:val="24"/>
          <w:highlight w:val="none"/>
        </w:rPr>
        <w:t>91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03DAAFA6">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"_Toc25083" </w:instrText>
      </w:r>
      <w:r>
        <w:rPr>
          <w:color w:val="auto"/>
          <w:highlight w:val="none"/>
        </w:rPr>
        <w:fldChar w:fldCharType="separate"/>
      </w:r>
      <w:r>
        <w:rPr>
          <w:rFonts w:eastAsia="黑体"/>
          <w:i w:val="0"/>
          <w:color w:val="auto"/>
          <w:sz w:val="24"/>
          <w:szCs w:val="24"/>
          <w:highlight w:val="none"/>
          <w:lang w:val="zh-CN"/>
        </w:rPr>
        <w:t>4.1.2 地形地貌</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_Toc25083 \h </w:instrText>
      </w:r>
      <w:r>
        <w:rPr>
          <w:rFonts w:eastAsia="黑体"/>
          <w:i w:val="0"/>
          <w:color w:val="auto"/>
          <w:sz w:val="24"/>
          <w:szCs w:val="24"/>
          <w:highlight w:val="none"/>
        </w:rPr>
        <w:fldChar w:fldCharType="separate"/>
      </w:r>
      <w:r>
        <w:rPr>
          <w:rFonts w:eastAsia="黑体"/>
          <w:i w:val="0"/>
          <w:color w:val="auto"/>
          <w:sz w:val="24"/>
          <w:szCs w:val="24"/>
          <w:highlight w:val="none"/>
        </w:rPr>
        <w:t>91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53F77C63">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"_Toc16052" </w:instrText>
      </w:r>
      <w:r>
        <w:rPr>
          <w:color w:val="auto"/>
          <w:highlight w:val="none"/>
        </w:rPr>
        <w:fldChar w:fldCharType="separate"/>
      </w:r>
      <w:r>
        <w:rPr>
          <w:rFonts w:eastAsia="黑体"/>
          <w:i w:val="0"/>
          <w:color w:val="auto"/>
          <w:sz w:val="24"/>
          <w:szCs w:val="24"/>
          <w:highlight w:val="none"/>
          <w:lang w:val="zh-CN"/>
        </w:rPr>
        <w:t>4.1.3 气候、气象</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_Toc16052 \h </w:instrText>
      </w:r>
      <w:r>
        <w:rPr>
          <w:rFonts w:eastAsia="黑体"/>
          <w:i w:val="0"/>
          <w:color w:val="auto"/>
          <w:sz w:val="24"/>
          <w:szCs w:val="24"/>
          <w:highlight w:val="none"/>
        </w:rPr>
        <w:fldChar w:fldCharType="separate"/>
      </w:r>
      <w:r>
        <w:rPr>
          <w:rFonts w:eastAsia="黑体"/>
          <w:i w:val="0"/>
          <w:color w:val="auto"/>
          <w:sz w:val="24"/>
          <w:szCs w:val="24"/>
          <w:highlight w:val="none"/>
        </w:rPr>
        <w:t>91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FD60CC8">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"_Toc10921" </w:instrText>
      </w:r>
      <w:r>
        <w:rPr>
          <w:color w:val="auto"/>
          <w:highlight w:val="none"/>
        </w:rPr>
        <w:fldChar w:fldCharType="separate"/>
      </w:r>
      <w:r>
        <w:rPr>
          <w:rFonts w:eastAsia="黑体"/>
          <w:i w:val="0"/>
          <w:color w:val="auto"/>
          <w:sz w:val="24"/>
          <w:szCs w:val="24"/>
          <w:highlight w:val="none"/>
          <w:lang w:val="zh-CN"/>
        </w:rPr>
        <w:t>4.1.4 水文地质</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_Toc10921 \h </w:instrText>
      </w:r>
      <w:r>
        <w:rPr>
          <w:rFonts w:eastAsia="黑体"/>
          <w:i w:val="0"/>
          <w:color w:val="auto"/>
          <w:sz w:val="24"/>
          <w:szCs w:val="24"/>
          <w:highlight w:val="none"/>
        </w:rPr>
        <w:fldChar w:fldCharType="separate"/>
      </w:r>
      <w:r>
        <w:rPr>
          <w:rFonts w:eastAsia="黑体"/>
          <w:i w:val="0"/>
          <w:color w:val="auto"/>
          <w:sz w:val="24"/>
          <w:szCs w:val="24"/>
          <w:highlight w:val="none"/>
        </w:rPr>
        <w:t>91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4DC863B0">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"_Toc13279" </w:instrText>
      </w:r>
      <w:r>
        <w:rPr>
          <w:color w:val="auto"/>
          <w:highlight w:val="none"/>
        </w:rPr>
        <w:fldChar w:fldCharType="separate"/>
      </w:r>
      <w:r>
        <w:rPr>
          <w:rFonts w:eastAsia="黑体"/>
          <w:i w:val="0"/>
          <w:color w:val="auto"/>
          <w:sz w:val="24"/>
          <w:szCs w:val="24"/>
          <w:highlight w:val="none"/>
          <w:lang w:val="zh-CN"/>
        </w:rPr>
        <w:t>4.1.5自然资源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_Toc13279 \h </w:instrText>
      </w:r>
      <w:r>
        <w:rPr>
          <w:rFonts w:eastAsia="黑体"/>
          <w:i w:val="0"/>
          <w:color w:val="auto"/>
          <w:sz w:val="24"/>
          <w:szCs w:val="24"/>
          <w:highlight w:val="none"/>
        </w:rPr>
        <w:fldChar w:fldCharType="separate"/>
      </w:r>
      <w:r>
        <w:rPr>
          <w:rFonts w:eastAsia="黑体"/>
          <w:i w:val="0"/>
          <w:color w:val="auto"/>
          <w:sz w:val="24"/>
          <w:szCs w:val="24"/>
          <w:highlight w:val="none"/>
        </w:rPr>
        <w:t>93</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08E3B964">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"_Toc30379" </w:instrText>
      </w:r>
      <w:r>
        <w:rPr>
          <w:color w:val="auto"/>
          <w:highlight w:val="none"/>
        </w:rPr>
        <w:fldChar w:fldCharType="separate"/>
      </w:r>
      <w:r>
        <w:rPr>
          <w:rFonts w:eastAsia="黑体"/>
          <w:color w:val="auto"/>
          <w:sz w:val="24"/>
          <w:szCs w:val="24"/>
          <w:highlight w:val="none"/>
          <w:lang w:val="zh-CN"/>
        </w:rPr>
        <w:t>4.2 环境质量现状调查与评价</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_Toc30379 \h </w:instrText>
      </w:r>
      <w:r>
        <w:rPr>
          <w:rFonts w:eastAsia="黑体"/>
          <w:color w:val="auto"/>
          <w:sz w:val="24"/>
          <w:szCs w:val="24"/>
          <w:highlight w:val="none"/>
        </w:rPr>
        <w:fldChar w:fldCharType="separate"/>
      </w:r>
      <w:r>
        <w:rPr>
          <w:rFonts w:eastAsia="黑体"/>
          <w:color w:val="auto"/>
          <w:sz w:val="24"/>
          <w:szCs w:val="24"/>
          <w:highlight w:val="none"/>
        </w:rPr>
        <w:t>93</w:t>
      </w:r>
      <w:r>
        <w:rPr>
          <w:rFonts w:eastAsia="黑体"/>
          <w:color w:val="auto"/>
          <w:sz w:val="24"/>
          <w:szCs w:val="24"/>
          <w:highlight w:val="none"/>
        </w:rPr>
        <w:fldChar w:fldCharType="end"/>
      </w:r>
      <w:r>
        <w:rPr>
          <w:rFonts w:eastAsia="黑体"/>
          <w:color w:val="auto"/>
          <w:sz w:val="24"/>
          <w:szCs w:val="24"/>
          <w:highlight w:val="none"/>
        </w:rPr>
        <w:fldChar w:fldCharType="end"/>
      </w:r>
    </w:p>
    <w:p w14:paraId="72526B2A">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"_Toc491" </w:instrText>
      </w:r>
      <w:r>
        <w:rPr>
          <w:color w:val="auto"/>
          <w:highlight w:val="none"/>
        </w:rPr>
        <w:fldChar w:fldCharType="separate"/>
      </w:r>
      <w:r>
        <w:rPr>
          <w:rFonts w:eastAsia="黑体"/>
          <w:i w:val="0"/>
          <w:color w:val="auto"/>
          <w:sz w:val="24"/>
          <w:szCs w:val="24"/>
          <w:highlight w:val="none"/>
          <w:lang w:val="zh-CN"/>
        </w:rPr>
        <w:t>4.2.1 环境空气质量现状评价</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_Toc491 \h </w:instrText>
      </w:r>
      <w:r>
        <w:rPr>
          <w:rFonts w:eastAsia="黑体"/>
          <w:i w:val="0"/>
          <w:color w:val="auto"/>
          <w:sz w:val="24"/>
          <w:szCs w:val="24"/>
          <w:highlight w:val="none"/>
        </w:rPr>
        <w:fldChar w:fldCharType="separate"/>
      </w:r>
      <w:r>
        <w:rPr>
          <w:rFonts w:eastAsia="黑体"/>
          <w:i w:val="0"/>
          <w:color w:val="auto"/>
          <w:sz w:val="24"/>
          <w:szCs w:val="24"/>
          <w:highlight w:val="none"/>
        </w:rPr>
        <w:t>93</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ABE00C9">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"_Toc22641" </w:instrText>
      </w:r>
      <w:r>
        <w:rPr>
          <w:color w:val="auto"/>
          <w:highlight w:val="none"/>
        </w:rPr>
        <w:fldChar w:fldCharType="separate"/>
      </w:r>
      <w:r>
        <w:rPr>
          <w:rFonts w:eastAsia="黑体"/>
          <w:i w:val="0"/>
          <w:color w:val="auto"/>
          <w:sz w:val="24"/>
          <w:szCs w:val="24"/>
          <w:highlight w:val="none"/>
          <w:lang w:val="zh-CN"/>
        </w:rPr>
        <w:t>4.2.</w:t>
      </w:r>
      <w:r>
        <w:rPr>
          <w:rFonts w:eastAsia="黑体"/>
          <w:i w:val="0"/>
          <w:color w:val="auto"/>
          <w:sz w:val="24"/>
          <w:szCs w:val="24"/>
          <w:highlight w:val="none"/>
        </w:rPr>
        <w:t>2</w:t>
      </w:r>
      <w:r>
        <w:rPr>
          <w:rFonts w:eastAsia="黑体"/>
          <w:i w:val="0"/>
          <w:color w:val="auto"/>
          <w:sz w:val="24"/>
          <w:szCs w:val="24"/>
          <w:highlight w:val="none"/>
          <w:lang w:val="zh-CN"/>
        </w:rPr>
        <w:t xml:space="preserve"> 地表水环境质量现状评价</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_Toc22641 \h </w:instrText>
      </w:r>
      <w:r>
        <w:rPr>
          <w:rFonts w:eastAsia="黑体"/>
          <w:i w:val="0"/>
          <w:color w:val="auto"/>
          <w:sz w:val="24"/>
          <w:szCs w:val="24"/>
          <w:highlight w:val="none"/>
        </w:rPr>
        <w:fldChar w:fldCharType="separate"/>
      </w:r>
      <w:r>
        <w:rPr>
          <w:rFonts w:eastAsia="黑体"/>
          <w:i w:val="0"/>
          <w:color w:val="auto"/>
          <w:sz w:val="24"/>
          <w:szCs w:val="24"/>
          <w:highlight w:val="none"/>
        </w:rPr>
        <w:t>96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D4893F5">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"_Toc21115" </w:instrText>
      </w:r>
      <w:r>
        <w:rPr>
          <w:color w:val="auto"/>
          <w:highlight w:val="none"/>
        </w:rPr>
        <w:fldChar w:fldCharType="separate"/>
      </w:r>
      <w:r>
        <w:rPr>
          <w:rFonts w:eastAsia="黑体"/>
          <w:i w:val="0"/>
          <w:color w:val="auto"/>
          <w:sz w:val="24"/>
          <w:szCs w:val="24"/>
          <w:highlight w:val="none"/>
          <w:lang w:val="zh-CN"/>
        </w:rPr>
        <w:t>4.2.3 地下水环境质量现状评价</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_Toc21115 \h </w:instrText>
      </w:r>
      <w:r>
        <w:rPr>
          <w:rFonts w:eastAsia="黑体"/>
          <w:i w:val="0"/>
          <w:color w:val="auto"/>
          <w:sz w:val="24"/>
          <w:szCs w:val="24"/>
          <w:highlight w:val="none"/>
        </w:rPr>
        <w:fldChar w:fldCharType="separate"/>
      </w:r>
      <w:r>
        <w:rPr>
          <w:rFonts w:eastAsia="黑体"/>
          <w:i w:val="0"/>
          <w:color w:val="auto"/>
          <w:sz w:val="24"/>
          <w:szCs w:val="24"/>
          <w:highlight w:val="none"/>
        </w:rPr>
        <w:t>96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47D957A">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"_Toc30780" </w:instrText>
      </w:r>
      <w:r>
        <w:rPr>
          <w:color w:val="auto"/>
          <w:highlight w:val="none"/>
        </w:rPr>
        <w:fldChar w:fldCharType="separate"/>
      </w:r>
      <w:r>
        <w:rPr>
          <w:rFonts w:eastAsia="黑体"/>
          <w:i w:val="0"/>
          <w:color w:val="auto"/>
          <w:sz w:val="24"/>
          <w:szCs w:val="24"/>
          <w:highlight w:val="none"/>
          <w:lang w:val="zh-CN"/>
        </w:rPr>
        <w:t>4.2.</w:t>
      </w:r>
      <w:r>
        <w:rPr>
          <w:rFonts w:eastAsia="黑体"/>
          <w:i w:val="0"/>
          <w:color w:val="auto"/>
          <w:sz w:val="24"/>
          <w:szCs w:val="24"/>
          <w:highlight w:val="none"/>
        </w:rPr>
        <w:t>4</w:t>
      </w:r>
      <w:r>
        <w:rPr>
          <w:rFonts w:eastAsia="黑体"/>
          <w:i w:val="0"/>
          <w:color w:val="auto"/>
          <w:sz w:val="24"/>
          <w:szCs w:val="24"/>
          <w:highlight w:val="none"/>
          <w:lang w:val="zh-CN"/>
        </w:rPr>
        <w:t xml:space="preserve"> 声环境质量现状监测与评价</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_Toc30780 \h </w:instrText>
      </w:r>
      <w:r>
        <w:rPr>
          <w:rFonts w:eastAsia="黑体"/>
          <w:i w:val="0"/>
          <w:color w:val="auto"/>
          <w:sz w:val="24"/>
          <w:szCs w:val="24"/>
          <w:highlight w:val="none"/>
        </w:rPr>
        <w:fldChar w:fldCharType="separate"/>
      </w:r>
      <w:r>
        <w:rPr>
          <w:rFonts w:eastAsia="黑体"/>
          <w:i w:val="0"/>
          <w:color w:val="auto"/>
          <w:sz w:val="24"/>
          <w:szCs w:val="24"/>
          <w:highlight w:val="none"/>
        </w:rPr>
        <w:t>105</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E12EB4F">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"_Toc30017" </w:instrText>
      </w:r>
      <w:r>
        <w:rPr>
          <w:color w:val="auto"/>
          <w:highlight w:val="none"/>
        </w:rPr>
        <w:fldChar w:fldCharType="separate"/>
      </w:r>
      <w:r>
        <w:rPr>
          <w:rFonts w:eastAsia="黑体"/>
          <w:bCs/>
          <w:snapToGrid w:val="0"/>
          <w:color w:val="auto"/>
          <w:sz w:val="24"/>
          <w:szCs w:val="24"/>
          <w:highlight w:val="none"/>
        </w:rPr>
        <w:t>4.3环境保护目标调查</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_Toc30017 \h </w:instrText>
      </w:r>
      <w:r>
        <w:rPr>
          <w:rFonts w:eastAsia="黑体"/>
          <w:color w:val="auto"/>
          <w:sz w:val="24"/>
          <w:szCs w:val="24"/>
          <w:highlight w:val="none"/>
        </w:rPr>
        <w:fldChar w:fldCharType="separate"/>
      </w:r>
      <w:r>
        <w:rPr>
          <w:rFonts w:eastAsia="黑体"/>
          <w:color w:val="auto"/>
          <w:sz w:val="24"/>
          <w:szCs w:val="24"/>
          <w:highlight w:val="none"/>
        </w:rPr>
        <w:t>106</w:t>
      </w:r>
      <w:r>
        <w:rPr>
          <w:rFonts w:eastAsia="黑体"/>
          <w:color w:val="auto"/>
          <w:sz w:val="24"/>
          <w:szCs w:val="24"/>
          <w:highlight w:val="none"/>
        </w:rPr>
        <w:fldChar w:fldCharType="end"/>
      </w:r>
      <w:r>
        <w:rPr>
          <w:rFonts w:eastAsia="黑体"/>
          <w:color w:val="auto"/>
          <w:sz w:val="24"/>
          <w:szCs w:val="24"/>
          <w:highlight w:val="none"/>
        </w:rPr>
        <w:fldChar w:fldCharType="end"/>
      </w:r>
    </w:p>
    <w:p w14:paraId="30851A7A">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"_Toc10585" </w:instrText>
      </w:r>
      <w:r>
        <w:rPr>
          <w:color w:val="auto"/>
          <w:highlight w:val="none"/>
        </w:rPr>
        <w:fldChar w:fldCharType="separate"/>
      </w:r>
      <w:r>
        <w:rPr>
          <w:rFonts w:eastAsia="黑体"/>
          <w:bCs/>
          <w:snapToGrid w:val="0"/>
          <w:color w:val="auto"/>
          <w:sz w:val="24"/>
          <w:szCs w:val="24"/>
          <w:highlight w:val="none"/>
        </w:rPr>
        <w:t>4.4区域污染源调查内容</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_Toc10585 \h </w:instrText>
      </w:r>
      <w:r>
        <w:rPr>
          <w:rFonts w:eastAsia="黑体"/>
          <w:color w:val="auto"/>
          <w:sz w:val="24"/>
          <w:szCs w:val="24"/>
          <w:highlight w:val="none"/>
        </w:rPr>
        <w:fldChar w:fldCharType="separate"/>
      </w:r>
      <w:r>
        <w:rPr>
          <w:rFonts w:eastAsia="黑体"/>
          <w:color w:val="auto"/>
          <w:sz w:val="24"/>
          <w:szCs w:val="24"/>
          <w:highlight w:val="none"/>
        </w:rPr>
        <w:t>109</w:t>
      </w:r>
      <w:r>
        <w:rPr>
          <w:rFonts w:eastAsia="黑体"/>
          <w:color w:val="auto"/>
          <w:sz w:val="24"/>
          <w:szCs w:val="24"/>
          <w:highlight w:val="none"/>
        </w:rPr>
        <w:fldChar w:fldCharType="end"/>
      </w:r>
      <w:r>
        <w:rPr>
          <w:rFonts w:eastAsia="黑体"/>
          <w:color w:val="auto"/>
          <w:sz w:val="24"/>
          <w:szCs w:val="24"/>
          <w:highlight w:val="none"/>
        </w:rPr>
        <w:fldChar w:fldCharType="end"/>
      </w:r>
    </w:p>
    <w:p w14:paraId="1F2737D9">
      <w:pPr>
        <w:pStyle w:val="31"/>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"_Toc25850" </w:instrText>
      </w:r>
      <w:r>
        <w:rPr>
          <w:color w:val="auto"/>
          <w:highlight w:val="none"/>
        </w:rPr>
        <w:fldChar w:fldCharType="separate"/>
      </w:r>
      <w:r>
        <w:rPr>
          <w:rFonts w:eastAsia="黑体"/>
          <w:snapToGrid w:val="0"/>
          <w:color w:val="auto"/>
          <w:sz w:val="24"/>
          <w:szCs w:val="24"/>
          <w:highlight w:val="none"/>
        </w:rPr>
        <w:t>5环境影响预测评价</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_Toc25850 \h </w:instrText>
      </w:r>
      <w:r>
        <w:rPr>
          <w:rFonts w:eastAsia="黑体"/>
          <w:color w:val="auto"/>
          <w:sz w:val="24"/>
          <w:szCs w:val="24"/>
          <w:highlight w:val="none"/>
        </w:rPr>
        <w:fldChar w:fldCharType="separate"/>
      </w:r>
      <w:r>
        <w:rPr>
          <w:rFonts w:eastAsia="黑体"/>
          <w:color w:val="auto"/>
          <w:sz w:val="24"/>
          <w:szCs w:val="24"/>
          <w:highlight w:val="none"/>
        </w:rPr>
        <w:t>111</w:t>
      </w:r>
      <w:r>
        <w:rPr>
          <w:rFonts w:eastAsia="黑体"/>
          <w:color w:val="auto"/>
          <w:sz w:val="24"/>
          <w:szCs w:val="24"/>
          <w:highlight w:val="none"/>
        </w:rPr>
        <w:fldChar w:fldCharType="end"/>
      </w:r>
      <w:r>
        <w:rPr>
          <w:rFonts w:eastAsia="黑体"/>
          <w:color w:val="auto"/>
          <w:sz w:val="24"/>
          <w:szCs w:val="24"/>
          <w:highlight w:val="none"/>
        </w:rPr>
        <w:fldChar w:fldCharType="end"/>
      </w:r>
    </w:p>
    <w:p w14:paraId="56474BC3">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"_Toc24395" </w:instrText>
      </w:r>
      <w:r>
        <w:rPr>
          <w:color w:val="auto"/>
          <w:highlight w:val="none"/>
        </w:rPr>
        <w:fldChar w:fldCharType="separate"/>
      </w:r>
      <w:r>
        <w:rPr>
          <w:rFonts w:eastAsia="黑体"/>
          <w:bCs/>
          <w:snapToGrid w:val="0"/>
          <w:color w:val="auto"/>
          <w:sz w:val="24"/>
          <w:szCs w:val="24"/>
          <w:highlight w:val="none"/>
        </w:rPr>
        <w:t>5.1施工期环境影响分析</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_Toc24395 \h </w:instrText>
      </w:r>
      <w:r>
        <w:rPr>
          <w:rFonts w:eastAsia="黑体"/>
          <w:color w:val="auto"/>
          <w:sz w:val="24"/>
          <w:szCs w:val="24"/>
          <w:highlight w:val="none"/>
        </w:rPr>
        <w:fldChar w:fldCharType="separate"/>
      </w:r>
      <w:r>
        <w:rPr>
          <w:rFonts w:eastAsia="黑体"/>
          <w:color w:val="auto"/>
          <w:sz w:val="24"/>
          <w:szCs w:val="24"/>
          <w:highlight w:val="none"/>
        </w:rPr>
        <w:t>111</w:t>
      </w:r>
      <w:r>
        <w:rPr>
          <w:rFonts w:eastAsia="黑体"/>
          <w:color w:val="auto"/>
          <w:sz w:val="24"/>
          <w:szCs w:val="24"/>
          <w:highlight w:val="none"/>
        </w:rPr>
        <w:fldChar w:fldCharType="end"/>
      </w:r>
      <w:r>
        <w:rPr>
          <w:rFonts w:eastAsia="黑体"/>
          <w:color w:val="auto"/>
          <w:sz w:val="24"/>
          <w:szCs w:val="24"/>
          <w:highlight w:val="none"/>
        </w:rPr>
        <w:fldChar w:fldCharType="end"/>
      </w:r>
    </w:p>
    <w:p w14:paraId="47411C76">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"_Toc2533" </w:instrText>
      </w:r>
      <w:r>
        <w:rPr>
          <w:color w:val="auto"/>
          <w:highlight w:val="none"/>
        </w:rPr>
        <w:fldChar w:fldCharType="separate"/>
      </w:r>
      <w:r>
        <w:rPr>
          <w:rFonts w:eastAsia="黑体"/>
          <w:bCs/>
          <w:i w:val="0"/>
          <w:snapToGrid w:val="0"/>
          <w:color w:val="auto"/>
          <w:sz w:val="24"/>
          <w:szCs w:val="24"/>
          <w:highlight w:val="none"/>
        </w:rPr>
        <w:t>5.1.1施工期大气环境影响分析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_Toc2533 \h </w:instrText>
      </w:r>
      <w:r>
        <w:rPr>
          <w:rFonts w:eastAsia="黑体"/>
          <w:i w:val="0"/>
          <w:color w:val="auto"/>
          <w:sz w:val="24"/>
          <w:szCs w:val="24"/>
          <w:highlight w:val="none"/>
        </w:rPr>
        <w:fldChar w:fldCharType="separate"/>
      </w:r>
      <w:r>
        <w:rPr>
          <w:rFonts w:eastAsia="黑体"/>
          <w:i w:val="0"/>
          <w:color w:val="auto"/>
          <w:sz w:val="24"/>
          <w:szCs w:val="24"/>
          <w:highlight w:val="none"/>
        </w:rPr>
        <w:t>111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328F417">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"_Toc6627" </w:instrText>
      </w:r>
      <w:r>
        <w:rPr>
          <w:color w:val="auto"/>
          <w:highlight w:val="none"/>
        </w:rPr>
        <w:fldChar w:fldCharType="separate"/>
      </w:r>
      <w:r>
        <w:rPr>
          <w:rFonts w:eastAsia="黑体"/>
          <w:bCs/>
          <w:i w:val="0"/>
          <w:snapToGrid w:val="0"/>
          <w:color w:val="auto"/>
          <w:sz w:val="24"/>
          <w:szCs w:val="24"/>
          <w:highlight w:val="none"/>
        </w:rPr>
        <w:t>5.1.2施工期水环境影响分析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_Toc6627 \h </w:instrText>
      </w:r>
      <w:r>
        <w:rPr>
          <w:rFonts w:eastAsia="黑体"/>
          <w:i w:val="0"/>
          <w:color w:val="auto"/>
          <w:sz w:val="24"/>
          <w:szCs w:val="24"/>
          <w:highlight w:val="none"/>
        </w:rPr>
        <w:fldChar w:fldCharType="separate"/>
      </w:r>
      <w:r>
        <w:rPr>
          <w:rFonts w:eastAsia="黑体"/>
          <w:i w:val="0"/>
          <w:color w:val="auto"/>
          <w:sz w:val="24"/>
          <w:szCs w:val="24"/>
          <w:highlight w:val="none"/>
        </w:rPr>
        <w:t>112</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0D7E8245">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"_Toc25913" </w:instrText>
      </w:r>
      <w:r>
        <w:rPr>
          <w:color w:val="auto"/>
          <w:highlight w:val="none"/>
        </w:rPr>
        <w:fldChar w:fldCharType="separate"/>
      </w:r>
      <w:r>
        <w:rPr>
          <w:rFonts w:eastAsia="黑体"/>
          <w:bCs/>
          <w:i w:val="0"/>
          <w:snapToGrid w:val="0"/>
          <w:color w:val="auto"/>
          <w:sz w:val="24"/>
          <w:szCs w:val="24"/>
          <w:highlight w:val="none"/>
        </w:rPr>
        <w:t>5.1.3施工期噪声影响分析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_Toc25913 \h </w:instrText>
      </w:r>
      <w:r>
        <w:rPr>
          <w:rFonts w:eastAsia="黑体"/>
          <w:i w:val="0"/>
          <w:color w:val="auto"/>
          <w:sz w:val="24"/>
          <w:szCs w:val="24"/>
          <w:highlight w:val="none"/>
        </w:rPr>
        <w:fldChar w:fldCharType="separate"/>
      </w:r>
      <w:r>
        <w:rPr>
          <w:rFonts w:eastAsia="黑体"/>
          <w:i w:val="0"/>
          <w:color w:val="auto"/>
          <w:sz w:val="24"/>
          <w:szCs w:val="24"/>
          <w:highlight w:val="none"/>
        </w:rPr>
        <w:t>112</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5A52AAA4">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"_Toc20793" </w:instrText>
      </w:r>
      <w:r>
        <w:rPr>
          <w:color w:val="auto"/>
          <w:highlight w:val="none"/>
        </w:rPr>
        <w:fldChar w:fldCharType="separate"/>
      </w:r>
      <w:r>
        <w:rPr>
          <w:rFonts w:eastAsia="黑体"/>
          <w:bCs/>
          <w:i w:val="0"/>
          <w:snapToGrid w:val="0"/>
          <w:color w:val="auto"/>
          <w:sz w:val="24"/>
          <w:szCs w:val="24"/>
          <w:highlight w:val="none"/>
        </w:rPr>
        <w:t>5.1.4施工期固体废物影响分析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_Toc20793 \h </w:instrText>
      </w:r>
      <w:r>
        <w:rPr>
          <w:rFonts w:eastAsia="黑体"/>
          <w:i w:val="0"/>
          <w:color w:val="auto"/>
          <w:sz w:val="24"/>
          <w:szCs w:val="24"/>
          <w:highlight w:val="none"/>
        </w:rPr>
        <w:fldChar w:fldCharType="separate"/>
      </w:r>
      <w:r>
        <w:rPr>
          <w:rFonts w:eastAsia="黑体"/>
          <w:i w:val="0"/>
          <w:color w:val="auto"/>
          <w:sz w:val="24"/>
          <w:szCs w:val="24"/>
          <w:highlight w:val="none"/>
        </w:rPr>
        <w:t>114</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7BA9104">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"_Toc9058" </w:instrText>
      </w:r>
      <w:r>
        <w:rPr>
          <w:color w:val="auto"/>
          <w:highlight w:val="none"/>
        </w:rPr>
        <w:fldChar w:fldCharType="separate"/>
      </w:r>
      <w:r>
        <w:rPr>
          <w:rFonts w:eastAsia="黑体"/>
          <w:bCs/>
          <w:i w:val="0"/>
          <w:snapToGrid w:val="0"/>
          <w:color w:val="auto"/>
          <w:sz w:val="24"/>
          <w:szCs w:val="24"/>
          <w:highlight w:val="none"/>
        </w:rPr>
        <w:t>5.1.5施工期生态环境影响分析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_Toc9058 \h </w:instrText>
      </w:r>
      <w:r>
        <w:rPr>
          <w:rFonts w:eastAsia="黑体"/>
          <w:i w:val="0"/>
          <w:color w:val="auto"/>
          <w:sz w:val="24"/>
          <w:szCs w:val="24"/>
          <w:highlight w:val="none"/>
        </w:rPr>
        <w:fldChar w:fldCharType="separate"/>
      </w:r>
      <w:r>
        <w:rPr>
          <w:rFonts w:eastAsia="黑体"/>
          <w:i w:val="0"/>
          <w:color w:val="auto"/>
          <w:sz w:val="24"/>
          <w:szCs w:val="24"/>
          <w:highlight w:val="none"/>
        </w:rPr>
        <w:t>114</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D335708">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"_Toc10714" </w:instrText>
      </w:r>
      <w:r>
        <w:rPr>
          <w:color w:val="auto"/>
          <w:highlight w:val="none"/>
        </w:rPr>
        <w:fldChar w:fldCharType="separate"/>
      </w:r>
      <w:r>
        <w:rPr>
          <w:rFonts w:eastAsia="黑体"/>
          <w:bCs/>
          <w:snapToGrid w:val="0"/>
          <w:color w:val="auto"/>
          <w:sz w:val="24"/>
          <w:szCs w:val="24"/>
          <w:highlight w:val="none"/>
        </w:rPr>
        <w:t>5.2运营期环境影响分析</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_Toc10714 \h </w:instrText>
      </w:r>
      <w:r>
        <w:rPr>
          <w:rFonts w:eastAsia="黑体"/>
          <w:color w:val="auto"/>
          <w:sz w:val="24"/>
          <w:szCs w:val="24"/>
          <w:highlight w:val="none"/>
        </w:rPr>
        <w:fldChar w:fldCharType="separate"/>
      </w:r>
      <w:r>
        <w:rPr>
          <w:rFonts w:eastAsia="黑体"/>
          <w:color w:val="auto"/>
          <w:sz w:val="24"/>
          <w:szCs w:val="24"/>
          <w:highlight w:val="none"/>
        </w:rPr>
        <w:t>115</w:t>
      </w:r>
      <w:r>
        <w:rPr>
          <w:rFonts w:eastAsia="黑体"/>
          <w:color w:val="auto"/>
          <w:sz w:val="24"/>
          <w:szCs w:val="24"/>
          <w:highlight w:val="none"/>
        </w:rPr>
        <w:fldChar w:fldCharType="end"/>
      </w:r>
      <w:r>
        <w:rPr>
          <w:rFonts w:eastAsia="黑体"/>
          <w:color w:val="auto"/>
          <w:sz w:val="24"/>
          <w:szCs w:val="24"/>
          <w:highlight w:val="none"/>
        </w:rPr>
        <w:fldChar w:fldCharType="end"/>
      </w:r>
    </w:p>
    <w:p w14:paraId="5B63ECF3">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"_Toc8516" </w:instrText>
      </w:r>
      <w:r>
        <w:rPr>
          <w:color w:val="auto"/>
          <w:highlight w:val="none"/>
        </w:rPr>
        <w:fldChar w:fldCharType="separate"/>
      </w:r>
      <w:r>
        <w:rPr>
          <w:rFonts w:eastAsia="黑体"/>
          <w:i w:val="0"/>
          <w:snapToGrid w:val="0"/>
          <w:color w:val="auto"/>
          <w:sz w:val="24"/>
          <w:szCs w:val="24"/>
          <w:highlight w:val="none"/>
        </w:rPr>
        <w:t>5.2.1大气环境影响预测评价</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_Toc8516 \h </w:instrText>
      </w:r>
      <w:r>
        <w:rPr>
          <w:rFonts w:eastAsia="黑体"/>
          <w:i w:val="0"/>
          <w:color w:val="auto"/>
          <w:sz w:val="24"/>
          <w:szCs w:val="24"/>
          <w:highlight w:val="none"/>
        </w:rPr>
        <w:fldChar w:fldCharType="separate"/>
      </w:r>
      <w:r>
        <w:rPr>
          <w:rFonts w:eastAsia="黑体"/>
          <w:i w:val="0"/>
          <w:color w:val="auto"/>
          <w:sz w:val="24"/>
          <w:szCs w:val="24"/>
          <w:highlight w:val="none"/>
        </w:rPr>
        <w:t>115</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44DD9EC5">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"_Toc21890" </w:instrText>
      </w:r>
      <w:r>
        <w:rPr>
          <w:color w:val="auto"/>
          <w:highlight w:val="none"/>
        </w:rPr>
        <w:fldChar w:fldCharType="separate"/>
      </w:r>
      <w:r>
        <w:rPr>
          <w:rFonts w:eastAsia="黑体"/>
          <w:i w:val="0"/>
          <w:snapToGrid w:val="0"/>
          <w:color w:val="auto"/>
          <w:sz w:val="24"/>
          <w:szCs w:val="24"/>
          <w:highlight w:val="none"/>
        </w:rPr>
        <w:t>5.2.2地表水环境影响分析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_Toc21890 \h </w:instrText>
      </w:r>
      <w:r>
        <w:rPr>
          <w:rFonts w:eastAsia="黑体"/>
          <w:i w:val="0"/>
          <w:color w:val="auto"/>
          <w:sz w:val="24"/>
          <w:szCs w:val="24"/>
          <w:highlight w:val="none"/>
        </w:rPr>
        <w:fldChar w:fldCharType="separate"/>
      </w:r>
      <w:r>
        <w:rPr>
          <w:rFonts w:eastAsia="黑体"/>
          <w:i w:val="0"/>
          <w:color w:val="auto"/>
          <w:sz w:val="24"/>
          <w:szCs w:val="24"/>
          <w:highlight w:val="none"/>
        </w:rPr>
        <w:t>117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3C666DF">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"_Toc30858" </w:instrText>
      </w:r>
      <w:r>
        <w:rPr>
          <w:color w:val="auto"/>
          <w:highlight w:val="none"/>
        </w:rPr>
        <w:fldChar w:fldCharType="separate"/>
      </w:r>
      <w:r>
        <w:rPr>
          <w:rFonts w:eastAsia="黑体"/>
          <w:bCs/>
          <w:i w:val="0"/>
          <w:snapToGrid w:val="0"/>
          <w:color w:val="auto"/>
          <w:sz w:val="24"/>
          <w:szCs w:val="24"/>
          <w:highlight w:val="none"/>
        </w:rPr>
        <w:t>5.2.3地下水环境影响评价</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_Toc30858 \h </w:instrText>
      </w:r>
      <w:r>
        <w:rPr>
          <w:rFonts w:eastAsia="黑体"/>
          <w:i w:val="0"/>
          <w:color w:val="auto"/>
          <w:sz w:val="24"/>
          <w:szCs w:val="24"/>
          <w:highlight w:val="none"/>
        </w:rPr>
        <w:fldChar w:fldCharType="separate"/>
      </w:r>
      <w:r>
        <w:rPr>
          <w:rFonts w:eastAsia="黑体"/>
          <w:i w:val="0"/>
          <w:color w:val="auto"/>
          <w:sz w:val="24"/>
          <w:szCs w:val="24"/>
          <w:highlight w:val="none"/>
        </w:rPr>
        <w:t>122</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48198A8D">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"_Toc25244" </w:instrText>
      </w:r>
      <w:r>
        <w:rPr>
          <w:color w:val="auto"/>
          <w:highlight w:val="none"/>
        </w:rPr>
        <w:fldChar w:fldCharType="separate"/>
      </w:r>
      <w:r>
        <w:rPr>
          <w:rFonts w:eastAsia="黑体"/>
          <w:bCs/>
          <w:i w:val="0"/>
          <w:snapToGrid w:val="0"/>
          <w:color w:val="auto"/>
          <w:sz w:val="24"/>
          <w:szCs w:val="24"/>
          <w:highlight w:val="none"/>
        </w:rPr>
        <w:t>5.2.4声环境影响预测评价</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_Toc25244 \h </w:instrText>
      </w:r>
      <w:r>
        <w:rPr>
          <w:rFonts w:eastAsia="黑体"/>
          <w:i w:val="0"/>
          <w:color w:val="auto"/>
          <w:sz w:val="24"/>
          <w:szCs w:val="24"/>
          <w:highlight w:val="none"/>
        </w:rPr>
        <w:fldChar w:fldCharType="separate"/>
      </w:r>
      <w:r>
        <w:rPr>
          <w:rFonts w:eastAsia="黑体"/>
          <w:i w:val="0"/>
          <w:color w:val="auto"/>
          <w:sz w:val="24"/>
          <w:szCs w:val="24"/>
          <w:highlight w:val="none"/>
        </w:rPr>
        <w:t>127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9562662">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"_Toc13206" </w:instrText>
      </w:r>
      <w:r>
        <w:rPr>
          <w:color w:val="auto"/>
          <w:highlight w:val="none"/>
        </w:rPr>
        <w:fldChar w:fldCharType="separate"/>
      </w:r>
      <w:r>
        <w:rPr>
          <w:rFonts w:eastAsia="黑体"/>
          <w:bCs/>
          <w:i w:val="0"/>
          <w:snapToGrid w:val="0"/>
          <w:color w:val="auto"/>
          <w:sz w:val="24"/>
          <w:szCs w:val="24"/>
          <w:highlight w:val="none"/>
        </w:rPr>
        <w:t>5.2.5固体废物环境影响评价</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_Toc13206 \h </w:instrText>
      </w:r>
      <w:r>
        <w:rPr>
          <w:rFonts w:eastAsia="黑体"/>
          <w:i w:val="0"/>
          <w:color w:val="auto"/>
          <w:sz w:val="24"/>
          <w:szCs w:val="24"/>
          <w:highlight w:val="none"/>
        </w:rPr>
        <w:fldChar w:fldCharType="separate"/>
      </w:r>
      <w:r>
        <w:rPr>
          <w:rFonts w:eastAsia="黑体"/>
          <w:i w:val="0"/>
          <w:color w:val="auto"/>
          <w:sz w:val="24"/>
          <w:szCs w:val="24"/>
          <w:highlight w:val="none"/>
        </w:rPr>
        <w:t>129</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054D27E">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"_Toc14598" </w:instrText>
      </w:r>
      <w:r>
        <w:rPr>
          <w:color w:val="auto"/>
          <w:highlight w:val="none"/>
        </w:rPr>
        <w:fldChar w:fldCharType="separate"/>
      </w:r>
      <w:r>
        <w:rPr>
          <w:rFonts w:eastAsia="黑体"/>
          <w:bCs/>
          <w:i w:val="0"/>
          <w:snapToGrid w:val="0"/>
          <w:color w:val="auto"/>
          <w:sz w:val="24"/>
          <w:szCs w:val="24"/>
          <w:highlight w:val="none"/>
        </w:rPr>
        <w:t>5.2.6生态环境影响分析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_Toc14598 \h </w:instrText>
      </w:r>
      <w:r>
        <w:rPr>
          <w:rFonts w:eastAsia="黑体"/>
          <w:i w:val="0"/>
          <w:color w:val="auto"/>
          <w:sz w:val="24"/>
          <w:szCs w:val="24"/>
          <w:highlight w:val="none"/>
        </w:rPr>
        <w:fldChar w:fldCharType="separate"/>
      </w:r>
      <w:r>
        <w:rPr>
          <w:rFonts w:eastAsia="黑体"/>
          <w:i w:val="0"/>
          <w:color w:val="auto"/>
          <w:sz w:val="24"/>
          <w:szCs w:val="24"/>
          <w:highlight w:val="none"/>
        </w:rPr>
        <w:t>130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2AADCA7D">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"_Toc3533" </w:instrText>
      </w:r>
      <w:r>
        <w:rPr>
          <w:color w:val="auto"/>
          <w:highlight w:val="none"/>
        </w:rPr>
        <w:fldChar w:fldCharType="separate"/>
      </w:r>
      <w:r>
        <w:rPr>
          <w:rFonts w:eastAsia="黑体"/>
          <w:bCs/>
          <w:i w:val="0"/>
          <w:snapToGrid w:val="0"/>
          <w:color w:val="auto"/>
          <w:sz w:val="24"/>
          <w:szCs w:val="24"/>
          <w:highlight w:val="none"/>
        </w:rPr>
        <w:t>5.2.7风险环境影响分析</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_Toc3533 \h </w:instrText>
      </w:r>
      <w:r>
        <w:rPr>
          <w:rFonts w:eastAsia="黑体"/>
          <w:i w:val="0"/>
          <w:color w:val="auto"/>
          <w:sz w:val="24"/>
          <w:szCs w:val="24"/>
          <w:highlight w:val="none"/>
        </w:rPr>
        <w:fldChar w:fldCharType="separate"/>
      </w:r>
      <w:r>
        <w:rPr>
          <w:rFonts w:eastAsia="黑体"/>
          <w:i w:val="0"/>
          <w:color w:val="auto"/>
          <w:sz w:val="24"/>
          <w:szCs w:val="24"/>
          <w:highlight w:val="none"/>
        </w:rPr>
        <w:t>130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2BF83390">
      <w:pPr>
        <w:pStyle w:val="31"/>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"_Toc21211" </w:instrText>
      </w:r>
      <w:r>
        <w:rPr>
          <w:color w:val="auto"/>
          <w:highlight w:val="none"/>
        </w:rPr>
        <w:fldChar w:fldCharType="separate"/>
      </w:r>
      <w:r>
        <w:rPr>
          <w:rFonts w:eastAsia="黑体"/>
          <w:snapToGrid w:val="0"/>
          <w:color w:val="auto"/>
          <w:sz w:val="24"/>
          <w:szCs w:val="24"/>
          <w:highlight w:val="none"/>
        </w:rPr>
        <w:t>6环境保护措施及其可行性分析</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_Toc21211 \h </w:instrText>
      </w:r>
      <w:r>
        <w:rPr>
          <w:rFonts w:eastAsia="黑体"/>
          <w:color w:val="auto"/>
          <w:sz w:val="24"/>
          <w:szCs w:val="24"/>
          <w:highlight w:val="none"/>
        </w:rPr>
        <w:fldChar w:fldCharType="separate"/>
      </w:r>
      <w:r>
        <w:rPr>
          <w:rFonts w:eastAsia="黑体"/>
          <w:color w:val="auto"/>
          <w:sz w:val="24"/>
          <w:szCs w:val="24"/>
          <w:highlight w:val="none"/>
        </w:rPr>
        <w:t>130</w:t>
      </w:r>
      <w:r>
        <w:rPr>
          <w:rFonts w:eastAsia="黑体"/>
          <w:color w:val="auto"/>
          <w:sz w:val="24"/>
          <w:szCs w:val="24"/>
          <w:highlight w:val="none"/>
        </w:rPr>
        <w:fldChar w:fldCharType="end"/>
      </w:r>
      <w:r>
        <w:rPr>
          <w:rFonts w:eastAsia="黑体"/>
          <w:color w:val="auto"/>
          <w:sz w:val="24"/>
          <w:szCs w:val="24"/>
          <w:highlight w:val="none"/>
        </w:rPr>
        <w:fldChar w:fldCharType="end"/>
      </w:r>
    </w:p>
    <w:p w14:paraId="5161D635">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"_Toc13471" </w:instrText>
      </w:r>
      <w:r>
        <w:rPr>
          <w:color w:val="auto"/>
          <w:highlight w:val="none"/>
        </w:rPr>
        <w:fldChar w:fldCharType="separate"/>
      </w:r>
      <w:r>
        <w:rPr>
          <w:rFonts w:eastAsia="黑体"/>
          <w:bCs/>
          <w:snapToGrid w:val="0"/>
          <w:color w:val="auto"/>
          <w:sz w:val="24"/>
          <w:szCs w:val="24"/>
          <w:highlight w:val="none"/>
        </w:rPr>
        <w:t>6.1施工期环境保护措施</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_Toc13471 \h </w:instrText>
      </w:r>
      <w:r>
        <w:rPr>
          <w:rFonts w:eastAsia="黑体"/>
          <w:color w:val="auto"/>
          <w:sz w:val="24"/>
          <w:szCs w:val="24"/>
          <w:highlight w:val="none"/>
        </w:rPr>
        <w:fldChar w:fldCharType="separate"/>
      </w:r>
      <w:r>
        <w:rPr>
          <w:rFonts w:eastAsia="黑体"/>
          <w:color w:val="auto"/>
          <w:sz w:val="24"/>
          <w:szCs w:val="24"/>
          <w:highlight w:val="none"/>
        </w:rPr>
        <w:t>134</w:t>
      </w:r>
      <w:r>
        <w:rPr>
          <w:rFonts w:eastAsia="黑体"/>
          <w:color w:val="auto"/>
          <w:sz w:val="24"/>
          <w:szCs w:val="24"/>
          <w:highlight w:val="none"/>
        </w:rPr>
        <w:fldChar w:fldCharType="end"/>
      </w:r>
      <w:r>
        <w:rPr>
          <w:rFonts w:eastAsia="黑体"/>
          <w:color w:val="auto"/>
          <w:sz w:val="24"/>
          <w:szCs w:val="24"/>
          <w:highlight w:val="none"/>
        </w:rPr>
        <w:fldChar w:fldCharType="end"/>
      </w:r>
    </w:p>
    <w:p w14:paraId="67961617">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"_Toc14663" </w:instrText>
      </w:r>
      <w:r>
        <w:rPr>
          <w:color w:val="auto"/>
          <w:highlight w:val="none"/>
        </w:rPr>
        <w:fldChar w:fldCharType="separate"/>
      </w:r>
      <w:r>
        <w:rPr>
          <w:rFonts w:eastAsia="黑体"/>
          <w:bCs/>
          <w:i w:val="0"/>
          <w:snapToGrid w:val="0"/>
          <w:color w:val="auto"/>
          <w:sz w:val="24"/>
          <w:szCs w:val="24"/>
          <w:highlight w:val="none"/>
        </w:rPr>
        <w:t>6.1.1大气环境保护措施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_Toc14663 \h </w:instrText>
      </w:r>
      <w:r>
        <w:rPr>
          <w:rFonts w:eastAsia="黑体"/>
          <w:i w:val="0"/>
          <w:color w:val="auto"/>
          <w:sz w:val="24"/>
          <w:szCs w:val="24"/>
          <w:highlight w:val="none"/>
        </w:rPr>
        <w:fldChar w:fldCharType="separate"/>
      </w:r>
      <w:r>
        <w:rPr>
          <w:rFonts w:eastAsia="黑体"/>
          <w:i w:val="0"/>
          <w:color w:val="auto"/>
          <w:sz w:val="24"/>
          <w:szCs w:val="24"/>
          <w:highlight w:val="none"/>
        </w:rPr>
        <w:t>134</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5E59C132">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"_Toc22757" </w:instrText>
      </w:r>
      <w:r>
        <w:rPr>
          <w:color w:val="auto"/>
          <w:highlight w:val="none"/>
        </w:rPr>
        <w:fldChar w:fldCharType="separate"/>
      </w:r>
      <w:r>
        <w:rPr>
          <w:rFonts w:eastAsia="黑体"/>
          <w:bCs/>
          <w:i w:val="0"/>
          <w:snapToGrid w:val="0"/>
          <w:color w:val="auto"/>
          <w:sz w:val="24"/>
          <w:szCs w:val="24"/>
          <w:highlight w:val="none"/>
        </w:rPr>
        <w:t>6.1.2废水环境保护措施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_Toc22757 \h </w:instrText>
      </w:r>
      <w:r>
        <w:rPr>
          <w:rFonts w:eastAsia="黑体"/>
          <w:i w:val="0"/>
          <w:color w:val="auto"/>
          <w:sz w:val="24"/>
          <w:szCs w:val="24"/>
          <w:highlight w:val="none"/>
        </w:rPr>
        <w:fldChar w:fldCharType="separate"/>
      </w:r>
      <w:r>
        <w:rPr>
          <w:rFonts w:eastAsia="黑体"/>
          <w:i w:val="0"/>
          <w:color w:val="auto"/>
          <w:sz w:val="24"/>
          <w:szCs w:val="24"/>
          <w:highlight w:val="none"/>
        </w:rPr>
        <w:t>135</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43347BA">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"_Toc12031" </w:instrText>
      </w:r>
      <w:r>
        <w:rPr>
          <w:color w:val="auto"/>
          <w:highlight w:val="none"/>
        </w:rPr>
        <w:fldChar w:fldCharType="separate"/>
      </w:r>
      <w:r>
        <w:rPr>
          <w:rFonts w:eastAsia="黑体"/>
          <w:bCs/>
          <w:i w:val="0"/>
          <w:snapToGrid w:val="0"/>
          <w:color w:val="auto"/>
          <w:sz w:val="24"/>
          <w:szCs w:val="24"/>
          <w:highlight w:val="none"/>
        </w:rPr>
        <w:t>6.1.3噪声环境保护措施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_Toc12031 \h </w:instrText>
      </w:r>
      <w:r>
        <w:rPr>
          <w:rFonts w:eastAsia="黑体"/>
          <w:i w:val="0"/>
          <w:color w:val="auto"/>
          <w:sz w:val="24"/>
          <w:szCs w:val="24"/>
          <w:highlight w:val="none"/>
        </w:rPr>
        <w:fldChar w:fldCharType="separate"/>
      </w:r>
      <w:r>
        <w:rPr>
          <w:rFonts w:eastAsia="黑体"/>
          <w:i w:val="0"/>
          <w:color w:val="auto"/>
          <w:sz w:val="24"/>
          <w:szCs w:val="24"/>
          <w:highlight w:val="none"/>
        </w:rPr>
        <w:t>135</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C54D9A6">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"_Toc5314" </w:instrText>
      </w:r>
      <w:r>
        <w:rPr>
          <w:color w:val="auto"/>
          <w:highlight w:val="none"/>
        </w:rPr>
        <w:fldChar w:fldCharType="separate"/>
      </w:r>
      <w:r>
        <w:rPr>
          <w:rFonts w:eastAsia="黑体"/>
          <w:bCs/>
          <w:i w:val="0"/>
          <w:snapToGrid w:val="0"/>
          <w:color w:val="auto"/>
          <w:sz w:val="24"/>
          <w:szCs w:val="24"/>
          <w:highlight w:val="none"/>
        </w:rPr>
        <w:t>6.1.4固体废物环境保护措施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_Toc5314 \h </w:instrText>
      </w:r>
      <w:r>
        <w:rPr>
          <w:rFonts w:eastAsia="黑体"/>
          <w:i w:val="0"/>
          <w:color w:val="auto"/>
          <w:sz w:val="24"/>
          <w:szCs w:val="24"/>
          <w:highlight w:val="none"/>
        </w:rPr>
        <w:fldChar w:fldCharType="separate"/>
      </w:r>
      <w:r>
        <w:rPr>
          <w:rFonts w:eastAsia="黑体"/>
          <w:i w:val="0"/>
          <w:color w:val="auto"/>
          <w:sz w:val="24"/>
          <w:szCs w:val="24"/>
          <w:highlight w:val="none"/>
        </w:rPr>
        <w:t>136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2B64807">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"_Toc22133" </w:instrText>
      </w:r>
      <w:r>
        <w:rPr>
          <w:color w:val="auto"/>
          <w:highlight w:val="none"/>
        </w:rPr>
        <w:fldChar w:fldCharType="separate"/>
      </w:r>
      <w:r>
        <w:rPr>
          <w:rFonts w:eastAsia="黑体"/>
          <w:bCs/>
          <w:i w:val="0"/>
          <w:snapToGrid w:val="0"/>
          <w:color w:val="auto"/>
          <w:sz w:val="24"/>
          <w:szCs w:val="24"/>
          <w:highlight w:val="none"/>
        </w:rPr>
        <w:t>6.1.5生态环境保护措施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_Toc22133 \h </w:instrText>
      </w:r>
      <w:r>
        <w:rPr>
          <w:rFonts w:eastAsia="黑体"/>
          <w:i w:val="0"/>
          <w:color w:val="auto"/>
          <w:sz w:val="24"/>
          <w:szCs w:val="24"/>
          <w:highlight w:val="none"/>
        </w:rPr>
        <w:fldChar w:fldCharType="separate"/>
      </w:r>
      <w:r>
        <w:rPr>
          <w:rFonts w:eastAsia="黑体"/>
          <w:i w:val="0"/>
          <w:color w:val="auto"/>
          <w:sz w:val="24"/>
          <w:szCs w:val="24"/>
          <w:highlight w:val="none"/>
        </w:rPr>
        <w:t>136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BE2886C">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"_Toc30423" </w:instrText>
      </w:r>
      <w:r>
        <w:rPr>
          <w:color w:val="auto"/>
          <w:highlight w:val="none"/>
        </w:rPr>
        <w:fldChar w:fldCharType="separate"/>
      </w:r>
      <w:r>
        <w:rPr>
          <w:rFonts w:eastAsia="黑体"/>
          <w:bCs/>
          <w:snapToGrid w:val="0"/>
          <w:color w:val="auto"/>
          <w:sz w:val="24"/>
          <w:szCs w:val="24"/>
          <w:highlight w:val="none"/>
        </w:rPr>
        <w:t>6.2运营期污染防治措施</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_Toc30423 \h </w:instrText>
      </w:r>
      <w:r>
        <w:rPr>
          <w:rFonts w:eastAsia="黑体"/>
          <w:color w:val="auto"/>
          <w:sz w:val="24"/>
          <w:szCs w:val="24"/>
          <w:highlight w:val="none"/>
        </w:rPr>
        <w:fldChar w:fldCharType="separate"/>
      </w:r>
      <w:r>
        <w:rPr>
          <w:rFonts w:eastAsia="黑体"/>
          <w:color w:val="auto"/>
          <w:sz w:val="24"/>
          <w:szCs w:val="24"/>
          <w:highlight w:val="none"/>
        </w:rPr>
        <w:t>138</w:t>
      </w:r>
      <w:r>
        <w:rPr>
          <w:rFonts w:eastAsia="黑体"/>
          <w:color w:val="auto"/>
          <w:sz w:val="24"/>
          <w:szCs w:val="24"/>
          <w:highlight w:val="none"/>
        </w:rPr>
        <w:fldChar w:fldCharType="end"/>
      </w:r>
      <w:r>
        <w:rPr>
          <w:rFonts w:eastAsia="黑体"/>
          <w:color w:val="auto"/>
          <w:sz w:val="24"/>
          <w:szCs w:val="24"/>
          <w:highlight w:val="none"/>
        </w:rPr>
        <w:fldChar w:fldCharType="end"/>
      </w:r>
    </w:p>
    <w:p w14:paraId="07ED045C">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"_Toc27124" </w:instrText>
      </w:r>
      <w:r>
        <w:rPr>
          <w:color w:val="auto"/>
          <w:highlight w:val="none"/>
        </w:rPr>
        <w:fldChar w:fldCharType="separate"/>
      </w:r>
      <w:r>
        <w:rPr>
          <w:rFonts w:eastAsia="黑体"/>
          <w:bCs/>
          <w:i w:val="0"/>
          <w:snapToGrid w:val="0"/>
          <w:color w:val="auto"/>
          <w:sz w:val="24"/>
          <w:szCs w:val="24"/>
          <w:highlight w:val="none"/>
        </w:rPr>
        <w:t>6.2.1大气环境保护措施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_Toc27124 \h </w:instrText>
      </w:r>
      <w:r>
        <w:rPr>
          <w:rFonts w:eastAsia="黑体"/>
          <w:i w:val="0"/>
          <w:color w:val="auto"/>
          <w:sz w:val="24"/>
          <w:szCs w:val="24"/>
          <w:highlight w:val="none"/>
        </w:rPr>
        <w:fldChar w:fldCharType="separate"/>
      </w:r>
      <w:r>
        <w:rPr>
          <w:rFonts w:eastAsia="黑体"/>
          <w:i w:val="0"/>
          <w:color w:val="auto"/>
          <w:sz w:val="24"/>
          <w:szCs w:val="24"/>
          <w:highlight w:val="none"/>
        </w:rPr>
        <w:t>138</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4B4054D5">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"_Toc17859" </w:instrText>
      </w:r>
      <w:r>
        <w:rPr>
          <w:color w:val="auto"/>
          <w:highlight w:val="none"/>
        </w:rPr>
        <w:fldChar w:fldCharType="separate"/>
      </w:r>
      <w:r>
        <w:rPr>
          <w:rFonts w:eastAsia="黑体"/>
          <w:bCs/>
          <w:i w:val="0"/>
          <w:snapToGrid w:val="0"/>
          <w:color w:val="auto"/>
          <w:sz w:val="24"/>
          <w:szCs w:val="24"/>
          <w:highlight w:val="none"/>
        </w:rPr>
        <w:t>6.2.2地表水环境保护措施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_Toc17859 \h </w:instrText>
      </w:r>
      <w:r>
        <w:rPr>
          <w:rFonts w:eastAsia="黑体"/>
          <w:i w:val="0"/>
          <w:color w:val="auto"/>
          <w:sz w:val="24"/>
          <w:szCs w:val="24"/>
          <w:highlight w:val="none"/>
        </w:rPr>
        <w:fldChar w:fldCharType="separate"/>
      </w:r>
      <w:r>
        <w:rPr>
          <w:rFonts w:eastAsia="黑体"/>
          <w:i w:val="0"/>
          <w:color w:val="auto"/>
          <w:sz w:val="24"/>
          <w:szCs w:val="24"/>
          <w:highlight w:val="none"/>
        </w:rPr>
        <w:t>140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00F2A318">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"_Toc15639" </w:instrText>
      </w:r>
      <w:r>
        <w:rPr>
          <w:color w:val="auto"/>
          <w:highlight w:val="none"/>
        </w:rPr>
        <w:fldChar w:fldCharType="separate"/>
      </w:r>
      <w:r>
        <w:rPr>
          <w:rFonts w:eastAsia="黑体"/>
          <w:bCs/>
          <w:i w:val="0"/>
          <w:snapToGrid w:val="0"/>
          <w:color w:val="auto"/>
          <w:sz w:val="24"/>
          <w:szCs w:val="24"/>
          <w:highlight w:val="none"/>
        </w:rPr>
        <w:t>6.2.3地下水环境保护措施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_Toc15639 \h </w:instrText>
      </w:r>
      <w:r>
        <w:rPr>
          <w:rFonts w:eastAsia="黑体"/>
          <w:i w:val="0"/>
          <w:color w:val="auto"/>
          <w:sz w:val="24"/>
          <w:szCs w:val="24"/>
          <w:highlight w:val="none"/>
        </w:rPr>
        <w:fldChar w:fldCharType="separate"/>
      </w:r>
      <w:r>
        <w:rPr>
          <w:rFonts w:eastAsia="黑体"/>
          <w:i w:val="0"/>
          <w:color w:val="auto"/>
          <w:sz w:val="24"/>
          <w:szCs w:val="24"/>
          <w:highlight w:val="none"/>
        </w:rPr>
        <w:t>143</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41C7440D">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"_Toc30790" </w:instrText>
      </w:r>
      <w:r>
        <w:rPr>
          <w:color w:val="auto"/>
          <w:highlight w:val="none"/>
        </w:rPr>
        <w:fldChar w:fldCharType="separate"/>
      </w:r>
      <w:r>
        <w:rPr>
          <w:rFonts w:eastAsia="黑体"/>
          <w:bCs/>
          <w:i w:val="0"/>
          <w:snapToGrid w:val="0"/>
          <w:color w:val="auto"/>
          <w:sz w:val="24"/>
          <w:szCs w:val="24"/>
          <w:highlight w:val="none"/>
        </w:rPr>
        <w:t>6.2.4噪声环境保护措施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_Toc30790 \h </w:instrText>
      </w:r>
      <w:r>
        <w:rPr>
          <w:rFonts w:eastAsia="黑体"/>
          <w:i w:val="0"/>
          <w:color w:val="auto"/>
          <w:sz w:val="24"/>
          <w:szCs w:val="24"/>
          <w:highlight w:val="none"/>
        </w:rPr>
        <w:fldChar w:fldCharType="separate"/>
      </w:r>
      <w:r>
        <w:rPr>
          <w:rFonts w:eastAsia="黑体"/>
          <w:i w:val="0"/>
          <w:color w:val="auto"/>
          <w:sz w:val="24"/>
          <w:szCs w:val="24"/>
          <w:highlight w:val="none"/>
        </w:rPr>
        <w:t>148</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4253E58E">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"_Toc24296" </w:instrText>
      </w:r>
      <w:r>
        <w:rPr>
          <w:color w:val="auto"/>
          <w:highlight w:val="none"/>
        </w:rPr>
        <w:fldChar w:fldCharType="separate"/>
      </w:r>
      <w:r>
        <w:rPr>
          <w:rFonts w:eastAsia="黑体"/>
          <w:bCs/>
          <w:i w:val="0"/>
          <w:snapToGrid w:val="0"/>
          <w:color w:val="auto"/>
          <w:sz w:val="24"/>
          <w:szCs w:val="24"/>
          <w:highlight w:val="none"/>
        </w:rPr>
        <w:t>6.2.5固体废物环境保护措施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_Toc24296 \h </w:instrText>
      </w:r>
      <w:r>
        <w:rPr>
          <w:rFonts w:eastAsia="黑体"/>
          <w:i w:val="0"/>
          <w:color w:val="auto"/>
          <w:sz w:val="24"/>
          <w:szCs w:val="24"/>
          <w:highlight w:val="none"/>
        </w:rPr>
        <w:fldChar w:fldCharType="separate"/>
      </w:r>
      <w:r>
        <w:rPr>
          <w:rFonts w:eastAsia="黑体"/>
          <w:i w:val="0"/>
          <w:color w:val="auto"/>
          <w:sz w:val="24"/>
          <w:szCs w:val="24"/>
          <w:highlight w:val="none"/>
        </w:rPr>
        <w:t>149</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4C5B7982">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"_Toc12135" </w:instrText>
      </w:r>
      <w:r>
        <w:rPr>
          <w:color w:val="auto"/>
          <w:highlight w:val="none"/>
        </w:rPr>
        <w:fldChar w:fldCharType="separate"/>
      </w:r>
      <w:r>
        <w:rPr>
          <w:rFonts w:eastAsia="黑体"/>
          <w:bCs/>
          <w:i w:val="0"/>
          <w:snapToGrid w:val="0"/>
          <w:color w:val="auto"/>
          <w:sz w:val="24"/>
          <w:szCs w:val="24"/>
          <w:highlight w:val="none"/>
        </w:rPr>
        <w:t>6.2.6环境风险防范措施</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_Toc12135 \h </w:instrText>
      </w:r>
      <w:r>
        <w:rPr>
          <w:rFonts w:eastAsia="黑体"/>
          <w:i w:val="0"/>
          <w:color w:val="auto"/>
          <w:sz w:val="24"/>
          <w:szCs w:val="24"/>
          <w:highlight w:val="none"/>
        </w:rPr>
        <w:fldChar w:fldCharType="separate"/>
      </w:r>
      <w:r>
        <w:rPr>
          <w:rFonts w:eastAsia="黑体"/>
          <w:i w:val="0"/>
          <w:color w:val="auto"/>
          <w:sz w:val="24"/>
          <w:szCs w:val="24"/>
          <w:highlight w:val="none"/>
        </w:rPr>
        <w:t>149</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271244BF">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"_Toc2540" </w:instrText>
      </w:r>
      <w:r>
        <w:rPr>
          <w:color w:val="auto"/>
          <w:highlight w:val="none"/>
        </w:rPr>
        <w:fldChar w:fldCharType="separate"/>
      </w:r>
      <w:r>
        <w:rPr>
          <w:rFonts w:eastAsia="黑体"/>
          <w:bCs/>
          <w:snapToGrid w:val="0"/>
          <w:color w:val="auto"/>
          <w:sz w:val="24"/>
          <w:szCs w:val="24"/>
          <w:highlight w:val="none"/>
        </w:rPr>
        <w:t>6.3环境保护投资估算</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_Toc2540 \h </w:instrText>
      </w:r>
      <w:r>
        <w:rPr>
          <w:rFonts w:eastAsia="黑体"/>
          <w:color w:val="auto"/>
          <w:sz w:val="24"/>
          <w:szCs w:val="24"/>
          <w:highlight w:val="none"/>
        </w:rPr>
        <w:fldChar w:fldCharType="separate"/>
      </w:r>
      <w:r>
        <w:rPr>
          <w:rFonts w:eastAsia="黑体"/>
          <w:color w:val="auto"/>
          <w:sz w:val="24"/>
          <w:szCs w:val="24"/>
          <w:highlight w:val="none"/>
        </w:rPr>
        <w:t>155</w:t>
      </w:r>
      <w:r>
        <w:rPr>
          <w:rFonts w:eastAsia="黑体"/>
          <w:color w:val="auto"/>
          <w:sz w:val="24"/>
          <w:szCs w:val="24"/>
          <w:highlight w:val="none"/>
        </w:rPr>
        <w:fldChar w:fldCharType="end"/>
      </w:r>
      <w:r>
        <w:rPr>
          <w:rFonts w:eastAsia="黑体"/>
          <w:color w:val="auto"/>
          <w:sz w:val="24"/>
          <w:szCs w:val="24"/>
          <w:highlight w:val="none"/>
        </w:rPr>
        <w:fldChar w:fldCharType="end"/>
      </w:r>
    </w:p>
    <w:p w14:paraId="583702AC">
      <w:pPr>
        <w:pStyle w:val="31"/>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"_Toc19141" </w:instrText>
      </w:r>
      <w:r>
        <w:rPr>
          <w:color w:val="auto"/>
          <w:highlight w:val="none"/>
        </w:rPr>
        <w:fldChar w:fldCharType="separate"/>
      </w:r>
      <w:r>
        <w:rPr>
          <w:rFonts w:eastAsia="黑体"/>
          <w:color w:val="auto"/>
          <w:sz w:val="24"/>
          <w:szCs w:val="24"/>
          <w:highlight w:val="none"/>
        </w:rPr>
        <w:t>7 环境影响经济损益分析</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_Toc19141 \h </w:instrText>
      </w:r>
      <w:r>
        <w:rPr>
          <w:rFonts w:eastAsia="黑体"/>
          <w:color w:val="auto"/>
          <w:sz w:val="24"/>
          <w:szCs w:val="24"/>
          <w:highlight w:val="none"/>
        </w:rPr>
        <w:fldChar w:fldCharType="separate"/>
      </w:r>
      <w:r>
        <w:rPr>
          <w:rFonts w:eastAsia="黑体"/>
          <w:color w:val="auto"/>
          <w:sz w:val="24"/>
          <w:szCs w:val="24"/>
          <w:highlight w:val="none"/>
        </w:rPr>
        <w:t>157</w:t>
      </w:r>
      <w:r>
        <w:rPr>
          <w:rFonts w:eastAsia="黑体"/>
          <w:color w:val="auto"/>
          <w:sz w:val="24"/>
          <w:szCs w:val="24"/>
          <w:highlight w:val="none"/>
        </w:rPr>
        <w:fldChar w:fldCharType="end"/>
      </w:r>
      <w:r>
        <w:rPr>
          <w:rFonts w:eastAsia="黑体"/>
          <w:color w:val="auto"/>
          <w:sz w:val="24"/>
          <w:szCs w:val="24"/>
          <w:highlight w:val="none"/>
        </w:rPr>
        <w:fldChar w:fldCharType="end"/>
      </w:r>
    </w:p>
    <w:p w14:paraId="528D2BEE">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"_Toc14767" </w:instrText>
      </w:r>
      <w:r>
        <w:rPr>
          <w:color w:val="auto"/>
          <w:highlight w:val="none"/>
        </w:rPr>
        <w:fldChar w:fldCharType="separate"/>
      </w:r>
      <w:r>
        <w:rPr>
          <w:rFonts w:eastAsia="黑体"/>
          <w:color w:val="auto"/>
          <w:sz w:val="24"/>
          <w:szCs w:val="24"/>
          <w:highlight w:val="none"/>
        </w:rPr>
        <w:t>7.1 社会效益</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_Toc14767 \h </w:instrText>
      </w:r>
      <w:r>
        <w:rPr>
          <w:rFonts w:eastAsia="黑体"/>
          <w:color w:val="auto"/>
          <w:sz w:val="24"/>
          <w:szCs w:val="24"/>
          <w:highlight w:val="none"/>
        </w:rPr>
        <w:fldChar w:fldCharType="separate"/>
      </w:r>
      <w:r>
        <w:rPr>
          <w:rFonts w:eastAsia="黑体"/>
          <w:color w:val="auto"/>
          <w:sz w:val="24"/>
          <w:szCs w:val="24"/>
          <w:highlight w:val="none"/>
        </w:rPr>
        <w:t>157</w:t>
      </w:r>
      <w:r>
        <w:rPr>
          <w:rFonts w:eastAsia="黑体"/>
          <w:color w:val="auto"/>
          <w:sz w:val="24"/>
          <w:szCs w:val="24"/>
          <w:highlight w:val="none"/>
        </w:rPr>
        <w:fldChar w:fldCharType="end"/>
      </w:r>
      <w:r>
        <w:rPr>
          <w:rFonts w:eastAsia="黑体"/>
          <w:color w:val="auto"/>
          <w:sz w:val="24"/>
          <w:szCs w:val="24"/>
          <w:highlight w:val="none"/>
        </w:rPr>
        <w:fldChar w:fldCharType="end"/>
      </w:r>
    </w:p>
    <w:p w14:paraId="6AB39B89">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"_Toc12417" </w:instrText>
      </w:r>
      <w:r>
        <w:rPr>
          <w:color w:val="auto"/>
          <w:highlight w:val="none"/>
        </w:rPr>
        <w:fldChar w:fldCharType="separate"/>
      </w:r>
      <w:r>
        <w:rPr>
          <w:rFonts w:eastAsia="黑体"/>
          <w:color w:val="auto"/>
          <w:sz w:val="24"/>
          <w:szCs w:val="24"/>
          <w:highlight w:val="none"/>
        </w:rPr>
        <w:t>7.2 经济效益</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_Toc12417 \h </w:instrText>
      </w:r>
      <w:r>
        <w:rPr>
          <w:rFonts w:eastAsia="黑体"/>
          <w:color w:val="auto"/>
          <w:sz w:val="24"/>
          <w:szCs w:val="24"/>
          <w:highlight w:val="none"/>
        </w:rPr>
        <w:fldChar w:fldCharType="separate"/>
      </w:r>
      <w:r>
        <w:rPr>
          <w:rFonts w:eastAsia="黑体"/>
          <w:color w:val="auto"/>
          <w:sz w:val="24"/>
          <w:szCs w:val="24"/>
          <w:highlight w:val="none"/>
        </w:rPr>
        <w:t>157</w:t>
      </w:r>
      <w:r>
        <w:rPr>
          <w:rFonts w:eastAsia="黑体"/>
          <w:color w:val="auto"/>
          <w:sz w:val="24"/>
          <w:szCs w:val="24"/>
          <w:highlight w:val="none"/>
        </w:rPr>
        <w:fldChar w:fldCharType="end"/>
      </w:r>
      <w:r>
        <w:rPr>
          <w:rFonts w:eastAsia="黑体"/>
          <w:color w:val="auto"/>
          <w:sz w:val="24"/>
          <w:szCs w:val="24"/>
          <w:highlight w:val="none"/>
        </w:rPr>
        <w:fldChar w:fldCharType="end"/>
      </w:r>
    </w:p>
    <w:p w14:paraId="5A853B27">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"_Toc14731" </w:instrText>
      </w:r>
      <w:r>
        <w:rPr>
          <w:color w:val="auto"/>
          <w:highlight w:val="none"/>
        </w:rPr>
        <w:fldChar w:fldCharType="separate"/>
      </w:r>
      <w:r>
        <w:rPr>
          <w:rFonts w:eastAsia="黑体"/>
          <w:i w:val="0"/>
          <w:color w:val="auto"/>
          <w:sz w:val="24"/>
          <w:szCs w:val="24"/>
          <w:highlight w:val="none"/>
        </w:rPr>
        <w:t>7.2.1环境代价</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_Toc14731 \h </w:instrText>
      </w:r>
      <w:r>
        <w:rPr>
          <w:rFonts w:eastAsia="黑体"/>
          <w:i w:val="0"/>
          <w:color w:val="auto"/>
          <w:sz w:val="24"/>
          <w:szCs w:val="24"/>
          <w:highlight w:val="none"/>
        </w:rPr>
        <w:fldChar w:fldCharType="separate"/>
      </w:r>
      <w:r>
        <w:rPr>
          <w:rFonts w:eastAsia="黑体"/>
          <w:i w:val="0"/>
          <w:color w:val="auto"/>
          <w:sz w:val="24"/>
          <w:szCs w:val="24"/>
          <w:highlight w:val="none"/>
        </w:rPr>
        <w:t>157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770578C">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"_Toc28000" </w:instrText>
      </w:r>
      <w:r>
        <w:rPr>
          <w:color w:val="auto"/>
          <w:highlight w:val="none"/>
        </w:rPr>
        <w:fldChar w:fldCharType="separate"/>
      </w:r>
      <w:r>
        <w:rPr>
          <w:rFonts w:eastAsia="黑体"/>
          <w:i w:val="0"/>
          <w:color w:val="auto"/>
          <w:sz w:val="24"/>
          <w:szCs w:val="24"/>
          <w:highlight w:val="none"/>
        </w:rPr>
        <w:t>7.2.2环境成本</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_Toc28000 \h </w:instrText>
      </w:r>
      <w:r>
        <w:rPr>
          <w:rFonts w:eastAsia="黑体"/>
          <w:i w:val="0"/>
          <w:color w:val="auto"/>
          <w:sz w:val="24"/>
          <w:szCs w:val="24"/>
          <w:highlight w:val="none"/>
        </w:rPr>
        <w:fldChar w:fldCharType="separate"/>
      </w:r>
      <w:r>
        <w:rPr>
          <w:rFonts w:eastAsia="黑体"/>
          <w:i w:val="0"/>
          <w:color w:val="auto"/>
          <w:sz w:val="24"/>
          <w:szCs w:val="24"/>
          <w:highlight w:val="none"/>
        </w:rPr>
        <w:t>158</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E0C6B23">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"_Toc24249" </w:instrText>
      </w:r>
      <w:r>
        <w:rPr>
          <w:color w:val="auto"/>
          <w:highlight w:val="none"/>
        </w:rPr>
        <w:fldChar w:fldCharType="separate"/>
      </w:r>
      <w:r>
        <w:rPr>
          <w:rFonts w:eastAsia="黑体"/>
          <w:color w:val="auto"/>
          <w:sz w:val="24"/>
          <w:szCs w:val="24"/>
          <w:highlight w:val="none"/>
        </w:rPr>
        <w:t>7.3 环境效益</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_Toc24249 \h </w:instrText>
      </w:r>
      <w:r>
        <w:rPr>
          <w:rFonts w:eastAsia="黑体"/>
          <w:color w:val="auto"/>
          <w:sz w:val="24"/>
          <w:szCs w:val="24"/>
          <w:highlight w:val="none"/>
        </w:rPr>
        <w:fldChar w:fldCharType="separate"/>
      </w:r>
      <w:r>
        <w:rPr>
          <w:rFonts w:eastAsia="黑体"/>
          <w:color w:val="auto"/>
          <w:sz w:val="24"/>
          <w:szCs w:val="24"/>
          <w:highlight w:val="none"/>
        </w:rPr>
        <w:t>158</w:t>
      </w:r>
      <w:r>
        <w:rPr>
          <w:rFonts w:eastAsia="黑体"/>
          <w:color w:val="auto"/>
          <w:sz w:val="24"/>
          <w:szCs w:val="24"/>
          <w:highlight w:val="none"/>
        </w:rPr>
        <w:fldChar w:fldCharType="end"/>
      </w:r>
      <w:r>
        <w:rPr>
          <w:rFonts w:eastAsia="黑体"/>
          <w:color w:val="auto"/>
          <w:sz w:val="24"/>
          <w:szCs w:val="24"/>
          <w:highlight w:val="none"/>
        </w:rPr>
        <w:fldChar w:fldCharType="end"/>
      </w:r>
    </w:p>
    <w:p w14:paraId="108F7038">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"_Toc14102" </w:instrText>
      </w:r>
      <w:r>
        <w:rPr>
          <w:color w:val="auto"/>
          <w:highlight w:val="none"/>
        </w:rPr>
        <w:fldChar w:fldCharType="separate"/>
      </w:r>
      <w:r>
        <w:rPr>
          <w:rFonts w:eastAsia="黑体"/>
          <w:i w:val="0"/>
          <w:color w:val="auto"/>
          <w:sz w:val="24"/>
          <w:szCs w:val="24"/>
          <w:highlight w:val="none"/>
        </w:rPr>
        <w:t>7.4 分析结论</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_Toc14102 \h </w:instrText>
      </w:r>
      <w:r>
        <w:rPr>
          <w:rFonts w:eastAsia="黑体"/>
          <w:i w:val="0"/>
          <w:color w:val="auto"/>
          <w:sz w:val="24"/>
          <w:szCs w:val="24"/>
          <w:highlight w:val="none"/>
        </w:rPr>
        <w:fldChar w:fldCharType="separate"/>
      </w:r>
      <w:r>
        <w:rPr>
          <w:rFonts w:eastAsia="黑体"/>
          <w:i w:val="0"/>
          <w:color w:val="auto"/>
          <w:sz w:val="24"/>
          <w:szCs w:val="24"/>
          <w:highlight w:val="none"/>
        </w:rPr>
        <w:t>159</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B9FCDB9">
      <w:pPr>
        <w:pStyle w:val="31"/>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"_Toc28663" </w:instrText>
      </w:r>
      <w:r>
        <w:rPr>
          <w:color w:val="auto"/>
          <w:highlight w:val="none"/>
        </w:rPr>
        <w:fldChar w:fldCharType="separate"/>
      </w:r>
      <w:r>
        <w:rPr>
          <w:rFonts w:eastAsia="黑体"/>
          <w:color w:val="auto"/>
          <w:sz w:val="24"/>
          <w:szCs w:val="24"/>
          <w:highlight w:val="none"/>
        </w:rPr>
        <w:t>8 环境管理及监测计划</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_Toc28663 \h </w:instrText>
      </w:r>
      <w:r>
        <w:rPr>
          <w:rFonts w:eastAsia="黑体"/>
          <w:color w:val="auto"/>
          <w:sz w:val="24"/>
          <w:szCs w:val="24"/>
          <w:highlight w:val="none"/>
        </w:rPr>
        <w:fldChar w:fldCharType="separate"/>
      </w:r>
      <w:r>
        <w:rPr>
          <w:rFonts w:eastAsia="黑体"/>
          <w:color w:val="auto"/>
          <w:sz w:val="24"/>
          <w:szCs w:val="24"/>
          <w:highlight w:val="none"/>
        </w:rPr>
        <w:t>160</w:t>
      </w:r>
      <w:r>
        <w:rPr>
          <w:rFonts w:eastAsia="黑体"/>
          <w:color w:val="auto"/>
          <w:sz w:val="24"/>
          <w:szCs w:val="24"/>
          <w:highlight w:val="none"/>
        </w:rPr>
        <w:fldChar w:fldCharType="end"/>
      </w:r>
      <w:r>
        <w:rPr>
          <w:rFonts w:eastAsia="黑体"/>
          <w:color w:val="auto"/>
          <w:sz w:val="24"/>
          <w:szCs w:val="24"/>
          <w:highlight w:val="none"/>
        </w:rPr>
        <w:fldChar w:fldCharType="end"/>
      </w:r>
    </w:p>
    <w:p w14:paraId="63629470">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"_Toc27101" </w:instrText>
      </w:r>
      <w:r>
        <w:rPr>
          <w:color w:val="auto"/>
          <w:highlight w:val="none"/>
        </w:rPr>
        <w:fldChar w:fldCharType="separate"/>
      </w:r>
      <w:r>
        <w:rPr>
          <w:rFonts w:eastAsia="黑体"/>
          <w:bCs/>
          <w:snapToGrid w:val="0"/>
          <w:color w:val="auto"/>
          <w:sz w:val="24"/>
          <w:szCs w:val="24"/>
          <w:highlight w:val="none"/>
        </w:rPr>
        <w:t>8.1环境管理</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_Toc27101 \h </w:instrText>
      </w:r>
      <w:r>
        <w:rPr>
          <w:rFonts w:eastAsia="黑体"/>
          <w:color w:val="auto"/>
          <w:sz w:val="24"/>
          <w:szCs w:val="24"/>
          <w:highlight w:val="none"/>
        </w:rPr>
        <w:fldChar w:fldCharType="separate"/>
      </w:r>
      <w:r>
        <w:rPr>
          <w:rFonts w:eastAsia="黑体"/>
          <w:color w:val="auto"/>
          <w:sz w:val="24"/>
          <w:szCs w:val="24"/>
          <w:highlight w:val="none"/>
        </w:rPr>
        <w:t>160</w:t>
      </w:r>
      <w:r>
        <w:rPr>
          <w:rFonts w:eastAsia="黑体"/>
          <w:color w:val="auto"/>
          <w:sz w:val="24"/>
          <w:szCs w:val="24"/>
          <w:highlight w:val="none"/>
        </w:rPr>
        <w:fldChar w:fldCharType="end"/>
      </w:r>
      <w:r>
        <w:rPr>
          <w:rFonts w:eastAsia="黑体"/>
          <w:color w:val="auto"/>
          <w:sz w:val="24"/>
          <w:szCs w:val="24"/>
          <w:highlight w:val="none"/>
        </w:rPr>
        <w:fldChar w:fldCharType="end"/>
      </w:r>
    </w:p>
    <w:p w14:paraId="53865492">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"_Toc3905" </w:instrText>
      </w:r>
      <w:r>
        <w:rPr>
          <w:color w:val="auto"/>
          <w:highlight w:val="none"/>
        </w:rPr>
        <w:fldChar w:fldCharType="separate"/>
      </w:r>
      <w:r>
        <w:rPr>
          <w:rFonts w:eastAsia="黑体"/>
          <w:bCs/>
          <w:i w:val="0"/>
          <w:snapToGrid w:val="0"/>
          <w:color w:val="auto"/>
          <w:sz w:val="24"/>
          <w:szCs w:val="24"/>
          <w:highlight w:val="none"/>
        </w:rPr>
        <w:t>8.1.1环境管理体系</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_Toc3905 \h </w:instrText>
      </w:r>
      <w:r>
        <w:rPr>
          <w:rFonts w:eastAsia="黑体"/>
          <w:i w:val="0"/>
          <w:color w:val="auto"/>
          <w:sz w:val="24"/>
          <w:szCs w:val="24"/>
          <w:highlight w:val="none"/>
        </w:rPr>
        <w:fldChar w:fldCharType="separate"/>
      </w:r>
      <w:r>
        <w:rPr>
          <w:rFonts w:eastAsia="黑体"/>
          <w:i w:val="0"/>
          <w:color w:val="auto"/>
          <w:sz w:val="24"/>
          <w:szCs w:val="24"/>
          <w:highlight w:val="none"/>
        </w:rPr>
        <w:t>160</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074DB22">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"_Toc9151" </w:instrText>
      </w:r>
      <w:r>
        <w:rPr>
          <w:color w:val="auto"/>
          <w:highlight w:val="none"/>
        </w:rPr>
        <w:fldChar w:fldCharType="separate"/>
      </w:r>
      <w:r>
        <w:rPr>
          <w:rFonts w:eastAsia="黑体"/>
          <w:bCs/>
          <w:i w:val="0"/>
          <w:snapToGrid w:val="0"/>
          <w:color w:val="auto"/>
          <w:sz w:val="24"/>
          <w:szCs w:val="24"/>
          <w:highlight w:val="none"/>
        </w:rPr>
        <w:t>8.1.2环境管理内容</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_Toc9151 \h </w:instrText>
      </w:r>
      <w:r>
        <w:rPr>
          <w:rFonts w:eastAsia="黑体"/>
          <w:i w:val="0"/>
          <w:color w:val="auto"/>
          <w:sz w:val="24"/>
          <w:szCs w:val="24"/>
          <w:highlight w:val="none"/>
        </w:rPr>
        <w:fldChar w:fldCharType="separate"/>
      </w:r>
      <w:r>
        <w:rPr>
          <w:rFonts w:eastAsia="黑体"/>
          <w:i w:val="0"/>
          <w:color w:val="auto"/>
          <w:sz w:val="24"/>
          <w:szCs w:val="24"/>
          <w:highlight w:val="none"/>
        </w:rPr>
        <w:t>161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37175A03">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"_Toc24179" </w:instrText>
      </w:r>
      <w:r>
        <w:rPr>
          <w:color w:val="auto"/>
          <w:highlight w:val="none"/>
        </w:rPr>
        <w:fldChar w:fldCharType="separate"/>
      </w:r>
      <w:r>
        <w:rPr>
          <w:rFonts w:eastAsia="黑体"/>
          <w:bCs/>
          <w:i w:val="0"/>
          <w:snapToGrid w:val="0"/>
          <w:color w:val="auto"/>
          <w:sz w:val="24"/>
          <w:szCs w:val="24"/>
          <w:highlight w:val="none"/>
        </w:rPr>
        <w:t>8.1.3污染物排放管理要求</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_Toc24179 \h </w:instrText>
      </w:r>
      <w:r>
        <w:rPr>
          <w:rFonts w:eastAsia="黑体"/>
          <w:i w:val="0"/>
          <w:color w:val="auto"/>
          <w:sz w:val="24"/>
          <w:szCs w:val="24"/>
          <w:highlight w:val="none"/>
        </w:rPr>
        <w:fldChar w:fldCharType="separate"/>
      </w:r>
      <w:r>
        <w:rPr>
          <w:rFonts w:eastAsia="黑体"/>
          <w:i w:val="0"/>
          <w:color w:val="auto"/>
          <w:sz w:val="24"/>
          <w:szCs w:val="24"/>
          <w:highlight w:val="none"/>
        </w:rPr>
        <w:t>161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2B4B174C">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"_Toc29505" </w:instrText>
      </w:r>
      <w:r>
        <w:rPr>
          <w:color w:val="auto"/>
          <w:highlight w:val="none"/>
        </w:rPr>
        <w:fldChar w:fldCharType="separate"/>
      </w:r>
      <w:r>
        <w:rPr>
          <w:rFonts w:eastAsia="黑体"/>
          <w:bCs/>
          <w:i w:val="0"/>
          <w:snapToGrid w:val="0"/>
          <w:color w:val="auto"/>
          <w:sz w:val="24"/>
          <w:szCs w:val="24"/>
          <w:highlight w:val="none"/>
        </w:rPr>
        <w:t>8.1.4排污口管理信息</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_Toc29505 \h </w:instrText>
      </w:r>
      <w:r>
        <w:rPr>
          <w:rFonts w:eastAsia="黑体"/>
          <w:i w:val="0"/>
          <w:color w:val="auto"/>
          <w:sz w:val="24"/>
          <w:szCs w:val="24"/>
          <w:highlight w:val="none"/>
        </w:rPr>
        <w:fldChar w:fldCharType="separate"/>
      </w:r>
      <w:r>
        <w:rPr>
          <w:rFonts w:eastAsia="黑体"/>
          <w:i w:val="0"/>
          <w:color w:val="auto"/>
          <w:sz w:val="24"/>
          <w:szCs w:val="24"/>
          <w:highlight w:val="none"/>
        </w:rPr>
        <w:t>165</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BF7F836">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"_Toc7624" </w:instrText>
      </w:r>
      <w:r>
        <w:rPr>
          <w:color w:val="auto"/>
          <w:highlight w:val="none"/>
        </w:rPr>
        <w:fldChar w:fldCharType="separate"/>
      </w:r>
      <w:r>
        <w:rPr>
          <w:rFonts w:eastAsia="黑体"/>
          <w:bCs/>
          <w:i w:val="0"/>
          <w:snapToGrid w:val="0"/>
          <w:color w:val="auto"/>
          <w:sz w:val="24"/>
          <w:szCs w:val="24"/>
          <w:highlight w:val="none"/>
        </w:rPr>
        <w:t>8.1.5企业信息公开</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_Toc7624 \h </w:instrText>
      </w:r>
      <w:r>
        <w:rPr>
          <w:rFonts w:eastAsia="黑体"/>
          <w:i w:val="0"/>
          <w:color w:val="auto"/>
          <w:sz w:val="24"/>
          <w:szCs w:val="24"/>
          <w:highlight w:val="none"/>
        </w:rPr>
        <w:fldChar w:fldCharType="separate"/>
      </w:r>
      <w:r>
        <w:rPr>
          <w:rFonts w:eastAsia="黑体"/>
          <w:i w:val="0"/>
          <w:color w:val="auto"/>
          <w:sz w:val="24"/>
          <w:szCs w:val="24"/>
          <w:highlight w:val="none"/>
        </w:rPr>
        <w:t>166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2458361">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"_Toc31823" </w:instrText>
      </w:r>
      <w:r>
        <w:rPr>
          <w:color w:val="auto"/>
          <w:highlight w:val="none"/>
        </w:rPr>
        <w:fldChar w:fldCharType="separate"/>
      </w:r>
      <w:r>
        <w:rPr>
          <w:rFonts w:eastAsia="黑体"/>
          <w:bCs/>
          <w:snapToGrid w:val="0"/>
          <w:color w:val="auto"/>
          <w:sz w:val="24"/>
          <w:szCs w:val="24"/>
          <w:highlight w:val="none"/>
        </w:rPr>
        <w:t>8.2环境监测计划</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_Toc31823 \h </w:instrText>
      </w:r>
      <w:r>
        <w:rPr>
          <w:rFonts w:eastAsia="黑体"/>
          <w:color w:val="auto"/>
          <w:sz w:val="24"/>
          <w:szCs w:val="24"/>
          <w:highlight w:val="none"/>
        </w:rPr>
        <w:fldChar w:fldCharType="separate"/>
      </w:r>
      <w:r>
        <w:rPr>
          <w:rFonts w:eastAsia="黑体"/>
          <w:color w:val="auto"/>
          <w:sz w:val="24"/>
          <w:szCs w:val="24"/>
          <w:highlight w:val="none"/>
        </w:rPr>
        <w:t>166</w:t>
      </w:r>
      <w:r>
        <w:rPr>
          <w:rFonts w:eastAsia="黑体"/>
          <w:color w:val="auto"/>
          <w:sz w:val="24"/>
          <w:szCs w:val="24"/>
          <w:highlight w:val="none"/>
        </w:rPr>
        <w:fldChar w:fldCharType="end"/>
      </w:r>
      <w:r>
        <w:rPr>
          <w:rFonts w:eastAsia="黑体"/>
          <w:color w:val="auto"/>
          <w:sz w:val="24"/>
          <w:szCs w:val="24"/>
          <w:highlight w:val="none"/>
        </w:rPr>
        <w:fldChar w:fldCharType="end"/>
      </w:r>
    </w:p>
    <w:p w14:paraId="62C3315F">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"_Toc15255" </w:instrText>
      </w:r>
      <w:r>
        <w:rPr>
          <w:color w:val="auto"/>
          <w:highlight w:val="none"/>
        </w:rPr>
        <w:fldChar w:fldCharType="separate"/>
      </w:r>
      <w:r>
        <w:rPr>
          <w:rFonts w:eastAsia="黑体"/>
          <w:bCs/>
          <w:i w:val="0"/>
          <w:snapToGrid w:val="0"/>
          <w:color w:val="auto"/>
          <w:sz w:val="24"/>
          <w:szCs w:val="24"/>
          <w:highlight w:val="none"/>
        </w:rPr>
        <w:t>8.2.1环境监测机构职责</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_Toc15255 \h </w:instrText>
      </w:r>
      <w:r>
        <w:rPr>
          <w:rFonts w:eastAsia="黑体"/>
          <w:i w:val="0"/>
          <w:color w:val="auto"/>
          <w:sz w:val="24"/>
          <w:szCs w:val="24"/>
          <w:highlight w:val="none"/>
        </w:rPr>
        <w:fldChar w:fldCharType="separate"/>
      </w:r>
      <w:r>
        <w:rPr>
          <w:rFonts w:eastAsia="黑体"/>
          <w:i w:val="0"/>
          <w:color w:val="auto"/>
          <w:sz w:val="24"/>
          <w:szCs w:val="24"/>
          <w:highlight w:val="none"/>
        </w:rPr>
        <w:t>166</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2B2A5A72">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"_Toc19862" </w:instrText>
      </w:r>
      <w:r>
        <w:rPr>
          <w:color w:val="auto"/>
          <w:highlight w:val="none"/>
        </w:rPr>
        <w:fldChar w:fldCharType="separate"/>
      </w:r>
      <w:r>
        <w:rPr>
          <w:rFonts w:eastAsia="黑体"/>
          <w:bCs/>
          <w:i w:val="0"/>
          <w:snapToGrid w:val="0"/>
          <w:color w:val="auto"/>
          <w:sz w:val="24"/>
          <w:szCs w:val="24"/>
          <w:highlight w:val="none"/>
        </w:rPr>
        <w:t>8.2.2环境监测计划</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_Toc19862 \h </w:instrText>
      </w:r>
      <w:r>
        <w:rPr>
          <w:rFonts w:eastAsia="黑体"/>
          <w:i w:val="0"/>
          <w:color w:val="auto"/>
          <w:sz w:val="24"/>
          <w:szCs w:val="24"/>
          <w:highlight w:val="none"/>
        </w:rPr>
        <w:fldChar w:fldCharType="separate"/>
      </w:r>
      <w:r>
        <w:rPr>
          <w:rFonts w:eastAsia="黑体"/>
          <w:i w:val="0"/>
          <w:color w:val="auto"/>
          <w:sz w:val="24"/>
          <w:szCs w:val="24"/>
          <w:highlight w:val="none"/>
        </w:rPr>
        <w:t>167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22C8732B">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"_Toc18114" </w:instrText>
      </w:r>
      <w:r>
        <w:rPr>
          <w:color w:val="auto"/>
          <w:highlight w:val="none"/>
        </w:rPr>
        <w:fldChar w:fldCharType="separate"/>
      </w:r>
      <w:r>
        <w:rPr>
          <w:rFonts w:eastAsia="黑体"/>
          <w:bCs/>
          <w:i w:val="0"/>
          <w:snapToGrid w:val="0"/>
          <w:color w:val="auto"/>
          <w:sz w:val="24"/>
          <w:szCs w:val="24"/>
          <w:highlight w:val="none"/>
        </w:rPr>
        <w:t>8.2.3监测资料管理</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_Toc18114 \h </w:instrText>
      </w:r>
      <w:r>
        <w:rPr>
          <w:rFonts w:eastAsia="黑体"/>
          <w:i w:val="0"/>
          <w:color w:val="auto"/>
          <w:sz w:val="24"/>
          <w:szCs w:val="24"/>
          <w:highlight w:val="none"/>
        </w:rPr>
        <w:fldChar w:fldCharType="separate"/>
      </w:r>
      <w:r>
        <w:rPr>
          <w:rFonts w:eastAsia="黑体"/>
          <w:i w:val="0"/>
          <w:color w:val="auto"/>
          <w:sz w:val="24"/>
          <w:szCs w:val="24"/>
          <w:highlight w:val="none"/>
        </w:rPr>
        <w:t>167</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2B425D4">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"_Toc12726" </w:instrText>
      </w:r>
      <w:r>
        <w:rPr>
          <w:color w:val="auto"/>
          <w:highlight w:val="none"/>
        </w:rPr>
        <w:fldChar w:fldCharType="separate"/>
      </w:r>
      <w:r>
        <w:rPr>
          <w:rFonts w:eastAsia="黑体"/>
          <w:bCs/>
          <w:snapToGrid w:val="0"/>
          <w:color w:val="auto"/>
          <w:sz w:val="24"/>
          <w:szCs w:val="24"/>
          <w:highlight w:val="none"/>
        </w:rPr>
        <w:t>8.3竣工环境保护验收管理</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_Toc12726 \h </w:instrText>
      </w:r>
      <w:r>
        <w:rPr>
          <w:rFonts w:eastAsia="黑体"/>
          <w:color w:val="auto"/>
          <w:sz w:val="24"/>
          <w:szCs w:val="24"/>
          <w:highlight w:val="none"/>
        </w:rPr>
        <w:fldChar w:fldCharType="separate"/>
      </w:r>
      <w:r>
        <w:rPr>
          <w:rFonts w:eastAsia="黑体"/>
          <w:color w:val="auto"/>
          <w:sz w:val="24"/>
          <w:szCs w:val="24"/>
          <w:highlight w:val="none"/>
        </w:rPr>
        <w:t>167</w:t>
      </w:r>
      <w:r>
        <w:rPr>
          <w:rFonts w:eastAsia="黑体"/>
          <w:color w:val="auto"/>
          <w:sz w:val="24"/>
          <w:szCs w:val="24"/>
          <w:highlight w:val="none"/>
        </w:rPr>
        <w:fldChar w:fldCharType="end"/>
      </w:r>
      <w:r>
        <w:rPr>
          <w:rFonts w:eastAsia="黑体"/>
          <w:color w:val="auto"/>
          <w:sz w:val="24"/>
          <w:szCs w:val="24"/>
          <w:highlight w:val="none"/>
        </w:rPr>
        <w:fldChar w:fldCharType="end"/>
      </w:r>
    </w:p>
    <w:p w14:paraId="14612DD5">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"_Toc420" </w:instrText>
      </w:r>
      <w:r>
        <w:rPr>
          <w:color w:val="auto"/>
          <w:highlight w:val="none"/>
        </w:rPr>
        <w:fldChar w:fldCharType="separate"/>
      </w:r>
      <w:r>
        <w:rPr>
          <w:rFonts w:eastAsia="黑体"/>
          <w:i w:val="0"/>
          <w:color w:val="auto"/>
          <w:sz w:val="24"/>
          <w:szCs w:val="24"/>
          <w:highlight w:val="none"/>
        </w:rPr>
        <w:t>8.3.1环境保护验收条件</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_Toc420 \h </w:instrText>
      </w:r>
      <w:r>
        <w:rPr>
          <w:rFonts w:eastAsia="黑体"/>
          <w:i w:val="0"/>
          <w:color w:val="auto"/>
          <w:sz w:val="24"/>
          <w:szCs w:val="24"/>
          <w:highlight w:val="none"/>
        </w:rPr>
        <w:fldChar w:fldCharType="separate"/>
      </w:r>
      <w:r>
        <w:rPr>
          <w:rFonts w:eastAsia="黑体"/>
          <w:i w:val="0"/>
          <w:color w:val="auto"/>
          <w:sz w:val="24"/>
          <w:szCs w:val="24"/>
          <w:highlight w:val="none"/>
        </w:rPr>
        <w:t>168</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BCAE27F">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"_Toc25324" </w:instrText>
      </w:r>
      <w:r>
        <w:rPr>
          <w:color w:val="auto"/>
          <w:highlight w:val="none"/>
        </w:rPr>
        <w:fldChar w:fldCharType="separate"/>
      </w:r>
      <w:r>
        <w:rPr>
          <w:rFonts w:eastAsia="黑体"/>
          <w:i w:val="0"/>
          <w:color w:val="auto"/>
          <w:sz w:val="24"/>
          <w:szCs w:val="24"/>
          <w:highlight w:val="none"/>
        </w:rPr>
        <w:t>8.3.2竣工环境保护验收内容</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_Toc25324 \h </w:instrText>
      </w:r>
      <w:r>
        <w:rPr>
          <w:rFonts w:eastAsia="黑体"/>
          <w:i w:val="0"/>
          <w:color w:val="auto"/>
          <w:sz w:val="24"/>
          <w:szCs w:val="24"/>
          <w:highlight w:val="none"/>
        </w:rPr>
        <w:fldChar w:fldCharType="separate"/>
      </w:r>
      <w:r>
        <w:rPr>
          <w:rFonts w:eastAsia="黑体"/>
          <w:i w:val="0"/>
          <w:color w:val="auto"/>
          <w:sz w:val="24"/>
          <w:szCs w:val="24"/>
          <w:highlight w:val="none"/>
        </w:rPr>
        <w:t>168</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6D4289E3">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"_Toc399" </w:instrText>
      </w:r>
      <w:r>
        <w:rPr>
          <w:color w:val="auto"/>
          <w:highlight w:val="none"/>
        </w:rPr>
        <w:fldChar w:fldCharType="separate"/>
      </w:r>
      <w:r>
        <w:rPr>
          <w:rFonts w:eastAsia="黑体"/>
          <w:bCs/>
          <w:snapToGrid w:val="0"/>
          <w:color w:val="auto"/>
          <w:sz w:val="24"/>
          <w:szCs w:val="24"/>
          <w:highlight w:val="none"/>
        </w:rPr>
        <w:t>8.4 总量控制</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_Toc399 \h </w:instrText>
      </w:r>
      <w:r>
        <w:rPr>
          <w:rFonts w:eastAsia="黑体"/>
          <w:color w:val="auto"/>
          <w:sz w:val="24"/>
          <w:szCs w:val="24"/>
          <w:highlight w:val="none"/>
        </w:rPr>
        <w:fldChar w:fldCharType="separate"/>
      </w:r>
      <w:r>
        <w:rPr>
          <w:rFonts w:eastAsia="黑体"/>
          <w:color w:val="auto"/>
          <w:sz w:val="24"/>
          <w:szCs w:val="24"/>
          <w:highlight w:val="none"/>
        </w:rPr>
        <w:t>171</w:t>
      </w:r>
      <w:r>
        <w:rPr>
          <w:rFonts w:eastAsia="黑体"/>
          <w:color w:val="auto"/>
          <w:sz w:val="24"/>
          <w:szCs w:val="24"/>
          <w:highlight w:val="none"/>
        </w:rPr>
        <w:fldChar w:fldCharType="end"/>
      </w:r>
      <w:r>
        <w:rPr>
          <w:rFonts w:eastAsia="黑体"/>
          <w:color w:val="auto"/>
          <w:sz w:val="24"/>
          <w:szCs w:val="24"/>
          <w:highlight w:val="none"/>
        </w:rPr>
        <w:fldChar w:fldCharType="end"/>
      </w:r>
    </w:p>
    <w:p w14:paraId="61D8D719">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"_Toc32037" </w:instrText>
      </w:r>
      <w:r>
        <w:rPr>
          <w:color w:val="auto"/>
          <w:highlight w:val="none"/>
        </w:rPr>
        <w:fldChar w:fldCharType="separate"/>
      </w:r>
      <w:r>
        <w:rPr>
          <w:rFonts w:eastAsia="黑体"/>
          <w:bCs/>
          <w:i w:val="0"/>
          <w:color w:val="auto"/>
          <w:sz w:val="24"/>
          <w:szCs w:val="24"/>
          <w:highlight w:val="none"/>
        </w:rPr>
        <w:t>8.4.1 总量控制的原则</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_Toc32037 \h </w:instrText>
      </w:r>
      <w:r>
        <w:rPr>
          <w:rFonts w:eastAsia="黑体"/>
          <w:i w:val="0"/>
          <w:color w:val="auto"/>
          <w:sz w:val="24"/>
          <w:szCs w:val="24"/>
          <w:highlight w:val="none"/>
        </w:rPr>
        <w:fldChar w:fldCharType="separate"/>
      </w:r>
      <w:r>
        <w:rPr>
          <w:rFonts w:eastAsia="黑体"/>
          <w:i w:val="0"/>
          <w:color w:val="auto"/>
          <w:sz w:val="24"/>
          <w:szCs w:val="24"/>
          <w:highlight w:val="none"/>
        </w:rPr>
        <w:t>171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75D50F8E">
      <w:pPr>
        <w:pStyle w:val="22"/>
        <w:tabs>
          <w:tab w:val="right" w:leader="dot" w:pos="8306"/>
        </w:tabs>
        <w:spacing w:line="440" w:lineRule="exact"/>
        <w:rPr>
          <w:rFonts w:eastAsia="黑体"/>
          <w:i w:val="0"/>
          <w:color w:val="auto"/>
          <w:sz w:val="24"/>
          <w:szCs w:val="24"/>
          <w:highlight w:val="none"/>
        </w:rPr>
      </w:pPr>
      <w:r>
        <w:rPr>
          <w:color w:val="auto"/>
          <w:highlight w:val="none"/>
        </w:rPr>
        <w:fldChar w:fldCharType="begin"/>
      </w:r>
      <w:r>
        <w:rPr>
          <w:color w:val="auto"/>
          <w:highlight w:val="none"/>
        </w:rPr>
        <w:instrText xml:space="preserve"> HYPERLINK \l "_Toc26389" </w:instrText>
      </w:r>
      <w:r>
        <w:rPr>
          <w:color w:val="auto"/>
          <w:highlight w:val="none"/>
        </w:rPr>
        <w:fldChar w:fldCharType="separate"/>
      </w:r>
      <w:r>
        <w:rPr>
          <w:rFonts w:eastAsia="黑体"/>
          <w:bCs/>
          <w:i w:val="0"/>
          <w:color w:val="auto"/>
          <w:sz w:val="24"/>
          <w:szCs w:val="24"/>
          <w:highlight w:val="none"/>
        </w:rPr>
        <w:t>8.4.2 实施总量控制的项目</w:t>
      </w:r>
      <w:r>
        <w:rPr>
          <w:rFonts w:eastAsia="黑体"/>
          <w:i w:val="0"/>
          <w:color w:val="auto"/>
          <w:sz w:val="24"/>
          <w:szCs w:val="24"/>
          <w:highlight w:val="none"/>
        </w:rPr>
        <w:tab/>
      </w:r>
      <w:r>
        <w:rPr>
          <w:rFonts w:eastAsia="黑体"/>
          <w:i w:val="0"/>
          <w:color w:val="auto"/>
          <w:sz w:val="24"/>
          <w:szCs w:val="24"/>
          <w:highlight w:val="none"/>
        </w:rPr>
        <w:fldChar w:fldCharType="begin"/>
      </w:r>
      <w:r>
        <w:rPr>
          <w:rFonts w:eastAsia="黑体"/>
          <w:i w:val="0"/>
          <w:color w:val="auto"/>
          <w:sz w:val="24"/>
          <w:szCs w:val="24"/>
          <w:highlight w:val="none"/>
        </w:rPr>
        <w:instrText xml:space="preserve"> PAGEREF _Toc26389 \h </w:instrText>
      </w:r>
      <w:r>
        <w:rPr>
          <w:rFonts w:eastAsia="黑体"/>
          <w:i w:val="0"/>
          <w:color w:val="auto"/>
          <w:sz w:val="24"/>
          <w:szCs w:val="24"/>
          <w:highlight w:val="none"/>
        </w:rPr>
        <w:fldChar w:fldCharType="separate"/>
      </w:r>
      <w:r>
        <w:rPr>
          <w:rFonts w:eastAsia="黑体"/>
          <w:i w:val="0"/>
          <w:color w:val="auto"/>
          <w:sz w:val="24"/>
          <w:szCs w:val="24"/>
          <w:highlight w:val="none"/>
        </w:rPr>
        <w:t>171</w:t>
      </w:r>
      <w:r>
        <w:rPr>
          <w:rFonts w:eastAsia="黑体"/>
          <w:i w:val="0"/>
          <w:color w:val="auto"/>
          <w:sz w:val="24"/>
          <w:szCs w:val="24"/>
          <w:highlight w:val="none"/>
        </w:rPr>
        <w:fldChar w:fldCharType="end"/>
      </w:r>
      <w:r>
        <w:rPr>
          <w:rFonts w:eastAsia="黑体"/>
          <w:i w:val="0"/>
          <w:color w:val="auto"/>
          <w:sz w:val="24"/>
          <w:szCs w:val="24"/>
          <w:highlight w:val="none"/>
        </w:rPr>
        <w:fldChar w:fldCharType="end"/>
      </w:r>
    </w:p>
    <w:p w14:paraId="1E938E3C">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"_Toc10654" </w:instrText>
      </w:r>
      <w:r>
        <w:rPr>
          <w:color w:val="auto"/>
          <w:highlight w:val="none"/>
        </w:rPr>
        <w:fldChar w:fldCharType="separate"/>
      </w:r>
      <w:r>
        <w:rPr>
          <w:rFonts w:eastAsia="黑体"/>
          <w:bCs/>
          <w:snapToGrid w:val="0"/>
          <w:color w:val="auto"/>
          <w:sz w:val="24"/>
          <w:szCs w:val="24"/>
          <w:highlight w:val="none"/>
        </w:rPr>
        <w:t>8.5 排污许可证制度衔接</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_Toc10654 \h </w:instrText>
      </w:r>
      <w:r>
        <w:rPr>
          <w:rFonts w:eastAsia="黑体"/>
          <w:color w:val="auto"/>
          <w:sz w:val="24"/>
          <w:szCs w:val="24"/>
          <w:highlight w:val="none"/>
        </w:rPr>
        <w:fldChar w:fldCharType="separate"/>
      </w:r>
      <w:r>
        <w:rPr>
          <w:rFonts w:eastAsia="黑体"/>
          <w:color w:val="auto"/>
          <w:sz w:val="24"/>
          <w:szCs w:val="24"/>
          <w:highlight w:val="none"/>
        </w:rPr>
        <w:t>172</w:t>
      </w:r>
      <w:r>
        <w:rPr>
          <w:rFonts w:eastAsia="黑体"/>
          <w:color w:val="auto"/>
          <w:sz w:val="24"/>
          <w:szCs w:val="24"/>
          <w:highlight w:val="none"/>
        </w:rPr>
        <w:fldChar w:fldCharType="end"/>
      </w:r>
      <w:r>
        <w:rPr>
          <w:rFonts w:eastAsia="黑体"/>
          <w:color w:val="auto"/>
          <w:sz w:val="24"/>
          <w:szCs w:val="24"/>
          <w:highlight w:val="none"/>
        </w:rPr>
        <w:fldChar w:fldCharType="end"/>
      </w:r>
    </w:p>
    <w:p w14:paraId="309E9979">
      <w:pPr>
        <w:pStyle w:val="31"/>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"_Toc23980" </w:instrText>
      </w:r>
      <w:r>
        <w:rPr>
          <w:color w:val="auto"/>
          <w:highlight w:val="none"/>
        </w:rPr>
        <w:fldChar w:fldCharType="separate"/>
      </w:r>
      <w:r>
        <w:rPr>
          <w:rFonts w:eastAsia="黑体"/>
          <w:snapToGrid w:val="0"/>
          <w:color w:val="auto"/>
          <w:sz w:val="24"/>
          <w:szCs w:val="24"/>
          <w:highlight w:val="none"/>
        </w:rPr>
        <w:t>9结论与建议</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_Toc23980 \h </w:instrText>
      </w:r>
      <w:r>
        <w:rPr>
          <w:rFonts w:eastAsia="黑体"/>
          <w:color w:val="auto"/>
          <w:sz w:val="24"/>
          <w:szCs w:val="24"/>
          <w:highlight w:val="none"/>
        </w:rPr>
        <w:fldChar w:fldCharType="separate"/>
      </w:r>
      <w:r>
        <w:rPr>
          <w:rFonts w:eastAsia="黑体"/>
          <w:color w:val="auto"/>
          <w:sz w:val="24"/>
          <w:szCs w:val="24"/>
          <w:highlight w:val="none"/>
        </w:rPr>
        <w:t>173</w:t>
      </w:r>
      <w:r>
        <w:rPr>
          <w:rFonts w:eastAsia="黑体"/>
          <w:color w:val="auto"/>
          <w:sz w:val="24"/>
          <w:szCs w:val="24"/>
          <w:highlight w:val="none"/>
        </w:rPr>
        <w:fldChar w:fldCharType="end"/>
      </w:r>
      <w:r>
        <w:rPr>
          <w:rFonts w:eastAsia="黑体"/>
          <w:color w:val="auto"/>
          <w:sz w:val="24"/>
          <w:szCs w:val="24"/>
          <w:highlight w:val="none"/>
        </w:rPr>
        <w:fldChar w:fldCharType="end"/>
      </w:r>
    </w:p>
    <w:p w14:paraId="36596EE2">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"_Toc6259" </w:instrText>
      </w:r>
      <w:r>
        <w:rPr>
          <w:color w:val="auto"/>
          <w:highlight w:val="none"/>
        </w:rPr>
        <w:fldChar w:fldCharType="separate"/>
      </w:r>
      <w:r>
        <w:rPr>
          <w:rFonts w:eastAsia="黑体"/>
          <w:bCs/>
          <w:snapToGrid w:val="0"/>
          <w:color w:val="auto"/>
          <w:sz w:val="24"/>
          <w:szCs w:val="24"/>
          <w:highlight w:val="none"/>
        </w:rPr>
        <w:t>9.1项目概况</w:t>
      </w:r>
      <w:r>
        <w:rPr>
          <w:rFonts w:eastAsia="黑体"/>
          <w:color w:val="auto"/>
          <w:sz w:val="24"/>
          <w:szCs w:val="24"/>
          <w:highlight w:val="none"/>
        </w:rPr>
        <w:tab/>
      </w:r>
      <w:r>
        <w:rPr>
          <w:rFonts w:eastAsia="黑体"/>
          <w:color w:val="auto"/>
          <w:sz w:val="24"/>
          <w:szCs w:val="24"/>
          <w:highlight w:val="none"/>
        </w:rPr>
        <w:fldChar w:fldCharType="begin"/>
      </w:r>
      <w:r>
        <w:rPr>
          <w:rFonts w:eastAsia="黑体"/>
          <w:color w:val="auto"/>
          <w:sz w:val="24"/>
          <w:szCs w:val="24"/>
          <w:highlight w:val="none"/>
        </w:rPr>
        <w:instrText xml:space="preserve"> PAGEREF _Toc6259 \h </w:instrText>
      </w:r>
      <w:r>
        <w:rPr>
          <w:rFonts w:eastAsia="黑体"/>
          <w:color w:val="auto"/>
          <w:sz w:val="24"/>
          <w:szCs w:val="24"/>
          <w:highlight w:val="none"/>
        </w:rPr>
        <w:fldChar w:fldCharType="separate"/>
      </w:r>
      <w:r>
        <w:rPr>
          <w:rFonts w:eastAsia="黑体"/>
          <w:color w:val="auto"/>
          <w:sz w:val="24"/>
          <w:szCs w:val="24"/>
          <w:highlight w:val="none"/>
        </w:rPr>
        <w:t>173</w:t>
      </w:r>
      <w:r>
        <w:rPr>
          <w:rFonts w:eastAsia="黑体"/>
          <w:color w:val="auto"/>
          <w:sz w:val="24"/>
          <w:szCs w:val="24"/>
          <w:highlight w:val="none"/>
        </w:rPr>
        <w:fldChar w:fldCharType="end"/>
      </w:r>
      <w:r>
        <w:rPr>
          <w:rFonts w:eastAsia="黑体"/>
          <w:color w:val="auto"/>
          <w:sz w:val="24"/>
          <w:szCs w:val="24"/>
          <w:highlight w:val="none"/>
        </w:rPr>
        <w:fldChar w:fldCharType="end"/>
      </w:r>
    </w:p>
    <w:p w14:paraId="3D88062B">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"_Toc17782" </w:instrText>
      </w:r>
      <w:r>
        <w:rPr>
          <w:color w:val="auto"/>
          <w:highlight w:val="none"/>
        </w:rPr>
        <w:fldChar w:fldCharType="separate"/>
      </w:r>
      <w:r>
        <w:rPr>
          <w:rFonts w:eastAsia="黑体"/>
          <w:bCs/>
          <w:snapToGrid w:val="0"/>
          <w:color w:val="auto"/>
          <w:sz w:val="24"/>
          <w:szCs w:val="24"/>
          <w:highlight w:val="none"/>
        </w:rPr>
        <w:t>9.2建设项目与相关产业政策相符性</w:t>
      </w:r>
      <w:r>
        <w:rPr>
          <w:rFonts w:eastAsia="黑体"/>
          <w:bCs/>
          <w:snapToGrid w:val="0"/>
          <w:color w:val="auto"/>
          <w:sz w:val="24"/>
          <w:szCs w:val="24"/>
          <w:highlight w:val="none"/>
        </w:rPr>
        <w:tab/>
      </w: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PAGEREF _Toc17782 \h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173</w:t>
      </w:r>
      <w:r>
        <w:rPr>
          <w:rFonts w:eastAsia="黑体"/>
          <w:bCs/>
          <w:snapToGrid w:val="0"/>
          <w:color w:val="auto"/>
          <w:sz w:val="24"/>
          <w:szCs w:val="24"/>
          <w:highlight w:val="none"/>
        </w:rPr>
        <w:fldChar w:fldCharType="end"/>
      </w:r>
      <w:r>
        <w:rPr>
          <w:rFonts w:eastAsia="黑体"/>
          <w:bCs/>
          <w:snapToGrid w:val="0"/>
          <w:color w:val="auto"/>
          <w:sz w:val="24"/>
          <w:szCs w:val="24"/>
          <w:highlight w:val="none"/>
        </w:rPr>
        <w:fldChar w:fldCharType="end"/>
      </w:r>
    </w:p>
    <w:p w14:paraId="389860A7">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"_Toc16342" </w:instrText>
      </w:r>
      <w:r>
        <w:rPr>
          <w:color w:val="auto"/>
          <w:highlight w:val="none"/>
        </w:rPr>
        <w:fldChar w:fldCharType="separate"/>
      </w:r>
      <w:r>
        <w:rPr>
          <w:rFonts w:eastAsia="黑体"/>
          <w:bCs/>
          <w:snapToGrid w:val="0"/>
          <w:color w:val="auto"/>
          <w:sz w:val="24"/>
          <w:szCs w:val="24"/>
          <w:highlight w:val="none"/>
        </w:rPr>
        <w:t>9.3环境质量现状评价结论</w:t>
      </w:r>
      <w:r>
        <w:rPr>
          <w:rFonts w:eastAsia="黑体"/>
          <w:bCs/>
          <w:snapToGrid w:val="0"/>
          <w:color w:val="auto"/>
          <w:sz w:val="24"/>
          <w:szCs w:val="24"/>
          <w:highlight w:val="none"/>
        </w:rPr>
        <w:tab/>
      </w: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PAGEREF _Toc16342 \h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173</w:t>
      </w:r>
      <w:r>
        <w:rPr>
          <w:rFonts w:eastAsia="黑体"/>
          <w:bCs/>
          <w:snapToGrid w:val="0"/>
          <w:color w:val="auto"/>
          <w:sz w:val="24"/>
          <w:szCs w:val="24"/>
          <w:highlight w:val="none"/>
        </w:rPr>
        <w:fldChar w:fldCharType="end"/>
      </w:r>
      <w:r>
        <w:rPr>
          <w:rFonts w:eastAsia="黑体"/>
          <w:bCs/>
          <w:snapToGrid w:val="0"/>
          <w:color w:val="auto"/>
          <w:sz w:val="24"/>
          <w:szCs w:val="24"/>
          <w:highlight w:val="none"/>
        </w:rPr>
        <w:fldChar w:fldCharType="end"/>
      </w:r>
    </w:p>
    <w:p w14:paraId="1EC069DF">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"_Toc16427" </w:instrText>
      </w:r>
      <w:r>
        <w:rPr>
          <w:color w:val="auto"/>
          <w:highlight w:val="none"/>
        </w:rPr>
        <w:fldChar w:fldCharType="separate"/>
      </w:r>
      <w:r>
        <w:rPr>
          <w:rFonts w:eastAsia="黑体"/>
          <w:bCs/>
          <w:snapToGrid w:val="0"/>
          <w:color w:val="auto"/>
          <w:sz w:val="24"/>
          <w:szCs w:val="24"/>
          <w:highlight w:val="none"/>
        </w:rPr>
        <w:t>9.4环境影响评价结论</w:t>
      </w:r>
      <w:r>
        <w:rPr>
          <w:rFonts w:eastAsia="黑体"/>
          <w:bCs/>
          <w:snapToGrid w:val="0"/>
          <w:color w:val="auto"/>
          <w:sz w:val="24"/>
          <w:szCs w:val="24"/>
          <w:highlight w:val="none"/>
        </w:rPr>
        <w:tab/>
      </w: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PAGEREF _Toc16427 \h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174</w:t>
      </w:r>
      <w:r>
        <w:rPr>
          <w:rFonts w:eastAsia="黑体"/>
          <w:bCs/>
          <w:snapToGrid w:val="0"/>
          <w:color w:val="auto"/>
          <w:sz w:val="24"/>
          <w:szCs w:val="24"/>
          <w:highlight w:val="none"/>
        </w:rPr>
        <w:fldChar w:fldCharType="end"/>
      </w:r>
      <w:r>
        <w:rPr>
          <w:rFonts w:eastAsia="黑体"/>
          <w:bCs/>
          <w:snapToGrid w:val="0"/>
          <w:color w:val="auto"/>
          <w:sz w:val="24"/>
          <w:szCs w:val="24"/>
          <w:highlight w:val="none"/>
        </w:rPr>
        <w:fldChar w:fldCharType="end"/>
      </w:r>
    </w:p>
    <w:p w14:paraId="7A32719E">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"_Toc21952" </w:instrText>
      </w:r>
      <w:r>
        <w:rPr>
          <w:color w:val="auto"/>
          <w:highlight w:val="none"/>
        </w:rPr>
        <w:fldChar w:fldCharType="separate"/>
      </w:r>
      <w:r>
        <w:rPr>
          <w:rFonts w:eastAsia="黑体"/>
          <w:bCs/>
          <w:snapToGrid w:val="0"/>
          <w:color w:val="auto"/>
          <w:sz w:val="24"/>
          <w:szCs w:val="24"/>
          <w:highlight w:val="none"/>
        </w:rPr>
        <w:t>9.5 环境保护措施及其可行性</w:t>
      </w:r>
      <w:r>
        <w:rPr>
          <w:rFonts w:eastAsia="黑体"/>
          <w:bCs/>
          <w:snapToGrid w:val="0"/>
          <w:color w:val="auto"/>
          <w:sz w:val="24"/>
          <w:szCs w:val="24"/>
          <w:highlight w:val="none"/>
        </w:rPr>
        <w:tab/>
      </w: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PAGEREF _Toc21952 \h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176</w:t>
      </w:r>
      <w:r>
        <w:rPr>
          <w:rFonts w:eastAsia="黑体"/>
          <w:bCs/>
          <w:snapToGrid w:val="0"/>
          <w:color w:val="auto"/>
          <w:sz w:val="24"/>
          <w:szCs w:val="24"/>
          <w:highlight w:val="none"/>
        </w:rPr>
        <w:fldChar w:fldCharType="end"/>
      </w:r>
      <w:r>
        <w:rPr>
          <w:rFonts w:eastAsia="黑体"/>
          <w:bCs/>
          <w:snapToGrid w:val="0"/>
          <w:color w:val="auto"/>
          <w:sz w:val="24"/>
          <w:szCs w:val="24"/>
          <w:highlight w:val="none"/>
        </w:rPr>
        <w:fldChar w:fldCharType="end"/>
      </w:r>
    </w:p>
    <w:p w14:paraId="037DB722">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"_Toc25209" </w:instrText>
      </w:r>
      <w:r>
        <w:rPr>
          <w:color w:val="auto"/>
          <w:highlight w:val="none"/>
        </w:rPr>
        <w:fldChar w:fldCharType="separate"/>
      </w:r>
      <w:r>
        <w:rPr>
          <w:rFonts w:eastAsia="黑体"/>
          <w:bCs/>
          <w:snapToGrid w:val="0"/>
          <w:color w:val="auto"/>
          <w:sz w:val="24"/>
          <w:szCs w:val="24"/>
          <w:highlight w:val="none"/>
        </w:rPr>
        <w:t>9.6 污染物排放总量控制</w:t>
      </w:r>
      <w:r>
        <w:rPr>
          <w:rFonts w:eastAsia="黑体"/>
          <w:bCs/>
          <w:snapToGrid w:val="0"/>
          <w:color w:val="auto"/>
          <w:sz w:val="24"/>
          <w:szCs w:val="24"/>
          <w:highlight w:val="none"/>
        </w:rPr>
        <w:tab/>
      </w: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PAGEREF _Toc25209 \h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176</w:t>
      </w:r>
      <w:r>
        <w:rPr>
          <w:rFonts w:eastAsia="黑体"/>
          <w:bCs/>
          <w:snapToGrid w:val="0"/>
          <w:color w:val="auto"/>
          <w:sz w:val="24"/>
          <w:szCs w:val="24"/>
          <w:highlight w:val="none"/>
        </w:rPr>
        <w:fldChar w:fldCharType="end"/>
      </w:r>
      <w:r>
        <w:rPr>
          <w:rFonts w:eastAsia="黑体"/>
          <w:bCs/>
          <w:snapToGrid w:val="0"/>
          <w:color w:val="auto"/>
          <w:sz w:val="24"/>
          <w:szCs w:val="24"/>
          <w:highlight w:val="none"/>
        </w:rPr>
        <w:fldChar w:fldCharType="end"/>
      </w:r>
    </w:p>
    <w:p w14:paraId="38CB2957">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"_Toc24659" </w:instrText>
      </w:r>
      <w:r>
        <w:rPr>
          <w:color w:val="auto"/>
          <w:highlight w:val="none"/>
        </w:rPr>
        <w:fldChar w:fldCharType="separate"/>
      </w:r>
      <w:r>
        <w:rPr>
          <w:rFonts w:eastAsia="黑体"/>
          <w:bCs/>
          <w:snapToGrid w:val="0"/>
          <w:color w:val="auto"/>
          <w:sz w:val="24"/>
          <w:szCs w:val="24"/>
          <w:highlight w:val="none"/>
        </w:rPr>
        <w:t>9.7 环境经济损益分析结论</w:t>
      </w:r>
      <w:r>
        <w:rPr>
          <w:rFonts w:eastAsia="黑体"/>
          <w:bCs/>
          <w:snapToGrid w:val="0"/>
          <w:color w:val="auto"/>
          <w:sz w:val="24"/>
          <w:szCs w:val="24"/>
          <w:highlight w:val="none"/>
        </w:rPr>
        <w:tab/>
      </w: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PAGEREF _Toc24659 \h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177</w:t>
      </w:r>
      <w:r>
        <w:rPr>
          <w:rFonts w:eastAsia="黑体"/>
          <w:bCs/>
          <w:snapToGrid w:val="0"/>
          <w:color w:val="auto"/>
          <w:sz w:val="24"/>
          <w:szCs w:val="24"/>
          <w:highlight w:val="none"/>
        </w:rPr>
        <w:fldChar w:fldCharType="end"/>
      </w:r>
      <w:r>
        <w:rPr>
          <w:rFonts w:eastAsia="黑体"/>
          <w:bCs/>
          <w:snapToGrid w:val="0"/>
          <w:color w:val="auto"/>
          <w:sz w:val="24"/>
          <w:szCs w:val="24"/>
          <w:highlight w:val="none"/>
        </w:rPr>
        <w:fldChar w:fldCharType="end"/>
      </w:r>
    </w:p>
    <w:p w14:paraId="52169B99">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"_Toc5472" </w:instrText>
      </w:r>
      <w:r>
        <w:rPr>
          <w:color w:val="auto"/>
          <w:highlight w:val="none"/>
        </w:rPr>
        <w:fldChar w:fldCharType="separate"/>
      </w:r>
      <w:r>
        <w:rPr>
          <w:rFonts w:eastAsia="黑体"/>
          <w:bCs/>
          <w:snapToGrid w:val="0"/>
          <w:color w:val="auto"/>
          <w:sz w:val="24"/>
          <w:szCs w:val="24"/>
          <w:highlight w:val="none"/>
        </w:rPr>
        <w:t>9.8公众参与采纳情况</w:t>
      </w:r>
      <w:r>
        <w:rPr>
          <w:rFonts w:eastAsia="黑体"/>
          <w:bCs/>
          <w:snapToGrid w:val="0"/>
          <w:color w:val="auto"/>
          <w:sz w:val="24"/>
          <w:szCs w:val="24"/>
          <w:highlight w:val="none"/>
        </w:rPr>
        <w:tab/>
      </w: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PAGEREF _Toc5472 \h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177</w:t>
      </w:r>
      <w:r>
        <w:rPr>
          <w:rFonts w:eastAsia="黑体"/>
          <w:bCs/>
          <w:snapToGrid w:val="0"/>
          <w:color w:val="auto"/>
          <w:sz w:val="24"/>
          <w:szCs w:val="24"/>
          <w:highlight w:val="none"/>
        </w:rPr>
        <w:fldChar w:fldCharType="end"/>
      </w:r>
      <w:r>
        <w:rPr>
          <w:rFonts w:eastAsia="黑体"/>
          <w:bCs/>
          <w:snapToGrid w:val="0"/>
          <w:color w:val="auto"/>
          <w:sz w:val="24"/>
          <w:szCs w:val="24"/>
          <w:highlight w:val="none"/>
        </w:rPr>
        <w:fldChar w:fldCharType="end"/>
      </w:r>
    </w:p>
    <w:p w14:paraId="767DF33C">
      <w:pPr>
        <w:pStyle w:val="36"/>
        <w:tabs>
          <w:tab w:val="right" w:leader="dot" w:pos="8306"/>
        </w:tabs>
        <w:spacing w:line="440" w:lineRule="exact"/>
        <w:rPr>
          <w:rFonts w:eastAsia="黑体"/>
          <w:color w:val="auto"/>
          <w:sz w:val="24"/>
          <w:szCs w:val="24"/>
          <w:highlight w:val="none"/>
        </w:rPr>
      </w:pPr>
      <w:r>
        <w:rPr>
          <w:color w:val="auto"/>
          <w:highlight w:val="none"/>
        </w:rPr>
        <w:fldChar w:fldCharType="begin"/>
      </w:r>
      <w:r>
        <w:rPr>
          <w:color w:val="auto"/>
          <w:highlight w:val="none"/>
        </w:rPr>
        <w:instrText xml:space="preserve"> HYPERLINK \l "_Toc23128" </w:instrText>
      </w:r>
      <w:r>
        <w:rPr>
          <w:color w:val="auto"/>
          <w:highlight w:val="none"/>
        </w:rPr>
        <w:fldChar w:fldCharType="separate"/>
      </w:r>
      <w:r>
        <w:rPr>
          <w:rFonts w:eastAsia="黑体"/>
          <w:bCs/>
          <w:snapToGrid w:val="0"/>
          <w:color w:val="auto"/>
          <w:sz w:val="24"/>
          <w:szCs w:val="24"/>
          <w:highlight w:val="none"/>
        </w:rPr>
        <w:t>9.9环境影响评价综合结论</w:t>
      </w:r>
      <w:r>
        <w:rPr>
          <w:rFonts w:eastAsia="黑体"/>
          <w:bCs/>
          <w:snapToGrid w:val="0"/>
          <w:color w:val="auto"/>
          <w:sz w:val="24"/>
          <w:szCs w:val="24"/>
          <w:highlight w:val="none"/>
        </w:rPr>
        <w:tab/>
      </w: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PAGEREF _Toc23128 \h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177</w:t>
      </w:r>
      <w:r>
        <w:rPr>
          <w:rFonts w:eastAsia="黑体"/>
          <w:bCs/>
          <w:snapToGrid w:val="0"/>
          <w:color w:val="auto"/>
          <w:sz w:val="24"/>
          <w:szCs w:val="24"/>
          <w:highlight w:val="none"/>
        </w:rPr>
        <w:fldChar w:fldCharType="end"/>
      </w:r>
      <w:r>
        <w:rPr>
          <w:rFonts w:eastAsia="黑体"/>
          <w:bCs/>
          <w:snapToGrid w:val="0"/>
          <w:color w:val="auto"/>
          <w:sz w:val="24"/>
          <w:szCs w:val="24"/>
          <w:highlight w:val="none"/>
        </w:rPr>
        <w:fldChar w:fldCharType="end"/>
      </w:r>
    </w:p>
    <w:p w14:paraId="299A2DD8">
      <w:pPr>
        <w:pStyle w:val="31"/>
        <w:tabs>
          <w:tab w:val="right" w:leader="dot" w:pos="8306"/>
        </w:tabs>
        <w:spacing w:line="440" w:lineRule="exact"/>
        <w:rPr>
          <w:rFonts w:eastAsia="黑体"/>
          <w:snapToGrid w:val="0"/>
          <w:color w:val="auto"/>
          <w:sz w:val="24"/>
          <w:szCs w:val="24"/>
          <w:highlight w:val="none"/>
        </w:rPr>
      </w:pPr>
      <w:r>
        <w:rPr>
          <w:rFonts w:eastAsia="黑体"/>
          <w:snapToGrid w:val="0"/>
          <w:color w:val="auto"/>
          <w:sz w:val="24"/>
          <w:szCs w:val="24"/>
          <w:highlight w:val="none"/>
        </w:rPr>
        <w:t>附图</w:t>
      </w:r>
    </w:p>
    <w:p w14:paraId="46FCAAF4">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"_Toc20295" </w:instrText>
      </w:r>
      <w:r>
        <w:rPr>
          <w:color w:val="auto"/>
          <w:highlight w:val="none"/>
        </w:rPr>
        <w:fldChar w:fldCharType="separate"/>
      </w:r>
      <w:r>
        <w:rPr>
          <w:rFonts w:eastAsia="黑体"/>
          <w:bCs/>
          <w:snapToGrid w:val="0"/>
          <w:color w:val="auto"/>
          <w:sz w:val="24"/>
          <w:szCs w:val="24"/>
          <w:highlight w:val="none"/>
        </w:rPr>
        <w:t>附图1  项目地理位置图</w:t>
      </w:r>
      <w:r>
        <w:rPr>
          <w:rFonts w:eastAsia="黑体"/>
          <w:bCs/>
          <w:snapToGrid w:val="0"/>
          <w:color w:val="auto"/>
          <w:sz w:val="24"/>
          <w:szCs w:val="24"/>
          <w:highlight w:val="none"/>
        </w:rPr>
        <w:fldChar w:fldCharType="end"/>
      </w:r>
    </w:p>
    <w:p w14:paraId="04C87E19">
      <w:pPr>
        <w:pStyle w:val="36"/>
        <w:tabs>
          <w:tab w:val="right" w:leader="dot" w:pos="8306"/>
        </w:tabs>
        <w:spacing w:line="440" w:lineRule="exact"/>
        <w:rPr>
          <w:rFonts w:hint="eastAsia" w:eastAsia="黑体"/>
          <w:bCs/>
          <w:snapToGrid w:val="0"/>
          <w:color w:val="auto"/>
          <w:sz w:val="24"/>
          <w:szCs w:val="24"/>
          <w:highlight w:val="none"/>
          <w:lang w:val="en-US" w:eastAsia="zh-CN"/>
        </w:rPr>
      </w:pP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HYPERLINK \l "_Toc19166"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附图</w:t>
      </w:r>
      <w:r>
        <w:rPr>
          <w:rFonts w:hint="eastAsia" w:eastAsia="黑体"/>
          <w:bCs/>
          <w:snapToGrid w:val="0"/>
          <w:color w:val="auto"/>
          <w:sz w:val="24"/>
          <w:szCs w:val="24"/>
          <w:highlight w:val="none"/>
          <w:lang w:val="en-US" w:eastAsia="zh-CN"/>
        </w:rPr>
        <w:t>2</w:t>
      </w:r>
      <w:r>
        <w:rPr>
          <w:rFonts w:eastAsia="黑体"/>
          <w:bCs/>
          <w:snapToGrid w:val="0"/>
          <w:color w:val="auto"/>
          <w:sz w:val="24"/>
          <w:szCs w:val="24"/>
          <w:highlight w:val="none"/>
        </w:rPr>
        <w:t xml:space="preserve">  </w:t>
      </w:r>
      <w:r>
        <w:rPr>
          <w:rFonts w:hint="eastAsia" w:eastAsia="黑体"/>
          <w:bCs/>
          <w:snapToGrid w:val="0"/>
          <w:color w:val="auto"/>
          <w:sz w:val="24"/>
          <w:szCs w:val="24"/>
          <w:highlight w:val="none"/>
          <w:lang w:val="en-US" w:eastAsia="zh-CN"/>
        </w:rPr>
        <w:t>周围环境现场</w:t>
      </w:r>
      <w:r>
        <w:rPr>
          <w:rFonts w:hint="eastAsia" w:eastAsia="黑体"/>
          <w:bCs/>
          <w:snapToGrid w:val="0"/>
          <w:color w:val="auto"/>
          <w:sz w:val="24"/>
          <w:szCs w:val="24"/>
          <w:highlight w:val="none"/>
        </w:rPr>
        <w:fldChar w:fldCharType="end"/>
      </w:r>
      <w:r>
        <w:rPr>
          <w:rFonts w:hint="eastAsia" w:eastAsia="黑体"/>
          <w:bCs/>
          <w:snapToGrid w:val="0"/>
          <w:color w:val="auto"/>
          <w:sz w:val="24"/>
          <w:szCs w:val="24"/>
          <w:highlight w:val="none"/>
          <w:lang w:val="en-US" w:eastAsia="zh-CN"/>
        </w:rPr>
        <w:t>照片</w:t>
      </w:r>
    </w:p>
    <w:p w14:paraId="48099B5A">
      <w:pPr>
        <w:pStyle w:val="36"/>
        <w:tabs>
          <w:tab w:val="right" w:leader="dot" w:pos="8306"/>
        </w:tabs>
        <w:spacing w:line="440" w:lineRule="exact"/>
        <w:rPr>
          <w:rFonts w:eastAsia="黑体"/>
          <w:bCs/>
          <w:snapToGrid w:val="0"/>
          <w:color w:val="auto"/>
          <w:sz w:val="24"/>
          <w:szCs w:val="24"/>
          <w:highlight w:val="none"/>
        </w:rPr>
      </w:pP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HYPERLINK \l "_Toc217"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附图</w:t>
      </w:r>
      <w:r>
        <w:rPr>
          <w:rFonts w:hint="eastAsia" w:eastAsia="黑体"/>
          <w:bCs/>
          <w:snapToGrid w:val="0"/>
          <w:color w:val="auto"/>
          <w:sz w:val="24"/>
          <w:szCs w:val="24"/>
          <w:highlight w:val="none"/>
          <w:lang w:val="en-US" w:eastAsia="zh-CN"/>
        </w:rPr>
        <w:t>3</w:t>
      </w:r>
      <w:r>
        <w:rPr>
          <w:rFonts w:eastAsia="黑体"/>
          <w:bCs/>
          <w:snapToGrid w:val="0"/>
          <w:color w:val="auto"/>
          <w:sz w:val="24"/>
          <w:szCs w:val="24"/>
          <w:highlight w:val="none"/>
        </w:rPr>
        <w:t xml:space="preserve"> </w:t>
      </w:r>
      <w:r>
        <w:rPr>
          <w:rFonts w:hint="eastAsia" w:eastAsia="黑体"/>
          <w:bCs/>
          <w:snapToGrid w:val="0"/>
          <w:color w:val="auto"/>
          <w:sz w:val="24"/>
          <w:szCs w:val="24"/>
          <w:highlight w:val="none"/>
        </w:rPr>
        <w:t xml:space="preserve"> </w:t>
      </w:r>
      <w:r>
        <w:rPr>
          <w:rFonts w:eastAsia="黑体"/>
          <w:bCs/>
          <w:snapToGrid w:val="0"/>
          <w:color w:val="auto"/>
          <w:sz w:val="24"/>
          <w:szCs w:val="24"/>
          <w:highlight w:val="none"/>
        </w:rPr>
        <w:t>厂区平面布置图</w:t>
      </w:r>
      <w:r>
        <w:rPr>
          <w:rFonts w:eastAsia="黑体"/>
          <w:bCs/>
          <w:snapToGrid w:val="0"/>
          <w:color w:val="auto"/>
          <w:sz w:val="24"/>
          <w:szCs w:val="24"/>
          <w:highlight w:val="none"/>
        </w:rPr>
        <w:fldChar w:fldCharType="end"/>
      </w:r>
    </w:p>
    <w:p w14:paraId="5CD41BD5">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"_Toc21012" </w:instrText>
      </w:r>
      <w:r>
        <w:rPr>
          <w:color w:val="auto"/>
          <w:highlight w:val="none"/>
        </w:rPr>
        <w:fldChar w:fldCharType="separate"/>
      </w:r>
      <w:r>
        <w:rPr>
          <w:rFonts w:eastAsia="黑体"/>
          <w:bCs/>
          <w:snapToGrid w:val="0"/>
          <w:color w:val="auto"/>
          <w:sz w:val="24"/>
          <w:szCs w:val="24"/>
          <w:highlight w:val="none"/>
        </w:rPr>
        <w:t>附图</w:t>
      </w:r>
      <w:r>
        <w:rPr>
          <w:rFonts w:hint="eastAsia" w:eastAsia="黑体"/>
          <w:bCs/>
          <w:snapToGrid w:val="0"/>
          <w:color w:val="auto"/>
          <w:sz w:val="24"/>
          <w:szCs w:val="24"/>
          <w:highlight w:val="none"/>
          <w:lang w:val="en-US" w:eastAsia="zh-CN"/>
        </w:rPr>
        <w:t>4</w:t>
      </w:r>
      <w:r>
        <w:rPr>
          <w:rFonts w:eastAsia="黑体"/>
          <w:bCs/>
          <w:snapToGrid w:val="0"/>
          <w:color w:val="auto"/>
          <w:sz w:val="24"/>
          <w:szCs w:val="24"/>
          <w:highlight w:val="none"/>
        </w:rPr>
        <w:t xml:space="preserve">  </w:t>
      </w:r>
      <w:r>
        <w:rPr>
          <w:rFonts w:eastAsia="黑体"/>
          <w:bCs/>
          <w:snapToGrid w:val="0"/>
          <w:color w:val="auto"/>
          <w:sz w:val="24"/>
          <w:szCs w:val="24"/>
          <w:highlight w:val="none"/>
        </w:rPr>
        <w:fldChar w:fldCharType="end"/>
      </w:r>
      <w:r>
        <w:rPr>
          <w:rFonts w:hint="eastAsia" w:eastAsia="黑体"/>
          <w:bCs/>
          <w:snapToGrid w:val="0"/>
          <w:color w:val="auto"/>
          <w:sz w:val="24"/>
          <w:szCs w:val="24"/>
          <w:highlight w:val="none"/>
        </w:rPr>
        <w:t>生产车间</w:t>
      </w:r>
      <w:r>
        <w:rPr>
          <w:rFonts w:eastAsia="黑体"/>
          <w:bCs/>
          <w:snapToGrid w:val="0"/>
          <w:color w:val="auto"/>
          <w:sz w:val="24"/>
          <w:szCs w:val="24"/>
          <w:highlight w:val="none"/>
        </w:rPr>
        <w:t>布置图</w:t>
      </w:r>
    </w:p>
    <w:p w14:paraId="05E1C512">
      <w:pPr>
        <w:pStyle w:val="36"/>
        <w:tabs>
          <w:tab w:val="right" w:leader="dot" w:pos="8306"/>
        </w:tabs>
        <w:spacing w:line="440" w:lineRule="exact"/>
        <w:rPr>
          <w:rFonts w:hint="default" w:eastAsia="黑体"/>
          <w:bCs/>
          <w:snapToGrid w:val="0"/>
          <w:color w:val="auto"/>
          <w:sz w:val="24"/>
          <w:szCs w:val="24"/>
          <w:highlight w:val="none"/>
          <w:lang w:val="en-US" w:eastAsia="zh-CN"/>
        </w:rPr>
      </w:pPr>
      <w:r>
        <w:rPr>
          <w:color w:val="auto"/>
          <w:highlight w:val="none"/>
        </w:rPr>
        <w:fldChar w:fldCharType="begin"/>
      </w:r>
      <w:r>
        <w:rPr>
          <w:color w:val="auto"/>
          <w:highlight w:val="none"/>
        </w:rPr>
        <w:instrText xml:space="preserve"> HYPERLINK \l "_Toc18251" </w:instrText>
      </w:r>
      <w:r>
        <w:rPr>
          <w:color w:val="auto"/>
          <w:highlight w:val="none"/>
        </w:rPr>
        <w:fldChar w:fldCharType="separate"/>
      </w:r>
      <w:r>
        <w:rPr>
          <w:rFonts w:eastAsia="黑体"/>
          <w:bCs/>
          <w:snapToGrid w:val="0"/>
          <w:color w:val="auto"/>
          <w:sz w:val="24"/>
          <w:szCs w:val="24"/>
          <w:highlight w:val="none"/>
        </w:rPr>
        <w:t>附图</w:t>
      </w:r>
      <w:r>
        <w:rPr>
          <w:rFonts w:hint="eastAsia" w:eastAsia="黑体"/>
          <w:bCs/>
          <w:snapToGrid w:val="0"/>
          <w:color w:val="auto"/>
          <w:sz w:val="24"/>
          <w:szCs w:val="24"/>
          <w:highlight w:val="none"/>
          <w:lang w:val="en-US" w:eastAsia="zh-CN"/>
        </w:rPr>
        <w:t>5</w:t>
      </w:r>
      <w:r>
        <w:rPr>
          <w:rFonts w:eastAsia="黑体"/>
          <w:bCs/>
          <w:snapToGrid w:val="0"/>
          <w:color w:val="auto"/>
          <w:sz w:val="24"/>
          <w:szCs w:val="24"/>
          <w:highlight w:val="none"/>
        </w:rPr>
        <w:t xml:space="preserve">  </w:t>
      </w:r>
      <w:r>
        <w:rPr>
          <w:rFonts w:eastAsia="黑体"/>
          <w:bCs/>
          <w:snapToGrid w:val="0"/>
          <w:color w:val="auto"/>
          <w:sz w:val="24"/>
          <w:szCs w:val="24"/>
          <w:highlight w:val="none"/>
        </w:rPr>
        <w:fldChar w:fldCharType="end"/>
      </w:r>
      <w:r>
        <w:rPr>
          <w:rFonts w:hint="eastAsia" w:eastAsia="黑体"/>
          <w:bCs/>
          <w:snapToGrid w:val="0"/>
          <w:color w:val="auto"/>
          <w:sz w:val="24"/>
          <w:szCs w:val="24"/>
          <w:highlight w:val="none"/>
          <w:lang w:val="en-US" w:eastAsia="zh-CN"/>
        </w:rPr>
        <w:t>土地利用现状图</w:t>
      </w:r>
    </w:p>
    <w:p w14:paraId="07F62A00">
      <w:pPr>
        <w:pStyle w:val="31"/>
        <w:tabs>
          <w:tab w:val="right" w:leader="dot" w:pos="8306"/>
        </w:tabs>
        <w:spacing w:line="440" w:lineRule="exact"/>
        <w:rPr>
          <w:rFonts w:eastAsia="黑体"/>
          <w:bCs/>
          <w:color w:val="auto"/>
          <w:sz w:val="24"/>
          <w:szCs w:val="24"/>
          <w:highlight w:val="none"/>
        </w:rPr>
      </w:pPr>
      <w:r>
        <w:rPr>
          <w:rFonts w:eastAsia="黑体"/>
          <w:bCs/>
          <w:color w:val="auto"/>
          <w:sz w:val="24"/>
          <w:szCs w:val="24"/>
          <w:highlight w:val="none"/>
        </w:rPr>
        <w:t>附件</w:t>
      </w:r>
    </w:p>
    <w:p w14:paraId="191FCED7">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"_Toc27404" </w:instrText>
      </w:r>
      <w:r>
        <w:rPr>
          <w:color w:val="auto"/>
          <w:highlight w:val="none"/>
        </w:rPr>
        <w:fldChar w:fldCharType="separate"/>
      </w:r>
      <w:r>
        <w:rPr>
          <w:rFonts w:eastAsia="黑体"/>
          <w:bCs/>
          <w:snapToGrid w:val="0"/>
          <w:color w:val="auto"/>
          <w:sz w:val="24"/>
          <w:szCs w:val="24"/>
          <w:highlight w:val="none"/>
        </w:rPr>
        <w:t>附件1：备案承诺书</w:t>
      </w:r>
      <w:r>
        <w:rPr>
          <w:rFonts w:eastAsia="黑体"/>
          <w:bCs/>
          <w:snapToGrid w:val="0"/>
          <w:color w:val="auto"/>
          <w:sz w:val="24"/>
          <w:szCs w:val="24"/>
          <w:highlight w:val="none"/>
        </w:rPr>
        <w:fldChar w:fldCharType="end"/>
      </w:r>
    </w:p>
    <w:p w14:paraId="720B7345">
      <w:pPr>
        <w:pStyle w:val="36"/>
        <w:tabs>
          <w:tab w:val="right" w:leader="dot" w:pos="8306"/>
        </w:tabs>
        <w:spacing w:line="440" w:lineRule="exact"/>
        <w:rPr>
          <w:rFonts w:hint="eastAsia" w:eastAsia="黑体"/>
          <w:bCs/>
          <w:snapToGrid w:val="0"/>
          <w:color w:val="auto"/>
          <w:sz w:val="24"/>
          <w:szCs w:val="24"/>
          <w:highlight w:val="none"/>
          <w:lang w:val="en-US" w:eastAsia="zh-CN"/>
        </w:rPr>
      </w:pPr>
      <w:r>
        <w:rPr>
          <w:color w:val="auto"/>
          <w:highlight w:val="none"/>
        </w:rPr>
        <w:fldChar w:fldCharType="begin"/>
      </w:r>
      <w:r>
        <w:rPr>
          <w:color w:val="auto"/>
          <w:highlight w:val="none"/>
        </w:rPr>
        <w:instrText xml:space="preserve"> HYPERLINK \l "_Toc22438" </w:instrText>
      </w:r>
      <w:r>
        <w:rPr>
          <w:color w:val="auto"/>
          <w:highlight w:val="none"/>
        </w:rPr>
        <w:fldChar w:fldCharType="separate"/>
      </w:r>
      <w:r>
        <w:rPr>
          <w:rFonts w:eastAsia="黑体"/>
          <w:bCs/>
          <w:snapToGrid w:val="0"/>
          <w:color w:val="auto"/>
          <w:sz w:val="24"/>
          <w:szCs w:val="24"/>
          <w:highlight w:val="none"/>
        </w:rPr>
        <w:t>附件2：</w:t>
      </w:r>
      <w:r>
        <w:rPr>
          <w:rFonts w:hint="eastAsia" w:eastAsia="黑体"/>
          <w:bCs/>
          <w:snapToGrid w:val="0"/>
          <w:color w:val="auto"/>
          <w:sz w:val="24"/>
          <w:szCs w:val="24"/>
          <w:highlight w:val="none"/>
          <w:lang w:val="en-US" w:eastAsia="zh-CN"/>
        </w:rPr>
        <w:t>选址</w:t>
      </w:r>
      <w:r>
        <w:rPr>
          <w:rFonts w:eastAsia="黑体"/>
          <w:bCs/>
          <w:snapToGrid w:val="0"/>
          <w:color w:val="auto"/>
          <w:sz w:val="24"/>
          <w:szCs w:val="24"/>
          <w:highlight w:val="none"/>
        </w:rPr>
        <w:fldChar w:fldCharType="end"/>
      </w:r>
      <w:r>
        <w:rPr>
          <w:rFonts w:hint="eastAsia" w:eastAsia="黑体"/>
          <w:bCs/>
          <w:snapToGrid w:val="0"/>
          <w:color w:val="auto"/>
          <w:sz w:val="24"/>
          <w:szCs w:val="24"/>
          <w:highlight w:val="none"/>
          <w:lang w:val="en-US" w:eastAsia="zh-CN"/>
        </w:rPr>
        <w:t>报告</w:t>
      </w:r>
    </w:p>
    <w:p w14:paraId="33EBD38B">
      <w:pPr>
        <w:pStyle w:val="36"/>
        <w:tabs>
          <w:tab w:val="right" w:leader="dot" w:pos="8306"/>
        </w:tabs>
        <w:spacing w:line="440" w:lineRule="exact"/>
        <w:rPr>
          <w:rFonts w:hint="default" w:eastAsia="黑体"/>
          <w:bCs/>
          <w:snapToGrid w:val="0"/>
          <w:color w:val="auto"/>
          <w:sz w:val="24"/>
          <w:szCs w:val="24"/>
          <w:highlight w:val="none"/>
          <w:lang w:val="en-US" w:eastAsia="zh-CN"/>
        </w:rPr>
      </w:pPr>
      <w:r>
        <w:rPr>
          <w:color w:val="auto"/>
          <w:highlight w:val="none"/>
        </w:rPr>
        <w:fldChar w:fldCharType="begin"/>
      </w:r>
      <w:r>
        <w:rPr>
          <w:color w:val="auto"/>
          <w:highlight w:val="none"/>
        </w:rPr>
        <w:instrText xml:space="preserve"> HYPERLINK \l "_Toc13346" </w:instrText>
      </w:r>
      <w:r>
        <w:rPr>
          <w:color w:val="auto"/>
          <w:highlight w:val="none"/>
        </w:rPr>
        <w:fldChar w:fldCharType="separate"/>
      </w:r>
      <w:r>
        <w:rPr>
          <w:rFonts w:eastAsia="黑体"/>
          <w:bCs/>
          <w:snapToGrid w:val="0"/>
          <w:color w:val="auto"/>
          <w:sz w:val="24"/>
          <w:szCs w:val="24"/>
          <w:highlight w:val="none"/>
        </w:rPr>
        <w:t>附件3：</w:t>
      </w:r>
      <w:r>
        <w:rPr>
          <w:rFonts w:hint="eastAsia" w:eastAsia="黑体"/>
          <w:bCs/>
          <w:snapToGrid w:val="0"/>
          <w:color w:val="auto"/>
          <w:sz w:val="24"/>
          <w:szCs w:val="24"/>
          <w:highlight w:val="none"/>
          <w:lang w:val="en-US" w:eastAsia="zh-CN"/>
        </w:rPr>
        <w:t>用水</w:t>
      </w:r>
      <w:r>
        <w:rPr>
          <w:rFonts w:eastAsia="黑体"/>
          <w:bCs/>
          <w:snapToGrid w:val="0"/>
          <w:color w:val="auto"/>
          <w:sz w:val="24"/>
          <w:szCs w:val="24"/>
          <w:highlight w:val="none"/>
        </w:rPr>
        <w:fldChar w:fldCharType="end"/>
      </w:r>
      <w:r>
        <w:rPr>
          <w:rFonts w:hint="eastAsia" w:eastAsia="黑体"/>
          <w:bCs/>
          <w:snapToGrid w:val="0"/>
          <w:color w:val="auto"/>
          <w:sz w:val="24"/>
          <w:szCs w:val="24"/>
          <w:highlight w:val="none"/>
          <w:lang w:val="en-US" w:eastAsia="zh-CN"/>
        </w:rPr>
        <w:t>情况说明</w:t>
      </w:r>
    </w:p>
    <w:p w14:paraId="612009D2">
      <w:pPr>
        <w:pStyle w:val="36"/>
        <w:tabs>
          <w:tab w:val="right" w:leader="dot" w:pos="8306"/>
        </w:tabs>
        <w:spacing w:line="440" w:lineRule="exact"/>
        <w:rPr>
          <w:rFonts w:eastAsia="黑体"/>
          <w:bCs/>
          <w:snapToGrid w:val="0"/>
          <w:color w:val="auto"/>
          <w:sz w:val="24"/>
          <w:szCs w:val="24"/>
          <w:highlight w:val="none"/>
        </w:rPr>
      </w:pP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HYPERLINK \l "_Toc19721"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附件</w:t>
      </w:r>
      <w:r>
        <w:rPr>
          <w:rFonts w:hint="eastAsia" w:eastAsia="黑体"/>
          <w:bCs/>
          <w:snapToGrid w:val="0"/>
          <w:color w:val="auto"/>
          <w:sz w:val="24"/>
          <w:szCs w:val="24"/>
          <w:highlight w:val="none"/>
          <w:lang w:val="en-US" w:eastAsia="zh-CN"/>
        </w:rPr>
        <w:t>4</w:t>
      </w:r>
      <w:r>
        <w:rPr>
          <w:rFonts w:eastAsia="黑体"/>
          <w:bCs/>
          <w:snapToGrid w:val="0"/>
          <w:color w:val="auto"/>
          <w:sz w:val="24"/>
          <w:szCs w:val="24"/>
          <w:highlight w:val="none"/>
        </w:rPr>
        <w:t>：监测报告</w:t>
      </w:r>
      <w:r>
        <w:rPr>
          <w:rFonts w:eastAsia="黑体"/>
          <w:bCs/>
          <w:snapToGrid w:val="0"/>
          <w:color w:val="auto"/>
          <w:sz w:val="24"/>
          <w:szCs w:val="24"/>
          <w:highlight w:val="none"/>
        </w:rPr>
        <w:fldChar w:fldCharType="end"/>
      </w:r>
    </w:p>
    <w:p w14:paraId="4796FBE0">
      <w:pPr>
        <w:pStyle w:val="36"/>
        <w:tabs>
          <w:tab w:val="right" w:leader="dot" w:pos="8306"/>
        </w:tabs>
        <w:spacing w:line="440" w:lineRule="exact"/>
        <w:rPr>
          <w:rFonts w:hint="eastAsia" w:eastAsia="黑体"/>
          <w:bCs/>
          <w:snapToGrid w:val="0"/>
          <w:color w:val="auto"/>
          <w:sz w:val="24"/>
          <w:szCs w:val="24"/>
          <w:highlight w:val="none"/>
          <w:lang w:val="en-US" w:eastAsia="zh-CN"/>
        </w:rPr>
      </w:pPr>
      <w:r>
        <w:rPr>
          <w:rFonts w:hint="eastAsia" w:eastAsia="黑体"/>
          <w:bCs/>
          <w:snapToGrid w:val="0"/>
          <w:color w:val="auto"/>
          <w:sz w:val="24"/>
          <w:szCs w:val="24"/>
          <w:highlight w:val="none"/>
          <w:lang w:val="en-US" w:eastAsia="zh-CN"/>
        </w:rPr>
        <w:t>附件5：无害化处理协议</w:t>
      </w:r>
    </w:p>
    <w:p w14:paraId="3A18E00E">
      <w:pPr>
        <w:ind w:left="0" w:leftChars="0" w:firstLine="240" w:firstLineChars="100"/>
        <w:rPr>
          <w:rFonts w:hint="eastAsia" w:eastAsia="黑体"/>
          <w:bCs/>
          <w:snapToGrid w:val="0"/>
          <w:color w:val="auto"/>
          <w:sz w:val="24"/>
          <w:szCs w:val="24"/>
          <w:highlight w:val="none"/>
          <w:lang w:val="en-US" w:eastAsia="zh-CN"/>
        </w:rPr>
      </w:pPr>
      <w:r>
        <w:rPr>
          <w:rFonts w:hint="eastAsia" w:eastAsia="黑体"/>
          <w:bCs/>
          <w:snapToGrid w:val="0"/>
          <w:color w:val="auto"/>
          <w:sz w:val="24"/>
          <w:szCs w:val="24"/>
          <w:highlight w:val="none"/>
          <w:lang w:val="en-US" w:eastAsia="zh-CN"/>
        </w:rPr>
        <w:t>附件6：用地情况说明</w:t>
      </w:r>
    </w:p>
    <w:p w14:paraId="2D54CD08">
      <w:pPr>
        <w:ind w:left="0" w:leftChars="0" w:firstLine="240" w:firstLineChars="100"/>
        <w:rPr>
          <w:rFonts w:hint="eastAsia" w:eastAsia="黑体"/>
          <w:bCs/>
          <w:snapToGrid w:val="0"/>
          <w:color w:val="auto"/>
          <w:sz w:val="24"/>
          <w:szCs w:val="24"/>
          <w:highlight w:val="none"/>
          <w:lang w:val="en-US" w:eastAsia="zh-CN"/>
        </w:rPr>
      </w:pPr>
      <w:r>
        <w:rPr>
          <w:rFonts w:hint="eastAsia" w:eastAsia="黑体"/>
          <w:bCs/>
          <w:snapToGrid w:val="0"/>
          <w:color w:val="auto"/>
          <w:sz w:val="24"/>
          <w:szCs w:val="24"/>
          <w:highlight w:val="none"/>
          <w:lang w:val="en-US" w:eastAsia="zh-CN"/>
        </w:rPr>
        <w:t>附件7：竞价确认书</w:t>
      </w:r>
    </w:p>
    <w:p w14:paraId="3F7DB36F">
      <w:pPr>
        <w:ind w:left="0" w:leftChars="0" w:firstLine="240" w:firstLineChars="100"/>
        <w:rPr>
          <w:rFonts w:hint="default" w:eastAsia="黑体"/>
          <w:bCs/>
          <w:snapToGrid w:val="0"/>
          <w:color w:val="auto"/>
          <w:sz w:val="24"/>
          <w:szCs w:val="24"/>
          <w:highlight w:val="none"/>
          <w:lang w:val="en-US" w:eastAsia="zh-CN"/>
        </w:rPr>
      </w:pPr>
      <w:r>
        <w:rPr>
          <w:rFonts w:hint="eastAsia" w:eastAsia="黑体"/>
          <w:bCs/>
          <w:snapToGrid w:val="0"/>
          <w:color w:val="auto"/>
          <w:sz w:val="24"/>
          <w:szCs w:val="24"/>
          <w:highlight w:val="none"/>
          <w:lang w:val="en-US" w:eastAsia="zh-CN"/>
        </w:rPr>
        <w:t>附件8：分区管控情况说明</w:t>
      </w:r>
    </w:p>
    <w:p w14:paraId="13804FBB">
      <w:pPr>
        <w:pStyle w:val="31"/>
        <w:tabs>
          <w:tab w:val="right" w:leader="dot" w:pos="8306"/>
        </w:tabs>
        <w:spacing w:line="440" w:lineRule="exact"/>
        <w:rPr>
          <w:rFonts w:eastAsia="黑体"/>
          <w:bCs/>
          <w:color w:val="auto"/>
          <w:sz w:val="24"/>
          <w:szCs w:val="24"/>
          <w:highlight w:val="none"/>
        </w:rPr>
      </w:pPr>
      <w:r>
        <w:rPr>
          <w:rFonts w:eastAsia="黑体"/>
          <w:bCs/>
          <w:color w:val="auto"/>
          <w:sz w:val="24"/>
          <w:szCs w:val="24"/>
          <w:highlight w:val="none"/>
        </w:rPr>
        <w:t>附表</w:t>
      </w:r>
    </w:p>
    <w:p w14:paraId="0200E553">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"_Toc19736" </w:instrText>
      </w:r>
      <w:r>
        <w:rPr>
          <w:color w:val="auto"/>
          <w:highlight w:val="none"/>
        </w:rPr>
        <w:fldChar w:fldCharType="separate"/>
      </w:r>
      <w:r>
        <w:rPr>
          <w:rFonts w:eastAsia="黑体"/>
          <w:bCs/>
          <w:snapToGrid w:val="0"/>
          <w:color w:val="auto"/>
          <w:sz w:val="24"/>
          <w:szCs w:val="24"/>
          <w:highlight w:val="none"/>
        </w:rPr>
        <w:t>附表1  建设项目大气环境影响评价自查表</w:t>
      </w:r>
      <w:r>
        <w:rPr>
          <w:rFonts w:eastAsia="黑体"/>
          <w:bCs/>
          <w:snapToGrid w:val="0"/>
          <w:color w:val="auto"/>
          <w:sz w:val="24"/>
          <w:szCs w:val="24"/>
          <w:highlight w:val="none"/>
        </w:rPr>
        <w:fldChar w:fldCharType="end"/>
      </w:r>
    </w:p>
    <w:p w14:paraId="78E243F3">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"_Toc4594" </w:instrText>
      </w:r>
      <w:r>
        <w:rPr>
          <w:color w:val="auto"/>
          <w:highlight w:val="none"/>
        </w:rPr>
        <w:fldChar w:fldCharType="separate"/>
      </w:r>
      <w:r>
        <w:rPr>
          <w:rFonts w:eastAsia="黑体"/>
          <w:bCs/>
          <w:snapToGrid w:val="0"/>
          <w:color w:val="auto"/>
          <w:sz w:val="24"/>
          <w:szCs w:val="24"/>
          <w:highlight w:val="none"/>
        </w:rPr>
        <w:t>附表2  建设项目地表水环境影响评价自查表</w:t>
      </w:r>
      <w:r>
        <w:rPr>
          <w:rFonts w:eastAsia="黑体"/>
          <w:bCs/>
          <w:snapToGrid w:val="0"/>
          <w:color w:val="auto"/>
          <w:sz w:val="24"/>
          <w:szCs w:val="24"/>
          <w:highlight w:val="none"/>
        </w:rPr>
        <w:fldChar w:fldCharType="end"/>
      </w:r>
    </w:p>
    <w:p w14:paraId="5D7965EE">
      <w:pPr>
        <w:pStyle w:val="36"/>
        <w:tabs>
          <w:tab w:val="right" w:leader="dot" w:pos="8306"/>
        </w:tabs>
        <w:spacing w:line="440" w:lineRule="exact"/>
        <w:rPr>
          <w:rFonts w:eastAsia="黑体"/>
          <w:bCs/>
          <w:snapToGrid w:val="0"/>
          <w:color w:val="auto"/>
          <w:sz w:val="24"/>
          <w:szCs w:val="24"/>
          <w:highlight w:val="none"/>
        </w:rPr>
      </w:pPr>
      <w:r>
        <w:rPr>
          <w:color w:val="auto"/>
          <w:highlight w:val="none"/>
        </w:rPr>
        <w:fldChar w:fldCharType="begin"/>
      </w:r>
      <w:r>
        <w:rPr>
          <w:color w:val="auto"/>
          <w:highlight w:val="none"/>
        </w:rPr>
        <w:instrText xml:space="preserve"> HYPERLINK \l "_Toc17217" </w:instrText>
      </w:r>
      <w:r>
        <w:rPr>
          <w:color w:val="auto"/>
          <w:highlight w:val="none"/>
        </w:rPr>
        <w:fldChar w:fldCharType="separate"/>
      </w:r>
      <w:r>
        <w:rPr>
          <w:rFonts w:eastAsia="黑体"/>
          <w:bCs/>
          <w:snapToGrid w:val="0"/>
          <w:color w:val="auto"/>
          <w:sz w:val="24"/>
          <w:szCs w:val="24"/>
          <w:highlight w:val="none"/>
        </w:rPr>
        <w:t>附表3  声环境影响评价自查表</w:t>
      </w:r>
      <w:r>
        <w:rPr>
          <w:rFonts w:eastAsia="黑体"/>
          <w:bCs/>
          <w:snapToGrid w:val="0"/>
          <w:color w:val="auto"/>
          <w:sz w:val="24"/>
          <w:szCs w:val="24"/>
          <w:highlight w:val="none"/>
        </w:rPr>
        <w:fldChar w:fldCharType="end"/>
      </w:r>
    </w:p>
    <w:p w14:paraId="218EA31B">
      <w:pPr>
        <w:pStyle w:val="36"/>
        <w:tabs>
          <w:tab w:val="right" w:leader="dot" w:pos="8306"/>
        </w:tabs>
        <w:spacing w:line="440" w:lineRule="exact"/>
        <w:rPr>
          <w:rFonts w:eastAsia="黑体"/>
          <w:bCs/>
          <w:snapToGrid w:val="0"/>
          <w:color w:val="auto"/>
          <w:sz w:val="24"/>
          <w:szCs w:val="24"/>
          <w:highlight w:val="none"/>
        </w:rPr>
      </w:pP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HYPERLINK \l "_Toc3954"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附表4  环境风险自查表</w:t>
      </w:r>
      <w:r>
        <w:rPr>
          <w:rFonts w:eastAsia="黑体"/>
          <w:bCs/>
          <w:snapToGrid w:val="0"/>
          <w:color w:val="auto"/>
          <w:sz w:val="24"/>
          <w:szCs w:val="24"/>
          <w:highlight w:val="none"/>
        </w:rPr>
        <w:fldChar w:fldCharType="end"/>
      </w:r>
    </w:p>
    <w:p w14:paraId="1ACB3D9F">
      <w:pPr>
        <w:pStyle w:val="36"/>
        <w:tabs>
          <w:tab w:val="right" w:leader="dot" w:pos="8306"/>
        </w:tabs>
        <w:spacing w:line="440" w:lineRule="exact"/>
        <w:rPr>
          <w:rFonts w:eastAsia="黑体"/>
          <w:bCs/>
          <w:snapToGrid w:val="0"/>
          <w:color w:val="auto"/>
          <w:sz w:val="24"/>
          <w:szCs w:val="24"/>
          <w:highlight w:val="none"/>
        </w:rPr>
      </w:pPr>
      <w:r>
        <w:rPr>
          <w:rFonts w:eastAsia="黑体"/>
          <w:bCs/>
          <w:snapToGrid w:val="0"/>
          <w:color w:val="auto"/>
          <w:sz w:val="24"/>
          <w:szCs w:val="24"/>
          <w:highlight w:val="none"/>
        </w:rPr>
        <w:fldChar w:fldCharType="begin"/>
      </w:r>
      <w:r>
        <w:rPr>
          <w:rFonts w:eastAsia="黑体"/>
          <w:bCs/>
          <w:snapToGrid w:val="0"/>
          <w:color w:val="auto"/>
          <w:sz w:val="24"/>
          <w:szCs w:val="24"/>
          <w:highlight w:val="none"/>
        </w:rPr>
        <w:instrText xml:space="preserve"> HYPERLINK \l "_Toc29671" </w:instrText>
      </w:r>
      <w:r>
        <w:rPr>
          <w:rFonts w:eastAsia="黑体"/>
          <w:bCs/>
          <w:snapToGrid w:val="0"/>
          <w:color w:val="auto"/>
          <w:sz w:val="24"/>
          <w:szCs w:val="24"/>
          <w:highlight w:val="none"/>
        </w:rPr>
        <w:fldChar w:fldCharType="separate"/>
      </w:r>
      <w:r>
        <w:rPr>
          <w:rFonts w:eastAsia="黑体"/>
          <w:bCs/>
          <w:snapToGrid w:val="0"/>
          <w:color w:val="auto"/>
          <w:sz w:val="24"/>
          <w:szCs w:val="24"/>
          <w:highlight w:val="none"/>
        </w:rPr>
        <w:t>附表5  生态影响评价自查表</w:t>
      </w:r>
      <w:r>
        <w:rPr>
          <w:rFonts w:eastAsia="黑体"/>
          <w:bCs/>
          <w:snapToGrid w:val="0"/>
          <w:color w:val="auto"/>
          <w:sz w:val="24"/>
          <w:szCs w:val="24"/>
          <w:highlight w:val="none"/>
        </w:rPr>
        <w:fldChar w:fldCharType="end"/>
      </w:r>
    </w:p>
    <w:p w14:paraId="53CD5E4D">
      <w:pPr>
        <w:pStyle w:val="36"/>
        <w:tabs>
          <w:tab w:val="right" w:leader="dot" w:pos="8306"/>
        </w:tabs>
        <w:spacing w:line="440" w:lineRule="exact"/>
        <w:rPr>
          <w:rFonts w:eastAsia="黑体"/>
          <w:bCs/>
          <w:snapToGrid w:val="0"/>
          <w:color w:val="auto"/>
          <w:sz w:val="24"/>
          <w:szCs w:val="24"/>
          <w:highlight w:val="none"/>
        </w:rPr>
      </w:pPr>
      <w:r>
        <w:rPr>
          <w:rFonts w:hint="eastAsia" w:eastAsia="黑体"/>
          <w:bCs/>
          <w:snapToGrid w:val="0"/>
          <w:color w:val="auto"/>
          <w:sz w:val="24"/>
          <w:szCs w:val="24"/>
          <w:highlight w:val="none"/>
          <w:lang w:val="en-US" w:eastAsia="zh-CN"/>
        </w:rPr>
        <w:t>附表6  建设项目环境影响报告书审批基础信息表</w:t>
      </w:r>
    </w:p>
    <w:p w14:paraId="132A06DA">
      <w:pPr>
        <w:pStyle w:val="31"/>
        <w:tabs>
          <w:tab w:val="right" w:leader="dot" w:pos="8306"/>
        </w:tabs>
        <w:spacing w:line="440" w:lineRule="exact"/>
        <w:rPr>
          <w:rFonts w:eastAsia="黑体"/>
          <w:color w:val="auto"/>
          <w:sz w:val="24"/>
          <w:szCs w:val="24"/>
          <w:highlight w:val="none"/>
        </w:rPr>
      </w:pPr>
    </w:p>
    <w:p w14:paraId="2801E951">
      <w:pPr>
        <w:spacing w:line="440" w:lineRule="exact"/>
        <w:ind w:firstLine="0" w:firstLineChars="0"/>
        <w:rPr>
          <w:rFonts w:cs="Times New Roman"/>
          <w:snapToGrid w:val="0"/>
          <w:color w:val="auto"/>
          <w:kern w:val="0"/>
          <w:szCs w:val="24"/>
          <w:highlight w:val="none"/>
          <w:lang w:val="zh-CN"/>
        </w:rPr>
      </w:pPr>
      <w:r>
        <w:rPr>
          <w:rFonts w:eastAsia="黑体" w:cs="Times New Roman"/>
          <w:snapToGrid w:val="0"/>
          <w:color w:val="auto"/>
          <w:kern w:val="0"/>
          <w:szCs w:val="24"/>
          <w:highlight w:val="none"/>
        </w:rPr>
        <w:fldChar w:fldCharType="end"/>
      </w:r>
    </w:p>
    <w:p w14:paraId="50E6BF97">
      <w:pPr>
        <w:spacing w:line="440" w:lineRule="exact"/>
        <w:ind w:firstLine="0" w:firstLineChars="0"/>
        <w:rPr>
          <w:rFonts w:cs="Times New Roman"/>
          <w:snapToGrid w:val="0"/>
          <w:color w:val="auto"/>
          <w:kern w:val="0"/>
          <w:szCs w:val="24"/>
          <w:highlight w:val="none"/>
          <w:lang w:val="zh-CN"/>
        </w:rPr>
        <w:sectPr>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14:paraId="34C04F67">
      <w:pPr>
        <w:pStyle w:val="2"/>
        <w:spacing w:line="360" w:lineRule="auto"/>
        <w:rPr>
          <w:rFonts w:cs="Times New Roman"/>
          <w:snapToGrid w:val="0"/>
          <w:color w:val="auto"/>
          <w:highlight w:val="none"/>
        </w:rPr>
      </w:pPr>
      <w:bookmarkStart w:id="1" w:name="_Toc477190959"/>
      <w:bookmarkStart w:id="2" w:name="_Toc439236473"/>
      <w:bookmarkStart w:id="3" w:name="_Toc472585611"/>
      <w:bookmarkStart w:id="4" w:name="_Toc24712"/>
      <w:bookmarkStart w:id="5" w:name="_Toc475378597"/>
      <w:r>
        <w:rPr>
          <w:rFonts w:cs="Times New Roman"/>
          <w:snapToGrid w:val="0"/>
          <w:color w:val="auto"/>
          <w:highlight w:val="none"/>
        </w:rPr>
        <w:t>1概述</w:t>
      </w:r>
      <w:bookmarkEnd w:id="1"/>
      <w:bookmarkEnd w:id="2"/>
      <w:bookmarkEnd w:id="3"/>
      <w:bookmarkEnd w:id="4"/>
    </w:p>
    <w:p w14:paraId="714321F8">
      <w:pPr>
        <w:pStyle w:val="3"/>
        <w:spacing w:before="156" w:after="156"/>
        <w:rPr>
          <w:rFonts w:cs="Times New Roman"/>
          <w:color w:val="auto"/>
          <w:highlight w:val="none"/>
        </w:rPr>
      </w:pPr>
      <w:bookmarkStart w:id="6" w:name="_Toc23941"/>
      <w:r>
        <w:rPr>
          <w:rFonts w:cs="Times New Roman"/>
          <w:color w:val="auto"/>
          <w:highlight w:val="none"/>
        </w:rPr>
        <w:t>1.1项目由来</w:t>
      </w:r>
      <w:bookmarkEnd w:id="6"/>
    </w:p>
    <w:p w14:paraId="4E42A564">
      <w:pPr>
        <w:widowControl/>
        <w:spacing w:line="500" w:lineRule="exact"/>
        <w:jc w:val="left"/>
        <w:rPr>
          <w:rFonts w:hint="eastAsia" w:ascii="Times New Roman" w:hAnsi="Times New Roman" w:cs="Times New Roman"/>
          <w:snapToGrid w:val="0"/>
          <w:color w:val="auto"/>
          <w:kern w:val="0"/>
          <w:highlight w:val="none"/>
          <w:lang w:val="en-US" w:eastAsia="zh-CN"/>
        </w:rPr>
      </w:pPr>
      <w:bookmarkStart w:id="7" w:name="_Hlk519695717"/>
      <w:r>
        <w:rPr>
          <w:rFonts w:hint="eastAsia" w:ascii="Times New Roman" w:hAnsi="Times New Roman" w:cs="Times New Roman"/>
          <w:snapToGrid w:val="0"/>
          <w:color w:val="auto"/>
          <w:kern w:val="0"/>
          <w:highlight w:val="none"/>
          <w:lang w:val="en-US" w:eastAsia="zh-CN"/>
        </w:rPr>
        <w:t xml:space="preserve">近年来，随着居民生活水平的不断提升，大众对优质肉类产品的需求日益增长。在此背景下，黑龙江省双鸭山市的畜牧产业也迎来了新的发展机遇，当地政府积极推动畜牧产业转型升级，力求将其打造成为农业经济增长的新引擎。              </w:t>
      </w:r>
    </w:p>
    <w:p w14:paraId="46E62EDD">
      <w:pPr>
        <w:widowControl/>
        <w:spacing w:line="500" w:lineRule="exact"/>
        <w:jc w:val="left"/>
        <w:rPr>
          <w:rFonts w:ascii="Times New Roman" w:hAnsi="Times New Roman" w:cs="Times New Roman"/>
          <w:snapToGrid w:val="0"/>
          <w:color w:val="auto"/>
          <w:kern w:val="0"/>
          <w:highlight w:val="none"/>
        </w:rPr>
      </w:pPr>
      <w:r>
        <w:rPr>
          <w:rFonts w:hint="eastAsia" w:ascii="Times New Roman" w:hAnsi="Times New Roman" w:cs="Times New Roman"/>
          <w:snapToGrid w:val="0"/>
          <w:color w:val="auto"/>
          <w:kern w:val="0"/>
          <w:highlight w:val="none"/>
          <w:lang w:val="en-US" w:eastAsia="zh-CN"/>
        </w:rPr>
        <w:t>双鸭山市岭东区在这一浪潮中积极作为，大力培育扶持民营企业，深入挖掘畜牧经济的增长潜力。</w:t>
      </w:r>
      <w:r>
        <w:rPr>
          <w:rFonts w:hint="default" w:ascii="Times New Roman" w:hAnsi="Times New Roman" w:cs="Times New Roman"/>
          <w:snapToGrid w:val="0"/>
          <w:color w:val="auto"/>
          <w:kern w:val="0"/>
          <w:highlight w:val="none"/>
          <w:lang w:val="en-US" w:eastAsia="zh-CN"/>
        </w:rPr>
        <w:t>2024</w:t>
      </w:r>
      <w:r>
        <w:rPr>
          <w:rFonts w:hint="eastAsia" w:ascii="Times New Roman" w:hAnsi="Times New Roman" w:cs="Times New Roman"/>
          <w:snapToGrid w:val="0"/>
          <w:color w:val="auto"/>
          <w:kern w:val="0"/>
          <w:highlight w:val="none"/>
          <w:lang w:val="en-US" w:eastAsia="zh-CN"/>
        </w:rPr>
        <w:t>年，岭东区的畜牧业产值成功突破</w:t>
      </w:r>
      <w:r>
        <w:rPr>
          <w:rFonts w:hint="default" w:ascii="Times New Roman" w:hAnsi="Times New Roman" w:cs="Times New Roman"/>
          <w:snapToGrid w:val="0"/>
          <w:color w:val="auto"/>
          <w:kern w:val="0"/>
          <w:highlight w:val="none"/>
          <w:lang w:val="en-US" w:eastAsia="zh-CN"/>
        </w:rPr>
        <w:t>5000</w:t>
      </w:r>
      <w:r>
        <w:rPr>
          <w:rFonts w:hint="eastAsia" w:ascii="Times New Roman" w:hAnsi="Times New Roman" w:cs="Times New Roman"/>
          <w:snapToGrid w:val="0"/>
          <w:color w:val="auto"/>
          <w:kern w:val="0"/>
          <w:highlight w:val="none"/>
          <w:lang w:val="en-US" w:eastAsia="zh-CN"/>
        </w:rPr>
        <w:t>万元，同比增长</w:t>
      </w:r>
      <w:r>
        <w:rPr>
          <w:rFonts w:hint="default" w:ascii="Times New Roman" w:hAnsi="Times New Roman" w:cs="Times New Roman"/>
          <w:snapToGrid w:val="0"/>
          <w:color w:val="auto"/>
          <w:kern w:val="0"/>
          <w:highlight w:val="none"/>
          <w:lang w:val="en-US" w:eastAsia="zh-CN"/>
        </w:rPr>
        <w:t>5.5%</w:t>
      </w:r>
      <w:r>
        <w:rPr>
          <w:rFonts w:hint="eastAsia" w:ascii="Times New Roman" w:hAnsi="Times New Roman" w:cs="Times New Roman"/>
          <w:snapToGrid w:val="0"/>
          <w:color w:val="auto"/>
          <w:kern w:val="0"/>
          <w:highlight w:val="none"/>
          <w:lang w:val="en-US" w:eastAsia="zh-CN"/>
        </w:rPr>
        <w:t xml:space="preserve">，呈现出良好的发展态势。同时，构建起区、乡、村三级全覆盖的畜牧兽医公共服务体系，配备专业技术人员推广先进养殖技术，以秀丽养殖场的无公害养殖模式为标杆，推动全区生态健康养殖模式的广泛应用。在产业发展过程中，岭东区持续强化畜牧产业保障服务体系建设。  </w:t>
      </w:r>
    </w:p>
    <w:p w14:paraId="62D8EF7D">
      <w:pPr>
        <w:widowControl/>
        <w:spacing w:line="500" w:lineRule="exact"/>
        <w:jc w:val="left"/>
        <w:rPr>
          <w:rFonts w:cs="Times New Roman"/>
          <w:color w:val="auto"/>
          <w:highlight w:val="none"/>
        </w:rPr>
      </w:pPr>
      <w:r>
        <w:rPr>
          <w:rFonts w:hint="eastAsia" w:ascii="Times New Roman" w:hAnsi="Times New Roman" w:cs="Times New Roman"/>
          <w:snapToGrid w:val="0"/>
          <w:color w:val="auto"/>
          <w:kern w:val="0"/>
          <w:highlight w:val="none"/>
          <w:lang w:val="en-US" w:eastAsia="zh-CN"/>
        </w:rPr>
        <w:t>然而，尽管当地畜牧养殖规模不断扩大，但屠宰加工环节相对薄弱的问题逐渐凸显。现有的屠宰加工能力已难以匹配日益增长的养殖规模，导致部分畜禽产品需运往外地进行屠宰加工，这不仅增加了运输成本，还可能影响产品的新鲜度和品质。为了有效解决这一产业发展瓶颈，完善畜牧产业链条，提升区域内畜禽产品的附加值和市场竞争力，双鸭山市兴昌屠宰有限公司建设项目应运而生。项目建成后，将极大地提升岭东区乃至双鸭山市的畜禽屠宰加工水平，实现养殖与 屠宰加工的协同发展，为当地畜牧产业的全链条升级提供有力支撑。</w:t>
      </w:r>
      <w:bookmarkEnd w:id="7"/>
    </w:p>
    <w:p w14:paraId="7DF7E385">
      <w:pPr>
        <w:spacing w:line="500" w:lineRule="exact"/>
        <w:rPr>
          <w:rFonts w:ascii="Times New Roman" w:hAnsi="Times New Roman" w:cs="Times New Roman"/>
          <w:snapToGrid w:val="0"/>
          <w:color w:val="auto"/>
          <w:kern w:val="0"/>
          <w:highlight w:val="none"/>
        </w:rPr>
      </w:pPr>
      <w:r>
        <w:rPr>
          <w:rFonts w:cs="Times New Roman"/>
          <w:color w:val="auto"/>
          <w:highlight w:val="none"/>
        </w:rPr>
        <w:t>根据《中华人民共和国环境影响评价法》及《建设项目环境保护管理条例》（国务院第682号令）的规定，本项目应进</w:t>
      </w:r>
      <w:r>
        <w:rPr>
          <w:rFonts w:ascii="Times New Roman" w:hAnsi="Times New Roman" w:cs="Times New Roman"/>
          <w:snapToGrid w:val="0"/>
          <w:color w:val="auto"/>
          <w:kern w:val="0"/>
          <w:highlight w:val="none"/>
        </w:rPr>
        <w:t>行环境影响评价。为此，</w:t>
      </w:r>
      <w:r>
        <w:rPr>
          <w:rFonts w:hint="eastAsia" w:ascii="Times New Roman" w:hAnsi="Times New Roman" w:cs="Times New Roman"/>
          <w:snapToGrid w:val="0"/>
          <w:color w:val="auto"/>
          <w:kern w:val="0"/>
          <w:highlight w:val="none"/>
          <w:lang w:val="en-US" w:eastAsia="zh-CN"/>
        </w:rPr>
        <w:t>双鸭山市兴昌屠宰有限公司</w:t>
      </w:r>
      <w:r>
        <w:rPr>
          <w:rFonts w:ascii="Times New Roman" w:hAnsi="Times New Roman" w:cs="Times New Roman"/>
          <w:snapToGrid w:val="0"/>
          <w:color w:val="auto"/>
          <w:kern w:val="0"/>
          <w:highlight w:val="none"/>
        </w:rPr>
        <w:t>委托</w:t>
      </w:r>
      <w:r>
        <w:rPr>
          <w:rFonts w:hint="default" w:ascii="Times New Roman" w:hAnsi="Times New Roman" w:cs="Times New Roman"/>
          <w:snapToGrid w:val="0"/>
          <w:color w:val="auto"/>
          <w:kern w:val="0"/>
          <w:highlight w:val="none"/>
          <w:lang w:val="en-US" w:eastAsia="zh-CN"/>
        </w:rPr>
        <w:t>黑龙江泽文生态环境科技有限公司</w:t>
      </w:r>
      <w:r>
        <w:rPr>
          <w:rFonts w:ascii="Times New Roman" w:hAnsi="Times New Roman" w:cs="Times New Roman"/>
          <w:snapToGrid w:val="0"/>
          <w:color w:val="auto"/>
          <w:kern w:val="0"/>
          <w:highlight w:val="none"/>
        </w:rPr>
        <w:t>承担“</w:t>
      </w:r>
      <w:r>
        <w:rPr>
          <w:rFonts w:hint="eastAsia" w:ascii="Times New Roman" w:hAnsi="Times New Roman" w:cs="Times New Roman"/>
          <w:snapToGrid w:val="0"/>
          <w:color w:val="auto"/>
          <w:kern w:val="0"/>
          <w:highlight w:val="none"/>
          <w:lang w:val="en-US" w:eastAsia="zh-CN"/>
        </w:rPr>
        <w:t>双鸭山市兴昌屠宰有限公司</w:t>
      </w:r>
      <w:r>
        <w:rPr>
          <w:rFonts w:ascii="Times New Roman" w:hAnsi="Times New Roman" w:cs="Times New Roman"/>
          <w:snapToGrid w:val="0"/>
          <w:color w:val="auto"/>
          <w:kern w:val="0"/>
          <w:highlight w:val="none"/>
        </w:rPr>
        <w:t>建设项目”的环境影响评价工作，接受委托后，本项目编制人员在项目现场调查的基础上，按照建设项目环境影响评价法律法规及技术导则的要求，编制完成了《</w:t>
      </w:r>
      <w:r>
        <w:rPr>
          <w:rFonts w:hint="eastAsia" w:ascii="Times New Roman" w:hAnsi="Times New Roman" w:cs="Times New Roman"/>
          <w:snapToGrid w:val="0"/>
          <w:color w:val="auto"/>
          <w:kern w:val="0"/>
          <w:highlight w:val="none"/>
          <w:lang w:val="en-US" w:eastAsia="zh-CN"/>
        </w:rPr>
        <w:t>双鸭山市兴昌屠宰有限公司</w:t>
      </w:r>
      <w:r>
        <w:rPr>
          <w:rFonts w:ascii="Times New Roman" w:hAnsi="Times New Roman" w:cs="Times New Roman"/>
          <w:snapToGrid w:val="0"/>
          <w:color w:val="auto"/>
          <w:kern w:val="0"/>
          <w:highlight w:val="none"/>
        </w:rPr>
        <w:t>建设项目》环境影响报告书，现提交生态环境主管部门审查。</w:t>
      </w:r>
    </w:p>
    <w:p w14:paraId="63BA92DA">
      <w:pPr>
        <w:pStyle w:val="3"/>
        <w:spacing w:before="156" w:after="156"/>
        <w:rPr>
          <w:rFonts w:cs="Times New Roman"/>
          <w:color w:val="auto"/>
          <w:highlight w:val="none"/>
        </w:rPr>
      </w:pPr>
      <w:bookmarkStart w:id="8" w:name="_Toc29586"/>
      <w:r>
        <w:rPr>
          <w:rFonts w:cs="Times New Roman"/>
          <w:color w:val="auto"/>
          <w:highlight w:val="none"/>
        </w:rPr>
        <w:t>1.2项目特点</w:t>
      </w:r>
      <w:bookmarkEnd w:id="8"/>
      <w:bookmarkStart w:id="9" w:name="_Hlk525388477"/>
    </w:p>
    <w:bookmarkEnd w:id="9"/>
    <w:p w14:paraId="6298F0AD">
      <w:pPr>
        <w:keepNext w:val="0"/>
        <w:keepLines w:val="0"/>
        <w:widowControl/>
        <w:suppressLineNumbers w:val="0"/>
        <w:tabs>
          <w:tab w:val="left" w:pos="3120"/>
        </w:tabs>
        <w:jc w:val="left"/>
        <w:rPr>
          <w:rFonts w:hint="eastAsia" w:eastAsia="宋体" w:cs="Times New Roman"/>
          <w:snapToGrid w:val="0"/>
          <w:color w:val="auto"/>
          <w:kern w:val="0"/>
          <w:szCs w:val="24"/>
          <w:highlight w:val="none"/>
          <w:lang w:eastAsia="zh-CN"/>
        </w:rPr>
      </w:pPr>
      <w:bookmarkStart w:id="10" w:name="_Hlk520816258"/>
      <w:r>
        <w:rPr>
          <w:rFonts w:cs="Times New Roman"/>
          <w:snapToGrid w:val="0"/>
          <w:color w:val="auto"/>
          <w:kern w:val="0"/>
          <w:szCs w:val="24"/>
          <w:highlight w:val="none"/>
        </w:rPr>
        <w:t>本项目拟建</w:t>
      </w:r>
      <w:r>
        <w:rPr>
          <w:rFonts w:ascii="Times New Roman" w:hAnsi="Times New Roman" w:cs="Times New Roman"/>
          <w:snapToGrid w:val="0"/>
          <w:color w:val="auto"/>
          <w:kern w:val="0"/>
          <w:szCs w:val="24"/>
          <w:highlight w:val="none"/>
        </w:rPr>
        <w:t>地点位于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ascii="Times New Roman" w:hAnsi="Times New Roman" w:cs="Times New Roman"/>
          <w:snapToGrid w:val="0"/>
          <w:color w:val="auto"/>
          <w:kern w:val="0"/>
          <w:szCs w:val="24"/>
          <w:highlight w:val="none"/>
        </w:rPr>
        <w:t>，项目东</w:t>
      </w:r>
      <w:r>
        <w:rPr>
          <w:rFonts w:hint="eastAsia" w:ascii="Times New Roman" w:hAnsi="Times New Roman" w:cs="Times New Roman"/>
          <w:snapToGrid w:val="0"/>
          <w:color w:val="auto"/>
          <w:kern w:val="0"/>
          <w:szCs w:val="24"/>
          <w:highlight w:val="none"/>
          <w:lang w:val="en-US" w:eastAsia="zh-CN"/>
        </w:rPr>
        <w:t>侧、南侧均为空地，北侧隔路为废弃平房</w:t>
      </w:r>
      <w:r>
        <w:rPr>
          <w:rFonts w:ascii="Times New Roman" w:hAnsi="Times New Roman" w:cs="Times New Roman"/>
          <w:snapToGrid w:val="0"/>
          <w:color w:val="auto"/>
          <w:kern w:val="0"/>
          <w:szCs w:val="24"/>
          <w:highlight w:val="none"/>
        </w:rPr>
        <w:t>，西侧</w:t>
      </w:r>
      <w:r>
        <w:rPr>
          <w:rFonts w:hint="eastAsia" w:ascii="Times New Roman" w:hAnsi="Times New Roman" w:cs="Times New Roman"/>
          <w:snapToGrid w:val="0"/>
          <w:color w:val="auto"/>
          <w:kern w:val="0"/>
          <w:szCs w:val="24"/>
          <w:highlight w:val="none"/>
          <w:lang w:val="en-US" w:eastAsia="zh-CN"/>
        </w:rPr>
        <w:t>隔路为金诺恒业机械制造有限公司以及居民</w:t>
      </w:r>
      <w:r>
        <w:rPr>
          <w:rFonts w:ascii="Times New Roman" w:hAnsi="Times New Roman" w:cs="Times New Roman"/>
          <w:snapToGrid w:val="0"/>
          <w:color w:val="auto"/>
          <w:kern w:val="0"/>
          <w:szCs w:val="24"/>
          <w:highlight w:val="none"/>
        </w:rPr>
        <w:t>。占地面积为</w:t>
      </w:r>
      <w:r>
        <w:rPr>
          <w:rFonts w:hint="eastAsia" w:ascii="Times New Roman" w:hAnsi="Times New Roman" w:cs="Times New Roman"/>
          <w:snapToGrid w:val="0"/>
          <w:color w:val="auto"/>
          <w:kern w:val="0"/>
          <w:szCs w:val="24"/>
          <w:highlight w:val="none"/>
          <w:lang w:val="en-US" w:eastAsia="zh-CN"/>
        </w:rPr>
        <w:t>36031</w:t>
      </w:r>
      <w:r>
        <w:rPr>
          <w:rFonts w:ascii="Times New Roman" w:hAnsi="Times New Roman" w:cs="Times New Roman"/>
          <w:snapToGrid w:val="0"/>
          <w:color w:val="auto"/>
          <w:kern w:val="0"/>
          <w:szCs w:val="24"/>
          <w:highlight w:val="none"/>
        </w:rPr>
        <w:t>m</w:t>
      </w:r>
      <w:r>
        <w:rPr>
          <w:rFonts w:ascii="Times New Roman" w:hAnsi="Times New Roman" w:cs="Times New Roman"/>
          <w:snapToGrid w:val="0"/>
          <w:color w:val="auto"/>
          <w:kern w:val="0"/>
          <w:szCs w:val="24"/>
          <w:highlight w:val="none"/>
          <w:vertAlign w:val="superscript"/>
        </w:rPr>
        <w:t>2</w:t>
      </w:r>
      <w:r>
        <w:rPr>
          <w:rFonts w:ascii="Times New Roman" w:hAnsi="Times New Roman" w:cs="Times New Roman"/>
          <w:snapToGrid w:val="0"/>
          <w:color w:val="auto"/>
          <w:kern w:val="0"/>
          <w:szCs w:val="24"/>
          <w:highlight w:val="none"/>
        </w:rPr>
        <w:t>，</w:t>
      </w:r>
      <w:r>
        <w:rPr>
          <w:rFonts w:cs="Times New Roman"/>
          <w:snapToGrid w:val="0"/>
          <w:color w:val="auto"/>
          <w:kern w:val="0"/>
          <w:highlight w:val="none"/>
        </w:rPr>
        <w:t>总建筑面积为</w:t>
      </w:r>
      <w:r>
        <w:rPr>
          <w:rFonts w:hint="eastAsia" w:cs="Times New Roman"/>
          <w:snapToGrid w:val="0"/>
          <w:color w:val="auto"/>
          <w:kern w:val="0"/>
          <w:highlight w:val="none"/>
          <w:lang w:val="en-US" w:eastAsia="zh-CN"/>
        </w:rPr>
        <w:t>5789</w:t>
      </w:r>
      <w:r>
        <w:rPr>
          <w:rFonts w:cs="Times New Roman"/>
          <w:snapToGrid w:val="0"/>
          <w:color w:val="auto"/>
          <w:kern w:val="0"/>
          <w:highlight w:val="none"/>
        </w:rPr>
        <w:t>m</w:t>
      </w:r>
      <w:r>
        <w:rPr>
          <w:rFonts w:cs="Times New Roman"/>
          <w:snapToGrid w:val="0"/>
          <w:color w:val="auto"/>
          <w:kern w:val="0"/>
          <w:highlight w:val="none"/>
          <w:vertAlign w:val="superscript"/>
        </w:rPr>
        <w:t>2</w:t>
      </w:r>
      <w:r>
        <w:rPr>
          <w:rFonts w:cs="Times New Roman"/>
          <w:snapToGrid w:val="0"/>
          <w:color w:val="auto"/>
          <w:kern w:val="0"/>
          <w:highlight w:val="none"/>
        </w:rPr>
        <w:t>。</w:t>
      </w:r>
      <w:r>
        <w:rPr>
          <w:rFonts w:ascii="Times New Roman" w:hAnsi="Times New Roman" w:cs="Times New Roman"/>
          <w:snapToGrid w:val="0"/>
          <w:color w:val="auto"/>
          <w:kern w:val="0"/>
          <w:szCs w:val="24"/>
          <w:highlight w:val="none"/>
        </w:rPr>
        <w:t>拟建设</w:t>
      </w:r>
      <w:r>
        <w:rPr>
          <w:rFonts w:hint="eastAsia" w:cs="Times New Roman"/>
          <w:snapToGrid w:val="0"/>
          <w:color w:val="auto"/>
          <w:kern w:val="0"/>
          <w:szCs w:val="24"/>
          <w:highlight w:val="none"/>
          <w:lang w:val="en-US" w:eastAsia="zh-CN"/>
        </w:rPr>
        <w:t>待宰圈</w:t>
      </w:r>
      <w:r>
        <w:rPr>
          <w:rFonts w:hint="eastAsia" w:ascii="Times New Roman" w:hAnsi="Times New Roman" w:cs="Times New Roman"/>
          <w:snapToGrid w:val="0"/>
          <w:color w:val="auto"/>
          <w:kern w:val="0"/>
          <w:szCs w:val="24"/>
          <w:highlight w:val="none"/>
          <w:lang w:val="en-US" w:eastAsia="zh-CN"/>
        </w:rPr>
        <w:t>、屠宰车间、急宰间、污水处理设施、检疫检验室、冷库等</w:t>
      </w:r>
      <w:r>
        <w:rPr>
          <w:rFonts w:ascii="Times New Roman" w:hAnsi="Times New Roman" w:cs="Times New Roman"/>
          <w:snapToGrid w:val="0"/>
          <w:color w:val="auto"/>
          <w:kern w:val="0"/>
          <w:szCs w:val="24"/>
          <w:highlight w:val="none"/>
        </w:rPr>
        <w:t>。运营期主要是进行牛、羊的屠宰，</w:t>
      </w:r>
      <w:r>
        <w:rPr>
          <w:rFonts w:hint="eastAsia" w:ascii="Times New Roman" w:hAnsi="Times New Roman" w:cs="Times New Roman"/>
          <w:snapToGrid w:val="0"/>
          <w:color w:val="auto"/>
          <w:kern w:val="0"/>
          <w:szCs w:val="24"/>
          <w:highlight w:val="none"/>
        </w:rPr>
        <w:t>屠宰量为肉牛</w:t>
      </w:r>
      <w:r>
        <w:rPr>
          <w:rFonts w:hint="eastAsia" w:ascii="Times New Roman" w:hAnsi="Times New Roman" w:cs="Times New Roman"/>
          <w:snapToGrid w:val="0"/>
          <w:color w:val="auto"/>
          <w:kern w:val="0"/>
          <w:szCs w:val="24"/>
          <w:highlight w:val="none"/>
          <w:lang w:val="en-US" w:eastAsia="zh-CN"/>
        </w:rPr>
        <w:t>10</w:t>
      </w:r>
      <w:r>
        <w:rPr>
          <w:rFonts w:hint="eastAsia" w:ascii="Times New Roman" w:hAnsi="Times New Roman" w:cs="Times New Roman"/>
          <w:snapToGrid w:val="0"/>
          <w:color w:val="auto"/>
          <w:kern w:val="0"/>
          <w:szCs w:val="24"/>
          <w:highlight w:val="none"/>
        </w:rPr>
        <w:t>0头/d，肉羊</w:t>
      </w:r>
      <w:r>
        <w:rPr>
          <w:rFonts w:hint="eastAsia" w:ascii="Times New Roman" w:hAnsi="Times New Roman" w:cs="Times New Roman"/>
          <w:snapToGrid w:val="0"/>
          <w:color w:val="auto"/>
          <w:kern w:val="0"/>
          <w:szCs w:val="24"/>
          <w:highlight w:val="none"/>
          <w:lang w:val="en-US" w:eastAsia="zh-CN"/>
        </w:rPr>
        <w:t>500</w:t>
      </w:r>
      <w:r>
        <w:rPr>
          <w:rFonts w:hint="eastAsia" w:ascii="Times New Roman" w:hAnsi="Times New Roman" w:cs="Times New Roman"/>
          <w:snapToGrid w:val="0"/>
          <w:color w:val="auto"/>
          <w:kern w:val="0"/>
          <w:szCs w:val="24"/>
          <w:highlight w:val="none"/>
        </w:rPr>
        <w:t>只/d</w:t>
      </w:r>
      <w:r>
        <w:rPr>
          <w:rFonts w:hint="eastAsia" w:cs="Times New Roman"/>
          <w:snapToGrid w:val="0"/>
          <w:color w:val="auto"/>
          <w:kern w:val="0"/>
          <w:szCs w:val="24"/>
          <w:highlight w:val="none"/>
          <w:lang w:eastAsia="zh-CN"/>
        </w:rPr>
        <w:t>，</w:t>
      </w:r>
      <w:r>
        <w:rPr>
          <w:rFonts w:hint="eastAsia" w:cs="Times New Roman"/>
          <w:color w:val="auto"/>
          <w:highlight w:val="none"/>
        </w:rPr>
        <w:t>按设计3</w:t>
      </w:r>
      <w:r>
        <w:rPr>
          <w:rFonts w:hint="eastAsia" w:cs="Times New Roman"/>
          <w:color w:val="auto"/>
          <w:highlight w:val="none"/>
          <w:lang w:val="en-US" w:eastAsia="zh-CN"/>
        </w:rPr>
        <w:t>00</w:t>
      </w:r>
      <w:r>
        <w:rPr>
          <w:rFonts w:hint="eastAsia" w:cs="Times New Roman"/>
          <w:color w:val="auto"/>
          <w:highlight w:val="none"/>
        </w:rPr>
        <w:t>天工作计算，</w:t>
      </w:r>
      <w:r>
        <w:rPr>
          <w:rFonts w:hint="eastAsia" w:cs="Times New Roman"/>
          <w:color w:val="auto"/>
          <w:highlight w:val="none"/>
          <w:lang w:eastAsia="zh-CN"/>
        </w:rPr>
        <w:t>年屠宰肉牛</w:t>
      </w:r>
      <w:r>
        <w:rPr>
          <w:rFonts w:hint="eastAsia" w:cs="Times New Roman"/>
          <w:color w:val="auto"/>
          <w:highlight w:val="none"/>
          <w:lang w:val="en-US" w:eastAsia="zh-CN"/>
        </w:rPr>
        <w:t>30000</w:t>
      </w:r>
      <w:r>
        <w:rPr>
          <w:rFonts w:hint="eastAsia" w:cs="Times New Roman"/>
          <w:color w:val="auto"/>
          <w:highlight w:val="none"/>
          <w:lang w:eastAsia="zh-CN"/>
        </w:rPr>
        <w:t>头、肉羊</w:t>
      </w:r>
      <w:r>
        <w:rPr>
          <w:rFonts w:hint="eastAsia" w:cs="Times New Roman"/>
          <w:color w:val="auto"/>
          <w:highlight w:val="none"/>
          <w:lang w:val="en-US" w:eastAsia="zh-CN"/>
        </w:rPr>
        <w:t>150000</w:t>
      </w:r>
      <w:r>
        <w:rPr>
          <w:rFonts w:hint="eastAsia" w:cs="Times New Roman"/>
          <w:color w:val="auto"/>
          <w:highlight w:val="none"/>
          <w:lang w:eastAsia="zh-CN"/>
        </w:rPr>
        <w:t>只。</w:t>
      </w:r>
    </w:p>
    <w:p w14:paraId="46E666D1">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项目的屠宰牛、羊来自周边养殖场，饲养规范，并经当地动物防疫监督机构检验合格，符合清洁生产要求。</w:t>
      </w:r>
      <w:r>
        <w:rPr>
          <w:rFonts w:cs="Times New Roman"/>
          <w:color w:val="auto"/>
          <w:spacing w:val="12"/>
          <w:szCs w:val="24"/>
          <w:highlight w:val="none"/>
        </w:rPr>
        <w:t>牛、羊屠宰项目对环境的影响主要是</w:t>
      </w:r>
      <w:r>
        <w:rPr>
          <w:rFonts w:hint="eastAsia" w:cs="Times New Roman"/>
          <w:color w:val="auto"/>
          <w:spacing w:val="12"/>
          <w:szCs w:val="24"/>
          <w:highlight w:val="none"/>
          <w:lang w:val="en-US" w:eastAsia="zh-CN"/>
        </w:rPr>
        <w:t>以下</w:t>
      </w:r>
      <w:r>
        <w:rPr>
          <w:rFonts w:cs="Times New Roman"/>
          <w:color w:val="auto"/>
          <w:spacing w:val="12"/>
          <w:szCs w:val="24"/>
          <w:highlight w:val="none"/>
        </w:rPr>
        <w:t>几个方面：</w:t>
      </w:r>
    </w:p>
    <w:p w14:paraId="25320996">
      <w:pPr>
        <w:widowControl/>
        <w:spacing w:line="500" w:lineRule="exact"/>
        <w:ind w:firstLine="482"/>
        <w:jc w:val="left"/>
        <w:rPr>
          <w:rFonts w:cs="Times New Roman"/>
          <w:b/>
          <w:bCs/>
          <w:snapToGrid w:val="0"/>
          <w:color w:val="auto"/>
          <w:kern w:val="0"/>
          <w:szCs w:val="24"/>
          <w:highlight w:val="none"/>
        </w:rPr>
      </w:pPr>
      <w:r>
        <w:rPr>
          <w:rFonts w:cs="Times New Roman"/>
          <w:b/>
          <w:bCs/>
          <w:snapToGrid w:val="0"/>
          <w:color w:val="auto"/>
          <w:kern w:val="0"/>
          <w:szCs w:val="24"/>
          <w:highlight w:val="none"/>
        </w:rPr>
        <w:t>1、废气</w:t>
      </w:r>
    </w:p>
    <w:p w14:paraId="5E6118F8">
      <w:pPr>
        <w:widowControl/>
        <w:spacing w:line="500" w:lineRule="exact"/>
        <w:jc w:val="left"/>
        <w:rPr>
          <w:rFonts w:cs="Times New Roman"/>
          <w:snapToGrid w:val="0"/>
          <w:color w:val="auto"/>
          <w:kern w:val="0"/>
          <w:szCs w:val="24"/>
          <w:highlight w:val="none"/>
        </w:rPr>
      </w:pPr>
      <w:r>
        <w:rPr>
          <w:rFonts w:cs="Times New Roman"/>
          <w:color w:val="auto"/>
          <w:spacing w:val="-3"/>
          <w:szCs w:val="24"/>
          <w:highlight w:val="none"/>
        </w:rPr>
        <w:t>本项目运营期废气主要为</w:t>
      </w:r>
      <w:r>
        <w:rPr>
          <w:rFonts w:hint="eastAsia" w:cs="Times New Roman"/>
          <w:snapToGrid w:val="0"/>
          <w:color w:val="auto"/>
          <w:highlight w:val="none"/>
          <w:lang w:val="zh-CN"/>
        </w:rPr>
        <w:t>待宰圈</w:t>
      </w:r>
      <w:r>
        <w:rPr>
          <w:rFonts w:cs="Times New Roman"/>
          <w:snapToGrid w:val="0"/>
          <w:color w:val="auto"/>
          <w:highlight w:val="none"/>
          <w:lang w:val="zh-CN"/>
        </w:rPr>
        <w:t>、</w:t>
      </w:r>
      <w:r>
        <w:rPr>
          <w:rFonts w:hint="eastAsia" w:cs="Times New Roman"/>
          <w:snapToGrid w:val="0"/>
          <w:color w:val="auto"/>
          <w:highlight w:val="none"/>
          <w:lang w:val="en-US" w:eastAsia="zh-CN"/>
        </w:rPr>
        <w:t>急宰间、</w:t>
      </w:r>
      <w:r>
        <w:rPr>
          <w:rFonts w:cs="Times New Roman"/>
          <w:snapToGrid w:val="0"/>
          <w:color w:val="auto"/>
          <w:highlight w:val="none"/>
          <w:lang w:val="zh-CN"/>
        </w:rPr>
        <w:t>屠宰车间</w:t>
      </w:r>
      <w:r>
        <w:rPr>
          <w:rFonts w:hint="eastAsia" w:cs="Times New Roman"/>
          <w:snapToGrid w:val="0"/>
          <w:color w:val="auto"/>
          <w:highlight w:val="none"/>
          <w:lang w:val="en-US" w:eastAsia="zh-CN"/>
        </w:rPr>
        <w:t>、</w:t>
      </w:r>
      <w:r>
        <w:rPr>
          <w:rFonts w:cs="Times New Roman"/>
          <w:snapToGrid w:val="0"/>
          <w:color w:val="auto"/>
          <w:highlight w:val="none"/>
          <w:lang w:val="zh-CN"/>
        </w:rPr>
        <w:t>污水处理站</w:t>
      </w:r>
      <w:r>
        <w:rPr>
          <w:rFonts w:cs="Times New Roman"/>
          <w:color w:val="auto"/>
          <w:spacing w:val="12"/>
          <w:szCs w:val="24"/>
          <w:highlight w:val="none"/>
        </w:rPr>
        <w:t>、隔离</w:t>
      </w:r>
      <w:r>
        <w:rPr>
          <w:rFonts w:hint="eastAsia" w:cs="Times New Roman"/>
          <w:color w:val="auto"/>
          <w:spacing w:val="12"/>
          <w:szCs w:val="24"/>
          <w:highlight w:val="none"/>
          <w:lang w:val="en-US" w:eastAsia="zh-CN"/>
        </w:rPr>
        <w:t>间</w:t>
      </w:r>
      <w:r>
        <w:rPr>
          <w:rFonts w:cs="Times New Roman"/>
          <w:color w:val="auto"/>
          <w:spacing w:val="12"/>
          <w:szCs w:val="24"/>
          <w:highlight w:val="none"/>
        </w:rPr>
        <w:t>及</w:t>
      </w:r>
      <w:r>
        <w:rPr>
          <w:rFonts w:hint="eastAsia" w:cs="Times New Roman"/>
          <w:color w:val="auto"/>
          <w:spacing w:val="12"/>
          <w:szCs w:val="24"/>
          <w:highlight w:val="none"/>
          <w:lang w:val="en-US" w:eastAsia="zh-CN"/>
        </w:rPr>
        <w:t>固体废物</w:t>
      </w:r>
      <w:r>
        <w:rPr>
          <w:rFonts w:cs="Times New Roman"/>
          <w:snapToGrid w:val="0"/>
          <w:color w:val="auto"/>
          <w:highlight w:val="none"/>
        </w:rPr>
        <w:t>暂存间</w:t>
      </w:r>
      <w:r>
        <w:rPr>
          <w:rFonts w:cs="Times New Roman"/>
          <w:snapToGrid w:val="0"/>
          <w:color w:val="auto"/>
          <w:highlight w:val="none"/>
          <w:lang w:val="zh-CN"/>
        </w:rPr>
        <w:t>产生的恶臭废气。</w:t>
      </w:r>
    </w:p>
    <w:p w14:paraId="4DA49E49">
      <w:pPr>
        <w:widowControl/>
        <w:spacing w:line="500" w:lineRule="exact"/>
        <w:jc w:val="left"/>
        <w:rPr>
          <w:rFonts w:cs="Times New Roman"/>
          <w:snapToGrid w:val="0"/>
          <w:color w:val="auto"/>
          <w:highlight w:val="none"/>
          <w:lang w:val="zh-CN"/>
        </w:rPr>
      </w:pPr>
      <w:r>
        <w:rPr>
          <w:rFonts w:cs="Times New Roman"/>
          <w:color w:val="auto"/>
          <w:highlight w:val="none"/>
        </w:rPr>
        <w:t>屠宰车间产生的废气</w:t>
      </w:r>
      <w:r>
        <w:rPr>
          <w:rFonts w:hint="eastAsia" w:cs="Times New Roman"/>
          <w:color w:val="auto"/>
          <w:highlight w:val="none"/>
          <w:lang w:eastAsia="zh-CN"/>
        </w:rPr>
        <w:t>采用微负压集中收集后</w:t>
      </w:r>
      <w:r>
        <w:rPr>
          <w:rFonts w:cs="Times New Roman"/>
          <w:color w:val="auto"/>
          <w:highlight w:val="none"/>
        </w:rPr>
        <w:t>（收集率约90%左右），通过活性炭净化装置（</w:t>
      </w:r>
      <w:r>
        <w:rPr>
          <w:rFonts w:hint="eastAsia" w:cs="Times New Roman"/>
          <w:color w:val="auto"/>
          <w:highlight w:val="none"/>
          <w:lang w:eastAsia="zh-CN"/>
        </w:rPr>
        <w:t>净化效率80%</w:t>
      </w:r>
      <w:r>
        <w:rPr>
          <w:rFonts w:cs="Times New Roman"/>
          <w:color w:val="auto"/>
          <w:highlight w:val="none"/>
        </w:rPr>
        <w:t>）处理后，经15m高的排气筒DA001排放；</w:t>
      </w:r>
      <w:r>
        <w:rPr>
          <w:rFonts w:hint="eastAsia" w:cs="Times New Roman"/>
          <w:color w:val="auto"/>
          <w:highlight w:val="none"/>
          <w:lang w:val="en-US" w:eastAsia="zh-CN"/>
        </w:rPr>
        <w:t>急宰间、隔离间及固体废物暂存间</w:t>
      </w:r>
      <w:r>
        <w:rPr>
          <w:rFonts w:cs="Times New Roman"/>
          <w:color w:val="auto"/>
          <w:highlight w:val="none"/>
        </w:rPr>
        <w:t>废气</w:t>
      </w:r>
      <w:r>
        <w:rPr>
          <w:rFonts w:hint="eastAsia" w:cs="Times New Roman"/>
          <w:color w:val="auto"/>
          <w:highlight w:val="none"/>
          <w:lang w:eastAsia="zh-CN"/>
        </w:rPr>
        <w:t>采用微负压集中收集后</w:t>
      </w:r>
      <w:r>
        <w:rPr>
          <w:rFonts w:cs="Times New Roman"/>
          <w:color w:val="auto"/>
          <w:highlight w:val="none"/>
        </w:rPr>
        <w:t>（收集率约90%左右），通过一套活性炭净化装置（</w:t>
      </w:r>
      <w:r>
        <w:rPr>
          <w:rFonts w:hint="eastAsia" w:cs="Times New Roman"/>
          <w:color w:val="auto"/>
          <w:highlight w:val="none"/>
          <w:lang w:eastAsia="zh-CN"/>
        </w:rPr>
        <w:t>净化效率80%</w:t>
      </w:r>
      <w:r>
        <w:rPr>
          <w:rFonts w:cs="Times New Roman"/>
          <w:color w:val="auto"/>
          <w:highlight w:val="none"/>
        </w:rPr>
        <w:t>），净化后的废气</w:t>
      </w:r>
      <w:r>
        <w:rPr>
          <w:rFonts w:hint="eastAsia" w:cs="Times New Roman"/>
          <w:color w:val="auto"/>
          <w:highlight w:val="none"/>
          <w:lang w:val="en-US" w:eastAsia="zh-CN"/>
        </w:rPr>
        <w:t>与屠宰车间废气一同</w:t>
      </w:r>
      <w:r>
        <w:rPr>
          <w:rFonts w:cs="Times New Roman"/>
          <w:color w:val="auto"/>
          <w:highlight w:val="none"/>
        </w:rPr>
        <w:t>通过15m排气筒DA00</w:t>
      </w:r>
      <w:r>
        <w:rPr>
          <w:rFonts w:hint="eastAsia" w:cs="Times New Roman"/>
          <w:color w:val="auto"/>
          <w:highlight w:val="none"/>
          <w:lang w:val="en-US" w:eastAsia="zh-CN"/>
        </w:rPr>
        <w:t>1</w:t>
      </w:r>
      <w:r>
        <w:rPr>
          <w:rFonts w:cs="Times New Roman"/>
          <w:color w:val="auto"/>
          <w:highlight w:val="none"/>
        </w:rPr>
        <w:t>排放；</w:t>
      </w:r>
      <w:r>
        <w:rPr>
          <w:rFonts w:cs="Times New Roman"/>
          <w:color w:val="auto"/>
          <w:szCs w:val="24"/>
          <w:highlight w:val="none"/>
        </w:rPr>
        <w:t>污水处理站产生的废气，经负压收集</w:t>
      </w:r>
      <w:r>
        <w:rPr>
          <w:rFonts w:cs="Times New Roman"/>
          <w:color w:val="auto"/>
          <w:highlight w:val="none"/>
        </w:rPr>
        <w:t>（收集率约90%左右）</w:t>
      </w:r>
      <w:r>
        <w:rPr>
          <w:rFonts w:cs="Times New Roman"/>
          <w:color w:val="auto"/>
          <w:szCs w:val="24"/>
          <w:highlight w:val="none"/>
        </w:rPr>
        <w:t>至活性炭吸附装置</w:t>
      </w:r>
      <w:r>
        <w:rPr>
          <w:rFonts w:cs="Times New Roman"/>
          <w:color w:val="auto"/>
          <w:highlight w:val="none"/>
        </w:rPr>
        <w:t>（</w:t>
      </w:r>
      <w:r>
        <w:rPr>
          <w:rFonts w:hint="eastAsia" w:cs="Times New Roman"/>
          <w:color w:val="auto"/>
          <w:highlight w:val="none"/>
          <w:lang w:eastAsia="zh-CN"/>
        </w:rPr>
        <w:t>净化效率80%</w:t>
      </w:r>
      <w:r>
        <w:rPr>
          <w:rFonts w:cs="Times New Roman"/>
          <w:color w:val="auto"/>
          <w:highlight w:val="none"/>
        </w:rPr>
        <w:t>）</w:t>
      </w:r>
      <w:r>
        <w:rPr>
          <w:rFonts w:cs="Times New Roman"/>
          <w:color w:val="auto"/>
          <w:szCs w:val="24"/>
          <w:highlight w:val="none"/>
        </w:rPr>
        <w:t>进行处理，处理后经15m高的排气筒DA00</w:t>
      </w:r>
      <w:r>
        <w:rPr>
          <w:rFonts w:hint="eastAsia" w:cs="Times New Roman"/>
          <w:color w:val="auto"/>
          <w:szCs w:val="24"/>
          <w:highlight w:val="none"/>
          <w:lang w:val="en-US" w:eastAsia="zh-CN"/>
        </w:rPr>
        <w:t>2</w:t>
      </w:r>
      <w:r>
        <w:rPr>
          <w:rFonts w:cs="Times New Roman"/>
          <w:color w:val="auto"/>
          <w:szCs w:val="24"/>
          <w:highlight w:val="none"/>
        </w:rPr>
        <w:t>排放</w:t>
      </w:r>
      <w:r>
        <w:rPr>
          <w:rFonts w:cs="Times New Roman"/>
          <w:snapToGrid w:val="0"/>
          <w:color w:val="auto"/>
          <w:highlight w:val="none"/>
        </w:rPr>
        <w:t>。</w:t>
      </w:r>
    </w:p>
    <w:p w14:paraId="08D16DDF">
      <w:pPr>
        <w:widowControl/>
        <w:spacing w:line="500" w:lineRule="exact"/>
        <w:jc w:val="left"/>
        <w:rPr>
          <w:rFonts w:cs="Times New Roman"/>
          <w:snapToGrid w:val="0"/>
          <w:color w:val="auto"/>
          <w:highlight w:val="none"/>
          <w:lang w:val="zh-CN"/>
        </w:rPr>
      </w:pPr>
      <w:r>
        <w:rPr>
          <w:rFonts w:cs="Times New Roman"/>
          <w:snapToGrid w:val="0"/>
          <w:color w:val="auto"/>
          <w:highlight w:val="none"/>
          <w:lang w:val="zh-CN"/>
        </w:rPr>
        <w:t>同时</w:t>
      </w:r>
      <w:r>
        <w:rPr>
          <w:rFonts w:cs="Times New Roman"/>
          <w:color w:val="auto"/>
          <w:highlight w:val="none"/>
        </w:rPr>
        <w:t>屠宰车间及时清洗清运，定期喷洒除臭剂</w:t>
      </w:r>
      <w:r>
        <w:rPr>
          <w:rFonts w:cs="Times New Roman"/>
          <w:snapToGrid w:val="0"/>
          <w:color w:val="auto"/>
          <w:highlight w:val="none"/>
          <w:lang w:val="zh-CN"/>
        </w:rPr>
        <w:t>；</w:t>
      </w:r>
      <w:r>
        <w:rPr>
          <w:rFonts w:hint="eastAsia" w:cs="Times New Roman"/>
          <w:snapToGrid w:val="0"/>
          <w:color w:val="auto"/>
          <w:highlight w:val="none"/>
          <w:lang w:eastAsia="zh-CN"/>
        </w:rPr>
        <w:t>待宰圈</w:t>
      </w:r>
      <w:r>
        <w:rPr>
          <w:rFonts w:hint="eastAsia" w:cs="Times New Roman"/>
          <w:snapToGrid w:val="0"/>
          <w:color w:val="auto"/>
          <w:highlight w:val="none"/>
        </w:rPr>
        <w:t>设置专人管理</w:t>
      </w:r>
      <w:r>
        <w:rPr>
          <w:rFonts w:cs="Times New Roman"/>
          <w:snapToGrid w:val="0"/>
          <w:color w:val="auto"/>
          <w:highlight w:val="none"/>
        </w:rPr>
        <w:t>，及时清理地面上的粪便及尿液，</w:t>
      </w:r>
      <w:r>
        <w:rPr>
          <w:rFonts w:hint="eastAsia" w:cs="Times New Roman"/>
          <w:snapToGrid w:val="0"/>
          <w:color w:val="auto"/>
          <w:highlight w:val="none"/>
        </w:rPr>
        <w:t>定期冲洗待地面</w:t>
      </w:r>
      <w:r>
        <w:rPr>
          <w:rFonts w:cs="Times New Roman"/>
          <w:snapToGrid w:val="0"/>
          <w:color w:val="auto"/>
          <w:highlight w:val="none"/>
        </w:rPr>
        <w:t>，同时定期喷洒除臭剂，减少恶臭源的散发；屠宰车间及时清洗清运</w:t>
      </w:r>
      <w:r>
        <w:rPr>
          <w:rFonts w:hint="eastAsia" w:cs="Times New Roman"/>
          <w:snapToGrid w:val="0"/>
          <w:color w:val="auto"/>
          <w:highlight w:val="none"/>
        </w:rPr>
        <w:t>，</w:t>
      </w:r>
      <w:r>
        <w:rPr>
          <w:rFonts w:cs="Times New Roman"/>
          <w:snapToGrid w:val="0"/>
          <w:color w:val="auto"/>
          <w:highlight w:val="none"/>
        </w:rPr>
        <w:t>定期喷洒除臭剂；对于污水处理站产生恶臭区域加盖、喷洒除臭剂，来降低污水处理站恶臭对厂区内外的影响；固废暂存间内废物暂存于加盖的</w:t>
      </w:r>
      <w:r>
        <w:rPr>
          <w:rFonts w:hint="eastAsia" w:cs="Times New Roman"/>
          <w:snapToGrid w:val="0"/>
          <w:color w:val="auto"/>
          <w:highlight w:val="none"/>
          <w:lang w:val="en-US" w:eastAsia="zh-CN"/>
        </w:rPr>
        <w:t>转运桶</w:t>
      </w:r>
      <w:r>
        <w:rPr>
          <w:rFonts w:cs="Times New Roman"/>
          <w:snapToGrid w:val="0"/>
          <w:color w:val="auto"/>
          <w:highlight w:val="none"/>
        </w:rPr>
        <w:t>内，正常情况下为密封，仅输送生产废物时，将</w:t>
      </w:r>
      <w:r>
        <w:rPr>
          <w:rFonts w:hint="eastAsia" w:cs="Times New Roman"/>
          <w:snapToGrid w:val="0"/>
          <w:color w:val="auto"/>
          <w:highlight w:val="none"/>
          <w:lang w:val="en-US" w:eastAsia="zh-CN"/>
        </w:rPr>
        <w:t>转运桶</w:t>
      </w:r>
      <w:r>
        <w:rPr>
          <w:rFonts w:cs="Times New Roman"/>
          <w:snapToGrid w:val="0"/>
          <w:color w:val="auto"/>
          <w:highlight w:val="none"/>
        </w:rPr>
        <w:t>输送至运输车上</w:t>
      </w:r>
      <w:r>
        <w:rPr>
          <w:rFonts w:hint="eastAsia" w:cs="Times New Roman"/>
          <w:snapToGrid w:val="0"/>
          <w:color w:val="auto"/>
          <w:highlight w:val="none"/>
        </w:rPr>
        <w:t>，</w:t>
      </w:r>
      <w:r>
        <w:rPr>
          <w:rFonts w:hint="eastAsia" w:cs="Times New Roman"/>
          <w:snapToGrid w:val="0"/>
          <w:color w:val="auto"/>
          <w:highlight w:val="none"/>
          <w:lang w:val="en-US" w:eastAsia="zh-CN"/>
        </w:rPr>
        <w:t>并放置新的转运桶用于存放下一个周期的固体废物，定期喷洒除臭剂，</w:t>
      </w:r>
      <w:r>
        <w:rPr>
          <w:rFonts w:hint="eastAsia" w:cs="Times New Roman"/>
          <w:snapToGrid w:val="0"/>
          <w:color w:val="auto"/>
          <w:highlight w:val="none"/>
          <w:lang w:val="en-US"/>
        </w:rPr>
        <w:t>减少恶臭的释放</w:t>
      </w:r>
      <w:r>
        <w:rPr>
          <w:rFonts w:hint="eastAsia" w:cs="Times New Roman"/>
          <w:snapToGrid w:val="0"/>
          <w:color w:val="auto"/>
          <w:highlight w:val="none"/>
          <w:lang w:val="en-US" w:eastAsia="zh-CN"/>
        </w:rPr>
        <w:t>。</w:t>
      </w:r>
    </w:p>
    <w:p w14:paraId="659C8E58">
      <w:pPr>
        <w:widowControl/>
        <w:spacing w:line="500" w:lineRule="exact"/>
        <w:jc w:val="left"/>
        <w:rPr>
          <w:rFonts w:cs="Times New Roman"/>
          <w:snapToGrid w:val="0"/>
          <w:color w:val="auto"/>
          <w:highlight w:val="none"/>
          <w:lang w:val="zh-CN"/>
        </w:rPr>
      </w:pPr>
      <w:r>
        <w:rPr>
          <w:rFonts w:cs="Times New Roman"/>
          <w:snapToGrid w:val="0"/>
          <w:color w:val="auto"/>
          <w:highlight w:val="none"/>
          <w:lang w:val="zh-CN"/>
        </w:rPr>
        <w:t>经上述措施处理后，本项目运营期产生的废气污染可满足《恶臭污染物排放标准》（GB14554-93）。对周围大气环境影响较小。</w:t>
      </w:r>
    </w:p>
    <w:p w14:paraId="58B03B97">
      <w:pPr>
        <w:widowControl/>
        <w:spacing w:line="500" w:lineRule="exact"/>
        <w:ind w:firstLine="482"/>
        <w:jc w:val="left"/>
        <w:rPr>
          <w:rFonts w:cs="Times New Roman"/>
          <w:b/>
          <w:bCs/>
          <w:snapToGrid w:val="0"/>
          <w:color w:val="auto"/>
          <w:kern w:val="0"/>
          <w:szCs w:val="24"/>
          <w:highlight w:val="none"/>
        </w:rPr>
      </w:pPr>
      <w:r>
        <w:rPr>
          <w:rFonts w:cs="Times New Roman"/>
          <w:b/>
          <w:bCs/>
          <w:snapToGrid w:val="0"/>
          <w:color w:val="auto"/>
          <w:kern w:val="0"/>
          <w:szCs w:val="24"/>
          <w:highlight w:val="none"/>
        </w:rPr>
        <w:t>2、废水</w:t>
      </w:r>
    </w:p>
    <w:p w14:paraId="25AABF16">
      <w:pPr>
        <w:spacing w:line="500" w:lineRule="exact"/>
        <w:rPr>
          <w:rFonts w:cs="Times New Roman"/>
          <w:snapToGrid w:val="0"/>
          <w:color w:val="auto"/>
          <w:highlight w:val="none"/>
        </w:rPr>
      </w:pPr>
      <w:r>
        <w:rPr>
          <w:rFonts w:cs="Times New Roman"/>
          <w:color w:val="auto"/>
          <w:highlight w:val="none"/>
        </w:rPr>
        <w:t>本项目运营期产生的废水包括生产废水和生活污水。</w:t>
      </w:r>
      <w:r>
        <w:rPr>
          <w:rFonts w:cs="Times New Roman"/>
          <w:bCs/>
          <w:color w:val="auto"/>
          <w:szCs w:val="24"/>
          <w:highlight w:val="none"/>
        </w:rPr>
        <w:t>其中，生产废水</w:t>
      </w:r>
      <w:r>
        <w:rPr>
          <w:rFonts w:hint="eastAsia" w:cs="Times New Roman"/>
          <w:bCs/>
          <w:color w:val="auto"/>
          <w:szCs w:val="24"/>
          <w:highlight w:val="none"/>
          <w:lang w:val="en-US" w:eastAsia="zh-CN"/>
        </w:rPr>
        <w:t>为</w:t>
      </w:r>
      <w:r>
        <w:rPr>
          <w:rFonts w:cs="Times New Roman"/>
          <w:bCs/>
          <w:color w:val="auto"/>
          <w:szCs w:val="24"/>
          <w:highlight w:val="none"/>
        </w:rPr>
        <w:t>屠宰废水</w:t>
      </w:r>
      <w:r>
        <w:rPr>
          <w:rFonts w:hint="eastAsia" w:cs="Times New Roman"/>
          <w:bCs/>
          <w:color w:val="auto"/>
          <w:szCs w:val="24"/>
          <w:highlight w:val="none"/>
          <w:lang w:val="en-US" w:eastAsia="zh-CN"/>
        </w:rPr>
        <w:t>及排酸水、冲洗废水</w:t>
      </w:r>
      <w:r>
        <w:rPr>
          <w:rFonts w:cs="Times New Roman"/>
          <w:bCs/>
          <w:color w:val="auto"/>
          <w:szCs w:val="24"/>
          <w:highlight w:val="none"/>
        </w:rPr>
        <w:t>，</w:t>
      </w:r>
      <w:r>
        <w:rPr>
          <w:rFonts w:cs="Times New Roman"/>
          <w:color w:val="auto"/>
          <w:highlight w:val="none"/>
        </w:rPr>
        <w:t>生活污水为</w:t>
      </w:r>
      <w:r>
        <w:rPr>
          <w:rFonts w:cs="Times New Roman"/>
          <w:bCs/>
          <w:color w:val="auto"/>
          <w:szCs w:val="24"/>
          <w:highlight w:val="none"/>
        </w:rPr>
        <w:t>员工日常生活污水。屠宰废水经厂区自建的污水处理站进行处理，污水处理站采用“格栅</w:t>
      </w:r>
      <w:r>
        <w:rPr>
          <w:rFonts w:hint="eastAsia" w:cs="Times New Roman"/>
          <w:bCs/>
          <w:color w:val="auto"/>
          <w:szCs w:val="24"/>
          <w:highlight w:val="none"/>
          <w:lang w:val="en-US" w:eastAsia="zh-CN"/>
        </w:rPr>
        <w:t>+隔油池</w:t>
      </w:r>
      <w:r>
        <w:rPr>
          <w:rFonts w:cs="Times New Roman"/>
          <w:bCs/>
          <w:color w:val="auto"/>
          <w:szCs w:val="24"/>
          <w:highlight w:val="none"/>
        </w:rPr>
        <w:t>+</w:t>
      </w:r>
      <w:r>
        <w:rPr>
          <w:rFonts w:hint="eastAsia" w:cs="Times New Roman"/>
          <w:bCs/>
          <w:color w:val="auto"/>
          <w:szCs w:val="24"/>
          <w:highlight w:val="none"/>
          <w:lang w:val="en-US" w:eastAsia="zh-CN"/>
        </w:rPr>
        <w:t>调节池</w:t>
      </w:r>
      <w:r>
        <w:rPr>
          <w:rFonts w:cs="Times New Roman"/>
          <w:bCs/>
          <w:color w:val="auto"/>
          <w:szCs w:val="24"/>
          <w:highlight w:val="none"/>
        </w:rPr>
        <w:t>+气浮+水解酸化+</w:t>
      </w:r>
      <w:r>
        <w:rPr>
          <w:rFonts w:hint="eastAsia" w:cs="Times New Roman"/>
          <w:bCs/>
          <w:color w:val="auto"/>
          <w:szCs w:val="24"/>
          <w:highlight w:val="none"/>
          <w:lang w:val="en-US" w:eastAsia="zh-CN"/>
        </w:rPr>
        <w:t>反硝化</w:t>
      </w:r>
      <w:r>
        <w:rPr>
          <w:rFonts w:hint="eastAsia" w:cs="Times New Roman"/>
          <w:bCs/>
          <w:color w:val="auto"/>
          <w:szCs w:val="24"/>
          <w:highlight w:val="none"/>
          <w:lang w:val="en-US" w:eastAsia="zh-CN"/>
        </w:rPr>
        <w:t>缺氧+好氧</w:t>
      </w:r>
      <w:r>
        <w:rPr>
          <w:rFonts w:cs="Times New Roman"/>
          <w:bCs/>
          <w:color w:val="auto"/>
          <w:szCs w:val="24"/>
          <w:highlight w:val="none"/>
        </w:rPr>
        <w:t>+沉淀+消毒（</w:t>
      </w:r>
      <w:r>
        <w:rPr>
          <w:rFonts w:hint="eastAsia" w:cs="Times New Roman"/>
          <w:bCs/>
          <w:color w:val="auto"/>
          <w:szCs w:val="24"/>
          <w:highlight w:val="none"/>
          <w:lang w:val="en-US" w:eastAsia="zh-CN"/>
        </w:rPr>
        <w:t>次氯酸钠</w:t>
      </w:r>
      <w:r>
        <w:rPr>
          <w:rFonts w:cs="Times New Roman"/>
          <w:bCs/>
          <w:color w:val="auto"/>
          <w:szCs w:val="24"/>
          <w:highlight w:val="none"/>
        </w:rPr>
        <w:t>）”工艺，处理后满足《肉类加工工业水污染物排放标准》（GB13457-92）表3标准限值及</w:t>
      </w:r>
      <w:r>
        <w:rPr>
          <w:rFonts w:hint="eastAsia" w:cs="Times New Roman"/>
          <w:bCs/>
          <w:color w:val="auto"/>
          <w:szCs w:val="24"/>
          <w:highlight w:val="none"/>
          <w:lang w:eastAsia="zh-CN"/>
        </w:rPr>
        <w:t>双鸭山市畅源排水有限公司</w:t>
      </w:r>
      <w:r>
        <w:rPr>
          <w:rFonts w:cs="Times New Roman"/>
          <w:bCs/>
          <w:color w:val="auto"/>
          <w:szCs w:val="24"/>
          <w:highlight w:val="none"/>
        </w:rPr>
        <w:t>进水水质要求后，</w:t>
      </w:r>
      <w:r>
        <w:rPr>
          <w:rFonts w:cs="Times New Roman"/>
          <w:snapToGrid w:val="0"/>
          <w:color w:val="auto"/>
          <w:highlight w:val="none"/>
        </w:rPr>
        <w:t>同生活污水</w:t>
      </w:r>
      <w:r>
        <w:rPr>
          <w:rFonts w:cs="Times New Roman"/>
          <w:snapToGrid w:val="0"/>
          <w:color w:val="auto"/>
          <w:highlight w:val="none"/>
          <w:lang w:val="en-GB"/>
        </w:rPr>
        <w:t>经污水管网排入</w:t>
      </w:r>
      <w:r>
        <w:rPr>
          <w:rFonts w:hint="eastAsia" w:cs="Times New Roman"/>
          <w:snapToGrid w:val="0"/>
          <w:color w:val="auto"/>
          <w:highlight w:val="none"/>
          <w:lang w:eastAsia="zh-CN"/>
        </w:rPr>
        <w:t>双鸭山市畅源排水有限公司</w:t>
      </w:r>
      <w:r>
        <w:rPr>
          <w:rFonts w:cs="Times New Roman"/>
          <w:snapToGrid w:val="0"/>
          <w:color w:val="auto"/>
          <w:highlight w:val="none"/>
        </w:rPr>
        <w:t>处理，处理</w:t>
      </w:r>
      <w:r>
        <w:rPr>
          <w:rFonts w:cs="Times New Roman"/>
          <w:snapToGrid w:val="0"/>
          <w:color w:val="auto"/>
          <w:highlight w:val="none"/>
          <w:lang w:val="en-GB"/>
        </w:rPr>
        <w:t>达标后排入</w:t>
      </w:r>
      <w:r>
        <w:rPr>
          <w:rFonts w:hint="eastAsia" w:cs="Times New Roman"/>
          <w:snapToGrid w:val="0"/>
          <w:color w:val="auto"/>
          <w:highlight w:val="none"/>
          <w:lang w:val="en-GB" w:eastAsia="zh-CN"/>
        </w:rPr>
        <w:t>安邦河</w:t>
      </w:r>
      <w:r>
        <w:rPr>
          <w:rFonts w:cs="Times New Roman"/>
          <w:snapToGrid w:val="0"/>
          <w:color w:val="auto"/>
          <w:highlight w:val="none"/>
          <w:lang w:val="en-GB"/>
        </w:rPr>
        <w:t>。</w:t>
      </w:r>
    </w:p>
    <w:p w14:paraId="4B553A8A">
      <w:pPr>
        <w:widowControl/>
        <w:spacing w:line="500" w:lineRule="exact"/>
        <w:rPr>
          <w:rFonts w:cs="Times New Roman"/>
          <w:snapToGrid w:val="0"/>
          <w:color w:val="auto"/>
          <w:highlight w:val="none"/>
          <w:lang w:val="en-GB"/>
        </w:rPr>
      </w:pPr>
      <w:r>
        <w:rPr>
          <w:rStyle w:val="220"/>
          <w:rFonts w:cs="Times New Roman"/>
          <w:color w:val="auto"/>
          <w:sz w:val="24"/>
          <w:szCs w:val="24"/>
          <w:highlight w:val="none"/>
        </w:rPr>
        <w:t>为了在污水处理设备故障、检修等非正常情况下有效避免事故排水对外环境的影响，项目建设了一个容积为</w:t>
      </w:r>
      <w:r>
        <w:rPr>
          <w:rStyle w:val="220"/>
          <w:rFonts w:hint="eastAsia" w:cs="Times New Roman"/>
          <w:color w:val="auto"/>
          <w:sz w:val="24"/>
          <w:szCs w:val="24"/>
          <w:highlight w:val="none"/>
          <w:lang w:val="en-US" w:eastAsia="zh-CN"/>
        </w:rPr>
        <w:t>300</w:t>
      </w:r>
      <w:r>
        <w:rPr>
          <w:rStyle w:val="220"/>
          <w:rFonts w:cs="Times New Roman"/>
          <w:color w:val="auto"/>
          <w:sz w:val="24"/>
          <w:szCs w:val="24"/>
          <w:highlight w:val="none"/>
        </w:rPr>
        <w:t>m</w:t>
      </w:r>
      <w:r>
        <w:rPr>
          <w:rStyle w:val="220"/>
          <w:rFonts w:cs="Times New Roman"/>
          <w:color w:val="auto"/>
          <w:sz w:val="24"/>
          <w:szCs w:val="24"/>
          <w:highlight w:val="none"/>
          <w:vertAlign w:val="superscript"/>
        </w:rPr>
        <w:t>3</w:t>
      </w:r>
      <w:r>
        <w:rPr>
          <w:rStyle w:val="220"/>
          <w:rFonts w:cs="Times New Roman"/>
          <w:color w:val="auto"/>
          <w:sz w:val="24"/>
          <w:szCs w:val="24"/>
          <w:highlight w:val="none"/>
        </w:rPr>
        <w:t>的</w:t>
      </w:r>
      <w:r>
        <w:rPr>
          <w:rStyle w:val="220"/>
          <w:rFonts w:hint="eastAsia" w:cs="Times New Roman"/>
          <w:color w:val="auto"/>
          <w:sz w:val="24"/>
          <w:szCs w:val="24"/>
          <w:highlight w:val="none"/>
          <w:lang w:val="en-US" w:eastAsia="zh-CN"/>
        </w:rPr>
        <w:t>调节池，特殊情况下作为</w:t>
      </w:r>
      <w:r>
        <w:rPr>
          <w:rStyle w:val="220"/>
          <w:rFonts w:cs="Times New Roman"/>
          <w:color w:val="auto"/>
          <w:sz w:val="24"/>
          <w:szCs w:val="24"/>
          <w:highlight w:val="none"/>
        </w:rPr>
        <w:t>事故池</w:t>
      </w:r>
      <w:r>
        <w:rPr>
          <w:rStyle w:val="220"/>
          <w:rFonts w:hint="eastAsia" w:cs="Times New Roman"/>
          <w:color w:val="auto"/>
          <w:sz w:val="24"/>
          <w:szCs w:val="24"/>
          <w:highlight w:val="none"/>
          <w:lang w:val="en-US" w:eastAsia="zh-CN"/>
        </w:rPr>
        <w:t>存放生产废水及生活污水，钢混结构</w:t>
      </w:r>
      <w:r>
        <w:rPr>
          <w:rStyle w:val="220"/>
          <w:rFonts w:cs="Times New Roman"/>
          <w:color w:val="auto"/>
          <w:sz w:val="24"/>
          <w:szCs w:val="24"/>
          <w:highlight w:val="none"/>
        </w:rPr>
        <w:t>，能</w:t>
      </w:r>
      <w:r>
        <w:rPr>
          <w:rStyle w:val="220"/>
          <w:rFonts w:cs="Times New Roman"/>
          <w:color w:val="auto"/>
          <w:sz w:val="24"/>
          <w:szCs w:val="24"/>
          <w:highlight w:val="none"/>
        </w:rPr>
        <w:t>容纳1天污水量</w:t>
      </w:r>
      <w:r>
        <w:rPr>
          <w:rStyle w:val="220"/>
          <w:rFonts w:cs="Times New Roman"/>
          <w:color w:val="auto"/>
          <w:sz w:val="24"/>
          <w:szCs w:val="24"/>
          <w:highlight w:val="none"/>
        </w:rPr>
        <w:t>，事故池做防渗处理，在污水处理系统检修或出现故障时存放废水，检修正常后将事故池存水引入厂区内污水处理站处理达标后，排入市政污水管网。</w:t>
      </w:r>
    </w:p>
    <w:p w14:paraId="5DF4DD78">
      <w:pPr>
        <w:widowControl/>
        <w:spacing w:line="500" w:lineRule="exact"/>
        <w:rPr>
          <w:rFonts w:cs="Times New Roman"/>
          <w:snapToGrid w:val="0"/>
          <w:color w:val="auto"/>
          <w:highlight w:val="none"/>
          <w:lang w:val="zh-CN"/>
        </w:rPr>
      </w:pPr>
      <w:r>
        <w:rPr>
          <w:rFonts w:cs="Times New Roman"/>
          <w:snapToGrid w:val="0"/>
          <w:color w:val="auto"/>
          <w:highlight w:val="none"/>
          <w:lang w:val="zh-CN"/>
        </w:rPr>
        <w:t>经上述措施处理后，</w:t>
      </w:r>
      <w:r>
        <w:rPr>
          <w:rFonts w:cs="Times New Roman"/>
          <w:bCs/>
          <w:color w:val="auto"/>
          <w:szCs w:val="24"/>
          <w:highlight w:val="none"/>
        </w:rPr>
        <w:t>本项目废水对周围水环境影响较小。</w:t>
      </w:r>
    </w:p>
    <w:p w14:paraId="1F8CF9A6">
      <w:pPr>
        <w:widowControl/>
        <w:spacing w:line="500" w:lineRule="exact"/>
        <w:ind w:firstLine="482"/>
        <w:jc w:val="left"/>
        <w:rPr>
          <w:rFonts w:cs="Times New Roman"/>
          <w:b/>
          <w:bCs/>
          <w:snapToGrid w:val="0"/>
          <w:color w:val="auto"/>
          <w:kern w:val="0"/>
          <w:szCs w:val="24"/>
          <w:highlight w:val="none"/>
          <w:lang w:val="en-GB"/>
        </w:rPr>
      </w:pPr>
      <w:r>
        <w:rPr>
          <w:rFonts w:cs="Times New Roman"/>
          <w:b/>
          <w:bCs/>
          <w:snapToGrid w:val="0"/>
          <w:color w:val="auto"/>
          <w:kern w:val="0"/>
          <w:szCs w:val="24"/>
          <w:highlight w:val="none"/>
        </w:rPr>
        <w:t>3、</w:t>
      </w:r>
      <w:r>
        <w:rPr>
          <w:rFonts w:cs="Times New Roman"/>
          <w:b/>
          <w:bCs/>
          <w:snapToGrid w:val="0"/>
          <w:color w:val="auto"/>
          <w:kern w:val="0"/>
          <w:szCs w:val="24"/>
          <w:highlight w:val="none"/>
          <w:lang w:val="en-GB"/>
        </w:rPr>
        <w:t>噪声</w:t>
      </w:r>
    </w:p>
    <w:p w14:paraId="5FE31EE7">
      <w:pPr>
        <w:widowControl/>
        <w:spacing w:line="500" w:lineRule="exact"/>
        <w:jc w:val="left"/>
        <w:rPr>
          <w:rFonts w:cs="Times New Roman"/>
          <w:snapToGrid w:val="0"/>
          <w:color w:val="auto"/>
          <w:highlight w:val="none"/>
          <w:lang w:val="zh-CN"/>
        </w:rPr>
      </w:pPr>
      <w:r>
        <w:rPr>
          <w:rFonts w:cs="Times New Roman"/>
          <w:snapToGrid w:val="0"/>
          <w:color w:val="auto"/>
          <w:highlight w:val="none"/>
          <w:lang w:val="zh-CN"/>
        </w:rPr>
        <w:t>本项目运营期噪声主要为设备噪声和牛、羊嚎叫，设备主要为</w:t>
      </w:r>
      <w:r>
        <w:rPr>
          <w:rFonts w:cs="Times New Roman"/>
          <w:snapToGrid w:val="0"/>
          <w:color w:val="auto"/>
          <w:highlight w:val="none"/>
        </w:rPr>
        <w:t>提升机、扯皮机、输送机、压缩机、</w:t>
      </w:r>
      <w:r>
        <w:rPr>
          <w:rFonts w:cs="Times New Roman"/>
          <w:snapToGrid w:val="0"/>
          <w:color w:val="auto"/>
          <w:highlight w:val="none"/>
          <w:lang w:val="zh-CN"/>
        </w:rPr>
        <w:t>风机</w:t>
      </w:r>
      <w:r>
        <w:rPr>
          <w:rFonts w:cs="Times New Roman"/>
          <w:snapToGrid w:val="0"/>
          <w:color w:val="auto"/>
          <w:highlight w:val="none"/>
        </w:rPr>
        <w:t>及泵类等</w:t>
      </w:r>
      <w:r>
        <w:rPr>
          <w:rFonts w:cs="Times New Roman"/>
          <w:snapToGrid w:val="0"/>
          <w:color w:val="auto"/>
          <w:highlight w:val="none"/>
          <w:lang w:val="zh-CN"/>
        </w:rPr>
        <w:t>。选用低噪声设备、利用厂房进行隔声、安装减振垫、加强管理和优化平面布置等措施后，对周围声环境影响较小。</w:t>
      </w:r>
    </w:p>
    <w:p w14:paraId="359E8B01">
      <w:pPr>
        <w:widowControl/>
        <w:spacing w:line="500" w:lineRule="exact"/>
        <w:ind w:firstLine="482"/>
        <w:jc w:val="left"/>
        <w:rPr>
          <w:rFonts w:cs="Times New Roman"/>
          <w:b/>
          <w:bCs/>
          <w:snapToGrid w:val="0"/>
          <w:color w:val="auto"/>
          <w:highlight w:val="none"/>
          <w:lang w:val="zh-CN"/>
        </w:rPr>
      </w:pPr>
      <w:r>
        <w:rPr>
          <w:rFonts w:cs="Times New Roman"/>
          <w:b/>
          <w:bCs/>
          <w:snapToGrid w:val="0"/>
          <w:color w:val="auto"/>
          <w:highlight w:val="none"/>
        </w:rPr>
        <w:t>4、</w:t>
      </w:r>
      <w:r>
        <w:rPr>
          <w:rFonts w:cs="Times New Roman"/>
          <w:b/>
          <w:bCs/>
          <w:snapToGrid w:val="0"/>
          <w:color w:val="auto"/>
          <w:highlight w:val="none"/>
          <w:lang w:val="zh-CN"/>
        </w:rPr>
        <w:t>固体废物</w:t>
      </w:r>
    </w:p>
    <w:p w14:paraId="75D4ABF4">
      <w:pPr>
        <w:spacing w:line="500" w:lineRule="exact"/>
        <w:rPr>
          <w:rFonts w:cs="Times New Roman"/>
          <w:color w:val="auto"/>
          <w:szCs w:val="24"/>
          <w:highlight w:val="none"/>
        </w:rPr>
      </w:pPr>
      <w:r>
        <w:rPr>
          <w:rFonts w:cs="Times New Roman"/>
          <w:color w:val="auto"/>
          <w:szCs w:val="24"/>
          <w:highlight w:val="none"/>
        </w:rPr>
        <w:t>本项目运营期产生的固体废物为一般固体废物及危险废物，一般固体废物主要包括检疫不合格品、病死牛羊、粪便、边角料、胃容物及肠内物、污泥（含栅渣）、废包装以及生活垃圾；</w:t>
      </w:r>
      <w:r>
        <w:rPr>
          <w:rFonts w:hint="eastAsia" w:cs="Times New Roman"/>
          <w:color w:val="auto"/>
          <w:szCs w:val="24"/>
          <w:highlight w:val="none"/>
          <w:lang w:eastAsia="zh-CN"/>
        </w:rPr>
        <w:t>危险废物主要为</w:t>
      </w:r>
      <w:r>
        <w:rPr>
          <w:rFonts w:cs="Times New Roman"/>
          <w:color w:val="auto"/>
          <w:szCs w:val="24"/>
          <w:highlight w:val="none"/>
        </w:rPr>
        <w:t>废活性炭、</w:t>
      </w:r>
      <w:r>
        <w:rPr>
          <w:rFonts w:hint="eastAsia" w:cs="Times New Roman"/>
          <w:color w:val="auto"/>
          <w:szCs w:val="24"/>
          <w:highlight w:val="none"/>
          <w:lang w:eastAsia="zh-CN"/>
        </w:rPr>
        <w:t>检疫废物、废润滑油及含油抹布、劳保手套</w:t>
      </w:r>
      <w:r>
        <w:rPr>
          <w:rFonts w:cs="Times New Roman"/>
          <w:color w:val="auto"/>
          <w:szCs w:val="24"/>
          <w:highlight w:val="none"/>
        </w:rPr>
        <w:t>。</w:t>
      </w:r>
    </w:p>
    <w:p w14:paraId="43536A26">
      <w:pPr>
        <w:spacing w:line="500" w:lineRule="exact"/>
        <w:rPr>
          <w:rFonts w:cs="Times New Roman"/>
          <w:color w:val="auto"/>
          <w:szCs w:val="24"/>
          <w:highlight w:val="none"/>
        </w:rPr>
      </w:pPr>
      <w:r>
        <w:rPr>
          <w:rFonts w:cs="Times New Roman"/>
          <w:color w:val="auto"/>
          <w:szCs w:val="24"/>
          <w:highlight w:val="none"/>
        </w:rPr>
        <w:t>检疫不合格品、病死牛羊，集中收集当天</w:t>
      </w:r>
      <w:r>
        <w:rPr>
          <w:rFonts w:hint="eastAsia" w:cs="Times New Roman"/>
          <w:color w:val="auto"/>
          <w:szCs w:val="24"/>
          <w:highlight w:val="none"/>
          <w:lang w:eastAsia="zh-CN"/>
        </w:rPr>
        <w:t>由双</w:t>
      </w:r>
      <w:r>
        <w:rPr>
          <w:rFonts w:hint="eastAsia" w:cs="Times New Roman"/>
          <w:color w:val="auto"/>
          <w:szCs w:val="24"/>
          <w:highlight w:val="none"/>
          <w:lang w:val="en-US" w:eastAsia="zh-CN"/>
        </w:rPr>
        <w:t>鸭</w:t>
      </w:r>
      <w:r>
        <w:rPr>
          <w:rFonts w:hint="eastAsia" w:cs="Times New Roman"/>
          <w:color w:val="auto"/>
          <w:szCs w:val="24"/>
          <w:highlight w:val="none"/>
          <w:lang w:eastAsia="zh-CN"/>
        </w:rPr>
        <w:t>山百奥迈斯生物科技有限公司</w:t>
      </w:r>
      <w:r>
        <w:rPr>
          <w:rFonts w:hint="eastAsia" w:cs="Times New Roman"/>
          <w:color w:val="auto"/>
          <w:szCs w:val="24"/>
          <w:highlight w:val="none"/>
          <w:lang w:val="en-US" w:eastAsia="zh-CN"/>
        </w:rPr>
        <w:t>拉运处理</w:t>
      </w:r>
      <w:r>
        <w:rPr>
          <w:rFonts w:cs="Times New Roman"/>
          <w:color w:val="auto"/>
          <w:szCs w:val="24"/>
          <w:highlight w:val="none"/>
        </w:rPr>
        <w:t>，</w:t>
      </w:r>
      <w:r>
        <w:rPr>
          <w:rFonts w:cs="Times New Roman"/>
          <w:snapToGrid w:val="0"/>
          <w:color w:val="auto"/>
          <w:kern w:val="0"/>
          <w:szCs w:val="24"/>
          <w:highlight w:val="none"/>
        </w:rPr>
        <w:t>处置方式需符合《病死及病害动物无害化处理技术规范》（农医发[2017]25号）</w:t>
      </w:r>
      <w:r>
        <w:rPr>
          <w:rFonts w:cs="Times New Roman"/>
          <w:color w:val="auto"/>
          <w:szCs w:val="24"/>
          <w:highlight w:val="none"/>
        </w:rPr>
        <w:t>；牛、羊粪、边角料、胃容物及肠内物分别储存在</w:t>
      </w:r>
      <w:r>
        <w:rPr>
          <w:rFonts w:hint="eastAsia" w:cs="Times New Roman"/>
          <w:color w:val="auto"/>
          <w:szCs w:val="24"/>
          <w:highlight w:val="none"/>
          <w:lang w:val="en-US" w:eastAsia="zh-CN"/>
        </w:rPr>
        <w:t>固体废物</w:t>
      </w:r>
      <w:r>
        <w:rPr>
          <w:rFonts w:cs="Times New Roman"/>
          <w:color w:val="auto"/>
          <w:szCs w:val="24"/>
          <w:highlight w:val="none"/>
        </w:rPr>
        <w:t>暂存</w:t>
      </w:r>
      <w:r>
        <w:rPr>
          <w:rFonts w:hint="eastAsia" w:cs="Times New Roman"/>
          <w:color w:val="auto"/>
          <w:szCs w:val="24"/>
          <w:highlight w:val="none"/>
          <w:lang w:val="en-US" w:eastAsia="zh-CN"/>
        </w:rPr>
        <w:t>库的翻盖周转桶</w:t>
      </w:r>
      <w:r>
        <w:rPr>
          <w:rFonts w:cs="Times New Roman"/>
          <w:color w:val="auto"/>
          <w:szCs w:val="24"/>
          <w:highlight w:val="none"/>
        </w:rPr>
        <w:t>内，作为有机肥原料外售；脱水污泥（含栅渣）送生活垃圾填埋场填埋；废包装集中收集，定期外售综合利用；生活垃圾分类收集于专用垃圾桶后，</w:t>
      </w:r>
      <w:r>
        <w:rPr>
          <w:rFonts w:hint="eastAsia" w:cs="Times New Roman"/>
          <w:color w:val="auto"/>
          <w:szCs w:val="24"/>
          <w:highlight w:val="none"/>
          <w:lang w:eastAsia="zh-CN"/>
        </w:rPr>
        <w:t>由市政环卫部门统一清运</w:t>
      </w:r>
      <w:r>
        <w:rPr>
          <w:rFonts w:cs="Times New Roman"/>
          <w:color w:val="auto"/>
          <w:szCs w:val="24"/>
          <w:highlight w:val="none"/>
        </w:rPr>
        <w:t>；</w:t>
      </w:r>
      <w:r>
        <w:rPr>
          <w:rFonts w:hint="eastAsia" w:cs="Times New Roman"/>
          <w:color w:val="auto"/>
          <w:szCs w:val="24"/>
          <w:highlight w:val="none"/>
          <w:lang w:val="en-US" w:eastAsia="zh-CN"/>
        </w:rPr>
        <w:t>隔油池产生的废油脂，收集后交由有能力处置单位运输处置；</w:t>
      </w:r>
      <w:r>
        <w:rPr>
          <w:rFonts w:cs="Times New Roman"/>
          <w:color w:val="auto"/>
          <w:szCs w:val="24"/>
          <w:highlight w:val="none"/>
        </w:rPr>
        <w:t>废活性炭</w:t>
      </w:r>
      <w:r>
        <w:rPr>
          <w:rFonts w:hint="eastAsia"/>
          <w:color w:val="auto"/>
          <w:highlight w:val="none"/>
          <w:lang w:eastAsia="zh-CN"/>
        </w:rPr>
        <w:t>、</w:t>
      </w:r>
      <w:r>
        <w:rPr>
          <w:rFonts w:cs="Times New Roman"/>
          <w:color w:val="auto"/>
          <w:szCs w:val="24"/>
          <w:highlight w:val="none"/>
        </w:rPr>
        <w:t>检疫废物</w:t>
      </w:r>
      <w:r>
        <w:rPr>
          <w:rFonts w:hint="eastAsia" w:cs="Times New Roman"/>
          <w:color w:val="auto"/>
          <w:szCs w:val="24"/>
          <w:highlight w:val="none"/>
          <w:lang w:eastAsia="zh-CN"/>
        </w:rPr>
        <w:t>、</w:t>
      </w:r>
      <w:r>
        <w:rPr>
          <w:rFonts w:hint="eastAsia" w:cs="Times New Roman"/>
          <w:color w:val="auto"/>
          <w:szCs w:val="24"/>
          <w:highlight w:val="none"/>
          <w:lang w:val="en-US" w:eastAsia="zh-CN"/>
        </w:rPr>
        <w:t>废润滑油分别</w:t>
      </w:r>
      <w:r>
        <w:rPr>
          <w:rFonts w:cs="Times New Roman"/>
          <w:color w:val="auto"/>
          <w:szCs w:val="24"/>
          <w:highlight w:val="none"/>
        </w:rPr>
        <w:t>集中收集，定期由有资质的单位</w:t>
      </w:r>
      <w:r>
        <w:rPr>
          <w:rFonts w:hint="eastAsia" w:cs="Times New Roman"/>
          <w:snapToGrid w:val="0"/>
          <w:color w:val="auto"/>
          <w:kern w:val="0"/>
          <w:szCs w:val="24"/>
          <w:highlight w:val="none"/>
          <w:lang w:eastAsia="zh-CN"/>
        </w:rPr>
        <w:t>处置；</w:t>
      </w:r>
      <w:r>
        <w:rPr>
          <w:rFonts w:hint="eastAsia" w:cs="Times New Roman"/>
          <w:snapToGrid w:val="0"/>
          <w:color w:val="auto"/>
          <w:kern w:val="0"/>
          <w:szCs w:val="24"/>
          <w:highlight w:val="none"/>
          <w:lang w:eastAsia="zh-CN"/>
        </w:rPr>
        <w:t>含油抹布、劳保手套</w:t>
      </w:r>
      <w:r>
        <w:rPr>
          <w:rFonts w:hint="eastAsia" w:cs="Times New Roman"/>
          <w:snapToGrid w:val="0"/>
          <w:color w:val="auto"/>
          <w:kern w:val="0"/>
          <w:szCs w:val="24"/>
          <w:highlight w:val="none"/>
          <w:lang w:eastAsia="zh-CN"/>
        </w:rPr>
        <w:t>集中收集，暂存在</w:t>
      </w:r>
      <w:r>
        <w:rPr>
          <w:rFonts w:hint="eastAsia" w:cs="Times New Roman"/>
          <w:snapToGrid w:val="0"/>
          <w:color w:val="auto"/>
          <w:kern w:val="0"/>
          <w:szCs w:val="24"/>
          <w:highlight w:val="none"/>
          <w:lang w:val="en-US" w:eastAsia="zh-CN"/>
        </w:rPr>
        <w:t>危险废物</w:t>
      </w:r>
      <w:r>
        <w:rPr>
          <w:rFonts w:hint="eastAsia" w:cs="Times New Roman"/>
          <w:snapToGrid w:val="0"/>
          <w:color w:val="auto"/>
          <w:kern w:val="0"/>
          <w:szCs w:val="24"/>
          <w:highlight w:val="none"/>
          <w:lang w:eastAsia="zh-CN"/>
        </w:rPr>
        <w:t>暂存</w:t>
      </w:r>
      <w:r>
        <w:rPr>
          <w:rFonts w:hint="eastAsia" w:cs="Times New Roman"/>
          <w:snapToGrid w:val="0"/>
          <w:color w:val="auto"/>
          <w:kern w:val="0"/>
          <w:szCs w:val="24"/>
          <w:highlight w:val="none"/>
          <w:lang w:val="en-US" w:eastAsia="zh-CN"/>
        </w:rPr>
        <w:t>点</w:t>
      </w:r>
      <w:r>
        <w:rPr>
          <w:rFonts w:hint="eastAsia" w:cs="Times New Roman"/>
          <w:snapToGrid w:val="0"/>
          <w:color w:val="auto"/>
          <w:kern w:val="0"/>
          <w:szCs w:val="24"/>
          <w:highlight w:val="none"/>
          <w:lang w:eastAsia="zh-CN"/>
        </w:rPr>
        <w:t>内，定期由有资质的单位处置。</w:t>
      </w:r>
    </w:p>
    <w:p w14:paraId="6991DF7B">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经上述措施处理后，本项目运营期产生的固体废物对周围环境影响较小。</w:t>
      </w:r>
    </w:p>
    <w:p w14:paraId="4AAD9A52">
      <w:pPr>
        <w:pStyle w:val="36"/>
        <w:adjustRightInd w:val="0"/>
        <w:snapToGrid w:val="0"/>
        <w:spacing w:line="500" w:lineRule="exact"/>
        <w:ind w:left="0" w:firstLine="482" w:firstLineChars="200"/>
        <w:jc w:val="both"/>
        <w:rPr>
          <w:b/>
          <w:bCs/>
          <w:smallCaps w:val="0"/>
          <w:snapToGrid w:val="0"/>
          <w:color w:val="auto"/>
          <w:sz w:val="24"/>
          <w:szCs w:val="24"/>
          <w:highlight w:val="none"/>
        </w:rPr>
      </w:pPr>
      <w:r>
        <w:rPr>
          <w:b/>
          <w:bCs/>
          <w:smallCaps w:val="0"/>
          <w:snapToGrid w:val="0"/>
          <w:color w:val="auto"/>
          <w:sz w:val="24"/>
          <w:szCs w:val="24"/>
          <w:highlight w:val="none"/>
        </w:rPr>
        <w:t>5、地下水</w:t>
      </w:r>
    </w:p>
    <w:p w14:paraId="3D90B36A">
      <w:pPr>
        <w:spacing w:line="500" w:lineRule="exact"/>
        <w:rPr>
          <w:rFonts w:cs="Times New Roman"/>
          <w:color w:val="auto"/>
          <w:highlight w:val="none"/>
        </w:rPr>
      </w:pPr>
      <w:r>
        <w:rPr>
          <w:rFonts w:cs="Times New Roman"/>
          <w:snapToGrid w:val="0"/>
          <w:color w:val="auto"/>
          <w:kern w:val="0"/>
          <w:szCs w:val="24"/>
          <w:highlight w:val="none"/>
        </w:rPr>
        <w:t>本项目运营期</w:t>
      </w:r>
      <w:r>
        <w:rPr>
          <w:rFonts w:cs="Times New Roman"/>
          <w:color w:val="auto"/>
          <w:szCs w:val="24"/>
          <w:highlight w:val="none"/>
        </w:rPr>
        <w:t>正常工况状态下，不会有污水泄漏，不会对地下水造成污染。结合项目的特点，本项目调节池容积大，存水量大，停留时间长，污染物浓度高，如泄漏对地下水影响最大，从最大风险原则考虑，非正常工况下为调节池体破裂和防渗层同时破裂时污水泄漏对地下水水质造成影响。根据地下水预测，非正常工况下地下水超标范围内无地下水敏感目标，通过采取分区防渗、设置跟踪监测井等措施后，项目建设对区域地下水环境影响较小。</w:t>
      </w:r>
    </w:p>
    <w:p w14:paraId="25BC29CC">
      <w:pPr>
        <w:pStyle w:val="36"/>
        <w:adjustRightInd w:val="0"/>
        <w:snapToGrid w:val="0"/>
        <w:spacing w:line="500" w:lineRule="exact"/>
        <w:ind w:left="0" w:firstLine="482" w:firstLineChars="200"/>
        <w:jc w:val="both"/>
        <w:rPr>
          <w:b/>
          <w:bCs/>
          <w:smallCaps w:val="0"/>
          <w:snapToGrid w:val="0"/>
          <w:color w:val="auto"/>
          <w:sz w:val="24"/>
          <w:szCs w:val="24"/>
          <w:highlight w:val="none"/>
        </w:rPr>
      </w:pPr>
      <w:r>
        <w:rPr>
          <w:b/>
          <w:bCs/>
          <w:smallCaps w:val="0"/>
          <w:snapToGrid w:val="0"/>
          <w:color w:val="auto"/>
          <w:sz w:val="24"/>
          <w:szCs w:val="24"/>
          <w:highlight w:val="none"/>
        </w:rPr>
        <w:t>6、环境风险</w:t>
      </w:r>
    </w:p>
    <w:p w14:paraId="6AB130E7">
      <w:pPr>
        <w:widowControl/>
        <w:spacing w:line="500" w:lineRule="exact"/>
        <w:jc w:val="left"/>
        <w:rPr>
          <w:rFonts w:cs="Times New Roman"/>
          <w:color w:val="auto"/>
          <w:szCs w:val="24"/>
          <w:highlight w:val="none"/>
        </w:rPr>
      </w:pPr>
      <w:r>
        <w:rPr>
          <w:rFonts w:cs="Times New Roman"/>
          <w:snapToGrid w:val="0"/>
          <w:color w:val="auto"/>
          <w:kern w:val="0"/>
          <w:szCs w:val="24"/>
          <w:highlight w:val="none"/>
        </w:rPr>
        <w:t>本项目运营期主要风险物质为</w:t>
      </w:r>
      <w:r>
        <w:rPr>
          <w:rFonts w:hint="eastAsia" w:cs="Times New Roman"/>
          <w:snapToGrid w:val="0"/>
          <w:color w:val="auto"/>
          <w:kern w:val="0"/>
          <w:szCs w:val="24"/>
          <w:highlight w:val="none"/>
          <w:lang w:val="en-US" w:eastAsia="zh-CN"/>
        </w:rPr>
        <w:t>污水处理站消毒工艺中使用的次氯酸钠</w:t>
      </w:r>
      <w:r>
        <w:rPr>
          <w:rFonts w:cs="Times New Roman"/>
          <w:snapToGrid w:val="0"/>
          <w:color w:val="auto"/>
          <w:kern w:val="0"/>
          <w:szCs w:val="24"/>
          <w:highlight w:val="none"/>
        </w:rPr>
        <w:t>。</w:t>
      </w:r>
      <w:r>
        <w:rPr>
          <w:rFonts w:cs="Times New Roman"/>
          <w:snapToGrid w:val="0"/>
          <w:color w:val="auto"/>
          <w:highlight w:val="none"/>
          <w:lang w:val="zh-CN"/>
        </w:rPr>
        <w:t>根据《建设项目环境风险评价技术导则》（HJ/T169-2018）附录B，本项目环境风险评价Q＜1，该项目环境风险潜势为Ⅰ，风险评价等级为简单分析。针对项目</w:t>
      </w:r>
      <w:r>
        <w:rPr>
          <w:rFonts w:cs="Times New Roman"/>
          <w:color w:val="auto"/>
          <w:szCs w:val="24"/>
          <w:highlight w:val="none"/>
        </w:rPr>
        <w:t>事故状态下</w:t>
      </w:r>
      <w:r>
        <w:rPr>
          <w:rFonts w:hint="eastAsia" w:cs="Times New Roman"/>
          <w:color w:val="auto"/>
          <w:szCs w:val="24"/>
          <w:highlight w:val="none"/>
          <w:lang w:val="en-US" w:eastAsia="zh-CN"/>
        </w:rPr>
        <w:t>次氯酸钠</w:t>
      </w:r>
      <w:r>
        <w:rPr>
          <w:rFonts w:cs="Times New Roman"/>
          <w:color w:val="auto"/>
          <w:szCs w:val="24"/>
          <w:highlight w:val="none"/>
        </w:rPr>
        <w:t>挥发，</w:t>
      </w:r>
      <w:r>
        <w:rPr>
          <w:rFonts w:cs="Times New Roman"/>
          <w:snapToGrid w:val="0"/>
          <w:color w:val="auto"/>
          <w:highlight w:val="none"/>
          <w:lang w:val="zh-CN"/>
        </w:rPr>
        <w:t>污水处理站废水处理设施出现故障时，高浓度的污水未经处理直接排放</w:t>
      </w:r>
      <w:r>
        <w:rPr>
          <w:rFonts w:cs="Times New Roman"/>
          <w:color w:val="auto"/>
          <w:highlight w:val="none"/>
        </w:rPr>
        <w:t>的危险性，采取相应的防护措施后，</w:t>
      </w:r>
      <w:r>
        <w:rPr>
          <w:rFonts w:cs="Times New Roman"/>
          <w:color w:val="auto"/>
          <w:szCs w:val="24"/>
          <w:highlight w:val="none"/>
        </w:rPr>
        <w:t>项目建设对区域风险环境影响可以被接受。</w:t>
      </w:r>
    </w:p>
    <w:p w14:paraId="13FA3D51">
      <w:pPr>
        <w:pStyle w:val="36"/>
        <w:adjustRightInd w:val="0"/>
        <w:snapToGrid w:val="0"/>
        <w:spacing w:line="500" w:lineRule="exact"/>
        <w:ind w:left="0" w:firstLine="482" w:firstLineChars="200"/>
        <w:jc w:val="both"/>
        <w:rPr>
          <w:rFonts w:hint="eastAsia"/>
          <w:b/>
          <w:bCs/>
          <w:smallCaps w:val="0"/>
          <w:snapToGrid w:val="0"/>
          <w:color w:val="auto"/>
          <w:sz w:val="24"/>
          <w:szCs w:val="24"/>
          <w:highlight w:val="none"/>
          <w:lang w:val="en-US" w:eastAsia="zh-CN"/>
        </w:rPr>
      </w:pPr>
      <w:r>
        <w:rPr>
          <w:rFonts w:hint="eastAsia"/>
          <w:b/>
          <w:bCs/>
          <w:smallCaps w:val="0"/>
          <w:snapToGrid w:val="0"/>
          <w:color w:val="auto"/>
          <w:sz w:val="24"/>
          <w:szCs w:val="24"/>
          <w:highlight w:val="none"/>
          <w:lang w:val="en-US" w:eastAsia="zh-CN"/>
        </w:rPr>
        <w:t>7、选址</w:t>
      </w:r>
    </w:p>
    <w:p w14:paraId="1EAFC3C7">
      <w:pPr>
        <w:keepNext w:val="0"/>
        <w:keepLines w:val="0"/>
        <w:widowControl/>
        <w:suppressLineNumbers w:val="0"/>
        <w:jc w:val="left"/>
        <w:rPr>
          <w:rFonts w:ascii="Times New Roman" w:hAnsi="Times New Roman" w:eastAsia="宋体" w:cs="Times New Roman"/>
          <w:smallCaps w:val="0"/>
          <w:snapToGrid w:val="0"/>
          <w:color w:val="auto"/>
          <w:kern w:val="0"/>
          <w:sz w:val="24"/>
          <w:szCs w:val="24"/>
          <w:highlight w:val="none"/>
          <w:lang w:val="en-US" w:eastAsia="zh-CN" w:bidi="ar-SA"/>
        </w:rPr>
      </w:pPr>
      <w:r>
        <w:rPr>
          <w:rFonts w:ascii="Times New Roman" w:hAnsi="Times New Roman" w:eastAsia="宋体" w:cs="Times New Roman"/>
          <w:smallCaps w:val="0"/>
          <w:snapToGrid w:val="0"/>
          <w:color w:val="auto"/>
          <w:kern w:val="0"/>
          <w:sz w:val="24"/>
          <w:szCs w:val="24"/>
          <w:highlight w:val="none"/>
          <w:lang w:val="en-US" w:eastAsia="zh-CN" w:bidi="ar-SA"/>
        </w:rPr>
        <w:t>本项目</w:t>
      </w:r>
      <w:r>
        <w:rPr>
          <w:rFonts w:hint="eastAsia" w:ascii="Times New Roman" w:hAnsi="Times New Roman" w:eastAsia="宋体" w:cs="Times New Roman"/>
          <w:smallCaps w:val="0"/>
          <w:snapToGrid w:val="0"/>
          <w:color w:val="auto"/>
          <w:kern w:val="0"/>
          <w:sz w:val="24"/>
          <w:szCs w:val="24"/>
          <w:highlight w:val="none"/>
          <w:lang w:val="en-US" w:eastAsia="zh-CN" w:bidi="ar-SA"/>
        </w:rPr>
        <w:t>为屠宰项目，</w:t>
      </w:r>
      <w:r>
        <w:rPr>
          <w:rFonts w:ascii="Times New Roman" w:hAnsi="Times New Roman" w:eastAsia="宋体" w:cs="Times New Roman"/>
          <w:smallCaps w:val="0"/>
          <w:snapToGrid w:val="0"/>
          <w:color w:val="auto"/>
          <w:kern w:val="0"/>
          <w:sz w:val="24"/>
          <w:szCs w:val="24"/>
          <w:highlight w:val="none"/>
          <w:lang w:val="en-US" w:eastAsia="zh-CN" w:bidi="ar-SA"/>
        </w:rPr>
        <w:t>位于</w:t>
      </w:r>
      <w:r>
        <w:rPr>
          <w:rFonts w:hint="eastAsia" w:ascii="Times New Roman" w:hAnsi="Times New Roman" w:eastAsia="宋体" w:cs="Times New Roman"/>
          <w:smallCaps w:val="0"/>
          <w:snapToGrid w:val="0"/>
          <w:color w:val="auto"/>
          <w:kern w:val="0"/>
          <w:sz w:val="24"/>
          <w:szCs w:val="24"/>
          <w:highlight w:val="none"/>
          <w:lang w:val="en-US" w:eastAsia="zh-CN" w:bidi="ar-SA"/>
        </w:rPr>
        <w:t>黑龙江省双鸭山市岭东区长胜乡东兴村，</w:t>
      </w:r>
      <w:r>
        <w:rPr>
          <w:rFonts w:ascii="Times New Roman" w:hAnsi="Times New Roman" w:eastAsia="宋体" w:cs="Times New Roman"/>
          <w:smallCaps w:val="0"/>
          <w:snapToGrid w:val="0"/>
          <w:color w:val="auto"/>
          <w:kern w:val="0"/>
          <w:sz w:val="24"/>
          <w:szCs w:val="24"/>
          <w:highlight w:val="none"/>
          <w:lang w:val="en-US" w:eastAsia="zh-CN" w:bidi="ar-SA"/>
        </w:rPr>
        <w:t>项目用地性质为</w:t>
      </w:r>
      <w:r>
        <w:rPr>
          <w:rFonts w:hint="eastAsia" w:cs="Times New Roman"/>
          <w:smallCaps w:val="0"/>
          <w:snapToGrid w:val="0"/>
          <w:color w:val="auto"/>
          <w:kern w:val="0"/>
          <w:sz w:val="24"/>
          <w:szCs w:val="24"/>
          <w:highlight w:val="none"/>
          <w:lang w:val="en-US" w:eastAsia="zh-CN" w:bidi="ar-SA"/>
        </w:rPr>
        <w:t>建设用地</w:t>
      </w:r>
      <w:r>
        <w:rPr>
          <w:rFonts w:ascii="Times New Roman" w:hAnsi="Times New Roman" w:eastAsia="宋体" w:cs="Times New Roman"/>
          <w:smallCaps w:val="0"/>
          <w:snapToGrid w:val="0"/>
          <w:color w:val="auto"/>
          <w:kern w:val="0"/>
          <w:sz w:val="24"/>
          <w:szCs w:val="24"/>
          <w:highlight w:val="none"/>
          <w:lang w:val="en-US" w:eastAsia="zh-CN" w:bidi="ar-SA"/>
        </w:rPr>
        <w:t>，</w:t>
      </w:r>
      <w:r>
        <w:rPr>
          <w:rFonts w:hint="eastAsia" w:cs="Times New Roman"/>
          <w:smallCaps w:val="0"/>
          <w:snapToGrid w:val="0"/>
          <w:color w:val="auto"/>
          <w:kern w:val="0"/>
          <w:sz w:val="24"/>
          <w:szCs w:val="24"/>
          <w:highlight w:val="none"/>
          <w:lang w:val="en-US" w:eastAsia="zh-CN" w:bidi="ar-SA"/>
        </w:rPr>
        <w:t>本项目租赁双鸭山岭东客运站</w:t>
      </w:r>
      <w:r>
        <w:rPr>
          <w:rFonts w:hint="eastAsia" w:ascii="Times New Roman" w:hAnsi="Times New Roman" w:eastAsia="宋体" w:cs="Times New Roman"/>
          <w:smallCaps w:val="0"/>
          <w:snapToGrid w:val="0"/>
          <w:color w:val="auto"/>
          <w:kern w:val="0"/>
          <w:sz w:val="24"/>
          <w:szCs w:val="24"/>
          <w:highlight w:val="none"/>
          <w:lang w:val="en-US" w:eastAsia="zh-CN" w:bidi="ar-SA"/>
        </w:rPr>
        <w:t>，</w:t>
      </w:r>
      <w:r>
        <w:rPr>
          <w:rFonts w:hint="eastAsia" w:cs="Times New Roman"/>
          <w:smallCaps w:val="0"/>
          <w:snapToGrid w:val="0"/>
          <w:color w:val="auto"/>
          <w:kern w:val="0"/>
          <w:sz w:val="24"/>
          <w:szCs w:val="24"/>
          <w:highlight w:val="none"/>
          <w:lang w:val="en-US" w:eastAsia="zh-CN" w:bidi="ar-SA"/>
        </w:rPr>
        <w:t>竞价确认书见附件7。</w:t>
      </w:r>
      <w:r>
        <w:rPr>
          <w:rFonts w:ascii="Times New Roman" w:hAnsi="Times New Roman" w:eastAsia="宋体" w:cs="Times New Roman"/>
          <w:smallCaps w:val="0"/>
          <w:snapToGrid w:val="0"/>
          <w:color w:val="auto"/>
          <w:kern w:val="0"/>
          <w:sz w:val="24"/>
          <w:szCs w:val="24"/>
          <w:highlight w:val="none"/>
          <w:lang w:val="en-US" w:eastAsia="zh-CN" w:bidi="ar-SA"/>
        </w:rPr>
        <w:t>主要污染物为废水、废气、固体废物、噪声，采取相应的措施后对环境的影响程度和范围可为周边环境所接受，从环境保护角度分析，本项目选址是可行的。本项目</w:t>
      </w:r>
      <w:r>
        <w:rPr>
          <w:rFonts w:ascii="Times New Roman" w:hAnsi="Times New Roman" w:eastAsia="宋体" w:cs="Times New Roman"/>
          <w:smallCaps w:val="0"/>
          <w:snapToGrid w:val="0"/>
          <w:color w:val="auto"/>
          <w:kern w:val="0"/>
          <w:sz w:val="24"/>
          <w:szCs w:val="24"/>
          <w:highlight w:val="none"/>
          <w:lang w:val="zh-CN" w:eastAsia="zh-CN" w:bidi="ar-SA"/>
        </w:rPr>
        <w:t>占地类型为</w:t>
      </w:r>
      <w:r>
        <w:rPr>
          <w:rFonts w:hint="eastAsia" w:cs="Times New Roman"/>
          <w:smallCaps w:val="0"/>
          <w:snapToGrid w:val="0"/>
          <w:color w:val="auto"/>
          <w:kern w:val="0"/>
          <w:sz w:val="24"/>
          <w:szCs w:val="24"/>
          <w:highlight w:val="none"/>
          <w:lang w:val="en-US" w:eastAsia="zh-CN" w:bidi="ar-SA"/>
        </w:rPr>
        <w:t>街巷</w:t>
      </w:r>
      <w:r>
        <w:rPr>
          <w:rFonts w:ascii="Times New Roman" w:hAnsi="Times New Roman" w:eastAsia="宋体" w:cs="Times New Roman"/>
          <w:smallCaps w:val="0"/>
          <w:snapToGrid w:val="0"/>
          <w:color w:val="auto"/>
          <w:kern w:val="0"/>
          <w:sz w:val="24"/>
          <w:szCs w:val="24"/>
          <w:highlight w:val="none"/>
          <w:lang w:val="zh-CN" w:eastAsia="zh-CN" w:bidi="ar-SA"/>
        </w:rPr>
        <w:t>用地</w:t>
      </w:r>
      <w:r>
        <w:rPr>
          <w:rFonts w:ascii="Times New Roman" w:hAnsi="Times New Roman" w:eastAsia="宋体" w:cs="Times New Roman"/>
          <w:smallCaps w:val="0"/>
          <w:snapToGrid w:val="0"/>
          <w:color w:val="auto"/>
          <w:kern w:val="0"/>
          <w:sz w:val="24"/>
          <w:szCs w:val="24"/>
          <w:highlight w:val="none"/>
          <w:lang w:val="zh-CN" w:eastAsia="zh-CN" w:bidi="ar-SA"/>
        </w:rPr>
        <w:t>，</w:t>
      </w:r>
      <w:r>
        <w:rPr>
          <w:rFonts w:hint="eastAsia" w:cs="Times New Roman"/>
          <w:smallCaps w:val="0"/>
          <w:snapToGrid w:val="0"/>
          <w:color w:val="auto"/>
          <w:kern w:val="0"/>
          <w:sz w:val="24"/>
          <w:szCs w:val="24"/>
          <w:highlight w:val="none"/>
          <w:lang w:val="en-US" w:eastAsia="zh-CN" w:bidi="ar-SA"/>
        </w:rPr>
        <w:t>用地情况说明及不动产权书见附件6。</w:t>
      </w:r>
      <w:r>
        <w:rPr>
          <w:rFonts w:ascii="Times New Roman" w:hAnsi="Times New Roman" w:eastAsia="宋体" w:cs="Times New Roman"/>
          <w:smallCaps w:val="0"/>
          <w:snapToGrid w:val="0"/>
          <w:color w:val="auto"/>
          <w:kern w:val="0"/>
          <w:sz w:val="24"/>
          <w:szCs w:val="24"/>
          <w:highlight w:val="none"/>
          <w:lang w:val="zh-CN" w:eastAsia="zh-CN" w:bidi="ar-SA"/>
        </w:rPr>
        <w:t>用地性质符合</w:t>
      </w:r>
      <w:r>
        <w:rPr>
          <w:rFonts w:hint="eastAsia" w:cs="Times New Roman"/>
          <w:smallCaps w:val="0"/>
          <w:snapToGrid w:val="0"/>
          <w:color w:val="auto"/>
          <w:kern w:val="0"/>
          <w:sz w:val="24"/>
          <w:szCs w:val="24"/>
          <w:highlight w:val="none"/>
          <w:lang w:val="en-US" w:eastAsia="zh-CN" w:bidi="ar-SA"/>
        </w:rPr>
        <w:t>双鸭山市</w:t>
      </w:r>
      <w:r>
        <w:rPr>
          <w:rFonts w:ascii="Times New Roman" w:hAnsi="Times New Roman" w:eastAsia="宋体" w:cs="Times New Roman"/>
          <w:smallCaps w:val="0"/>
          <w:snapToGrid w:val="0"/>
          <w:color w:val="auto"/>
          <w:kern w:val="0"/>
          <w:sz w:val="24"/>
          <w:szCs w:val="24"/>
          <w:highlight w:val="none"/>
          <w:lang w:val="zh-CN" w:eastAsia="zh-CN" w:bidi="ar-SA"/>
        </w:rPr>
        <w:t>土地利用规划的要求；</w:t>
      </w:r>
      <w:r>
        <w:rPr>
          <w:rFonts w:ascii="Times New Roman" w:hAnsi="Times New Roman" w:eastAsia="宋体" w:cs="Times New Roman"/>
          <w:smallCaps w:val="0"/>
          <w:snapToGrid w:val="0"/>
          <w:color w:val="auto"/>
          <w:kern w:val="0"/>
          <w:sz w:val="24"/>
          <w:szCs w:val="24"/>
          <w:highlight w:val="none"/>
          <w:lang w:val="en-US" w:eastAsia="zh-CN" w:bidi="ar-SA"/>
        </w:rPr>
        <w:t>且本项目符合《黑龙江省畜禽屠宰管理条例》、《畜类屠宰加工通用技术》（GB/T17237-2008）、《牛羊屠宰与分割车间设计规范》（GB51225-2017）</w:t>
      </w:r>
      <w:r>
        <w:rPr>
          <w:rFonts w:hint="eastAsia" w:ascii="Times New Roman" w:hAnsi="Times New Roman" w:eastAsia="宋体" w:cs="Times New Roman"/>
          <w:smallCaps w:val="0"/>
          <w:snapToGrid w:val="0"/>
          <w:color w:val="auto"/>
          <w:kern w:val="0"/>
          <w:sz w:val="24"/>
          <w:szCs w:val="24"/>
          <w:highlight w:val="none"/>
          <w:lang w:val="en-US" w:eastAsia="zh-CN" w:bidi="ar-SA"/>
        </w:rPr>
        <w:t>、</w:t>
      </w:r>
      <w:r>
        <w:rPr>
          <w:rFonts w:hint="eastAsia" w:ascii="Times New Roman" w:hAnsi="Times New Roman" w:eastAsia="宋体" w:cs="Times New Roman"/>
          <w:smallCaps w:val="0"/>
          <w:snapToGrid w:val="0"/>
          <w:color w:val="auto"/>
          <w:kern w:val="0"/>
          <w:sz w:val="24"/>
          <w:szCs w:val="24"/>
          <w:highlight w:val="none"/>
          <w:lang w:val="zh-CN" w:eastAsia="zh-CN" w:bidi="ar-SA"/>
        </w:rPr>
        <w:t>《冷库设计</w:t>
      </w:r>
      <w:r>
        <w:rPr>
          <w:rFonts w:hint="eastAsia" w:ascii="Times New Roman" w:hAnsi="Times New Roman" w:eastAsia="宋体" w:cs="Times New Roman"/>
          <w:smallCaps w:val="0"/>
          <w:snapToGrid w:val="0"/>
          <w:color w:val="auto"/>
          <w:kern w:val="0"/>
          <w:sz w:val="24"/>
          <w:szCs w:val="24"/>
          <w:highlight w:val="none"/>
          <w:lang w:val="en-US" w:eastAsia="zh-CN" w:bidi="ar-SA"/>
        </w:rPr>
        <w:t>标准</w:t>
      </w:r>
      <w:r>
        <w:rPr>
          <w:rFonts w:hint="eastAsia" w:ascii="Times New Roman" w:hAnsi="Times New Roman" w:eastAsia="宋体" w:cs="Times New Roman"/>
          <w:smallCaps w:val="0"/>
          <w:snapToGrid w:val="0"/>
          <w:color w:val="auto"/>
          <w:kern w:val="0"/>
          <w:sz w:val="24"/>
          <w:szCs w:val="24"/>
          <w:highlight w:val="none"/>
          <w:lang w:val="zh-CN" w:eastAsia="zh-CN" w:bidi="ar-SA"/>
        </w:rPr>
        <w:t>》（</w:t>
      </w:r>
      <w:r>
        <w:rPr>
          <w:rFonts w:hint="eastAsia" w:ascii="Times New Roman" w:hAnsi="Times New Roman" w:eastAsia="宋体" w:cs="Times New Roman"/>
          <w:smallCaps w:val="0"/>
          <w:snapToGrid w:val="0"/>
          <w:color w:val="auto"/>
          <w:kern w:val="0"/>
          <w:sz w:val="24"/>
          <w:szCs w:val="24"/>
          <w:highlight w:val="none"/>
          <w:lang w:val="en-US" w:eastAsia="zh-CN" w:bidi="ar-SA"/>
        </w:rPr>
        <w:t>GB50072-202</w:t>
      </w:r>
      <w:r>
        <w:rPr>
          <w:rFonts w:hint="eastAsia" w:ascii="Times New Roman" w:hAnsi="Times New Roman" w:eastAsia="宋体" w:cs="Times New Roman"/>
          <w:smallCaps w:val="0"/>
          <w:snapToGrid w:val="0"/>
          <w:color w:val="auto"/>
          <w:kern w:val="0"/>
          <w:sz w:val="24"/>
          <w:szCs w:val="24"/>
          <w:highlight w:val="none"/>
          <w:lang w:val="zh-CN" w:eastAsia="zh-CN" w:bidi="ar-SA"/>
        </w:rPr>
        <w:t>）</w:t>
      </w:r>
      <w:r>
        <w:rPr>
          <w:rFonts w:ascii="Times New Roman" w:hAnsi="Times New Roman" w:eastAsia="宋体" w:cs="Times New Roman"/>
          <w:smallCaps w:val="0"/>
          <w:snapToGrid w:val="0"/>
          <w:color w:val="auto"/>
          <w:kern w:val="0"/>
          <w:sz w:val="24"/>
          <w:szCs w:val="24"/>
          <w:highlight w:val="none"/>
          <w:lang w:val="en-US" w:eastAsia="zh-CN" w:bidi="ar-SA"/>
        </w:rPr>
        <w:t>及</w:t>
      </w:r>
      <w:r>
        <w:rPr>
          <w:rFonts w:ascii="Times New Roman" w:hAnsi="Times New Roman" w:eastAsia="宋体" w:cs="Times New Roman"/>
          <w:smallCaps w:val="0"/>
          <w:snapToGrid w:val="0"/>
          <w:color w:val="auto"/>
          <w:kern w:val="0"/>
          <w:sz w:val="24"/>
          <w:szCs w:val="24"/>
          <w:highlight w:val="none"/>
          <w:lang w:val="zh-CN" w:eastAsia="zh-CN" w:bidi="ar-SA"/>
        </w:rPr>
        <w:t>《中共中央关于制定国民经济和社会发展第十四个五年规划和二〇三五年远景目标的建议》、《黑龙江省国民经济和社会发展第十四个五年规划和2035年远景目标纲要》、</w:t>
      </w:r>
      <w:r>
        <w:rPr>
          <w:rFonts w:ascii="Times New Roman" w:hAnsi="Times New Roman" w:cs="Times New Roman"/>
          <w:snapToGrid w:val="0"/>
          <w:color w:val="auto"/>
          <w:kern w:val="0"/>
          <w:szCs w:val="24"/>
          <w:highlight w:val="none"/>
          <w:lang w:val="zh-CN"/>
        </w:rPr>
        <w:t>《</w:t>
      </w:r>
      <w:r>
        <w:rPr>
          <w:rFonts w:ascii="Times New Roman" w:hAnsi="Times New Roman" w:cs="Times New Roman"/>
          <w:snapToGrid w:val="0"/>
          <w:color w:val="auto"/>
          <w:kern w:val="0"/>
          <w:szCs w:val="24"/>
          <w:highlight w:val="none"/>
        </w:rPr>
        <w:t>双鸭山市人民政府关于印发双鸭山市国民经济和社会发展第十四个五年规划和二〇三五年远景目标纲要的通知</w:t>
      </w:r>
      <w:r>
        <w:rPr>
          <w:rFonts w:ascii="Times New Roman" w:hAnsi="Times New Roman" w:cs="Times New Roman"/>
          <w:snapToGrid w:val="0"/>
          <w:color w:val="auto"/>
          <w:kern w:val="0"/>
          <w:szCs w:val="24"/>
          <w:highlight w:val="none"/>
          <w:lang w:val="zh-CN"/>
        </w:rPr>
        <w:t>》</w:t>
      </w:r>
      <w:r>
        <w:rPr>
          <w:rFonts w:ascii="Times New Roman" w:hAnsi="Times New Roman" w:eastAsia="宋体" w:cs="Times New Roman"/>
          <w:smallCaps w:val="0"/>
          <w:snapToGrid w:val="0"/>
          <w:color w:val="auto"/>
          <w:kern w:val="0"/>
          <w:sz w:val="24"/>
          <w:szCs w:val="24"/>
          <w:highlight w:val="none"/>
          <w:lang w:val="zh-CN" w:eastAsia="zh-CN" w:bidi="ar-SA"/>
        </w:rPr>
        <w:t>、</w:t>
      </w:r>
      <w:r>
        <w:rPr>
          <w:rFonts w:ascii="Times New Roman" w:hAnsi="Times New Roman" w:eastAsia="宋体" w:cs="Times New Roman"/>
          <w:smallCaps w:val="0"/>
          <w:snapToGrid w:val="0"/>
          <w:color w:val="auto"/>
          <w:kern w:val="0"/>
          <w:sz w:val="24"/>
          <w:szCs w:val="24"/>
          <w:highlight w:val="none"/>
          <w:lang w:val="en-US" w:eastAsia="zh-CN" w:bidi="ar-SA"/>
        </w:rPr>
        <w:t>《黑龙江省生态功能区划》、《黑龙江省主体功能区划》及“三线一单”等相关规划和政策。</w:t>
      </w:r>
    </w:p>
    <w:p w14:paraId="2EA3F3B7">
      <w:pPr>
        <w:spacing w:line="500" w:lineRule="exact"/>
        <w:rPr>
          <w:rFonts w:hint="default"/>
          <w:color w:val="auto"/>
          <w:highlight w:val="none"/>
          <w:lang w:val="en-US" w:eastAsia="zh-CN"/>
        </w:rPr>
      </w:pPr>
      <w:r>
        <w:rPr>
          <w:rFonts w:hint="eastAsia" w:cs="Times New Roman"/>
          <w:smallCaps w:val="0"/>
          <w:snapToGrid w:val="0"/>
          <w:color w:val="auto"/>
          <w:kern w:val="0"/>
          <w:sz w:val="24"/>
          <w:szCs w:val="24"/>
          <w:highlight w:val="none"/>
          <w:lang w:val="en-US" w:eastAsia="zh-CN" w:bidi="ar-SA"/>
        </w:rPr>
        <w:t>综上，本项目</w:t>
      </w:r>
      <w:r>
        <w:rPr>
          <w:rFonts w:cs="Times New Roman"/>
          <w:snapToGrid w:val="0"/>
          <w:color w:val="auto"/>
          <w:kern w:val="0"/>
          <w:szCs w:val="24"/>
          <w:highlight w:val="none"/>
        </w:rPr>
        <w:t>项目选址是合理可行的。</w:t>
      </w:r>
    </w:p>
    <w:bookmarkEnd w:id="10"/>
    <w:p w14:paraId="227EC40E">
      <w:pPr>
        <w:keepNext/>
        <w:keepLines/>
        <w:spacing w:line="500" w:lineRule="exact"/>
        <w:ind w:firstLine="0" w:firstLineChars="0"/>
        <w:jc w:val="left"/>
        <w:outlineLvl w:val="1"/>
        <w:rPr>
          <w:rFonts w:eastAsia="黑体" w:cs="Times New Roman"/>
          <w:bCs/>
          <w:snapToGrid w:val="0"/>
          <w:color w:val="auto"/>
          <w:sz w:val="28"/>
          <w:szCs w:val="32"/>
          <w:highlight w:val="none"/>
        </w:rPr>
      </w:pPr>
      <w:bookmarkStart w:id="11" w:name="_Toc2763"/>
      <w:r>
        <w:rPr>
          <w:rFonts w:eastAsia="黑体" w:cs="Times New Roman"/>
          <w:bCs/>
          <w:snapToGrid w:val="0"/>
          <w:color w:val="auto"/>
          <w:sz w:val="28"/>
          <w:szCs w:val="32"/>
          <w:highlight w:val="none"/>
        </w:rPr>
        <w:t>1.3环境影响评价工作过程</w:t>
      </w:r>
      <w:bookmarkEnd w:id="11"/>
    </w:p>
    <w:p w14:paraId="4674CCBB">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依据《建设项目环境影响评价技术导则 总纲》（HJ2.1-2016）要求，本次环评工作分为三个阶段进行。</w:t>
      </w:r>
    </w:p>
    <w:p w14:paraId="108A1900">
      <w:pPr>
        <w:adjustRightInd/>
        <w:snapToGrid/>
        <w:spacing w:line="500" w:lineRule="exact"/>
        <w:rPr>
          <w:rFonts w:cs="Times New Roman"/>
          <w:color w:val="auto"/>
          <w:highlight w:val="none"/>
        </w:rPr>
      </w:pPr>
      <w:r>
        <w:rPr>
          <w:rFonts w:cs="Times New Roman"/>
          <w:snapToGrid w:val="0"/>
          <w:color w:val="auto"/>
          <w:kern w:val="0"/>
          <w:highlight w:val="none"/>
        </w:rPr>
        <w:t>1、</w:t>
      </w:r>
      <w:r>
        <w:rPr>
          <w:rFonts w:cs="Times New Roman"/>
          <w:color w:val="auto"/>
          <w:highlight w:val="none"/>
        </w:rPr>
        <w:t>依据《建设项目环境影响评价分类管理名录》（2021年版），本项目属于“十、农副食品加工业-18屠宰及肉类加工135 屠宰牛、羊10万头、肉牛1万头、肉羊15万只、禽类1000万只及以上的”类项目，本项目</w:t>
      </w:r>
      <w:r>
        <w:rPr>
          <w:rFonts w:hint="eastAsia" w:cs="Times New Roman"/>
          <w:color w:val="auto"/>
          <w:highlight w:val="none"/>
        </w:rPr>
        <w:t>屠宰量为肉牛</w:t>
      </w:r>
      <w:r>
        <w:rPr>
          <w:rFonts w:hint="eastAsia" w:cs="Times New Roman"/>
          <w:color w:val="auto"/>
          <w:highlight w:val="none"/>
          <w:lang w:val="en-US" w:eastAsia="zh-CN"/>
        </w:rPr>
        <w:t>100</w:t>
      </w:r>
      <w:r>
        <w:rPr>
          <w:rFonts w:hint="eastAsia" w:cs="Times New Roman"/>
          <w:color w:val="auto"/>
          <w:highlight w:val="none"/>
        </w:rPr>
        <w:t>头/d，肉羊</w:t>
      </w:r>
      <w:r>
        <w:rPr>
          <w:rFonts w:hint="eastAsia" w:cs="Times New Roman"/>
          <w:color w:val="auto"/>
          <w:highlight w:val="none"/>
          <w:lang w:val="en-US" w:eastAsia="zh-CN"/>
        </w:rPr>
        <w:t>500</w:t>
      </w:r>
      <w:r>
        <w:rPr>
          <w:rFonts w:hint="eastAsia" w:cs="Times New Roman"/>
          <w:color w:val="auto"/>
          <w:highlight w:val="none"/>
        </w:rPr>
        <w:t>只/d</w:t>
      </w:r>
      <w:r>
        <w:rPr>
          <w:rFonts w:hint="eastAsia" w:cs="Times New Roman"/>
          <w:color w:val="auto"/>
          <w:highlight w:val="none"/>
          <w:lang w:eastAsia="zh-CN"/>
        </w:rPr>
        <w:t>，</w:t>
      </w:r>
      <w:r>
        <w:rPr>
          <w:rFonts w:hint="eastAsia" w:cs="Times New Roman"/>
          <w:color w:val="auto"/>
          <w:highlight w:val="none"/>
        </w:rPr>
        <w:t>按设计3</w:t>
      </w:r>
      <w:r>
        <w:rPr>
          <w:rFonts w:hint="eastAsia" w:cs="Times New Roman"/>
          <w:color w:val="auto"/>
          <w:highlight w:val="none"/>
          <w:lang w:val="en-US" w:eastAsia="zh-CN"/>
        </w:rPr>
        <w:t>0</w:t>
      </w:r>
      <w:r>
        <w:rPr>
          <w:rFonts w:cs="Times New Roman"/>
          <w:color w:val="auto"/>
          <w:highlight w:val="none"/>
        </w:rPr>
        <w:t>0</w:t>
      </w:r>
      <w:r>
        <w:rPr>
          <w:rFonts w:hint="eastAsia" w:cs="Times New Roman"/>
          <w:color w:val="auto"/>
          <w:highlight w:val="none"/>
        </w:rPr>
        <w:t>天工作计算，</w:t>
      </w:r>
      <w:r>
        <w:rPr>
          <w:rFonts w:hint="eastAsia" w:cs="Times New Roman"/>
          <w:color w:val="auto"/>
          <w:highlight w:val="none"/>
          <w:lang w:eastAsia="zh-CN"/>
        </w:rPr>
        <w:t>年屠宰肉牛</w:t>
      </w:r>
      <w:r>
        <w:rPr>
          <w:rFonts w:hint="eastAsia" w:cs="Times New Roman"/>
          <w:color w:val="auto"/>
          <w:highlight w:val="none"/>
          <w:lang w:val="en-US" w:eastAsia="zh-CN"/>
        </w:rPr>
        <w:t>30000</w:t>
      </w:r>
      <w:r>
        <w:rPr>
          <w:rFonts w:hint="eastAsia" w:cs="Times New Roman"/>
          <w:color w:val="auto"/>
          <w:highlight w:val="none"/>
          <w:lang w:eastAsia="zh-CN"/>
        </w:rPr>
        <w:t>头、肉羊</w:t>
      </w:r>
      <w:r>
        <w:rPr>
          <w:rFonts w:hint="eastAsia" w:cs="Times New Roman"/>
          <w:color w:val="auto"/>
          <w:highlight w:val="none"/>
          <w:lang w:val="en-US" w:eastAsia="zh-CN"/>
        </w:rPr>
        <w:t>150000</w:t>
      </w:r>
      <w:r>
        <w:rPr>
          <w:rFonts w:hint="eastAsia" w:cs="Times New Roman"/>
          <w:color w:val="auto"/>
          <w:highlight w:val="none"/>
          <w:lang w:eastAsia="zh-CN"/>
        </w:rPr>
        <w:t>只</w:t>
      </w:r>
      <w:r>
        <w:rPr>
          <w:rFonts w:cs="Times New Roman"/>
          <w:color w:val="auto"/>
          <w:highlight w:val="none"/>
        </w:rPr>
        <w:t>，应编制环境影响报告书。在研究相关技术及其他有关文件基础上进行初步工程分析，开展了初步环境现状调查，进行了环境影响识别和评价因子筛选。明确了评价重点为水环境影响、大气环境影响和</w:t>
      </w:r>
      <w:r>
        <w:rPr>
          <w:rFonts w:hint="eastAsia" w:cs="Times New Roman"/>
          <w:color w:val="auto"/>
          <w:highlight w:val="none"/>
          <w:lang w:val="en-US" w:eastAsia="zh-CN"/>
        </w:rPr>
        <w:t>声环境</w:t>
      </w:r>
      <w:r>
        <w:rPr>
          <w:rFonts w:cs="Times New Roman"/>
          <w:color w:val="auto"/>
          <w:highlight w:val="none"/>
        </w:rPr>
        <w:t>影响，确定了保护目标，进一步确定评价工作等级、范围及评价标准，制定出相应工作方案。</w:t>
      </w:r>
    </w:p>
    <w:p w14:paraId="222881B6">
      <w:pPr>
        <w:pStyle w:val="117"/>
        <w:rPr>
          <w:rFonts w:cs="Times New Roman"/>
          <w:snapToGrid w:val="0"/>
          <w:color w:val="auto"/>
          <w:kern w:val="0"/>
          <w:highlight w:val="none"/>
        </w:rPr>
      </w:pPr>
      <w:r>
        <w:rPr>
          <w:rFonts w:cs="Times New Roman"/>
          <w:snapToGrid w:val="0"/>
          <w:color w:val="auto"/>
          <w:kern w:val="0"/>
          <w:highlight w:val="none"/>
        </w:rPr>
        <w:t>2、根据第一阶段工作成果，对环境现状的大气环境、地下水环境、声环境等进行了调查、监测与评价，详细进行工程分析，确定了主要环境影响因素为生产废水和生活污水对地表水和地下水的影响；</w:t>
      </w:r>
      <w:r>
        <w:rPr>
          <w:rFonts w:hint="eastAsia" w:cs="Times New Roman"/>
          <w:snapToGrid w:val="0"/>
          <w:color w:val="auto"/>
          <w:highlight w:val="none"/>
          <w:lang w:val="zh-CN"/>
        </w:rPr>
        <w:t>待宰圈</w:t>
      </w:r>
      <w:r>
        <w:rPr>
          <w:rFonts w:cs="Times New Roman"/>
          <w:snapToGrid w:val="0"/>
          <w:color w:val="auto"/>
          <w:highlight w:val="none"/>
          <w:lang w:val="zh-CN"/>
        </w:rPr>
        <w:t>、</w:t>
      </w:r>
      <w:r>
        <w:rPr>
          <w:rFonts w:hint="eastAsia" w:cs="Times New Roman"/>
          <w:snapToGrid w:val="0"/>
          <w:color w:val="auto"/>
          <w:highlight w:val="none"/>
          <w:lang w:val="en-US" w:eastAsia="zh-CN"/>
        </w:rPr>
        <w:t>急宰间、</w:t>
      </w:r>
      <w:r>
        <w:rPr>
          <w:rFonts w:cs="Times New Roman"/>
          <w:snapToGrid w:val="0"/>
          <w:color w:val="auto"/>
          <w:highlight w:val="none"/>
          <w:lang w:val="zh-CN"/>
        </w:rPr>
        <w:t>屠宰车间</w:t>
      </w:r>
      <w:r>
        <w:rPr>
          <w:rFonts w:hint="eastAsia" w:cs="Times New Roman"/>
          <w:snapToGrid w:val="0"/>
          <w:color w:val="auto"/>
          <w:highlight w:val="none"/>
          <w:lang w:val="en-US" w:eastAsia="zh-CN"/>
        </w:rPr>
        <w:t>、</w:t>
      </w:r>
      <w:r>
        <w:rPr>
          <w:rFonts w:cs="Times New Roman"/>
          <w:snapToGrid w:val="0"/>
          <w:color w:val="auto"/>
          <w:highlight w:val="none"/>
          <w:lang w:val="zh-CN"/>
        </w:rPr>
        <w:t>污水处理站</w:t>
      </w:r>
      <w:r>
        <w:rPr>
          <w:rFonts w:cs="Times New Roman"/>
          <w:color w:val="auto"/>
          <w:spacing w:val="12"/>
          <w:szCs w:val="24"/>
          <w:highlight w:val="none"/>
        </w:rPr>
        <w:t>、隔离</w:t>
      </w:r>
      <w:r>
        <w:rPr>
          <w:rFonts w:hint="eastAsia" w:cs="Times New Roman"/>
          <w:color w:val="auto"/>
          <w:spacing w:val="12"/>
          <w:szCs w:val="24"/>
          <w:highlight w:val="none"/>
          <w:lang w:val="en-US" w:eastAsia="zh-CN"/>
        </w:rPr>
        <w:t>间</w:t>
      </w:r>
      <w:r>
        <w:rPr>
          <w:rFonts w:cs="Times New Roman"/>
          <w:color w:val="auto"/>
          <w:spacing w:val="12"/>
          <w:szCs w:val="24"/>
          <w:highlight w:val="none"/>
        </w:rPr>
        <w:t>及</w:t>
      </w:r>
      <w:r>
        <w:rPr>
          <w:rFonts w:hint="eastAsia" w:cs="Times New Roman"/>
          <w:snapToGrid w:val="0"/>
          <w:color w:val="auto"/>
          <w:highlight w:val="none"/>
          <w:lang w:val="en-US" w:eastAsia="zh-CN"/>
        </w:rPr>
        <w:t>固体废物</w:t>
      </w:r>
      <w:r>
        <w:rPr>
          <w:rFonts w:cs="Times New Roman"/>
          <w:snapToGrid w:val="0"/>
          <w:color w:val="auto"/>
          <w:highlight w:val="none"/>
        </w:rPr>
        <w:t>暂存间</w:t>
      </w:r>
      <w:r>
        <w:rPr>
          <w:rFonts w:cs="Times New Roman"/>
          <w:snapToGrid w:val="0"/>
          <w:color w:val="auto"/>
          <w:kern w:val="0"/>
          <w:highlight w:val="none"/>
        </w:rPr>
        <w:t>产生的恶臭气体对大气环境的影响；牛、羊叫声及设备噪声对周边声环境的影响，检疫不合格品及病死牲畜、屠宰车间废物、</w:t>
      </w:r>
      <w:r>
        <w:rPr>
          <w:rFonts w:hint="eastAsia" w:cs="Times New Roman"/>
          <w:snapToGrid w:val="0"/>
          <w:color w:val="auto"/>
          <w:kern w:val="0"/>
          <w:highlight w:val="none"/>
          <w:lang w:eastAsia="zh-CN"/>
        </w:rPr>
        <w:t>待宰圈</w:t>
      </w:r>
      <w:r>
        <w:rPr>
          <w:rFonts w:cs="Times New Roman"/>
          <w:snapToGrid w:val="0"/>
          <w:color w:val="auto"/>
          <w:kern w:val="0"/>
          <w:highlight w:val="none"/>
        </w:rPr>
        <w:t>产生粪便、污泥、废活性炭及生活垃圾等对周边环境的影响，并采取相应的模式对各环境要素影响进行了预测与分析。</w:t>
      </w:r>
    </w:p>
    <w:p w14:paraId="6D00EF14">
      <w:pPr>
        <w:pStyle w:val="117"/>
        <w:rPr>
          <w:rFonts w:cs="Times New Roman"/>
          <w:snapToGrid w:val="0"/>
          <w:color w:val="auto"/>
          <w:kern w:val="0"/>
          <w:highlight w:val="none"/>
        </w:rPr>
      </w:pPr>
      <w:r>
        <w:rPr>
          <w:rFonts w:cs="Times New Roman"/>
          <w:snapToGrid w:val="0"/>
          <w:color w:val="auto"/>
          <w:kern w:val="0"/>
          <w:highlight w:val="none"/>
        </w:rPr>
        <w:t>3、对</w:t>
      </w:r>
      <w:r>
        <w:rPr>
          <w:rFonts w:hint="eastAsia" w:cs="Times New Roman"/>
          <w:snapToGrid w:val="0"/>
          <w:color w:val="auto"/>
          <w:highlight w:val="none"/>
          <w:lang w:val="zh-CN"/>
        </w:rPr>
        <w:t>待宰圈</w:t>
      </w:r>
      <w:r>
        <w:rPr>
          <w:rFonts w:cs="Times New Roman"/>
          <w:snapToGrid w:val="0"/>
          <w:color w:val="auto"/>
          <w:highlight w:val="none"/>
          <w:lang w:val="zh-CN"/>
        </w:rPr>
        <w:t>、</w:t>
      </w:r>
      <w:r>
        <w:rPr>
          <w:rFonts w:hint="eastAsia" w:cs="Times New Roman"/>
          <w:snapToGrid w:val="0"/>
          <w:color w:val="auto"/>
          <w:highlight w:val="none"/>
          <w:lang w:val="en-US" w:eastAsia="zh-CN"/>
        </w:rPr>
        <w:t>急宰间、</w:t>
      </w:r>
      <w:r>
        <w:rPr>
          <w:rFonts w:cs="Times New Roman"/>
          <w:snapToGrid w:val="0"/>
          <w:color w:val="auto"/>
          <w:highlight w:val="none"/>
          <w:lang w:val="zh-CN"/>
        </w:rPr>
        <w:t>屠宰车间</w:t>
      </w:r>
      <w:r>
        <w:rPr>
          <w:rFonts w:hint="eastAsia" w:cs="Times New Roman"/>
          <w:snapToGrid w:val="0"/>
          <w:color w:val="auto"/>
          <w:highlight w:val="none"/>
          <w:lang w:val="en-US" w:eastAsia="zh-CN"/>
        </w:rPr>
        <w:t>、</w:t>
      </w:r>
      <w:r>
        <w:rPr>
          <w:rFonts w:cs="Times New Roman"/>
          <w:snapToGrid w:val="0"/>
          <w:color w:val="auto"/>
          <w:highlight w:val="none"/>
          <w:lang w:val="zh-CN"/>
        </w:rPr>
        <w:t>污水处理站</w:t>
      </w:r>
      <w:r>
        <w:rPr>
          <w:rFonts w:cs="Times New Roman"/>
          <w:color w:val="auto"/>
          <w:spacing w:val="12"/>
          <w:szCs w:val="24"/>
          <w:highlight w:val="none"/>
        </w:rPr>
        <w:t>、隔离</w:t>
      </w:r>
      <w:r>
        <w:rPr>
          <w:rFonts w:hint="eastAsia" w:cs="Times New Roman"/>
          <w:color w:val="auto"/>
          <w:spacing w:val="12"/>
          <w:szCs w:val="24"/>
          <w:highlight w:val="none"/>
          <w:lang w:val="en-US" w:eastAsia="zh-CN"/>
        </w:rPr>
        <w:t>间</w:t>
      </w:r>
      <w:r>
        <w:rPr>
          <w:rFonts w:cs="Times New Roman"/>
          <w:color w:val="auto"/>
          <w:spacing w:val="12"/>
          <w:szCs w:val="24"/>
          <w:highlight w:val="none"/>
        </w:rPr>
        <w:t>及</w:t>
      </w:r>
      <w:r>
        <w:rPr>
          <w:rFonts w:hint="eastAsia" w:cs="Times New Roman"/>
          <w:snapToGrid w:val="0"/>
          <w:color w:val="auto"/>
          <w:highlight w:val="none"/>
          <w:lang w:val="en-US" w:eastAsia="zh-CN"/>
        </w:rPr>
        <w:t>固体废物</w:t>
      </w:r>
      <w:r>
        <w:rPr>
          <w:rFonts w:cs="Times New Roman"/>
          <w:snapToGrid w:val="0"/>
          <w:color w:val="auto"/>
          <w:highlight w:val="none"/>
        </w:rPr>
        <w:t>暂存间</w:t>
      </w:r>
      <w:r>
        <w:rPr>
          <w:rFonts w:cs="Times New Roman"/>
          <w:snapToGrid w:val="0"/>
          <w:color w:val="auto"/>
          <w:kern w:val="0"/>
          <w:highlight w:val="none"/>
        </w:rPr>
        <w:t>产生的恶臭气体提出了大气环境保护措施，生活污水</w:t>
      </w:r>
      <w:r>
        <w:rPr>
          <w:rFonts w:cs="Times New Roman"/>
          <w:snapToGrid w:val="0"/>
          <w:color w:val="auto"/>
          <w:highlight w:val="none"/>
        </w:rPr>
        <w:t>和生产废水</w:t>
      </w:r>
      <w:r>
        <w:rPr>
          <w:rFonts w:cs="Times New Roman"/>
          <w:snapToGrid w:val="0"/>
          <w:color w:val="auto"/>
          <w:kern w:val="0"/>
          <w:highlight w:val="none"/>
        </w:rPr>
        <w:t>提出了处理措施和地下水防治措施，对噪声采取了隔声减振等措施，对产生的固废采取了相应处理处置措施，并进行经济技术可行性论证，给出污染物排放清单并给出评价结论。</w:t>
      </w:r>
    </w:p>
    <w:p w14:paraId="21A39279">
      <w:pPr>
        <w:adjustRightInd/>
        <w:snapToGrid/>
        <w:spacing w:line="240" w:lineRule="auto"/>
        <w:ind w:firstLine="0" w:firstLineChars="0"/>
        <w:jc w:val="center"/>
        <w:rPr>
          <w:rFonts w:cs="Times New Roman"/>
          <w:snapToGrid w:val="0"/>
          <w:color w:val="auto"/>
          <w:kern w:val="0"/>
          <w:highlight w:val="none"/>
        </w:rPr>
      </w:pPr>
      <w:r>
        <w:rPr>
          <w:rFonts w:cs="Times New Roman"/>
          <w:snapToGrid w:val="0"/>
          <w:color w:val="auto"/>
          <w:kern w:val="0"/>
          <w:highlight w:val="none"/>
        </w:rPr>
        <w:drawing>
          <wp:inline distT="0" distB="0" distL="0" distR="0">
            <wp:extent cx="4806315" cy="5017770"/>
            <wp:effectExtent l="0" t="0" r="13335" b="11430"/>
            <wp:docPr id="7" name="图片 7" descr="C:/Users/Administrator/AppData/Local/Temp/picturecompress_20211105115811/output_28.jpgoutpu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Local/Temp/picturecompress_20211105115811/output_28.jpgoutput_28"/>
                    <pic:cNvPicPr>
                      <a:picLocks noChangeAspect="1" noChangeArrowheads="1"/>
                    </pic:cNvPicPr>
                  </pic:nvPicPr>
                  <pic:blipFill>
                    <a:blip r:embed="rId17"/>
                    <a:srcRect/>
                    <a:stretch>
                      <a:fillRect/>
                    </a:stretch>
                  </pic:blipFill>
                  <pic:spPr>
                    <a:xfrm>
                      <a:off x="0" y="0"/>
                      <a:ext cx="4806315" cy="5017770"/>
                    </a:xfrm>
                    <a:prstGeom prst="rect">
                      <a:avLst/>
                    </a:prstGeom>
                    <a:noFill/>
                    <a:ln>
                      <a:noFill/>
                    </a:ln>
                  </pic:spPr>
                </pic:pic>
              </a:graphicData>
            </a:graphic>
          </wp:inline>
        </w:drawing>
      </w:r>
    </w:p>
    <w:p w14:paraId="2FE4BFE3">
      <w:pPr>
        <w:spacing w:line="240" w:lineRule="auto"/>
        <w:ind w:firstLine="0" w:firstLineChars="0"/>
        <w:jc w:val="center"/>
        <w:rPr>
          <w:rFonts w:cs="Times New Roman"/>
          <w:b/>
          <w:bCs/>
          <w:snapToGrid w:val="0"/>
          <w:color w:val="auto"/>
          <w:szCs w:val="24"/>
          <w:highlight w:val="none"/>
          <w:lang w:val="zh-CN"/>
        </w:rPr>
      </w:pPr>
      <w:r>
        <w:rPr>
          <w:rFonts w:cs="Times New Roman"/>
          <w:b/>
          <w:bCs/>
          <w:snapToGrid w:val="0"/>
          <w:color w:val="auto"/>
          <w:szCs w:val="24"/>
          <w:highlight w:val="none"/>
          <w:lang w:val="zh-CN"/>
        </w:rPr>
        <w:t>图1-3-1</w:t>
      </w:r>
      <w:r>
        <w:rPr>
          <w:rFonts w:cs="Times New Roman"/>
          <w:b/>
          <w:bCs/>
          <w:snapToGrid w:val="0"/>
          <w:color w:val="auto"/>
          <w:szCs w:val="24"/>
          <w:highlight w:val="none"/>
        </w:rPr>
        <w:t xml:space="preserve">  </w:t>
      </w:r>
      <w:r>
        <w:rPr>
          <w:rFonts w:cs="Times New Roman"/>
          <w:b/>
          <w:bCs/>
          <w:snapToGrid w:val="0"/>
          <w:color w:val="auto"/>
          <w:szCs w:val="24"/>
          <w:highlight w:val="none"/>
          <w:lang w:val="zh-CN"/>
        </w:rPr>
        <w:t>建设项目环境影响评价工作程序图</w:t>
      </w:r>
    </w:p>
    <w:p w14:paraId="49FB1C2B">
      <w:pPr>
        <w:pStyle w:val="3"/>
        <w:spacing w:before="156" w:after="156"/>
        <w:rPr>
          <w:rFonts w:cs="Times New Roman"/>
          <w:color w:val="auto"/>
          <w:highlight w:val="none"/>
        </w:rPr>
      </w:pPr>
      <w:bookmarkStart w:id="12" w:name="_Toc30641"/>
      <w:r>
        <w:rPr>
          <w:rFonts w:cs="Times New Roman"/>
          <w:color w:val="auto"/>
          <w:highlight w:val="none"/>
        </w:rPr>
        <w:t>1.4分析判定相关情况</w:t>
      </w:r>
      <w:bookmarkEnd w:id="12"/>
    </w:p>
    <w:p w14:paraId="11E96F44">
      <w:pPr>
        <w:pStyle w:val="4"/>
        <w:spacing w:after="156"/>
        <w:rPr>
          <w:rFonts w:cs="Times New Roman"/>
          <w:color w:val="auto"/>
          <w:highlight w:val="none"/>
        </w:rPr>
      </w:pPr>
      <w:bookmarkStart w:id="13" w:name="_Toc7485"/>
      <w:r>
        <w:rPr>
          <w:rFonts w:cs="Times New Roman"/>
          <w:color w:val="auto"/>
          <w:highlight w:val="none"/>
        </w:rPr>
        <w:t>1.4.1产业政策符合性分析</w:t>
      </w:r>
      <w:bookmarkEnd w:id="13"/>
    </w:p>
    <w:p w14:paraId="209C7941">
      <w:pPr>
        <w:pStyle w:val="117"/>
        <w:rPr>
          <w:rFonts w:cs="Times New Roman"/>
          <w:color w:val="auto"/>
          <w:highlight w:val="none"/>
        </w:rPr>
      </w:pPr>
      <w:r>
        <w:rPr>
          <w:rFonts w:cs="Times New Roman"/>
          <w:color w:val="auto"/>
          <w:highlight w:val="none"/>
        </w:rPr>
        <w:t>根据《国民经济行业分类》（GB/T4754-2017）及其修改单，本项目所属产业为C1351 牲畜屠宰。中华人民共和国国家发展和改革委员会发布的</w:t>
      </w:r>
      <w:r>
        <w:rPr>
          <w:rFonts w:hint="eastAsia" w:cs="Times New Roman"/>
          <w:color w:val="auto"/>
          <w:highlight w:val="none"/>
          <w:lang w:eastAsia="zh-CN"/>
        </w:rPr>
        <w:t>《产业结构调整指导目录（</w:t>
      </w:r>
      <w:r>
        <w:rPr>
          <w:rFonts w:hint="eastAsia" w:cs="Times New Roman"/>
          <w:color w:val="auto"/>
          <w:highlight w:val="none"/>
          <w:lang w:val="en-US" w:eastAsia="zh-CN"/>
        </w:rPr>
        <w:t>2024</w:t>
      </w:r>
      <w:r>
        <w:rPr>
          <w:rFonts w:hint="eastAsia" w:cs="Times New Roman"/>
          <w:color w:val="auto"/>
          <w:highlight w:val="none"/>
          <w:lang w:eastAsia="zh-CN"/>
        </w:rPr>
        <w:t>年本）》</w:t>
      </w:r>
      <w:r>
        <w:rPr>
          <w:rFonts w:cs="Times New Roman"/>
          <w:color w:val="auto"/>
          <w:highlight w:val="none"/>
        </w:rPr>
        <w:t>，</w:t>
      </w:r>
      <w:r>
        <w:rPr>
          <w:rFonts w:hint="eastAsia" w:cs="Times New Roman"/>
          <w:color w:val="auto"/>
          <w:highlight w:val="none"/>
        </w:rPr>
        <w:t>第二类 限制类 中</w:t>
      </w:r>
      <w:r>
        <w:rPr>
          <w:rFonts w:cs="Times New Roman"/>
          <w:color w:val="auto"/>
          <w:highlight w:val="none"/>
        </w:rPr>
        <w:t>第十二项轻工-第24条-年屠宰生猪15万头及以下、肉牛1万头及以下、肉羊15万只以及下、活禽1000万只及以下的屠宰建设项目（少数</w:t>
      </w:r>
      <w:r>
        <w:rPr>
          <w:rFonts w:hint="eastAsia" w:cs="Times New Roman"/>
          <w:color w:val="auto"/>
          <w:highlight w:val="none"/>
        </w:rPr>
        <w:t>民族</w:t>
      </w:r>
      <w:r>
        <w:rPr>
          <w:rFonts w:cs="Times New Roman"/>
          <w:color w:val="auto"/>
          <w:highlight w:val="none"/>
        </w:rPr>
        <w:t>地区除外）</w:t>
      </w:r>
      <w:r>
        <w:rPr>
          <w:rFonts w:hint="eastAsia" w:cs="Times New Roman"/>
          <w:color w:val="auto"/>
          <w:highlight w:val="none"/>
        </w:rPr>
        <w:t xml:space="preserve">。第三类 </w:t>
      </w:r>
      <w:r>
        <w:rPr>
          <w:rFonts w:cs="Times New Roman"/>
          <w:color w:val="auto"/>
          <w:highlight w:val="none"/>
        </w:rPr>
        <w:t>淘汰类</w:t>
      </w:r>
      <w:r>
        <w:rPr>
          <w:rFonts w:hint="eastAsia" w:cs="Times New Roman"/>
          <w:color w:val="auto"/>
          <w:highlight w:val="none"/>
        </w:rPr>
        <w:t xml:space="preserve"> 中第十二项 轻工-第2</w:t>
      </w:r>
      <w:r>
        <w:rPr>
          <w:rFonts w:cs="Times New Roman"/>
          <w:color w:val="auto"/>
          <w:highlight w:val="none"/>
        </w:rPr>
        <w:t>9</w:t>
      </w:r>
      <w:r>
        <w:rPr>
          <w:rFonts w:hint="eastAsia" w:cs="Times New Roman"/>
          <w:color w:val="auto"/>
          <w:highlight w:val="none"/>
        </w:rPr>
        <w:t>条-猪、牛、羊、禽手工屠宰工艺。</w:t>
      </w:r>
    </w:p>
    <w:p w14:paraId="5E951921">
      <w:pPr>
        <w:pStyle w:val="117"/>
        <w:rPr>
          <w:rFonts w:hint="eastAsia" w:cs="Times New Roman"/>
          <w:color w:val="auto"/>
          <w:highlight w:val="none"/>
        </w:rPr>
      </w:pPr>
      <w:r>
        <w:rPr>
          <w:rFonts w:cs="Times New Roman"/>
          <w:color w:val="auto"/>
          <w:highlight w:val="none"/>
        </w:rPr>
        <w:t>本项目</w:t>
      </w:r>
      <w:r>
        <w:rPr>
          <w:rFonts w:hint="eastAsia" w:cs="Times New Roman"/>
          <w:color w:val="auto"/>
          <w:highlight w:val="none"/>
        </w:rPr>
        <w:t>屠宰量为</w:t>
      </w:r>
      <w:r>
        <w:rPr>
          <w:rFonts w:cs="Times New Roman"/>
          <w:color w:val="auto"/>
          <w:highlight w:val="none"/>
        </w:rPr>
        <w:t>肉牛</w:t>
      </w:r>
      <w:r>
        <w:rPr>
          <w:rFonts w:hint="eastAsia" w:cs="Times New Roman"/>
          <w:color w:val="auto"/>
          <w:highlight w:val="none"/>
          <w:lang w:val="en-US" w:eastAsia="zh-CN"/>
        </w:rPr>
        <w:t>100</w:t>
      </w:r>
      <w:r>
        <w:rPr>
          <w:rFonts w:cs="Times New Roman"/>
          <w:color w:val="auto"/>
          <w:highlight w:val="none"/>
        </w:rPr>
        <w:t>头/d，肉羊</w:t>
      </w:r>
      <w:r>
        <w:rPr>
          <w:rFonts w:hint="eastAsia" w:cs="Times New Roman"/>
          <w:color w:val="auto"/>
          <w:highlight w:val="none"/>
          <w:lang w:val="en-US" w:eastAsia="zh-CN"/>
        </w:rPr>
        <w:t>500</w:t>
      </w:r>
      <w:r>
        <w:rPr>
          <w:rFonts w:cs="Times New Roman"/>
          <w:color w:val="auto"/>
          <w:highlight w:val="none"/>
        </w:rPr>
        <w:t>只/d</w:t>
      </w:r>
      <w:r>
        <w:rPr>
          <w:rFonts w:hint="eastAsia" w:cs="Times New Roman"/>
          <w:color w:val="auto"/>
          <w:highlight w:val="none"/>
        </w:rPr>
        <w:t>，本项目采用自动化屠宰工艺，不属于淘汰类中手工屠宰工艺</w:t>
      </w:r>
      <w:r>
        <w:rPr>
          <w:rFonts w:hint="eastAsia" w:cs="Times New Roman"/>
          <w:color w:val="auto"/>
          <w:highlight w:val="none"/>
          <w:lang w:eastAsia="zh-CN"/>
        </w:rPr>
        <w:t>。</w:t>
      </w:r>
      <w:r>
        <w:rPr>
          <w:rFonts w:hint="eastAsia" w:cs="Times New Roman"/>
          <w:color w:val="auto"/>
          <w:highlight w:val="none"/>
        </w:rPr>
        <w:t>按设计3</w:t>
      </w:r>
      <w:r>
        <w:rPr>
          <w:rFonts w:hint="eastAsia" w:cs="Times New Roman"/>
          <w:color w:val="auto"/>
          <w:highlight w:val="none"/>
          <w:lang w:val="en-US" w:eastAsia="zh-CN"/>
        </w:rPr>
        <w:t>0</w:t>
      </w:r>
      <w:r>
        <w:rPr>
          <w:rFonts w:cs="Times New Roman"/>
          <w:color w:val="auto"/>
          <w:highlight w:val="none"/>
        </w:rPr>
        <w:t>0</w:t>
      </w:r>
      <w:r>
        <w:rPr>
          <w:rFonts w:hint="eastAsia" w:cs="Times New Roman"/>
          <w:color w:val="auto"/>
          <w:highlight w:val="none"/>
        </w:rPr>
        <w:t>天工作计算，</w:t>
      </w:r>
      <w:r>
        <w:rPr>
          <w:rFonts w:hint="eastAsia" w:cs="Times New Roman"/>
          <w:color w:val="auto"/>
          <w:highlight w:val="none"/>
          <w:lang w:val="en-US" w:eastAsia="zh-CN"/>
        </w:rPr>
        <w:t>本项目</w:t>
      </w:r>
      <w:r>
        <w:rPr>
          <w:rFonts w:hint="eastAsia" w:cs="Times New Roman"/>
          <w:color w:val="auto"/>
          <w:highlight w:val="none"/>
          <w:lang w:eastAsia="zh-CN"/>
        </w:rPr>
        <w:t>年屠宰肉牛</w:t>
      </w:r>
      <w:r>
        <w:rPr>
          <w:rFonts w:hint="eastAsia" w:cs="Times New Roman"/>
          <w:color w:val="auto"/>
          <w:highlight w:val="none"/>
          <w:lang w:val="en-US" w:eastAsia="zh-CN"/>
        </w:rPr>
        <w:t>30000</w:t>
      </w:r>
      <w:r>
        <w:rPr>
          <w:rFonts w:hint="eastAsia" w:cs="Times New Roman"/>
          <w:color w:val="auto"/>
          <w:highlight w:val="none"/>
          <w:lang w:eastAsia="zh-CN"/>
        </w:rPr>
        <w:t>头、肉羊</w:t>
      </w:r>
      <w:r>
        <w:rPr>
          <w:rFonts w:hint="eastAsia" w:cs="Times New Roman"/>
          <w:color w:val="auto"/>
          <w:highlight w:val="none"/>
          <w:lang w:val="en-US" w:eastAsia="zh-CN"/>
        </w:rPr>
        <w:t>150000</w:t>
      </w:r>
      <w:r>
        <w:rPr>
          <w:rFonts w:hint="eastAsia" w:cs="Times New Roman"/>
          <w:color w:val="auto"/>
          <w:highlight w:val="none"/>
          <w:lang w:eastAsia="zh-CN"/>
        </w:rPr>
        <w:t>只</w:t>
      </w:r>
      <w:r>
        <w:rPr>
          <w:rFonts w:hint="eastAsia" w:cs="Times New Roman"/>
          <w:color w:val="auto"/>
          <w:highlight w:val="none"/>
        </w:rPr>
        <w:t>，同时，本项目已取得《</w:t>
      </w:r>
      <w:r>
        <w:rPr>
          <w:rFonts w:hint="eastAsia" w:cs="Times New Roman"/>
          <w:color w:val="auto"/>
          <w:highlight w:val="none"/>
          <w:lang w:val="en-US" w:eastAsia="zh-CN"/>
        </w:rPr>
        <w:t>企业投资项目备案承诺书</w:t>
      </w:r>
      <w:r>
        <w:rPr>
          <w:rFonts w:hint="eastAsia" w:cs="Times New Roman"/>
          <w:color w:val="auto"/>
          <w:highlight w:val="none"/>
        </w:rPr>
        <w:t>》（</w:t>
      </w:r>
      <w:r>
        <w:rPr>
          <w:rFonts w:hint="eastAsia" w:cs="Times New Roman"/>
          <w:color w:val="auto"/>
          <w:highlight w:val="none"/>
          <w:lang w:val="en-US" w:eastAsia="zh-CN"/>
        </w:rPr>
        <w:t>项目代码</w:t>
      </w:r>
      <w:r>
        <w:rPr>
          <w:rFonts w:hint="eastAsia" w:cs="Times New Roman"/>
          <w:color w:val="auto"/>
          <w:highlight w:val="none"/>
        </w:rPr>
        <w:t>2505-230503-04-01-856396），</w:t>
      </w:r>
      <w:r>
        <w:rPr>
          <w:rFonts w:hint="eastAsia" w:cs="Times New Roman"/>
          <w:color w:val="auto"/>
          <w:highlight w:val="none"/>
          <w:lang w:val="en-US" w:eastAsia="zh-CN"/>
        </w:rPr>
        <w:t>综上，本项目建设</w:t>
      </w:r>
      <w:r>
        <w:rPr>
          <w:rFonts w:hint="eastAsia" w:cs="Times New Roman"/>
          <w:color w:val="auto"/>
          <w:highlight w:val="none"/>
        </w:rPr>
        <w:t>符合</w:t>
      </w:r>
      <w:r>
        <w:rPr>
          <w:rFonts w:hint="eastAsia" w:cs="Times New Roman"/>
          <w:color w:val="auto"/>
          <w:highlight w:val="none"/>
          <w:lang w:eastAsia="zh-CN"/>
        </w:rPr>
        <w:t>《产业结构调整指导目录（20</w:t>
      </w:r>
      <w:r>
        <w:rPr>
          <w:rFonts w:hint="eastAsia" w:cs="Times New Roman"/>
          <w:color w:val="auto"/>
          <w:highlight w:val="none"/>
          <w:lang w:val="en-US" w:eastAsia="zh-CN"/>
        </w:rPr>
        <w:t>24</w:t>
      </w:r>
      <w:r>
        <w:rPr>
          <w:rFonts w:hint="eastAsia" w:cs="Times New Roman"/>
          <w:color w:val="auto"/>
          <w:highlight w:val="none"/>
          <w:lang w:eastAsia="zh-CN"/>
        </w:rPr>
        <w:t>年本）》</w:t>
      </w:r>
      <w:r>
        <w:rPr>
          <w:rFonts w:hint="eastAsia" w:cs="Times New Roman"/>
          <w:color w:val="auto"/>
          <w:highlight w:val="none"/>
        </w:rPr>
        <w:t>。</w:t>
      </w:r>
    </w:p>
    <w:p w14:paraId="0D25393D">
      <w:pPr>
        <w:pStyle w:val="4"/>
        <w:spacing w:after="156"/>
        <w:rPr>
          <w:rFonts w:cs="Times New Roman"/>
          <w:color w:val="auto"/>
          <w:highlight w:val="none"/>
        </w:rPr>
      </w:pPr>
      <w:bookmarkStart w:id="14" w:name="_Toc7180"/>
      <w:r>
        <w:rPr>
          <w:rFonts w:cs="Times New Roman"/>
          <w:color w:val="auto"/>
          <w:highlight w:val="none"/>
        </w:rPr>
        <w:t>1.4.2与相关规划符合性分析</w:t>
      </w:r>
      <w:bookmarkEnd w:id="14"/>
    </w:p>
    <w:p w14:paraId="49E4708E">
      <w:pPr>
        <w:pStyle w:val="117"/>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1、与十四五</w:t>
      </w:r>
      <w:r>
        <w:rPr>
          <w:rFonts w:hint="eastAsia" w:ascii="Times New Roman" w:hAnsi="Times New Roman" w:eastAsia="宋体" w:cs="Times New Roman"/>
          <w:b/>
          <w:bCs/>
          <w:color w:val="auto"/>
          <w:highlight w:val="none"/>
        </w:rPr>
        <w:t>规划符合性分析</w:t>
      </w:r>
    </w:p>
    <w:p w14:paraId="13CAD6D4">
      <w:pPr>
        <w:pStyle w:val="66"/>
        <w:keepNext w:val="0"/>
        <w:keepLines w:val="0"/>
        <w:pageBreakBefore w:val="0"/>
        <w:widowControl w:val="0"/>
        <w:kinsoku/>
        <w:wordWrap/>
        <w:overflowPunct/>
        <w:topLinePunct w:val="0"/>
        <w:autoSpaceDE/>
        <w:autoSpaceDN/>
        <w:bidi w:val="0"/>
        <w:adjustRightInd w:val="0"/>
        <w:snapToGrid w:val="0"/>
        <w:spacing w:before="157" w:beforeLines="50" w:line="240" w:lineRule="auto"/>
        <w:textAlignment w:val="auto"/>
        <w:rPr>
          <w:rFonts w:eastAsia="宋体" w:cs="Times New Roman"/>
          <w:b/>
          <w:bCs/>
          <w:color w:val="auto"/>
          <w:szCs w:val="24"/>
          <w:highlight w:val="none"/>
        </w:rPr>
      </w:pPr>
      <w:r>
        <w:rPr>
          <w:rFonts w:eastAsia="宋体" w:cs="Times New Roman"/>
          <w:b/>
          <w:bCs/>
          <w:color w:val="auto"/>
          <w:szCs w:val="24"/>
          <w:highlight w:val="none"/>
        </w:rPr>
        <w:t>表1-4-1</w:t>
      </w:r>
      <w:r>
        <w:rPr>
          <w:rFonts w:eastAsia="宋体" w:cs="Times New Roman"/>
          <w:b/>
          <w:bCs/>
          <w:color w:val="auto"/>
          <w:szCs w:val="24"/>
          <w:highlight w:val="none"/>
          <w:lang w:val="en-US"/>
        </w:rPr>
        <w:t xml:space="preserve">  </w:t>
      </w:r>
      <w:r>
        <w:rPr>
          <w:rFonts w:eastAsia="宋体" w:cs="Times New Roman"/>
          <w:b/>
          <w:bCs/>
          <w:color w:val="auto"/>
          <w:szCs w:val="24"/>
          <w:highlight w:val="none"/>
        </w:rPr>
        <w:t>与</w:t>
      </w:r>
      <w:r>
        <w:rPr>
          <w:rFonts w:hint="eastAsia" w:eastAsia="宋体" w:cs="Times New Roman"/>
          <w:b/>
          <w:bCs/>
          <w:color w:val="auto"/>
          <w:szCs w:val="24"/>
          <w:highlight w:val="none"/>
          <w:lang w:val="en-US" w:eastAsia="zh-CN"/>
        </w:rPr>
        <w:t>十四五</w:t>
      </w:r>
      <w:r>
        <w:rPr>
          <w:rFonts w:eastAsia="宋体" w:cs="Times New Roman"/>
          <w:b/>
          <w:bCs/>
          <w:color w:val="auto"/>
          <w:szCs w:val="24"/>
          <w:highlight w:val="none"/>
        </w:rPr>
        <w:t>规划符合性分析</w:t>
      </w:r>
    </w:p>
    <w:tbl>
      <w:tblPr>
        <w:tblStyle w:val="47"/>
        <w:tblW w:w="83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1"/>
        <w:gridCol w:w="2882"/>
        <w:gridCol w:w="3285"/>
        <w:gridCol w:w="728"/>
      </w:tblGrid>
      <w:tr w14:paraId="58197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11" w:type="dxa"/>
            <w:shd w:val="clear" w:color="auto" w:fill="auto"/>
            <w:vAlign w:val="center"/>
          </w:tcPr>
          <w:p w14:paraId="40F69281">
            <w:pPr>
              <w:adjustRightInd/>
              <w:snapToGrid/>
              <w:spacing w:line="360" w:lineRule="exact"/>
              <w:ind w:firstLine="0" w:firstLineChars="0"/>
              <w:jc w:val="center"/>
              <w:rPr>
                <w:rFonts w:cs="Times New Roman"/>
                <w:snapToGrid w:val="0"/>
                <w:color w:val="auto"/>
                <w:sz w:val="21"/>
                <w:highlight w:val="none"/>
                <w:lang w:val="zh-CN"/>
              </w:rPr>
            </w:pPr>
            <w:r>
              <w:rPr>
                <w:rFonts w:cs="Times New Roman"/>
                <w:snapToGrid w:val="0"/>
                <w:color w:val="auto"/>
                <w:sz w:val="21"/>
                <w:highlight w:val="none"/>
                <w:lang w:val="zh-CN"/>
              </w:rPr>
              <w:t>相关政策、条例、规范</w:t>
            </w:r>
          </w:p>
        </w:tc>
        <w:tc>
          <w:tcPr>
            <w:tcW w:w="2882" w:type="dxa"/>
            <w:shd w:val="clear" w:color="auto" w:fill="auto"/>
            <w:vAlign w:val="center"/>
          </w:tcPr>
          <w:p w14:paraId="1FDF0F61">
            <w:pPr>
              <w:adjustRightInd/>
              <w:snapToGrid/>
              <w:spacing w:line="360" w:lineRule="exact"/>
              <w:ind w:firstLine="0" w:firstLineChars="0"/>
              <w:jc w:val="center"/>
              <w:rPr>
                <w:rFonts w:cs="Times New Roman"/>
                <w:snapToGrid w:val="0"/>
                <w:color w:val="auto"/>
                <w:sz w:val="21"/>
                <w:highlight w:val="none"/>
                <w:lang w:val="zh-CN"/>
              </w:rPr>
            </w:pPr>
            <w:r>
              <w:rPr>
                <w:rFonts w:cs="Times New Roman"/>
                <w:snapToGrid w:val="0"/>
                <w:color w:val="auto"/>
                <w:sz w:val="21"/>
                <w:highlight w:val="none"/>
                <w:lang w:val="zh-CN"/>
              </w:rPr>
              <w:t>要求</w:t>
            </w:r>
          </w:p>
        </w:tc>
        <w:tc>
          <w:tcPr>
            <w:tcW w:w="3285" w:type="dxa"/>
            <w:shd w:val="clear" w:color="auto" w:fill="auto"/>
            <w:vAlign w:val="center"/>
          </w:tcPr>
          <w:p w14:paraId="6BF7A88E">
            <w:pPr>
              <w:adjustRightInd/>
              <w:snapToGrid/>
              <w:spacing w:line="360" w:lineRule="exact"/>
              <w:ind w:firstLine="0" w:firstLineChars="0"/>
              <w:jc w:val="center"/>
              <w:rPr>
                <w:rFonts w:cs="Times New Roman"/>
                <w:snapToGrid w:val="0"/>
                <w:color w:val="auto"/>
                <w:sz w:val="21"/>
                <w:highlight w:val="none"/>
                <w:lang w:val="zh-CN"/>
              </w:rPr>
            </w:pPr>
            <w:r>
              <w:rPr>
                <w:rFonts w:cs="Times New Roman"/>
                <w:snapToGrid w:val="0"/>
                <w:color w:val="auto"/>
                <w:sz w:val="21"/>
                <w:highlight w:val="none"/>
                <w:lang w:val="zh-CN"/>
              </w:rPr>
              <w:t>符合性分析</w:t>
            </w:r>
          </w:p>
        </w:tc>
        <w:tc>
          <w:tcPr>
            <w:tcW w:w="728" w:type="dxa"/>
            <w:shd w:val="clear" w:color="auto" w:fill="auto"/>
            <w:vAlign w:val="center"/>
          </w:tcPr>
          <w:p w14:paraId="12A1F7C3">
            <w:pPr>
              <w:adjustRightInd/>
              <w:snapToGrid/>
              <w:spacing w:line="360" w:lineRule="exact"/>
              <w:ind w:firstLine="0" w:firstLineChars="0"/>
              <w:jc w:val="center"/>
              <w:rPr>
                <w:rFonts w:cs="Times New Roman"/>
                <w:snapToGrid w:val="0"/>
                <w:color w:val="auto"/>
                <w:sz w:val="21"/>
                <w:highlight w:val="none"/>
                <w:lang w:val="zh-CN"/>
              </w:rPr>
            </w:pPr>
            <w:r>
              <w:rPr>
                <w:rFonts w:cs="Times New Roman"/>
                <w:snapToGrid w:val="0"/>
                <w:color w:val="auto"/>
                <w:sz w:val="21"/>
                <w:highlight w:val="none"/>
                <w:lang w:val="zh-CN"/>
              </w:rPr>
              <w:t>是否符合</w:t>
            </w:r>
          </w:p>
        </w:tc>
      </w:tr>
      <w:tr w14:paraId="5D61A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7" w:hRule="atLeast"/>
          <w:jc w:val="center"/>
        </w:trPr>
        <w:tc>
          <w:tcPr>
            <w:tcW w:w="1411" w:type="dxa"/>
            <w:shd w:val="clear" w:color="auto" w:fill="auto"/>
            <w:vAlign w:val="center"/>
          </w:tcPr>
          <w:p w14:paraId="411E3389">
            <w:pPr>
              <w:adjustRightInd/>
              <w:snapToGrid/>
              <w:spacing w:line="360" w:lineRule="exact"/>
              <w:ind w:firstLine="0" w:firstLineChars="0"/>
              <w:jc w:val="center"/>
              <w:rPr>
                <w:rFonts w:cs="Times New Roman"/>
                <w:color w:val="auto"/>
                <w:sz w:val="21"/>
                <w:highlight w:val="none"/>
                <w:lang w:val="zh-CN"/>
              </w:rPr>
            </w:pPr>
            <w:r>
              <w:rPr>
                <w:rFonts w:cs="Times New Roman"/>
                <w:color w:val="auto"/>
                <w:sz w:val="21"/>
                <w:highlight w:val="none"/>
                <w:lang w:val="zh-CN"/>
              </w:rPr>
              <w:t>《中共中央关于制定国民经济和社会发展第十四个五年规划和二〇三五年远景目标的建议》</w:t>
            </w:r>
          </w:p>
        </w:tc>
        <w:tc>
          <w:tcPr>
            <w:tcW w:w="2882" w:type="dxa"/>
            <w:shd w:val="clear" w:color="auto" w:fill="auto"/>
            <w:vAlign w:val="center"/>
          </w:tcPr>
          <w:p w14:paraId="6FFEABCB">
            <w:pPr>
              <w:adjustRightInd/>
              <w:snapToGrid/>
              <w:spacing w:line="360" w:lineRule="exact"/>
              <w:ind w:firstLine="0" w:firstLineChars="0"/>
              <w:jc w:val="center"/>
              <w:rPr>
                <w:rFonts w:cs="Times New Roman"/>
                <w:color w:val="auto"/>
                <w:sz w:val="21"/>
                <w:highlight w:val="none"/>
                <w:lang w:val="zh-CN"/>
              </w:rPr>
            </w:pPr>
            <w:r>
              <w:rPr>
                <w:rFonts w:cs="Times New Roman"/>
                <w:color w:val="auto"/>
                <w:sz w:val="21"/>
                <w:highlight w:val="none"/>
                <w:lang w:val="zh-CN"/>
              </w:rPr>
              <w:t>二、加快建设农业强省，争当农业现代化建设排头兵中（四）、现代畜牧业发展工程中：支持畜禽就地加工和精深加工，加强活畜调运监管，健全冷链物流体系，推动畜牧业全产业链发展。</w:t>
            </w:r>
          </w:p>
        </w:tc>
        <w:tc>
          <w:tcPr>
            <w:tcW w:w="3285" w:type="dxa"/>
            <w:shd w:val="clear" w:color="auto" w:fill="auto"/>
            <w:vAlign w:val="center"/>
          </w:tcPr>
          <w:p w14:paraId="61C07595">
            <w:pPr>
              <w:adjustRightInd/>
              <w:snapToGrid/>
              <w:spacing w:line="360" w:lineRule="exact"/>
              <w:ind w:firstLine="0" w:firstLineChars="0"/>
              <w:jc w:val="center"/>
              <w:rPr>
                <w:rFonts w:cs="Times New Roman"/>
                <w:snapToGrid w:val="0"/>
                <w:color w:val="auto"/>
                <w:sz w:val="21"/>
                <w:highlight w:val="none"/>
                <w:lang w:val="zh-CN"/>
              </w:rPr>
            </w:pPr>
            <w:r>
              <w:rPr>
                <w:rFonts w:cs="Times New Roman"/>
                <w:snapToGrid w:val="0"/>
                <w:color w:val="auto"/>
                <w:sz w:val="21"/>
                <w:highlight w:val="none"/>
                <w:lang w:val="zh-CN"/>
              </w:rPr>
              <w:t>本项目属于屠宰项目，</w:t>
            </w:r>
            <w:r>
              <w:rPr>
                <w:rFonts w:hint="eastAsia" w:cs="Times New Roman"/>
                <w:snapToGrid w:val="0"/>
                <w:color w:val="auto"/>
                <w:sz w:val="21"/>
                <w:highlight w:val="none"/>
                <w:lang w:val="zh-CN"/>
              </w:rPr>
              <w:t>屠宰量为肉牛</w:t>
            </w:r>
            <w:r>
              <w:rPr>
                <w:rFonts w:hint="eastAsia" w:cs="Times New Roman"/>
                <w:snapToGrid w:val="0"/>
                <w:color w:val="auto"/>
                <w:sz w:val="21"/>
                <w:highlight w:val="none"/>
                <w:lang w:val="en-US" w:eastAsia="zh-CN"/>
              </w:rPr>
              <w:t>100</w:t>
            </w:r>
            <w:r>
              <w:rPr>
                <w:rFonts w:hint="eastAsia" w:cs="Times New Roman"/>
                <w:snapToGrid w:val="0"/>
                <w:color w:val="auto"/>
                <w:sz w:val="21"/>
                <w:highlight w:val="none"/>
                <w:lang w:val="zh-CN"/>
              </w:rPr>
              <w:t>头/d，肉羊</w:t>
            </w:r>
            <w:r>
              <w:rPr>
                <w:rFonts w:hint="eastAsia" w:cs="Times New Roman"/>
                <w:snapToGrid w:val="0"/>
                <w:color w:val="auto"/>
                <w:sz w:val="21"/>
                <w:highlight w:val="none"/>
                <w:lang w:val="en-US" w:eastAsia="zh-CN"/>
              </w:rPr>
              <w:t>500</w:t>
            </w:r>
            <w:r>
              <w:rPr>
                <w:rFonts w:hint="eastAsia" w:cs="Times New Roman"/>
                <w:snapToGrid w:val="0"/>
                <w:color w:val="auto"/>
                <w:sz w:val="21"/>
                <w:highlight w:val="none"/>
                <w:lang w:val="zh-CN"/>
              </w:rPr>
              <w:t>只/d</w:t>
            </w:r>
            <w:r>
              <w:rPr>
                <w:rFonts w:cs="Times New Roman"/>
                <w:snapToGrid w:val="0"/>
                <w:color w:val="auto"/>
                <w:sz w:val="21"/>
                <w:highlight w:val="none"/>
                <w:lang w:val="zh-CN"/>
              </w:rPr>
              <w:t>。项目采用机械化、自动化、标准化设备和管理体系，具有完善的卫生检验体系，落实进厂登记和肉品检验等制度，保证肉类的安全卫生，可推进</w:t>
            </w:r>
            <w:r>
              <w:rPr>
                <w:rFonts w:hint="eastAsia" w:cs="Times New Roman"/>
                <w:snapToGrid w:val="0"/>
                <w:color w:val="auto"/>
                <w:sz w:val="21"/>
                <w:highlight w:val="none"/>
                <w:lang w:val="en-US" w:eastAsia="zh-CN"/>
              </w:rPr>
              <w:t>双鸭山市</w:t>
            </w:r>
            <w:r>
              <w:rPr>
                <w:rFonts w:cs="Times New Roman"/>
                <w:snapToGrid w:val="0"/>
                <w:color w:val="auto"/>
                <w:sz w:val="21"/>
                <w:highlight w:val="none"/>
                <w:lang w:val="zh-CN"/>
              </w:rPr>
              <w:t>肉类分类分级，扩大冷鲜肉和分割肉的市场份额，符合</w:t>
            </w:r>
            <w:r>
              <w:rPr>
                <w:rFonts w:cs="Times New Roman"/>
                <w:color w:val="auto"/>
                <w:sz w:val="21"/>
                <w:highlight w:val="none"/>
                <w:lang w:val="zh-CN"/>
              </w:rPr>
              <w:t>中共中央关于制定国民经济和社会发展第十四个五年规划和二〇三五年远景目标的建议。</w:t>
            </w:r>
          </w:p>
        </w:tc>
        <w:tc>
          <w:tcPr>
            <w:tcW w:w="728" w:type="dxa"/>
            <w:shd w:val="clear" w:color="auto" w:fill="auto"/>
            <w:vAlign w:val="center"/>
          </w:tcPr>
          <w:p w14:paraId="5E0B9E3A">
            <w:pPr>
              <w:adjustRightInd/>
              <w:snapToGrid/>
              <w:spacing w:line="360" w:lineRule="exact"/>
              <w:ind w:firstLine="0" w:firstLineChars="0"/>
              <w:jc w:val="center"/>
              <w:rPr>
                <w:rFonts w:cs="Times New Roman"/>
                <w:snapToGrid w:val="0"/>
                <w:color w:val="auto"/>
                <w:sz w:val="21"/>
                <w:highlight w:val="none"/>
                <w:lang w:val="zh-CN"/>
              </w:rPr>
            </w:pPr>
            <w:r>
              <w:rPr>
                <w:rFonts w:cs="Times New Roman"/>
                <w:snapToGrid w:val="0"/>
                <w:color w:val="auto"/>
                <w:sz w:val="21"/>
                <w:highlight w:val="none"/>
                <w:lang w:val="zh-CN"/>
              </w:rPr>
              <w:t>符合</w:t>
            </w:r>
          </w:p>
        </w:tc>
      </w:tr>
      <w:tr w14:paraId="329021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11" w:type="dxa"/>
            <w:shd w:val="clear" w:color="auto" w:fill="auto"/>
            <w:vAlign w:val="center"/>
          </w:tcPr>
          <w:p w14:paraId="0C4890C8">
            <w:pPr>
              <w:adjustRightInd/>
              <w:snapToGrid/>
              <w:spacing w:line="360" w:lineRule="exact"/>
              <w:ind w:firstLine="0" w:firstLineChars="0"/>
              <w:jc w:val="center"/>
              <w:rPr>
                <w:rFonts w:cs="Times New Roman"/>
                <w:snapToGrid w:val="0"/>
                <w:color w:val="auto"/>
                <w:sz w:val="21"/>
                <w:highlight w:val="none"/>
                <w:lang w:val="zh-CN"/>
              </w:rPr>
            </w:pPr>
            <w:r>
              <w:rPr>
                <w:rFonts w:cs="Times New Roman"/>
                <w:color w:val="auto"/>
                <w:sz w:val="21"/>
                <w:highlight w:val="none"/>
                <w:lang w:val="zh-CN"/>
              </w:rPr>
              <w:t>《黑龙江省国民经济和社会发展第十四个五年规划和</w:t>
            </w:r>
            <w:r>
              <w:rPr>
                <w:rFonts w:cs="Times New Roman"/>
                <w:color w:val="auto"/>
                <w:sz w:val="21"/>
                <w:highlight w:val="none"/>
              </w:rPr>
              <w:t>2035年远景目标纲要</w:t>
            </w:r>
            <w:r>
              <w:rPr>
                <w:rFonts w:cs="Times New Roman"/>
                <w:color w:val="auto"/>
                <w:sz w:val="21"/>
                <w:highlight w:val="none"/>
                <w:lang w:val="zh-CN"/>
              </w:rPr>
              <w:t>》</w:t>
            </w:r>
          </w:p>
        </w:tc>
        <w:tc>
          <w:tcPr>
            <w:tcW w:w="2882" w:type="dxa"/>
            <w:shd w:val="clear" w:color="auto" w:fill="auto"/>
            <w:vAlign w:val="center"/>
          </w:tcPr>
          <w:p w14:paraId="435DD920">
            <w:pPr>
              <w:adjustRightInd/>
              <w:snapToGrid/>
              <w:spacing w:line="360" w:lineRule="exact"/>
              <w:ind w:firstLine="0" w:firstLineChars="0"/>
              <w:jc w:val="center"/>
              <w:rPr>
                <w:rFonts w:cs="Times New Roman"/>
                <w:color w:val="auto"/>
                <w:sz w:val="21"/>
                <w:highlight w:val="none"/>
                <w:lang w:val="zh-CN"/>
              </w:rPr>
            </w:pPr>
            <w:r>
              <w:rPr>
                <w:rFonts w:cs="Times New Roman"/>
                <w:color w:val="auto"/>
                <w:sz w:val="21"/>
                <w:highlight w:val="none"/>
                <w:lang w:val="zh-CN"/>
              </w:rPr>
              <w:t>第二节</w:t>
            </w:r>
            <w:r>
              <w:rPr>
                <w:rFonts w:cs="Times New Roman"/>
                <w:color w:val="auto"/>
                <w:sz w:val="21"/>
                <w:highlight w:val="none"/>
              </w:rPr>
              <w:t xml:space="preserve"> 打造优势产业集群中专栏14万亿级产业集群和千亿级产业建设工程中农业和农产品精深加工中畜禽屠宰及肉类深加工2024年实现千亿级</w:t>
            </w:r>
            <w:r>
              <w:rPr>
                <w:rFonts w:cs="Times New Roman"/>
                <w:color w:val="auto"/>
                <w:sz w:val="21"/>
                <w:highlight w:val="none"/>
                <w:lang w:val="zh-CN"/>
              </w:rPr>
              <w:t>。</w:t>
            </w:r>
          </w:p>
        </w:tc>
        <w:tc>
          <w:tcPr>
            <w:tcW w:w="3285" w:type="dxa"/>
            <w:shd w:val="clear" w:color="auto" w:fill="auto"/>
            <w:vAlign w:val="center"/>
          </w:tcPr>
          <w:p w14:paraId="5CB3919D">
            <w:pPr>
              <w:adjustRightInd/>
              <w:snapToGrid/>
              <w:spacing w:line="360" w:lineRule="exact"/>
              <w:ind w:firstLine="0" w:firstLineChars="0"/>
              <w:jc w:val="center"/>
              <w:rPr>
                <w:rFonts w:cs="Times New Roman"/>
                <w:color w:val="auto"/>
                <w:sz w:val="21"/>
                <w:highlight w:val="none"/>
                <w:lang w:val="zh-CN"/>
              </w:rPr>
            </w:pPr>
            <w:r>
              <w:rPr>
                <w:rFonts w:cs="Times New Roman"/>
                <w:snapToGrid w:val="0"/>
                <w:color w:val="auto"/>
                <w:sz w:val="21"/>
                <w:highlight w:val="none"/>
                <w:lang w:val="zh-CN"/>
              </w:rPr>
              <w:t>本项目属于屠宰项目，</w:t>
            </w:r>
            <w:r>
              <w:rPr>
                <w:rFonts w:hint="eastAsia" w:cs="Times New Roman"/>
                <w:snapToGrid w:val="0"/>
                <w:color w:val="auto"/>
                <w:sz w:val="21"/>
                <w:highlight w:val="none"/>
                <w:lang w:val="zh-CN"/>
              </w:rPr>
              <w:t>屠宰量为肉牛</w:t>
            </w:r>
            <w:r>
              <w:rPr>
                <w:rFonts w:hint="eastAsia" w:cs="Times New Roman"/>
                <w:snapToGrid w:val="0"/>
                <w:color w:val="auto"/>
                <w:sz w:val="21"/>
                <w:highlight w:val="none"/>
                <w:lang w:val="en-US" w:eastAsia="zh-CN"/>
              </w:rPr>
              <w:t>100</w:t>
            </w:r>
            <w:r>
              <w:rPr>
                <w:rFonts w:hint="eastAsia" w:cs="Times New Roman"/>
                <w:snapToGrid w:val="0"/>
                <w:color w:val="auto"/>
                <w:sz w:val="21"/>
                <w:highlight w:val="none"/>
                <w:lang w:val="zh-CN"/>
              </w:rPr>
              <w:t>头/d，肉羊</w:t>
            </w:r>
            <w:r>
              <w:rPr>
                <w:rFonts w:hint="eastAsia" w:cs="Times New Roman"/>
                <w:snapToGrid w:val="0"/>
                <w:color w:val="auto"/>
                <w:sz w:val="21"/>
                <w:highlight w:val="none"/>
                <w:lang w:val="en-US" w:eastAsia="zh-CN"/>
              </w:rPr>
              <w:t>500</w:t>
            </w:r>
            <w:r>
              <w:rPr>
                <w:rFonts w:hint="eastAsia" w:cs="Times New Roman"/>
                <w:snapToGrid w:val="0"/>
                <w:color w:val="auto"/>
                <w:sz w:val="21"/>
                <w:highlight w:val="none"/>
                <w:lang w:val="zh-CN"/>
              </w:rPr>
              <w:t>只/d</w:t>
            </w:r>
            <w:r>
              <w:rPr>
                <w:rFonts w:cs="Times New Roman"/>
                <w:snapToGrid w:val="0"/>
                <w:color w:val="auto"/>
                <w:sz w:val="21"/>
                <w:highlight w:val="none"/>
                <w:lang w:val="zh-CN"/>
              </w:rPr>
              <w:t>。项目采用机械化、自动化、标准化设备和管理体系，具有完善的卫生检验体系，落实进厂登记和肉品检验等制度，保证肉类的安全、卫生、健康，符合</w:t>
            </w:r>
            <w:r>
              <w:rPr>
                <w:rFonts w:cs="Times New Roman"/>
                <w:color w:val="auto"/>
                <w:sz w:val="21"/>
                <w:highlight w:val="none"/>
                <w:lang w:val="zh-CN"/>
              </w:rPr>
              <w:t>黑龙江省国民经济和社会发展第十四个五年规划和</w:t>
            </w:r>
            <w:r>
              <w:rPr>
                <w:rFonts w:cs="Times New Roman"/>
                <w:color w:val="auto"/>
                <w:sz w:val="21"/>
                <w:highlight w:val="none"/>
              </w:rPr>
              <w:t>2035年远景目标纲要。</w:t>
            </w:r>
          </w:p>
        </w:tc>
        <w:tc>
          <w:tcPr>
            <w:tcW w:w="728" w:type="dxa"/>
            <w:shd w:val="clear" w:color="auto" w:fill="auto"/>
            <w:vAlign w:val="center"/>
          </w:tcPr>
          <w:p w14:paraId="27710270">
            <w:pPr>
              <w:adjustRightInd/>
              <w:snapToGrid/>
              <w:spacing w:line="360" w:lineRule="exact"/>
              <w:ind w:firstLine="0" w:firstLineChars="0"/>
              <w:jc w:val="center"/>
              <w:rPr>
                <w:rFonts w:cs="Times New Roman"/>
                <w:snapToGrid w:val="0"/>
                <w:color w:val="auto"/>
                <w:sz w:val="21"/>
                <w:highlight w:val="none"/>
                <w:lang w:val="zh-CN"/>
              </w:rPr>
            </w:pPr>
            <w:r>
              <w:rPr>
                <w:rFonts w:cs="Times New Roman"/>
                <w:snapToGrid w:val="0"/>
                <w:color w:val="auto"/>
                <w:sz w:val="21"/>
                <w:highlight w:val="none"/>
                <w:lang w:val="zh-CN"/>
              </w:rPr>
              <w:t>符合</w:t>
            </w:r>
          </w:p>
        </w:tc>
      </w:tr>
      <w:tr w14:paraId="40494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11" w:type="dxa"/>
            <w:shd w:val="clear" w:color="auto" w:fill="auto"/>
            <w:vAlign w:val="center"/>
          </w:tcPr>
          <w:p w14:paraId="3083E40E">
            <w:pPr>
              <w:adjustRightInd/>
              <w:snapToGrid/>
              <w:spacing w:line="360" w:lineRule="exact"/>
              <w:ind w:firstLine="0" w:firstLineChars="0"/>
              <w:jc w:val="center"/>
              <w:rPr>
                <w:rFonts w:cs="Times New Roman"/>
                <w:color w:val="auto"/>
                <w:sz w:val="21"/>
                <w:highlight w:val="none"/>
                <w:lang w:val="zh-CN"/>
              </w:rPr>
            </w:pPr>
            <w:r>
              <w:rPr>
                <w:rFonts w:cs="Times New Roman"/>
                <w:color w:val="auto"/>
                <w:sz w:val="21"/>
                <w:highlight w:val="none"/>
                <w:lang w:val="zh-CN"/>
              </w:rPr>
              <w:t>《</w:t>
            </w:r>
            <w:r>
              <w:rPr>
                <w:rFonts w:cs="Times New Roman"/>
                <w:color w:val="auto"/>
                <w:sz w:val="21"/>
                <w:highlight w:val="none"/>
              </w:rPr>
              <w:t>双鸭山市人民政府关于印发双鸭山市国民经济和社会发展第十四个五年规划和二〇三五年远景目标纲要的通知</w:t>
            </w:r>
            <w:r>
              <w:rPr>
                <w:rFonts w:cs="Times New Roman"/>
                <w:color w:val="auto"/>
                <w:sz w:val="21"/>
                <w:highlight w:val="none"/>
                <w:lang w:val="zh-CN"/>
              </w:rPr>
              <w:t>》</w:t>
            </w:r>
          </w:p>
        </w:tc>
        <w:tc>
          <w:tcPr>
            <w:tcW w:w="2882" w:type="dxa"/>
            <w:shd w:val="clear" w:color="auto" w:fill="auto"/>
            <w:vAlign w:val="center"/>
          </w:tcPr>
          <w:p w14:paraId="76F8AABB">
            <w:pPr>
              <w:adjustRightInd/>
              <w:snapToGrid/>
              <w:spacing w:line="360" w:lineRule="exact"/>
              <w:ind w:firstLine="0" w:firstLineChars="0"/>
              <w:jc w:val="center"/>
              <w:rPr>
                <w:rFonts w:hint="default" w:eastAsia="宋体" w:cs="Times New Roman"/>
                <w:color w:val="auto"/>
                <w:sz w:val="21"/>
                <w:highlight w:val="none"/>
                <w:lang w:val="en-US" w:eastAsia="zh-CN"/>
              </w:rPr>
            </w:pPr>
            <w:r>
              <w:rPr>
                <w:rFonts w:hint="eastAsia" w:cs="Times New Roman"/>
                <w:snapToGrid w:val="0"/>
                <w:color w:val="auto"/>
                <w:sz w:val="21"/>
                <w:highlight w:val="none"/>
                <w:lang w:val="en-US" w:eastAsia="zh-CN"/>
              </w:rPr>
              <w:t>专栏8  粮食和绿色食品加工产业链（类别：玉米、大豆、水稻</w:t>
            </w:r>
            <w:r>
              <w:rPr>
                <w:rFonts w:hint="eastAsia" w:cs="Times New Roman"/>
                <w:snapToGrid w:val="0"/>
                <w:color w:val="auto"/>
                <w:sz w:val="21"/>
                <w:highlight w:val="none"/>
                <w:lang w:val="zh-CN" w:eastAsia="zh-CN"/>
              </w:rPr>
              <w:t>、</w:t>
            </w:r>
            <w:r>
              <w:rPr>
                <w:rFonts w:hint="eastAsia" w:cs="Times New Roman"/>
                <w:snapToGrid w:val="0"/>
                <w:color w:val="auto"/>
                <w:sz w:val="21"/>
                <w:highlight w:val="none"/>
                <w:lang w:val="en-US" w:eastAsia="zh-CN"/>
              </w:rPr>
              <w:t>秸秆综合利用</w:t>
            </w:r>
            <w:r>
              <w:rPr>
                <w:rFonts w:hint="eastAsia" w:cs="Times New Roman"/>
                <w:snapToGrid w:val="0"/>
                <w:color w:val="auto"/>
                <w:sz w:val="21"/>
                <w:highlight w:val="none"/>
                <w:lang w:val="zh-CN"/>
              </w:rPr>
              <w:t>、</w:t>
            </w:r>
            <w:r>
              <w:rPr>
                <w:rFonts w:hint="eastAsia" w:cs="Times New Roman"/>
                <w:snapToGrid w:val="0"/>
                <w:color w:val="auto"/>
                <w:sz w:val="21"/>
                <w:highlight w:val="none"/>
                <w:lang w:val="en-US" w:eastAsia="zh-CN"/>
              </w:rPr>
              <w:t>畜牧</w:t>
            </w:r>
            <w:r>
              <w:rPr>
                <w:rFonts w:hint="eastAsia" w:cs="Times New Roman"/>
                <w:snapToGrid w:val="0"/>
                <w:color w:val="auto"/>
                <w:sz w:val="21"/>
                <w:highlight w:val="none"/>
                <w:lang w:val="zh-CN"/>
              </w:rPr>
              <w:t>，</w:t>
            </w:r>
            <w:r>
              <w:rPr>
                <w:rFonts w:hint="eastAsia" w:cs="Times New Roman"/>
                <w:snapToGrid w:val="0"/>
                <w:color w:val="auto"/>
                <w:sz w:val="21"/>
                <w:highlight w:val="none"/>
                <w:lang w:val="en-US" w:eastAsia="zh-CN"/>
              </w:rPr>
              <w:t>果蔬</w:t>
            </w:r>
            <w:r>
              <w:rPr>
                <w:rFonts w:hint="eastAsia" w:cs="Times New Roman"/>
                <w:snapToGrid w:val="0"/>
                <w:color w:val="auto"/>
                <w:sz w:val="21"/>
                <w:highlight w:val="none"/>
                <w:lang w:val="zh-CN"/>
              </w:rPr>
              <w:t>）</w:t>
            </w:r>
            <w:r>
              <w:rPr>
                <w:rFonts w:hint="eastAsia" w:cs="Times New Roman"/>
                <w:snapToGrid w:val="0"/>
                <w:color w:val="auto"/>
                <w:sz w:val="21"/>
                <w:highlight w:val="none"/>
                <w:lang w:val="zh-CN" w:eastAsia="zh-CN"/>
              </w:rPr>
              <w:t>，</w:t>
            </w:r>
            <w:r>
              <w:rPr>
                <w:rFonts w:hint="eastAsia" w:cs="Times New Roman"/>
                <w:snapToGrid w:val="0"/>
                <w:color w:val="auto"/>
                <w:sz w:val="21"/>
                <w:highlight w:val="none"/>
                <w:lang w:val="en-US" w:eastAsia="zh-CN"/>
              </w:rPr>
              <w:t>其中畜牧项目主要</w:t>
            </w:r>
            <w:r>
              <w:rPr>
                <w:rFonts w:hint="default" w:cs="Times New Roman"/>
                <w:snapToGrid w:val="0"/>
                <w:color w:val="auto"/>
                <w:sz w:val="21"/>
                <w:highlight w:val="none"/>
                <w:lang w:val="zh-CN"/>
              </w:rPr>
              <w:t>以规模化、集约化发展为主攻方向，重点推进黑龙江省益生200万头生猪养殖及屠宰深加工项目等。</w:t>
            </w:r>
          </w:p>
        </w:tc>
        <w:tc>
          <w:tcPr>
            <w:tcW w:w="3285" w:type="dxa"/>
            <w:shd w:val="clear" w:color="auto" w:fill="auto"/>
            <w:vAlign w:val="center"/>
          </w:tcPr>
          <w:p w14:paraId="44017678">
            <w:pPr>
              <w:adjustRightInd/>
              <w:snapToGrid/>
              <w:spacing w:line="360" w:lineRule="exact"/>
              <w:ind w:firstLine="0" w:firstLineChars="0"/>
              <w:jc w:val="center"/>
              <w:rPr>
                <w:rFonts w:cs="Times New Roman"/>
                <w:snapToGrid w:val="0"/>
                <w:color w:val="auto"/>
                <w:sz w:val="21"/>
                <w:highlight w:val="none"/>
              </w:rPr>
            </w:pPr>
            <w:r>
              <w:rPr>
                <w:rFonts w:cs="Times New Roman"/>
                <w:snapToGrid w:val="0"/>
                <w:color w:val="auto"/>
                <w:sz w:val="21"/>
                <w:highlight w:val="none"/>
                <w:lang w:val="zh-CN"/>
              </w:rPr>
              <w:t>本项目属于</w:t>
            </w:r>
            <w:r>
              <w:rPr>
                <w:rFonts w:hint="eastAsia" w:cs="Times New Roman"/>
                <w:snapToGrid w:val="0"/>
                <w:color w:val="auto"/>
                <w:sz w:val="21"/>
                <w:highlight w:val="none"/>
                <w:lang w:val="zh-CN"/>
              </w:rPr>
              <w:t>农副食品加工工业—屠宰及肉类加工工业</w:t>
            </w:r>
            <w:r>
              <w:rPr>
                <w:rFonts w:cs="Times New Roman"/>
                <w:snapToGrid w:val="0"/>
                <w:color w:val="auto"/>
                <w:sz w:val="21"/>
                <w:highlight w:val="none"/>
                <w:lang w:val="zh-CN"/>
              </w:rPr>
              <w:t>，</w:t>
            </w:r>
            <w:r>
              <w:rPr>
                <w:rFonts w:hint="eastAsia" w:cs="Times New Roman"/>
                <w:snapToGrid w:val="0"/>
                <w:color w:val="auto"/>
                <w:sz w:val="21"/>
                <w:highlight w:val="none"/>
                <w:lang w:val="zh-CN"/>
              </w:rPr>
              <w:t>屠宰量为肉牛</w:t>
            </w:r>
            <w:r>
              <w:rPr>
                <w:rFonts w:hint="eastAsia" w:cs="Times New Roman"/>
                <w:snapToGrid w:val="0"/>
                <w:color w:val="auto"/>
                <w:sz w:val="21"/>
                <w:highlight w:val="none"/>
                <w:lang w:val="en-US" w:eastAsia="zh-CN"/>
              </w:rPr>
              <w:t>100</w:t>
            </w:r>
            <w:r>
              <w:rPr>
                <w:rFonts w:hint="eastAsia" w:cs="Times New Roman"/>
                <w:snapToGrid w:val="0"/>
                <w:color w:val="auto"/>
                <w:sz w:val="21"/>
                <w:highlight w:val="none"/>
                <w:lang w:val="zh-CN"/>
              </w:rPr>
              <w:t>头/d，肉羊</w:t>
            </w:r>
            <w:r>
              <w:rPr>
                <w:rFonts w:hint="eastAsia" w:cs="Times New Roman"/>
                <w:snapToGrid w:val="0"/>
                <w:color w:val="auto"/>
                <w:sz w:val="21"/>
                <w:highlight w:val="none"/>
                <w:lang w:val="en-US" w:eastAsia="zh-CN"/>
              </w:rPr>
              <w:t>500</w:t>
            </w:r>
            <w:r>
              <w:rPr>
                <w:rFonts w:hint="eastAsia" w:cs="Times New Roman"/>
                <w:snapToGrid w:val="0"/>
                <w:color w:val="auto"/>
                <w:sz w:val="21"/>
                <w:highlight w:val="none"/>
                <w:lang w:val="zh-CN"/>
              </w:rPr>
              <w:t>只/d</w:t>
            </w:r>
            <w:r>
              <w:rPr>
                <w:rFonts w:cs="Times New Roman"/>
                <w:snapToGrid w:val="0"/>
                <w:color w:val="auto"/>
                <w:sz w:val="21"/>
                <w:highlight w:val="none"/>
                <w:lang w:val="zh-CN"/>
              </w:rPr>
              <w:t>。项目采用机械化、自动化、标准化设备和管理体系，具有完善的卫生检验体系，落实进厂登记和肉品检验等制度，</w:t>
            </w:r>
            <w:r>
              <w:rPr>
                <w:rFonts w:cs="Times New Roman"/>
                <w:snapToGrid w:val="0"/>
                <w:color w:val="auto"/>
                <w:sz w:val="21"/>
                <w:highlight w:val="none"/>
              </w:rPr>
              <w:t>为周边城市输送</w:t>
            </w:r>
            <w:r>
              <w:rPr>
                <w:rFonts w:cs="Times New Roman"/>
                <w:snapToGrid w:val="0"/>
                <w:color w:val="auto"/>
                <w:sz w:val="21"/>
                <w:highlight w:val="none"/>
                <w:lang w:val="zh-CN"/>
              </w:rPr>
              <w:t>安全、卫生、健康</w:t>
            </w:r>
            <w:r>
              <w:rPr>
                <w:rFonts w:cs="Times New Roman"/>
                <w:snapToGrid w:val="0"/>
                <w:color w:val="auto"/>
                <w:sz w:val="21"/>
                <w:highlight w:val="none"/>
              </w:rPr>
              <w:t>的肉类。</w:t>
            </w:r>
          </w:p>
        </w:tc>
        <w:tc>
          <w:tcPr>
            <w:tcW w:w="728" w:type="dxa"/>
            <w:shd w:val="clear" w:color="auto" w:fill="auto"/>
            <w:vAlign w:val="center"/>
          </w:tcPr>
          <w:p w14:paraId="7C22D445">
            <w:pPr>
              <w:adjustRightInd/>
              <w:snapToGrid/>
              <w:spacing w:line="360" w:lineRule="exact"/>
              <w:ind w:firstLine="0" w:firstLineChars="0"/>
              <w:jc w:val="center"/>
              <w:rPr>
                <w:rFonts w:cs="Times New Roman"/>
                <w:snapToGrid w:val="0"/>
                <w:color w:val="auto"/>
                <w:sz w:val="21"/>
                <w:highlight w:val="none"/>
              </w:rPr>
            </w:pPr>
            <w:r>
              <w:rPr>
                <w:rFonts w:cs="Times New Roman"/>
                <w:snapToGrid w:val="0"/>
                <w:color w:val="auto"/>
                <w:sz w:val="21"/>
                <w:highlight w:val="none"/>
              </w:rPr>
              <w:t>符合</w:t>
            </w:r>
          </w:p>
        </w:tc>
      </w:tr>
    </w:tbl>
    <w:p w14:paraId="4852C393">
      <w:pPr>
        <w:adjustRightInd/>
        <w:snapToGrid/>
        <w:spacing w:line="500" w:lineRule="exact"/>
        <w:ind w:firstLine="482"/>
        <w:rPr>
          <w:rFonts w:cs="Times New Roman"/>
          <w:b/>
          <w:bCs/>
          <w:snapToGrid w:val="0"/>
          <w:color w:val="auto"/>
          <w:kern w:val="0"/>
          <w:szCs w:val="24"/>
          <w:highlight w:val="none"/>
        </w:rPr>
      </w:pPr>
      <w:r>
        <w:rPr>
          <w:rFonts w:hint="eastAsia" w:cs="Times New Roman"/>
          <w:b/>
          <w:bCs/>
          <w:snapToGrid w:val="0"/>
          <w:color w:val="auto"/>
          <w:kern w:val="0"/>
          <w:szCs w:val="24"/>
          <w:highlight w:val="none"/>
          <w:lang w:val="en-US" w:eastAsia="zh-CN"/>
        </w:rPr>
        <w:t>2</w:t>
      </w:r>
      <w:r>
        <w:rPr>
          <w:rFonts w:cs="Times New Roman"/>
          <w:b/>
          <w:bCs/>
          <w:snapToGrid w:val="0"/>
          <w:color w:val="auto"/>
          <w:kern w:val="0"/>
          <w:szCs w:val="24"/>
          <w:highlight w:val="none"/>
        </w:rPr>
        <w:t>、与</w:t>
      </w:r>
      <w:bookmarkStart w:id="15" w:name="_Hlk520812012"/>
      <w:r>
        <w:rPr>
          <w:rFonts w:cs="Times New Roman"/>
          <w:b/>
          <w:bCs/>
          <w:snapToGrid w:val="0"/>
          <w:color w:val="auto"/>
          <w:kern w:val="0"/>
          <w:szCs w:val="24"/>
          <w:highlight w:val="none"/>
        </w:rPr>
        <w:t>《黑龙江省主体功能区划》</w:t>
      </w:r>
      <w:bookmarkEnd w:id="15"/>
      <w:r>
        <w:rPr>
          <w:rFonts w:cs="Times New Roman"/>
          <w:b/>
          <w:bCs/>
          <w:snapToGrid w:val="0"/>
          <w:color w:val="auto"/>
          <w:kern w:val="0"/>
          <w:szCs w:val="24"/>
          <w:highlight w:val="none"/>
        </w:rPr>
        <w:t>符合性分析</w:t>
      </w:r>
    </w:p>
    <w:p w14:paraId="501BBF3D">
      <w:pPr>
        <w:adjustRightInd/>
        <w:snapToGrid/>
        <w:spacing w:line="500" w:lineRule="exact"/>
        <w:rPr>
          <w:rFonts w:cs="Times New Roman"/>
          <w:snapToGrid w:val="0"/>
          <w:color w:val="auto"/>
          <w:kern w:val="0"/>
          <w:szCs w:val="24"/>
          <w:highlight w:val="none"/>
        </w:rPr>
      </w:pPr>
      <w:r>
        <w:rPr>
          <w:rFonts w:cs="Times New Roman"/>
          <w:snapToGrid w:val="0"/>
          <w:color w:val="auto"/>
          <w:kern w:val="0"/>
          <w:szCs w:val="24"/>
          <w:highlight w:val="none"/>
        </w:rPr>
        <w:t>本项目位于</w:t>
      </w:r>
      <w:r>
        <w:rPr>
          <w:rFonts w:ascii="Times New Roman" w:hAnsi="Times New Roman" w:cs="Times New Roman"/>
          <w:snapToGrid w:val="0"/>
          <w:color w:val="auto"/>
          <w:kern w:val="0"/>
          <w:szCs w:val="24"/>
          <w:highlight w:val="none"/>
        </w:rPr>
        <w:t>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cs="Times New Roman"/>
          <w:snapToGrid w:val="0"/>
          <w:color w:val="auto"/>
          <w:kern w:val="0"/>
          <w:szCs w:val="24"/>
          <w:highlight w:val="none"/>
        </w:rPr>
        <w:t>，所在区域为</w:t>
      </w:r>
      <w:r>
        <w:rPr>
          <w:rFonts w:ascii="宋体" w:hAnsi="宋体" w:eastAsia="宋体" w:cs="宋体"/>
          <w:color w:val="auto"/>
          <w:sz w:val="24"/>
          <w:szCs w:val="24"/>
          <w:highlight w:val="none"/>
        </w:rPr>
        <w:t>省级重点开发区域</w:t>
      </w:r>
      <w:r>
        <w:rPr>
          <w:rFonts w:cs="Times New Roman"/>
          <w:snapToGrid w:val="0"/>
          <w:color w:val="auto"/>
          <w:kern w:val="0"/>
          <w:szCs w:val="24"/>
          <w:highlight w:val="none"/>
        </w:rPr>
        <w:t>。</w:t>
      </w:r>
    </w:p>
    <w:p w14:paraId="72BAB3C1">
      <w:pPr>
        <w:adjustRightInd/>
        <w:snapToGrid/>
        <w:spacing w:line="500" w:lineRule="exact"/>
        <w:rPr>
          <w:rFonts w:hint="eastAsia" w:ascii="Times New Roman" w:hAnsi="Times New Roman" w:eastAsia="宋体" w:cs="Times New Roman"/>
          <w:snapToGrid w:val="0"/>
          <w:color w:val="auto"/>
          <w:kern w:val="0"/>
          <w:szCs w:val="24"/>
          <w:highlight w:val="none"/>
          <w:lang w:val="en-US" w:eastAsia="zh-CN"/>
        </w:rPr>
      </w:pPr>
      <w:r>
        <w:rPr>
          <w:rFonts w:hint="eastAsia" w:ascii="Times New Roman" w:hAnsi="Times New Roman" w:eastAsia="宋体" w:cs="Times New Roman"/>
          <w:snapToGrid w:val="0"/>
          <w:color w:val="auto"/>
          <w:kern w:val="0"/>
          <w:szCs w:val="24"/>
          <w:highlight w:val="none"/>
          <w:lang w:val="en-US" w:eastAsia="zh-CN"/>
        </w:rPr>
        <w:t xml:space="preserve">省级重点开发区域包括东部煤电化基地城市群、绥化市建成区及部分县（市）重点开发区、园区所在乡镇①，共有51个区、镇（乡） 。区域总面积2.20万平方公里，占全省的4.6%；除去基本农田后重点开发区域面积为1.63万平方公里，占全省总面积的3.45%；2010年总人口564万人，占全省的14%，城镇人口424万人，城镇化率75.23%， 地区生产总值1346.75亿元，占全省的12.99%，人均地区生产总值23879元。 </w:t>
      </w:r>
    </w:p>
    <w:p w14:paraId="76A24162">
      <w:pPr>
        <w:adjustRightInd/>
        <w:snapToGrid/>
        <w:spacing w:line="500" w:lineRule="exact"/>
        <w:rPr>
          <w:rFonts w:hint="eastAsia" w:ascii="Times New Roman" w:hAnsi="Times New Roman" w:eastAsia="宋体" w:cs="Times New Roman"/>
          <w:snapToGrid w:val="0"/>
          <w:color w:val="auto"/>
          <w:kern w:val="0"/>
          <w:szCs w:val="24"/>
          <w:highlight w:val="none"/>
          <w:lang w:val="en-US" w:eastAsia="zh-CN"/>
        </w:rPr>
      </w:pPr>
      <w:r>
        <w:rPr>
          <w:rFonts w:hint="eastAsia" w:ascii="Times New Roman" w:hAnsi="Times New Roman" w:eastAsia="宋体" w:cs="Times New Roman"/>
          <w:snapToGrid w:val="0"/>
          <w:color w:val="auto"/>
          <w:kern w:val="0"/>
          <w:szCs w:val="24"/>
          <w:highlight w:val="none"/>
          <w:lang w:val="en-US" w:eastAsia="zh-CN"/>
        </w:rPr>
        <w:t xml:space="preserve">功能定位：全省重要的能源、电力和煤化工基地，区域性的农产品加工和生物产业基地，东北对外开放的重要地区和物流基地，重要的绿色特色农产品生产及加工基地。 </w:t>
      </w:r>
    </w:p>
    <w:p w14:paraId="7EC1B048">
      <w:pPr>
        <w:adjustRightInd/>
        <w:snapToGrid/>
        <w:spacing w:line="500" w:lineRule="exact"/>
        <w:rPr>
          <w:rFonts w:hint="eastAsia" w:ascii="Times New Roman" w:hAnsi="Times New Roman" w:eastAsia="宋体" w:cs="Times New Roman"/>
          <w:snapToGrid w:val="0"/>
          <w:color w:val="auto"/>
          <w:kern w:val="0"/>
          <w:szCs w:val="24"/>
          <w:highlight w:val="none"/>
          <w:lang w:val="en-US" w:eastAsia="zh-CN"/>
        </w:rPr>
      </w:pPr>
      <w:r>
        <w:rPr>
          <w:rFonts w:hint="eastAsia" w:ascii="Times New Roman" w:hAnsi="Times New Roman" w:eastAsia="宋体" w:cs="Times New Roman"/>
          <w:snapToGrid w:val="0"/>
          <w:color w:val="auto"/>
          <w:kern w:val="0"/>
          <w:szCs w:val="24"/>
          <w:highlight w:val="none"/>
          <w:lang w:val="en-US" w:eastAsia="zh-CN"/>
        </w:rPr>
        <w:t xml:space="preserve">——建设煤电化产业基地，加强煤炭资源接续能力建设，合理开发和有效保护煤炭资源，增强煤化工产业集聚能力和竞争力，积极发展新材料、冶金、装备制造、生物等替代产业和现代服务业。 </w:t>
      </w:r>
    </w:p>
    <w:p w14:paraId="33382B31">
      <w:pPr>
        <w:adjustRightInd/>
        <w:snapToGrid/>
        <w:spacing w:line="500" w:lineRule="exact"/>
        <w:rPr>
          <w:rFonts w:hint="eastAsia" w:ascii="Times New Roman" w:hAnsi="Times New Roman" w:eastAsia="宋体" w:cs="Times New Roman"/>
          <w:snapToGrid w:val="0"/>
          <w:color w:val="auto"/>
          <w:kern w:val="0"/>
          <w:szCs w:val="24"/>
          <w:highlight w:val="none"/>
          <w:lang w:val="en-US" w:eastAsia="zh-CN"/>
        </w:rPr>
      </w:pPr>
      <w:r>
        <w:rPr>
          <w:rFonts w:hint="eastAsia" w:ascii="Times New Roman" w:hAnsi="Times New Roman" w:eastAsia="宋体" w:cs="Times New Roman"/>
          <w:snapToGrid w:val="0"/>
          <w:color w:val="auto"/>
          <w:kern w:val="0"/>
          <w:szCs w:val="24"/>
          <w:highlight w:val="none"/>
          <w:lang w:val="en-US" w:eastAsia="zh-CN"/>
        </w:rPr>
        <w:t xml:space="preserve">——发挥生态优势和资源优势，发展绿色特色农产品生产及加工，推动规模化经营，提高农产品精深加工和农副产品综合利用水平。 </w:t>
      </w:r>
    </w:p>
    <w:p w14:paraId="1396C47E">
      <w:pPr>
        <w:adjustRightInd/>
        <w:snapToGrid/>
        <w:spacing w:line="500" w:lineRule="exact"/>
        <w:rPr>
          <w:rFonts w:hint="eastAsia" w:ascii="Times New Roman" w:hAnsi="Times New Roman" w:eastAsia="宋体" w:cs="Times New Roman"/>
          <w:snapToGrid w:val="0"/>
          <w:color w:val="auto"/>
          <w:kern w:val="0"/>
          <w:szCs w:val="24"/>
          <w:highlight w:val="none"/>
          <w:lang w:val="en-US" w:eastAsia="zh-CN"/>
        </w:rPr>
      </w:pPr>
      <w:r>
        <w:rPr>
          <w:rFonts w:hint="eastAsia" w:ascii="Times New Roman" w:hAnsi="Times New Roman" w:eastAsia="宋体" w:cs="Times New Roman"/>
          <w:snapToGrid w:val="0"/>
          <w:color w:val="auto"/>
          <w:kern w:val="0"/>
          <w:szCs w:val="24"/>
          <w:highlight w:val="none"/>
          <w:lang w:val="en-US" w:eastAsia="zh-CN"/>
        </w:rPr>
        <w:t>——强化节能减排，加强水资源开发利用保护和节约，加快植树造林步伐，加强水土流失预防和治理，开展三江平原湿地保护和修复。</w:t>
      </w:r>
    </w:p>
    <w:p w14:paraId="5ECF7977">
      <w:pPr>
        <w:adjustRightInd/>
        <w:snapToGrid/>
        <w:spacing w:line="500" w:lineRule="exact"/>
        <w:rPr>
          <w:rFonts w:hint="eastAsia" w:ascii="Times New Roman" w:hAnsi="Times New Roman" w:eastAsia="宋体" w:cs="Times New Roman"/>
          <w:snapToGrid w:val="0"/>
          <w:color w:val="auto"/>
          <w:kern w:val="0"/>
          <w:szCs w:val="24"/>
          <w:highlight w:val="none"/>
          <w:lang w:val="en-US" w:eastAsia="zh-CN"/>
        </w:rPr>
      </w:pPr>
      <w:r>
        <w:rPr>
          <w:rFonts w:hint="eastAsia" w:ascii="Times New Roman" w:hAnsi="Times New Roman" w:eastAsia="宋体" w:cs="Times New Roman"/>
          <w:snapToGrid w:val="0"/>
          <w:color w:val="auto"/>
          <w:kern w:val="0"/>
          <w:szCs w:val="24"/>
          <w:highlight w:val="none"/>
          <w:lang w:val="en-US" w:eastAsia="zh-CN"/>
        </w:rPr>
        <w:t>本项目为屠宰项目，属于农副食品加工工业，与畜牧业生产配套，符合国家级重点开发区域中农副产品综合利用的功能定位。因此，本项目符合《黑龙江省主体功能区划》。</w:t>
      </w:r>
    </w:p>
    <w:p w14:paraId="0FCCE03D">
      <w:pPr>
        <w:pStyle w:val="117"/>
        <w:spacing w:line="240" w:lineRule="auto"/>
        <w:ind w:firstLine="0" w:firstLineChars="0"/>
        <w:jc w:val="center"/>
        <w:rPr>
          <w:rFonts w:cs="Times New Roman"/>
          <w:color w:val="auto"/>
          <w:highlight w:val="none"/>
        </w:rPr>
      </w:pPr>
      <w:r>
        <w:rPr>
          <w:rFonts w:cs="Times New Roman"/>
          <w:color w:val="auto"/>
          <w:highlight w:val="none"/>
        </w:rPr>
        <mc:AlternateContent>
          <mc:Choice Requires="wpg">
            <w:drawing>
              <wp:anchor distT="0" distB="0" distL="114300" distR="114300" simplePos="0" relativeHeight="251663360" behindDoc="0" locked="0" layoutInCell="1" allowOverlap="1">
                <wp:simplePos x="0" y="0"/>
                <wp:positionH relativeFrom="column">
                  <wp:posOffset>3458210</wp:posOffset>
                </wp:positionH>
                <wp:positionV relativeFrom="paragraph">
                  <wp:posOffset>3018790</wp:posOffset>
                </wp:positionV>
                <wp:extent cx="922020" cy="437515"/>
                <wp:effectExtent l="4445" t="5080" r="6985" b="14605"/>
                <wp:wrapNone/>
                <wp:docPr id="106" name="组合 106"/>
                <wp:cNvGraphicFramePr/>
                <a:graphic xmlns:a="http://schemas.openxmlformats.org/drawingml/2006/main">
                  <a:graphicData uri="http://schemas.microsoft.com/office/word/2010/wordprocessingGroup">
                    <wpg:wgp>
                      <wpg:cNvGrpSpPr/>
                      <wpg:grpSpPr>
                        <a:xfrm>
                          <a:off x="0" y="0"/>
                          <a:ext cx="922020" cy="437515"/>
                          <a:chOff x="6367" y="248213"/>
                          <a:chExt cx="1452" cy="689"/>
                        </a:xfrm>
                      </wpg:grpSpPr>
                      <wps:wsp>
                        <wps:cNvPr id="14" name="五角星 14"/>
                        <wps:cNvSpPr/>
                        <wps:spPr>
                          <a:xfrm>
                            <a:off x="6367" y="248782"/>
                            <a:ext cx="120" cy="120"/>
                          </a:xfrm>
                          <a:prstGeom prst="star5">
                            <a:avLst/>
                          </a:prstGeom>
                          <a:solidFill>
                            <a:srgbClr val="FF0000"/>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1080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4" name="矩形标注 194"/>
                        <wps:cNvSpPr/>
                        <wps:spPr>
                          <a:xfrm>
                            <a:off x="6465" y="248213"/>
                            <a:ext cx="1354" cy="363"/>
                          </a:xfrm>
                          <a:prstGeom prst="wedgeRectCallout">
                            <a:avLst>
                              <a:gd name="adj1" fmla="val -47952"/>
                              <a:gd name="adj2" fmla="val 118921"/>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5D001A">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72.3pt;margin-top:237.7pt;height:34.45pt;width:72.6pt;z-index:251663360;mso-width-relative:page;mso-height-relative:page;" coordorigin="6367,248213" coordsize="1452,689" o:gfxdata="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">
                <o:lock v:ext="edit" aspectratio="f"/>
                <v:shape id="_x0000_s1026" o:spid="_x0000_s1026" style="position:absolute;left:6367;top:248782;height:120;width:120;v-text-anchor:middle;" fillcolor="#FF0000" filled="t" stroked="t" coordsize="120,120" o:gfxdata="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lYqBq5AAAA2wAA&#10;AA8AAAAAAAAAAQAgAAAAIgAAAGRycy9kb3ducmV2LnhtbFBLAQIUABQAAAAIAIdO4kAzLwWeOwAA&#10;ADkAAAAQAAAAAAAAAAEAIAAAAAgBAABkcnMvc2hhcGV4bWwueG1sUEsFBgAAAAAGAAYAWwEAALID&#10;AAAAAA==&#10;" path="m0,45l45,45,60,0,74,45,119,45,82,74,97,119,60,91,22,119,37,74xe">
                  <v:path textboxrect="0,0,120,120" o:connectlocs="60,0;0,45;22,119;97,119;119,45" o:connectangles="247,164,82,82,0"/>
                  <v:fill on="t" focussize="0,0"/>
                  <v:stroke weight="0.25pt" color="#FF0000 [3204]" joinstyle="round"/>
                  <v:imagedata o:title=""/>
                  <o:lock v:ext="edit" aspectratio="f"/>
                  <v:textbox>
                    <w:txbxContent>
                      <w:p w14:paraId="6061080E">
                        <w:pPr>
                          <w:jc w:val="center"/>
                        </w:pPr>
                      </w:p>
                    </w:txbxContent>
                  </v:textbox>
                </v:shape>
                <v:shape id="_x0000_s1026" o:spid="_x0000_s1026" o:spt="61" type="#_x0000_t61" style="position:absolute;left:6465;top:248213;height:363;width:1354;v-text-anchor:middle;" filled="f" stroked="t" coordsize="21600,21600" o:gfxdata="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xmlqK8AAAA&#10;3AAAAA8AAAAAAAAAAQAgAAAAIgAAAGRycy9kb3ducmV2LnhtbFBLAQIUABQAAAAIAIdO4kAzLwWe&#10;OwAAADkAAAAQAAAAAAAAAAEAIAAAAAsBAABkcnMvc2hhcGV4bWwueG1sUEsFBgAAAAAGAAYAWwEA&#10;ALUDAAAAAA==&#10;" adj="442,36487">
                  <v:fill on="f" focussize="0,0"/>
                  <v:stroke weight="0.25pt" color="#000000 [3213]" joinstyle="round"/>
                  <v:imagedata o:title=""/>
                  <o:lock v:ext="edit" aspectratio="f"/>
                  <v:textbox>
                    <w:txbxContent>
                      <w:p w14:paraId="265D001A">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项目所在地</w:t>
                        </w:r>
                      </w:p>
                    </w:txbxContent>
                  </v:textbox>
                </v:shape>
              </v:group>
            </w:pict>
          </mc:Fallback>
        </mc:AlternateContent>
      </w:r>
      <w:r>
        <w:rPr>
          <w:rFonts w:cs="Times New Roman"/>
          <w:color w:val="auto"/>
          <w:highlight w:val="none"/>
        </w:rPr>
        <mc:AlternateContent>
          <mc:Choice Requires="wps">
            <w:drawing>
              <wp:anchor distT="0" distB="0" distL="114300" distR="114300" simplePos="0" relativeHeight="251659264" behindDoc="0" locked="0" layoutInCell="1" allowOverlap="1">
                <wp:simplePos x="0" y="0"/>
                <wp:positionH relativeFrom="column">
                  <wp:posOffset>1355090</wp:posOffset>
                </wp:positionH>
                <wp:positionV relativeFrom="paragraph">
                  <wp:posOffset>4549140</wp:posOffset>
                </wp:positionV>
                <wp:extent cx="76200" cy="76200"/>
                <wp:effectExtent l="4445" t="4445" r="14605" b="14605"/>
                <wp:wrapNone/>
                <wp:docPr id="11" name="五角星 11"/>
                <wp:cNvGraphicFramePr/>
                <a:graphic xmlns:a="http://schemas.openxmlformats.org/drawingml/2006/main">
                  <a:graphicData uri="http://schemas.microsoft.com/office/word/2010/wordprocessingShape">
                    <wps:wsp>
                      <wps:cNvSpPr/>
                      <wps:spPr>
                        <a:xfrm>
                          <a:off x="2334895" y="7062470"/>
                          <a:ext cx="76200" cy="76200"/>
                        </a:xfrm>
                        <a:prstGeom prst="star5">
                          <a:avLst/>
                        </a:prstGeom>
                        <a:solidFill>
                          <a:srgbClr val="FF0000"/>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06.7pt;margin-top:358.2pt;height:6pt;width:6pt;z-index:251659264;v-text-anchor:middle;mso-width-relative:page;mso-height-relative:page;" fillcolor="#FF0000" filled="t" stroked="t" coordsize="76200,76200" o:gfxdata="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YUFaC2gAAAAsBAAAPAAAAAAAAAAEAIAAAACIAAABkcnMvZG93&#10;bnJldi54bWxQSwECFAAUAAAACACHTuJADuyp3nACAADrBAAADgAAAAAAAAABACAAAAApAQAAZHJz&#10;L2Uyb0RvYy54bWxQSwUGAAAAAAYABgBZAQAACwYAAAAA&#10;" path="m0,29105l29105,29105,38100,0,47094,29105,76199,29105,52652,47093,61647,76199,38100,58211,14552,76199,23547,47093xe">
                <v:path o:connectlocs="38100,0;0,29105;14552,76199;61647,76199;76199,29105" o:connectangles="247,164,82,82,0"/>
                <v:fill on="t" focussize="0,0"/>
                <v:stroke weight="0.25pt" color="#FF0000 [3204]" joinstyle="round"/>
                <v:imagedata o:title=""/>
                <o:lock v:ext="edit" aspectratio="f"/>
              </v:shape>
            </w:pict>
          </mc:Fallback>
        </mc:AlternateContent>
      </w:r>
      <w:r>
        <w:rPr>
          <w:rFonts w:cs="Times New Roman"/>
          <w:color w:val="auto"/>
          <w:highlight w:val="none"/>
        </w:rPr>
        <w:drawing>
          <wp:inline distT="0" distB="0" distL="0" distR="0">
            <wp:extent cx="5446395" cy="4994910"/>
            <wp:effectExtent l="0" t="0" r="1905" b="15240"/>
            <wp:docPr id="119" name="图片 119" descr="C:/Users/Administrator/AppData/Local/Temp/picturecompress_20211105115811/output_30.jpgoutpu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Administrator/AppData/Local/Temp/picturecompress_20211105115811/output_30.jpgoutput_30"/>
                    <pic:cNvPicPr>
                      <a:picLocks noChangeAspect="1" noChangeArrowheads="1"/>
                    </pic:cNvPicPr>
                  </pic:nvPicPr>
                  <pic:blipFill>
                    <a:blip r:embed="rId18"/>
                    <a:srcRect/>
                    <a:stretch>
                      <a:fillRect/>
                    </a:stretch>
                  </pic:blipFill>
                  <pic:spPr>
                    <a:xfrm>
                      <a:off x="0" y="0"/>
                      <a:ext cx="5446395" cy="4994910"/>
                    </a:xfrm>
                    <a:prstGeom prst="rect">
                      <a:avLst/>
                    </a:prstGeom>
                    <a:noFill/>
                    <a:ln>
                      <a:noFill/>
                    </a:ln>
                  </pic:spPr>
                </pic:pic>
              </a:graphicData>
            </a:graphic>
          </wp:inline>
        </w:drawing>
      </w:r>
    </w:p>
    <w:p w14:paraId="091954BF">
      <w:pPr>
        <w:pStyle w:val="66"/>
        <w:spacing w:line="240" w:lineRule="auto"/>
        <w:rPr>
          <w:rFonts w:eastAsia="宋体" w:cs="Times New Roman"/>
          <w:b/>
          <w:bCs/>
          <w:color w:val="auto"/>
          <w:szCs w:val="24"/>
          <w:highlight w:val="none"/>
        </w:rPr>
      </w:pPr>
      <w:r>
        <w:rPr>
          <w:rFonts w:eastAsia="宋体" w:cs="Times New Roman"/>
          <w:b/>
          <w:bCs/>
          <w:color w:val="auto"/>
          <w:szCs w:val="24"/>
          <w:highlight w:val="none"/>
        </w:rPr>
        <w:t>图1-4-</w:t>
      </w:r>
      <w:r>
        <w:rPr>
          <w:rFonts w:hint="eastAsia" w:eastAsia="宋体" w:cs="Times New Roman"/>
          <w:b/>
          <w:bCs/>
          <w:color w:val="auto"/>
          <w:szCs w:val="24"/>
          <w:highlight w:val="none"/>
          <w:lang w:val="en-US" w:eastAsia="zh-CN"/>
        </w:rPr>
        <w:t>3</w:t>
      </w:r>
      <w:r>
        <w:rPr>
          <w:rFonts w:eastAsia="宋体" w:cs="Times New Roman"/>
          <w:b/>
          <w:bCs/>
          <w:color w:val="auto"/>
          <w:szCs w:val="24"/>
          <w:highlight w:val="none"/>
          <w:lang w:val="en-US"/>
        </w:rPr>
        <w:t xml:space="preserve">  </w:t>
      </w:r>
      <w:r>
        <w:rPr>
          <w:rFonts w:eastAsia="宋体" w:cs="Times New Roman"/>
          <w:b/>
          <w:bCs/>
          <w:color w:val="auto"/>
          <w:szCs w:val="24"/>
          <w:highlight w:val="none"/>
        </w:rPr>
        <w:t>黑龙江省主体功能区划图</w:t>
      </w:r>
    </w:p>
    <w:p w14:paraId="379B8042">
      <w:pPr>
        <w:pStyle w:val="4"/>
        <w:spacing w:after="156"/>
        <w:rPr>
          <w:rFonts w:cs="Times New Roman"/>
          <w:color w:val="auto"/>
          <w:highlight w:val="none"/>
        </w:rPr>
      </w:pPr>
      <w:bookmarkStart w:id="16" w:name="_Toc29880"/>
      <w:r>
        <w:rPr>
          <w:rFonts w:cs="Times New Roman"/>
          <w:color w:val="auto"/>
          <w:highlight w:val="none"/>
        </w:rPr>
        <w:t>1.4.3与相关政策符合性分析</w:t>
      </w:r>
      <w:bookmarkEnd w:id="16"/>
    </w:p>
    <w:p w14:paraId="2E5A793C">
      <w:pPr>
        <w:pStyle w:val="5"/>
        <w:rPr>
          <w:color w:val="auto"/>
          <w:highlight w:val="none"/>
          <w:lang w:val="en-US"/>
        </w:rPr>
      </w:pPr>
      <w:r>
        <w:rPr>
          <w:color w:val="auto"/>
          <w:highlight w:val="none"/>
        </w:rPr>
        <w:t>1.4.3.</w:t>
      </w:r>
      <w:r>
        <w:rPr>
          <w:color w:val="auto"/>
          <w:highlight w:val="none"/>
          <w:lang w:val="en-US"/>
        </w:rPr>
        <w:t>1</w:t>
      </w:r>
      <w:r>
        <w:rPr>
          <w:color w:val="auto"/>
          <w:highlight w:val="none"/>
        </w:rPr>
        <w:t>与《黑龙江省畜禽屠宰管理条例》符合性</w:t>
      </w:r>
      <w:r>
        <w:rPr>
          <w:color w:val="auto"/>
          <w:highlight w:val="none"/>
          <w:lang w:val="en-US"/>
        </w:rPr>
        <w:t>分析</w:t>
      </w:r>
    </w:p>
    <w:p w14:paraId="68196A41">
      <w:pPr>
        <w:pStyle w:val="117"/>
        <w:adjustRightInd w:val="0"/>
        <w:snapToGrid w:val="0"/>
        <w:rPr>
          <w:rFonts w:eastAsia="宋体" w:cs="Times New Roman"/>
          <w:b/>
          <w:bCs/>
          <w:color w:val="auto"/>
          <w:szCs w:val="24"/>
          <w:highlight w:val="none"/>
        </w:rPr>
      </w:pPr>
      <w:r>
        <w:rPr>
          <w:rFonts w:cs="Times New Roman"/>
          <w:color w:val="auto"/>
          <w:highlight w:val="none"/>
        </w:rPr>
        <w:t>《黑龙江省畜禽屠宰管理条例》中第十一条指出，设置畜禽定点屠宰厂（场）应当符合下列条件：</w:t>
      </w:r>
    </w:p>
    <w:p w14:paraId="5A638F09">
      <w:pPr>
        <w:pStyle w:val="66"/>
        <w:rPr>
          <w:rFonts w:eastAsia="宋体" w:cs="Times New Roman"/>
          <w:b/>
          <w:bCs/>
          <w:color w:val="auto"/>
          <w:szCs w:val="24"/>
          <w:highlight w:val="none"/>
        </w:rPr>
      </w:pPr>
      <w:r>
        <w:rPr>
          <w:rFonts w:eastAsia="宋体" w:cs="Times New Roman"/>
          <w:b/>
          <w:bCs/>
          <w:color w:val="auto"/>
          <w:szCs w:val="24"/>
          <w:highlight w:val="none"/>
        </w:rPr>
        <w:t>表1-4-</w:t>
      </w:r>
      <w:r>
        <w:rPr>
          <w:rFonts w:eastAsia="宋体" w:cs="Times New Roman"/>
          <w:b/>
          <w:bCs/>
          <w:color w:val="auto"/>
          <w:szCs w:val="24"/>
          <w:highlight w:val="none"/>
          <w:lang w:val="en-US"/>
        </w:rPr>
        <w:t xml:space="preserve">2  </w:t>
      </w:r>
      <w:r>
        <w:rPr>
          <w:rFonts w:eastAsia="宋体" w:cs="Times New Roman"/>
          <w:b/>
          <w:bCs/>
          <w:color w:val="auto"/>
          <w:szCs w:val="24"/>
          <w:highlight w:val="none"/>
        </w:rPr>
        <w:t>与</w:t>
      </w:r>
      <w:bookmarkStart w:id="17" w:name="_Hlk519694130"/>
      <w:r>
        <w:rPr>
          <w:rFonts w:eastAsia="宋体" w:cs="Times New Roman"/>
          <w:b/>
          <w:bCs/>
          <w:color w:val="auto"/>
          <w:szCs w:val="24"/>
          <w:highlight w:val="none"/>
        </w:rPr>
        <w:t>《黑龙江省畜禽屠宰管理条例》</w:t>
      </w:r>
      <w:bookmarkEnd w:id="17"/>
      <w:r>
        <w:rPr>
          <w:rFonts w:eastAsia="宋体" w:cs="Times New Roman"/>
          <w:b/>
          <w:bCs/>
          <w:color w:val="auto"/>
          <w:szCs w:val="24"/>
          <w:highlight w:val="none"/>
        </w:rPr>
        <w:t>符合性分析</w:t>
      </w:r>
    </w:p>
    <w:tbl>
      <w:tblPr>
        <w:tblStyle w:val="4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3004"/>
        <w:gridCol w:w="3146"/>
        <w:gridCol w:w="792"/>
      </w:tblGrid>
      <w:tr w14:paraId="03E20A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56" w:type="dxa"/>
            <w:shd w:val="clear" w:color="auto" w:fill="auto"/>
            <w:vAlign w:val="center"/>
          </w:tcPr>
          <w:p w14:paraId="16DB7728">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政策内容</w:t>
            </w:r>
          </w:p>
        </w:tc>
        <w:tc>
          <w:tcPr>
            <w:tcW w:w="3004" w:type="dxa"/>
            <w:shd w:val="clear" w:color="auto" w:fill="auto"/>
            <w:vAlign w:val="center"/>
          </w:tcPr>
          <w:p w14:paraId="5D737D9D">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要求</w:t>
            </w:r>
          </w:p>
        </w:tc>
        <w:tc>
          <w:tcPr>
            <w:tcW w:w="3146" w:type="dxa"/>
            <w:shd w:val="clear" w:color="auto" w:fill="auto"/>
            <w:vAlign w:val="center"/>
          </w:tcPr>
          <w:p w14:paraId="48764476">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符合性分析</w:t>
            </w:r>
          </w:p>
        </w:tc>
        <w:tc>
          <w:tcPr>
            <w:tcW w:w="792" w:type="dxa"/>
            <w:shd w:val="clear" w:color="auto" w:fill="auto"/>
            <w:vAlign w:val="center"/>
          </w:tcPr>
          <w:p w14:paraId="01679CEC">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是否符合</w:t>
            </w:r>
          </w:p>
        </w:tc>
      </w:tr>
      <w:tr w14:paraId="6C91B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356" w:type="dxa"/>
            <w:shd w:val="clear" w:color="auto" w:fill="auto"/>
            <w:vAlign w:val="center"/>
          </w:tcPr>
          <w:p w14:paraId="198F1F7B">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color w:val="auto"/>
                <w:sz w:val="21"/>
                <w:highlight w:val="none"/>
                <w:lang w:val="zh-CN"/>
              </w:rPr>
              <w:t>设置畜禽定点屠宰厂（场）应当符合下列条件</w:t>
            </w:r>
          </w:p>
        </w:tc>
        <w:tc>
          <w:tcPr>
            <w:tcW w:w="3004" w:type="dxa"/>
            <w:shd w:val="clear" w:color="auto" w:fill="auto"/>
            <w:vAlign w:val="center"/>
          </w:tcPr>
          <w:p w14:paraId="2D4332AD">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（一）有与屠宰规模相适应，水质符合国家规定标准的水源条件；</w:t>
            </w:r>
          </w:p>
          <w:p w14:paraId="59CDAB1A">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（二）有符合国家规定要求的</w:t>
            </w:r>
            <w:r>
              <w:rPr>
                <w:rFonts w:hint="eastAsia" w:cs="Times New Roman"/>
                <w:snapToGrid w:val="0"/>
                <w:color w:val="auto"/>
                <w:highlight w:val="none"/>
                <w:lang w:eastAsia="zh-CN"/>
              </w:rPr>
              <w:t>待宰圈</w:t>
            </w:r>
            <w:r>
              <w:rPr>
                <w:rFonts w:cs="Times New Roman"/>
                <w:snapToGrid w:val="0"/>
                <w:color w:val="auto"/>
                <w:highlight w:val="none"/>
              </w:rPr>
              <w:t>、屠宰间、急宰间、检验室以及畜禽屠宰设备和运载工具；</w:t>
            </w:r>
          </w:p>
          <w:p w14:paraId="2D9B4208">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（三）有依法取得健康证明的屠宰技术人员；</w:t>
            </w:r>
          </w:p>
          <w:p w14:paraId="5A9DC515">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（四）有经考核合格的兽医卫生检验人员；</w:t>
            </w:r>
          </w:p>
          <w:p w14:paraId="22BE865C">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（五）有符合国家规定要求的检验设备、消毒设施以及符合环境保护要求的污染防治设施；</w:t>
            </w:r>
          </w:p>
          <w:p w14:paraId="69E3D237">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（六）有病害畜禽及畜禽产品无害化处理设施或者无害化处理委托协议；</w:t>
            </w:r>
          </w:p>
          <w:p w14:paraId="630CB851">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（七）依法取得动物防疫条件合格证；</w:t>
            </w:r>
          </w:p>
          <w:p w14:paraId="1ECF4C94">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（八）法律、法规规定的其他条件。</w:t>
            </w:r>
          </w:p>
          <w:p w14:paraId="09AF6EEF">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color w:val="auto"/>
                <w:highlight w:val="none"/>
              </w:rPr>
            </w:pPr>
          </w:p>
        </w:tc>
        <w:tc>
          <w:tcPr>
            <w:tcW w:w="3146" w:type="dxa"/>
            <w:shd w:val="clear" w:color="auto" w:fill="auto"/>
            <w:vAlign w:val="center"/>
          </w:tcPr>
          <w:p w14:paraId="2B75EB43">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eastAsia="宋体" w:cs="Times New Roman"/>
                <w:snapToGrid w:val="0"/>
                <w:color w:val="auto"/>
                <w:highlight w:val="none"/>
                <w:lang w:val="en-US" w:eastAsia="zh-CN"/>
              </w:rPr>
            </w:pPr>
            <w:r>
              <w:rPr>
                <w:rFonts w:cs="Times New Roman"/>
                <w:snapToGrid w:val="0"/>
                <w:color w:val="auto"/>
                <w:highlight w:val="none"/>
              </w:rPr>
              <w:t>（</w:t>
            </w:r>
            <w:r>
              <w:rPr>
                <w:rFonts w:cs="Times New Roman"/>
                <w:snapToGrid w:val="0"/>
                <w:color w:val="auto"/>
                <w:highlight w:val="none"/>
                <w:lang w:val="en-US"/>
              </w:rPr>
              <w:t>一</w:t>
            </w:r>
            <w:r>
              <w:rPr>
                <w:rFonts w:cs="Times New Roman"/>
                <w:snapToGrid w:val="0"/>
                <w:color w:val="auto"/>
                <w:highlight w:val="none"/>
              </w:rPr>
              <w:t>）</w:t>
            </w:r>
            <w:r>
              <w:rPr>
                <w:rFonts w:cs="Times New Roman"/>
                <w:snapToGrid w:val="0"/>
                <w:color w:val="auto"/>
                <w:highlight w:val="none"/>
                <w:lang w:val="en-US"/>
              </w:rPr>
              <w:t>本项目位于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cs="Times New Roman"/>
                <w:snapToGrid w:val="0"/>
                <w:color w:val="auto"/>
                <w:highlight w:val="none"/>
                <w:lang w:val="en-US"/>
              </w:rPr>
              <w:t>，由市政供水，水量、水质可以满足需求，且</w:t>
            </w:r>
            <w:r>
              <w:rPr>
                <w:rFonts w:cs="Times New Roman"/>
                <w:snapToGrid w:val="0"/>
                <w:color w:val="auto"/>
                <w:highlight w:val="none"/>
              </w:rPr>
              <w:t>水质符合国家规定标准；</w:t>
            </w:r>
            <w:r>
              <w:rPr>
                <w:rFonts w:hint="eastAsia" w:cs="Times New Roman"/>
                <w:snapToGrid w:val="0"/>
                <w:color w:val="auto"/>
                <w:highlight w:val="none"/>
                <w:lang w:val="en-US" w:eastAsia="zh-CN"/>
              </w:rPr>
              <w:t>详见附件3。</w:t>
            </w:r>
          </w:p>
          <w:p w14:paraId="59C57CE6">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w:t>
            </w:r>
            <w:r>
              <w:rPr>
                <w:rFonts w:cs="Times New Roman"/>
                <w:snapToGrid w:val="0"/>
                <w:color w:val="auto"/>
                <w:highlight w:val="none"/>
                <w:lang w:val="en-US"/>
              </w:rPr>
              <w:t>二</w:t>
            </w:r>
            <w:r>
              <w:rPr>
                <w:rFonts w:cs="Times New Roman"/>
                <w:snapToGrid w:val="0"/>
                <w:color w:val="auto"/>
                <w:highlight w:val="none"/>
              </w:rPr>
              <w:t>）</w:t>
            </w:r>
            <w:r>
              <w:rPr>
                <w:rFonts w:cs="Times New Roman"/>
                <w:snapToGrid w:val="0"/>
                <w:color w:val="auto"/>
                <w:highlight w:val="none"/>
                <w:lang w:val="en-US"/>
              </w:rPr>
              <w:t>本项目配备了</w:t>
            </w:r>
            <w:r>
              <w:rPr>
                <w:rFonts w:cs="Times New Roman"/>
                <w:snapToGrid w:val="0"/>
                <w:color w:val="auto"/>
                <w:highlight w:val="none"/>
              </w:rPr>
              <w:t>符合国家规定要求的</w:t>
            </w:r>
            <w:r>
              <w:rPr>
                <w:rFonts w:hint="eastAsia" w:cs="Times New Roman"/>
                <w:snapToGrid w:val="0"/>
                <w:color w:val="auto"/>
                <w:highlight w:val="none"/>
                <w:lang w:eastAsia="zh-CN"/>
              </w:rPr>
              <w:t>待宰圈</w:t>
            </w:r>
            <w:r>
              <w:rPr>
                <w:rFonts w:cs="Times New Roman"/>
                <w:snapToGrid w:val="0"/>
                <w:color w:val="auto"/>
                <w:highlight w:val="none"/>
              </w:rPr>
              <w:t>、屠宰间、急宰间、检验室以及畜禽屠宰设备和运载工具</w:t>
            </w:r>
            <w:r>
              <w:rPr>
                <w:rFonts w:cs="Times New Roman"/>
                <w:snapToGrid w:val="0"/>
                <w:color w:val="auto"/>
                <w:highlight w:val="none"/>
                <w:lang w:val="en-US"/>
              </w:rPr>
              <w:t>。</w:t>
            </w:r>
          </w:p>
          <w:p w14:paraId="2587E6FA">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w:t>
            </w:r>
            <w:r>
              <w:rPr>
                <w:rFonts w:cs="Times New Roman"/>
                <w:snapToGrid w:val="0"/>
                <w:color w:val="auto"/>
                <w:highlight w:val="none"/>
                <w:lang w:val="en-US"/>
              </w:rPr>
              <w:t>三</w:t>
            </w:r>
            <w:r>
              <w:rPr>
                <w:rFonts w:cs="Times New Roman"/>
                <w:snapToGrid w:val="0"/>
                <w:color w:val="auto"/>
                <w:highlight w:val="none"/>
              </w:rPr>
              <w:t>）</w:t>
            </w:r>
            <w:r>
              <w:rPr>
                <w:rFonts w:cs="Times New Roman"/>
                <w:snapToGrid w:val="0"/>
                <w:color w:val="auto"/>
                <w:highlight w:val="none"/>
                <w:lang w:val="en-US"/>
              </w:rPr>
              <w:t>本项目配备</w:t>
            </w:r>
            <w:r>
              <w:rPr>
                <w:rFonts w:cs="Times New Roman"/>
                <w:snapToGrid w:val="0"/>
                <w:color w:val="auto"/>
                <w:highlight w:val="none"/>
              </w:rPr>
              <w:t>有经考核合格的畜禽屠宰技术人员，并依法取得健康证明；</w:t>
            </w:r>
          </w:p>
          <w:p w14:paraId="1621C325">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w:t>
            </w:r>
            <w:r>
              <w:rPr>
                <w:rFonts w:cs="Times New Roman"/>
                <w:snapToGrid w:val="0"/>
                <w:color w:val="auto"/>
                <w:highlight w:val="none"/>
                <w:lang w:val="en-US"/>
              </w:rPr>
              <w:t>四</w:t>
            </w:r>
            <w:r>
              <w:rPr>
                <w:rFonts w:cs="Times New Roman"/>
                <w:snapToGrid w:val="0"/>
                <w:color w:val="auto"/>
                <w:highlight w:val="none"/>
              </w:rPr>
              <w:t>）本项目</w:t>
            </w:r>
            <w:r>
              <w:rPr>
                <w:rFonts w:cs="Times New Roman"/>
                <w:snapToGrid w:val="0"/>
                <w:color w:val="auto"/>
                <w:highlight w:val="none"/>
                <w:lang w:val="en-US"/>
              </w:rPr>
              <w:t>配备</w:t>
            </w:r>
            <w:r>
              <w:rPr>
                <w:rFonts w:cs="Times New Roman"/>
                <w:snapToGrid w:val="0"/>
                <w:color w:val="auto"/>
                <w:highlight w:val="none"/>
              </w:rPr>
              <w:t>有经考核合格的兽医卫生检验人员；</w:t>
            </w:r>
          </w:p>
          <w:p w14:paraId="16C4A16D">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w:t>
            </w:r>
            <w:r>
              <w:rPr>
                <w:rFonts w:cs="Times New Roman"/>
                <w:snapToGrid w:val="0"/>
                <w:color w:val="auto"/>
                <w:highlight w:val="none"/>
                <w:lang w:val="en-US"/>
              </w:rPr>
              <w:t>五</w:t>
            </w:r>
            <w:r>
              <w:rPr>
                <w:rFonts w:cs="Times New Roman"/>
                <w:snapToGrid w:val="0"/>
                <w:color w:val="auto"/>
                <w:highlight w:val="none"/>
              </w:rPr>
              <w:t>）本项目有符合国家规定要求的检验设备、消毒设施以及符合环境保护要求的污染防治设施，能够保证排放的废水、废气、废物和噪声等符合国家环保规定的要求；</w:t>
            </w:r>
          </w:p>
          <w:p w14:paraId="6EE2DD27">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lang w:val="en-US"/>
              </w:rPr>
            </w:pPr>
            <w:r>
              <w:rPr>
                <w:rFonts w:cs="Times New Roman"/>
                <w:snapToGrid w:val="0"/>
                <w:color w:val="auto"/>
                <w:highlight w:val="none"/>
              </w:rPr>
              <w:t>（</w:t>
            </w:r>
            <w:r>
              <w:rPr>
                <w:rFonts w:cs="Times New Roman"/>
                <w:snapToGrid w:val="0"/>
                <w:color w:val="auto"/>
                <w:highlight w:val="none"/>
                <w:lang w:val="en-US"/>
              </w:rPr>
              <w:t>六</w:t>
            </w:r>
            <w:r>
              <w:rPr>
                <w:rFonts w:cs="Times New Roman"/>
                <w:snapToGrid w:val="0"/>
                <w:color w:val="auto"/>
                <w:highlight w:val="none"/>
              </w:rPr>
              <w:t>）</w:t>
            </w:r>
            <w:r>
              <w:rPr>
                <w:rFonts w:cs="Times New Roman"/>
                <w:snapToGrid w:val="0"/>
                <w:color w:val="auto"/>
                <w:highlight w:val="none"/>
                <w:lang w:val="en-US"/>
              </w:rPr>
              <w:t>本项目签订了无害化处理协议</w:t>
            </w:r>
            <w:r>
              <w:rPr>
                <w:rFonts w:hint="eastAsia" w:cs="Times New Roman"/>
                <w:snapToGrid w:val="0"/>
                <w:color w:val="auto"/>
                <w:highlight w:val="none"/>
                <w:lang w:val="en-US" w:eastAsia="zh-CN"/>
              </w:rPr>
              <w:t>（见附件5）</w:t>
            </w:r>
            <w:r>
              <w:rPr>
                <w:rFonts w:cs="Times New Roman"/>
                <w:snapToGrid w:val="0"/>
                <w:color w:val="auto"/>
                <w:highlight w:val="none"/>
                <w:lang w:val="en-US"/>
              </w:rPr>
              <w:t>；</w:t>
            </w:r>
          </w:p>
          <w:p w14:paraId="30C9EA07">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（七）依法取得动物防疫条件合格证；</w:t>
            </w:r>
          </w:p>
          <w:p w14:paraId="389A5F7B">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cs="Times New Roman"/>
                <w:snapToGrid w:val="0"/>
                <w:color w:val="auto"/>
                <w:highlight w:val="none"/>
              </w:rPr>
              <w:t>（</w:t>
            </w:r>
            <w:r>
              <w:rPr>
                <w:rFonts w:cs="Times New Roman"/>
                <w:snapToGrid w:val="0"/>
                <w:color w:val="auto"/>
                <w:highlight w:val="none"/>
                <w:lang w:val="en-US"/>
              </w:rPr>
              <w:t>八</w:t>
            </w:r>
            <w:r>
              <w:rPr>
                <w:rFonts w:cs="Times New Roman"/>
                <w:snapToGrid w:val="0"/>
                <w:color w:val="auto"/>
                <w:highlight w:val="none"/>
              </w:rPr>
              <w:t>）有符合法律、法规规定的其他环保、卫生等条件。</w:t>
            </w:r>
          </w:p>
        </w:tc>
        <w:tc>
          <w:tcPr>
            <w:tcW w:w="792" w:type="dxa"/>
            <w:shd w:val="clear" w:color="auto" w:fill="auto"/>
            <w:vAlign w:val="center"/>
          </w:tcPr>
          <w:p w14:paraId="6CF075C2">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符合</w:t>
            </w:r>
          </w:p>
        </w:tc>
      </w:tr>
    </w:tbl>
    <w:p w14:paraId="5170B98C">
      <w:pPr>
        <w:pStyle w:val="117"/>
        <w:rPr>
          <w:rFonts w:cs="Times New Roman"/>
          <w:color w:val="auto"/>
          <w:highlight w:val="none"/>
        </w:rPr>
      </w:pPr>
      <w:r>
        <w:rPr>
          <w:rFonts w:cs="Times New Roman"/>
          <w:color w:val="auto"/>
          <w:highlight w:val="none"/>
        </w:rPr>
        <w:t>因此，本项目符合《黑龙江省畜禽屠宰管理条例》。</w:t>
      </w:r>
    </w:p>
    <w:p w14:paraId="70BB1A9E">
      <w:pPr>
        <w:pStyle w:val="5"/>
        <w:rPr>
          <w:rFonts w:hint="eastAsia" w:ascii="宋体" w:hAnsi="宋体" w:cs="宋体"/>
          <w:color w:val="auto"/>
          <w:sz w:val="24"/>
          <w:szCs w:val="24"/>
          <w:highlight w:val="none"/>
          <w:lang w:val="en-US" w:eastAsia="zh-CN"/>
        </w:rPr>
      </w:pPr>
      <w:r>
        <w:rPr>
          <w:color w:val="auto"/>
          <w:highlight w:val="none"/>
        </w:rPr>
        <w:t>1.4.3.</w:t>
      </w:r>
      <w:r>
        <w:rPr>
          <w:rFonts w:hint="eastAsia"/>
          <w:color w:val="auto"/>
          <w:highlight w:val="none"/>
          <w:lang w:val="en-US" w:eastAsia="zh-CN"/>
        </w:rPr>
        <w:t>2与</w:t>
      </w:r>
      <w:r>
        <w:rPr>
          <w:rFonts w:hint="eastAsia" w:ascii="宋体" w:hAnsi="宋体" w:eastAsia="宋体" w:cs="宋体"/>
          <w:color w:val="auto"/>
          <w:sz w:val="24"/>
          <w:szCs w:val="24"/>
          <w:highlight w:val="none"/>
          <w:lang w:val="en-US" w:eastAsia="zh-CN"/>
        </w:rPr>
        <w:t>《黑龙江省动物防疫条例》</w:t>
      </w:r>
      <w:r>
        <w:rPr>
          <w:rFonts w:hint="eastAsia" w:ascii="宋体" w:hAnsi="宋体" w:cs="宋体"/>
          <w:color w:val="auto"/>
          <w:sz w:val="24"/>
          <w:szCs w:val="24"/>
          <w:highlight w:val="none"/>
          <w:lang w:val="en-US" w:eastAsia="zh-CN"/>
        </w:rPr>
        <w:t>符合性分析</w:t>
      </w:r>
    </w:p>
    <w:p w14:paraId="56B8E2AE">
      <w:pPr>
        <w:pStyle w:val="117"/>
        <w:rPr>
          <w:rFonts w:eastAsia="宋体" w:cs="Times New Roman"/>
          <w:b/>
          <w:bCs/>
          <w:color w:val="auto"/>
          <w:szCs w:val="24"/>
          <w:highlight w:val="none"/>
        </w:rPr>
      </w:pPr>
      <w:r>
        <w:rPr>
          <w:rFonts w:hint="eastAsia" w:cs="Times New Roman"/>
          <w:color w:val="auto"/>
          <w:highlight w:val="none"/>
          <w:lang w:val="en-US" w:eastAsia="zh-CN"/>
        </w:rPr>
        <w:t>本项目与</w:t>
      </w:r>
      <w:r>
        <w:rPr>
          <w:rFonts w:hint="eastAsia" w:ascii="宋体" w:hAnsi="宋体" w:eastAsia="宋体" w:cs="宋体"/>
          <w:color w:val="auto"/>
          <w:sz w:val="24"/>
          <w:szCs w:val="24"/>
          <w:highlight w:val="none"/>
          <w:lang w:val="en-US" w:eastAsia="zh-CN"/>
        </w:rPr>
        <w:t>《黑龙江省动物防疫条例》</w:t>
      </w:r>
      <w:r>
        <w:rPr>
          <w:rFonts w:cs="Times New Roman"/>
          <w:color w:val="auto"/>
          <w:highlight w:val="none"/>
        </w:rPr>
        <w:t>符合性分析</w:t>
      </w:r>
      <w:r>
        <w:rPr>
          <w:rFonts w:hint="eastAsia" w:cs="Times New Roman"/>
          <w:color w:val="auto"/>
          <w:highlight w:val="none"/>
          <w:lang w:val="en-US" w:eastAsia="zh-CN"/>
        </w:rPr>
        <w:t>内容见下表。</w:t>
      </w:r>
    </w:p>
    <w:p w14:paraId="2FB23768">
      <w:pPr>
        <w:pStyle w:val="66"/>
        <w:rPr>
          <w:rFonts w:eastAsia="宋体" w:cs="Times New Roman"/>
          <w:b/>
          <w:bCs/>
          <w:color w:val="auto"/>
          <w:szCs w:val="24"/>
          <w:highlight w:val="none"/>
        </w:rPr>
      </w:pPr>
      <w:r>
        <w:rPr>
          <w:rFonts w:eastAsia="宋体" w:cs="Times New Roman"/>
          <w:b/>
          <w:bCs/>
          <w:color w:val="auto"/>
          <w:szCs w:val="24"/>
          <w:highlight w:val="none"/>
        </w:rPr>
        <w:t>表1-4-</w:t>
      </w:r>
      <w:r>
        <w:rPr>
          <w:rFonts w:hint="eastAsia" w:eastAsia="宋体" w:cs="Times New Roman"/>
          <w:b/>
          <w:bCs/>
          <w:color w:val="auto"/>
          <w:szCs w:val="24"/>
          <w:highlight w:val="none"/>
          <w:lang w:val="en-US" w:eastAsia="zh-CN"/>
        </w:rPr>
        <w:t>3</w:t>
      </w:r>
      <w:r>
        <w:rPr>
          <w:rFonts w:eastAsia="宋体" w:cs="Times New Roman"/>
          <w:b/>
          <w:bCs/>
          <w:color w:val="auto"/>
          <w:szCs w:val="24"/>
          <w:highlight w:val="none"/>
          <w:lang w:val="en-US"/>
        </w:rPr>
        <w:t xml:space="preserve">  </w:t>
      </w:r>
      <w:r>
        <w:rPr>
          <w:rFonts w:eastAsia="宋体" w:cs="Times New Roman"/>
          <w:b/>
          <w:bCs/>
          <w:color w:val="auto"/>
          <w:szCs w:val="24"/>
          <w:highlight w:val="none"/>
        </w:rPr>
        <w:t>与</w:t>
      </w:r>
      <w:r>
        <w:rPr>
          <w:rFonts w:hint="eastAsia" w:eastAsia="宋体" w:cs="Times New Roman"/>
          <w:b/>
          <w:bCs/>
          <w:color w:val="auto"/>
          <w:szCs w:val="24"/>
          <w:highlight w:val="none"/>
          <w:lang w:val="en-US" w:eastAsia="zh-CN"/>
        </w:rPr>
        <w:t>《黑龙江省动物防疫条例》</w:t>
      </w:r>
      <w:r>
        <w:rPr>
          <w:rFonts w:eastAsia="宋体" w:cs="Times New Roman"/>
          <w:b/>
          <w:bCs/>
          <w:color w:val="auto"/>
          <w:szCs w:val="24"/>
          <w:highlight w:val="none"/>
        </w:rPr>
        <w:t>符合性分析</w:t>
      </w:r>
    </w:p>
    <w:tbl>
      <w:tblPr>
        <w:tblStyle w:val="4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5"/>
        <w:gridCol w:w="4843"/>
        <w:gridCol w:w="1825"/>
        <w:gridCol w:w="793"/>
      </w:tblGrid>
      <w:tr w14:paraId="7F9AE0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5" w:type="dxa"/>
            <w:shd w:val="clear" w:color="auto" w:fill="auto"/>
            <w:vAlign w:val="center"/>
          </w:tcPr>
          <w:p w14:paraId="62F3688E">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政策内容</w:t>
            </w:r>
          </w:p>
        </w:tc>
        <w:tc>
          <w:tcPr>
            <w:tcW w:w="4843" w:type="dxa"/>
            <w:shd w:val="clear" w:color="auto" w:fill="auto"/>
            <w:vAlign w:val="center"/>
          </w:tcPr>
          <w:p w14:paraId="1AC6F3E1">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要求</w:t>
            </w:r>
          </w:p>
        </w:tc>
        <w:tc>
          <w:tcPr>
            <w:tcW w:w="1825" w:type="dxa"/>
            <w:shd w:val="clear" w:color="auto" w:fill="auto"/>
            <w:vAlign w:val="center"/>
          </w:tcPr>
          <w:p w14:paraId="17A9DD44">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符合性分析</w:t>
            </w:r>
          </w:p>
        </w:tc>
        <w:tc>
          <w:tcPr>
            <w:tcW w:w="793" w:type="dxa"/>
            <w:shd w:val="clear" w:color="auto" w:fill="auto"/>
            <w:vAlign w:val="center"/>
          </w:tcPr>
          <w:p w14:paraId="57ECC154">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是否符合</w:t>
            </w:r>
          </w:p>
        </w:tc>
      </w:tr>
      <w:tr w14:paraId="6A5ED8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5" w:type="dxa"/>
            <w:shd w:val="clear" w:color="auto" w:fill="auto"/>
            <w:vAlign w:val="center"/>
          </w:tcPr>
          <w:p w14:paraId="366127C6">
            <w:pPr>
              <w:pStyle w:val="73"/>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napToGrid w:val="0"/>
                <w:color w:val="auto"/>
                <w:highlight w:val="none"/>
                <w:lang w:val="zh-CN"/>
              </w:rPr>
            </w:pPr>
            <w:r>
              <w:rPr>
                <w:rFonts w:hint="eastAsia" w:ascii="Times New Roman" w:hAnsi="Times New Roman" w:eastAsia="宋体" w:cs="Times New Roman"/>
                <w:snapToGrid w:val="0"/>
                <w:color w:val="auto"/>
                <w:highlight w:val="none"/>
              </w:rPr>
              <w:t>动物及动物产品检疫</w:t>
            </w:r>
          </w:p>
        </w:tc>
        <w:tc>
          <w:tcPr>
            <w:tcW w:w="4843" w:type="dxa"/>
            <w:shd w:val="clear" w:color="auto" w:fill="auto"/>
            <w:vAlign w:val="center"/>
          </w:tcPr>
          <w:p w14:paraId="3ABF5133">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snapToGrid w:val="0"/>
                <w:color w:val="auto"/>
                <w:highlight w:val="none"/>
              </w:rPr>
            </w:pPr>
            <w:r>
              <w:rPr>
                <w:rFonts w:hint="eastAsia" w:cs="Times New Roman"/>
                <w:snapToGrid w:val="0"/>
                <w:color w:val="auto"/>
                <w:highlight w:val="none"/>
              </w:rPr>
              <w:t>第二十条县级以上人民政府应当按照国家规定，配备与当地动物、动物产品检疫工作相适应的官方兽医。官方兽医依法履行动物、动物产品检疫职责，任何单位和个人不得拒绝或者阻碍。</w:t>
            </w:r>
          </w:p>
          <w:p w14:paraId="046199D3">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县级人民政府农业农村主管部门可以根据动物防疫工作需要，向乡、镇或者特定区域派驻兽医机构或者专业工作人员。县级动物卫生监督机构根据动物检疫工作需要，可以组织乡(镇)的官方兽医实施检疫。动物饲养场、屠宰企业的执业兽医或者动物防疫技术人员，应当协助官方兽医实施检疫。</w:t>
            </w:r>
          </w:p>
          <w:p w14:paraId="2BE2E097">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第二十一条动物、动物产品的检疫依法实行申报制度。</w:t>
            </w:r>
          </w:p>
          <w:p w14:paraId="7CCF9A47">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动物饲养场(户)出售或者运输动物的，应当按照规定时限向所在地县级动物卫生监督机构申报检疫。屠宰企业屠宰动物的，应当提前六个小时向所在地县级动物卫生监督机构申报检疫;紧急屠宰动物的，可以随时申报。</w:t>
            </w:r>
          </w:p>
          <w:p w14:paraId="7A5ECBD4">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第二十二条县级动物卫生监督机构应当根据动物养殖规模以及分布情况，合理设置动物检疫申报点，并将动物检疫申报点、检疫范围、检疫对象和联系电话等有关事项向社会公布。</w:t>
            </w:r>
          </w:p>
          <w:p w14:paraId="59EDB3DA">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鼓励通过互联网平台方式申报检疫。对到检疫申报点申报检疫的，县级动物卫生监督机构以及官方兽医不得以任何理由拒绝。</w:t>
            </w:r>
          </w:p>
          <w:p w14:paraId="591E498F">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第二十三条县级动物卫生监督机构应当向定点屠宰企业派驻官方兽医，官方兽医应当依法履行职责并对检疫结论负责。</w:t>
            </w:r>
          </w:p>
          <w:p w14:paraId="5805A00C">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cs="Times New Roman"/>
                <w:color w:val="auto"/>
                <w:highlight w:val="none"/>
              </w:rPr>
            </w:pPr>
            <w:r>
              <w:rPr>
                <w:rFonts w:hint="eastAsia" w:cs="Times New Roman"/>
                <w:snapToGrid w:val="0"/>
                <w:color w:val="auto"/>
                <w:highlight w:val="none"/>
              </w:rPr>
              <w:t>定点屠宰企业应当配合官方兽医实施检疫，为官方兽医开展检疫提供人员协助和必要条件。</w:t>
            </w:r>
          </w:p>
        </w:tc>
        <w:tc>
          <w:tcPr>
            <w:tcW w:w="1825" w:type="dxa"/>
            <w:shd w:val="clear" w:color="auto" w:fill="auto"/>
            <w:vAlign w:val="center"/>
          </w:tcPr>
          <w:p w14:paraId="5DC5A69E">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 xml:space="preserve">  </w:t>
            </w:r>
            <w:r>
              <w:rPr>
                <w:rFonts w:hint="eastAsia" w:ascii="Times New Roman" w:hAnsi="Times New Roman" w:eastAsia="宋体" w:cs="Times New Roman"/>
                <w:snapToGrid w:val="0"/>
                <w:color w:val="auto"/>
                <w:highlight w:val="none"/>
              </w:rPr>
              <w:t>本项目</w:t>
            </w:r>
            <w:r>
              <w:rPr>
                <w:rFonts w:hint="eastAsia" w:ascii="Times New Roman" w:hAnsi="Times New Roman" w:eastAsia="宋体" w:cs="Times New Roman"/>
                <w:snapToGrid w:val="0"/>
                <w:color w:val="auto"/>
                <w:highlight w:val="none"/>
                <w:lang w:val="en-US"/>
              </w:rPr>
              <w:t>配备</w:t>
            </w:r>
            <w:r>
              <w:rPr>
                <w:rFonts w:hint="eastAsia" w:ascii="Times New Roman" w:hAnsi="Times New Roman" w:eastAsia="宋体" w:cs="Times New Roman"/>
                <w:snapToGrid w:val="0"/>
                <w:color w:val="auto"/>
                <w:highlight w:val="none"/>
              </w:rPr>
              <w:t>有经考核合格的兽医卫生检验人员</w:t>
            </w:r>
            <w:r>
              <w:rPr>
                <w:rFonts w:hint="eastAsia" w:ascii="Times New Roman" w:hAnsi="Times New Roman" w:eastAsia="宋体" w:cs="Times New Roman"/>
                <w:snapToGrid w:val="0"/>
                <w:color w:val="auto"/>
                <w:highlight w:val="none"/>
                <w:lang w:eastAsia="zh-CN"/>
              </w:rPr>
              <w:t>，</w:t>
            </w:r>
            <w:r>
              <w:rPr>
                <w:rFonts w:hint="eastAsia" w:ascii="Times New Roman" w:hAnsi="Times New Roman" w:eastAsia="宋体" w:cs="Times New Roman"/>
                <w:snapToGrid w:val="0"/>
                <w:color w:val="auto"/>
                <w:highlight w:val="none"/>
                <w:lang w:val="en-US" w:eastAsia="zh-CN"/>
              </w:rPr>
              <w:t>且</w:t>
            </w:r>
            <w:r>
              <w:rPr>
                <w:rFonts w:hint="eastAsia" w:ascii="Times New Roman" w:hAnsi="Times New Roman" w:eastAsia="宋体" w:cs="Times New Roman"/>
                <w:snapToGrid w:val="0"/>
                <w:color w:val="auto"/>
                <w:highlight w:val="none"/>
              </w:rPr>
              <w:t>屠畜进场待宰时先有要进行询问和索证（三证：产地检疫证或运输检疫证、车辆消毒证、非疫区证明和牧户的饲养日志的用药和饲养的相关记录）</w:t>
            </w:r>
            <w:r>
              <w:rPr>
                <w:rFonts w:hint="eastAsia" w:ascii="Times New Roman" w:hAnsi="Times New Roman" w:eastAsia="宋体" w:cs="Times New Roman"/>
                <w:snapToGrid w:val="0"/>
                <w:color w:val="auto"/>
                <w:highlight w:val="none"/>
                <w:lang w:eastAsia="zh-CN"/>
              </w:rPr>
              <w:t>。</w:t>
            </w:r>
            <w:r>
              <w:rPr>
                <w:rFonts w:hint="eastAsia" w:ascii="Times New Roman" w:hAnsi="Times New Roman" w:eastAsia="宋体" w:cs="Times New Roman"/>
                <w:snapToGrid w:val="0"/>
                <w:color w:val="auto"/>
                <w:highlight w:val="none"/>
              </w:rPr>
              <w:t>验证由</w:t>
            </w:r>
            <w:r>
              <w:rPr>
                <w:rFonts w:hint="eastAsia" w:ascii="Times New Roman" w:hAnsi="Times New Roman" w:eastAsia="宋体" w:cs="Times New Roman"/>
                <w:snapToGrid w:val="0"/>
                <w:color w:val="auto"/>
                <w:highlight w:val="none"/>
                <w:lang w:val="en-US" w:eastAsia="zh-CN"/>
              </w:rPr>
              <w:t>屠宰场</w:t>
            </w:r>
            <w:r>
              <w:rPr>
                <w:rFonts w:hint="eastAsia" w:ascii="Times New Roman" w:hAnsi="Times New Roman" w:eastAsia="宋体" w:cs="Times New Roman"/>
                <w:snapToGrid w:val="0"/>
                <w:color w:val="auto"/>
                <w:highlight w:val="none"/>
              </w:rPr>
              <w:t>和当地农牧部门派驻的检疫员同时进行，如果无证或是证照不全的，</w:t>
            </w:r>
            <w:r>
              <w:rPr>
                <w:rFonts w:hint="eastAsia" w:ascii="Times New Roman" w:hAnsi="Times New Roman" w:eastAsia="宋体" w:cs="Times New Roman"/>
                <w:snapToGrid w:val="0"/>
                <w:color w:val="auto"/>
                <w:highlight w:val="none"/>
                <w:lang w:val="en-US" w:eastAsia="zh-CN"/>
              </w:rPr>
              <w:t>由</w:t>
            </w:r>
            <w:r>
              <w:rPr>
                <w:rFonts w:hint="eastAsia" w:ascii="Times New Roman" w:hAnsi="Times New Roman" w:eastAsia="宋体" w:cs="Times New Roman"/>
                <w:snapToGrid w:val="0"/>
                <w:color w:val="auto"/>
                <w:highlight w:val="none"/>
              </w:rPr>
              <w:t>驻场员进行补检出证，</w:t>
            </w:r>
            <w:r>
              <w:rPr>
                <w:rFonts w:hint="eastAsia" w:ascii="Times New Roman" w:hAnsi="Times New Roman" w:eastAsia="宋体" w:cs="Times New Roman"/>
                <w:snapToGrid w:val="0"/>
                <w:color w:val="auto"/>
                <w:highlight w:val="none"/>
                <w:lang w:val="en-US" w:eastAsia="zh-CN"/>
              </w:rPr>
              <w:t>屠宰场</w:t>
            </w:r>
            <w:r>
              <w:rPr>
                <w:rFonts w:hint="eastAsia" w:ascii="Times New Roman" w:hAnsi="Times New Roman" w:eastAsia="宋体" w:cs="Times New Roman"/>
                <w:snapToGrid w:val="0"/>
                <w:color w:val="auto"/>
                <w:highlight w:val="none"/>
              </w:rPr>
              <w:t>留存证件。</w:t>
            </w:r>
          </w:p>
        </w:tc>
        <w:tc>
          <w:tcPr>
            <w:tcW w:w="793" w:type="dxa"/>
            <w:shd w:val="clear" w:color="auto" w:fill="auto"/>
            <w:vAlign w:val="center"/>
          </w:tcPr>
          <w:p w14:paraId="201AA566">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符合</w:t>
            </w:r>
          </w:p>
        </w:tc>
      </w:tr>
      <w:tr w14:paraId="58B883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5" w:type="dxa"/>
            <w:shd w:val="clear" w:color="auto" w:fill="auto"/>
            <w:vAlign w:val="center"/>
          </w:tcPr>
          <w:p w14:paraId="7F259EBA">
            <w:pPr>
              <w:pStyle w:val="73"/>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napToGrid w:val="0"/>
                <w:color w:val="auto"/>
                <w:highlight w:val="none"/>
              </w:rPr>
            </w:pPr>
            <w:r>
              <w:rPr>
                <w:rFonts w:hint="eastAsia" w:ascii="Times New Roman" w:hAnsi="Times New Roman" w:eastAsia="宋体" w:cs="Times New Roman"/>
                <w:snapToGrid w:val="0"/>
                <w:color w:val="auto"/>
                <w:highlight w:val="none"/>
              </w:rPr>
              <w:t>病死动物和病害动物产品的无害化处理</w:t>
            </w:r>
          </w:p>
        </w:tc>
        <w:tc>
          <w:tcPr>
            <w:tcW w:w="4843" w:type="dxa"/>
            <w:shd w:val="clear" w:color="auto" w:fill="auto"/>
            <w:vAlign w:val="center"/>
          </w:tcPr>
          <w:p w14:paraId="131E9C13">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第二十四条从事动物饲养、屠宰、经营、隔离以及动物产品生产、经营、加工、贮藏等活动的单位和个人，应当依法履行病死动物、病害动物产品无害化处理责任，出现病死动物或者病害动物产品，应当及时向所在地县级人民政府农业农村主管部门报告，并按照国家有关规定及时处理。</w:t>
            </w:r>
          </w:p>
          <w:p w14:paraId="2D775D8D">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在水域、城市公共场所、乡村以及野外环境发现死亡动物的收集处理按照国家有关规定执行。</w:t>
            </w:r>
          </w:p>
          <w:p w14:paraId="04090984">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第二十五条市、县级人民政府应当根据全省动物和动物产品集中无害化处理场所建设规划和动物防疫、环境保护等规定，组织建设无害化处理场所</w:t>
            </w:r>
            <w:r>
              <w:rPr>
                <w:rFonts w:hint="eastAsia" w:cs="Times New Roman"/>
                <w:snapToGrid w:val="0"/>
                <w:color w:val="auto"/>
                <w:highlight w:val="none"/>
                <w:lang w:eastAsia="zh-CN"/>
              </w:rPr>
              <w:t>；</w:t>
            </w:r>
            <w:r>
              <w:rPr>
                <w:rFonts w:hint="eastAsia" w:cs="Times New Roman"/>
                <w:snapToGrid w:val="0"/>
                <w:color w:val="auto"/>
                <w:highlight w:val="none"/>
              </w:rPr>
              <w:t>依托动物饲养场、屠宰场，以及专业合作组织、畜牧兽医站等建设病死动物、病害动物产品收集网点、暂存设施。</w:t>
            </w:r>
          </w:p>
          <w:p w14:paraId="1081E7FE">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第二十六条无害化处理场所应当建立管理制度和操作规程，对病死动物、病害动物产品及时进行无害化处理，并建立台账，如实记录病死动物、病害动物产品的收集、登记、处理方式和处理后产品流向等信息。</w:t>
            </w:r>
          </w:p>
          <w:p w14:paraId="4F57B984">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无害化处理场所应当按照国家规定，配备具有定位系统、符合动物防疫要求的专用运输车辆，建设符合动物防疫要求的清洗消毒设施。</w:t>
            </w:r>
          </w:p>
          <w:p w14:paraId="3137B0A9">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cs="Times New Roman"/>
                <w:snapToGrid w:val="0"/>
                <w:color w:val="auto"/>
                <w:highlight w:val="none"/>
              </w:rPr>
            </w:pPr>
            <w:r>
              <w:rPr>
                <w:rFonts w:hint="eastAsia" w:cs="Times New Roman"/>
                <w:snapToGrid w:val="0"/>
                <w:color w:val="auto"/>
                <w:highlight w:val="none"/>
              </w:rPr>
              <w:t>无害化处理场所应当向社会公布地址、联系方式等信息，并向所在地县级人民政府农业农村主管部门定期报告病死动物、病害动物产品的无害化处理情况。</w:t>
            </w:r>
          </w:p>
        </w:tc>
        <w:tc>
          <w:tcPr>
            <w:tcW w:w="1825" w:type="dxa"/>
            <w:shd w:val="clear" w:color="auto" w:fill="auto"/>
            <w:vAlign w:val="center"/>
          </w:tcPr>
          <w:p w14:paraId="43B8B2B0">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本项目产生的病死牛、羊和检疫不合格品委托</w:t>
            </w:r>
            <w:r>
              <w:rPr>
                <w:rFonts w:hint="eastAsia" w:cs="Times New Roman"/>
                <w:color w:val="auto"/>
                <w:szCs w:val="24"/>
                <w:highlight w:val="none"/>
                <w:lang w:eastAsia="zh-CN"/>
              </w:rPr>
              <w:t>双</w:t>
            </w:r>
            <w:r>
              <w:rPr>
                <w:rFonts w:hint="eastAsia" w:cs="Times New Roman"/>
                <w:color w:val="auto"/>
                <w:szCs w:val="24"/>
                <w:highlight w:val="none"/>
                <w:lang w:val="en-US" w:eastAsia="zh-CN"/>
              </w:rPr>
              <w:t>鸭</w:t>
            </w:r>
            <w:r>
              <w:rPr>
                <w:rFonts w:hint="eastAsia" w:cs="Times New Roman"/>
                <w:color w:val="auto"/>
                <w:szCs w:val="24"/>
                <w:highlight w:val="none"/>
                <w:lang w:eastAsia="zh-CN"/>
              </w:rPr>
              <w:t>山百奥迈斯生物科技有限公司</w:t>
            </w:r>
            <w:r>
              <w:rPr>
                <w:rFonts w:hint="eastAsia" w:cs="Times New Roman"/>
                <w:color w:val="auto"/>
                <w:szCs w:val="24"/>
                <w:highlight w:val="none"/>
                <w:lang w:val="en-US" w:eastAsia="zh-CN"/>
              </w:rPr>
              <w:t>拉运处理</w:t>
            </w:r>
            <w:r>
              <w:rPr>
                <w:rFonts w:hint="eastAsia" w:cs="Times New Roman"/>
                <w:snapToGrid w:val="0"/>
                <w:color w:val="auto"/>
                <w:highlight w:val="none"/>
                <w:lang w:val="en-US" w:eastAsia="zh-CN"/>
              </w:rPr>
              <w:t>处置。</w:t>
            </w:r>
          </w:p>
        </w:tc>
        <w:tc>
          <w:tcPr>
            <w:tcW w:w="793" w:type="dxa"/>
            <w:shd w:val="clear" w:color="auto" w:fill="auto"/>
            <w:vAlign w:val="center"/>
          </w:tcPr>
          <w:p w14:paraId="48EA0E22">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符合</w:t>
            </w:r>
          </w:p>
        </w:tc>
      </w:tr>
    </w:tbl>
    <w:p w14:paraId="1C53BB48">
      <w:pPr>
        <w:pStyle w:val="5"/>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1.4.3.3与</w:t>
      </w:r>
      <w:r>
        <w:rPr>
          <w:rFonts w:hint="eastAsia" w:ascii="Times New Roman" w:hAnsi="Times New Roman" w:eastAsia="宋体" w:cs="Times New Roman"/>
          <w:color w:val="auto"/>
          <w:highlight w:val="none"/>
        </w:rPr>
        <w:t>《病死畜禽和病害畜禽产品无害化处理管理办法》</w:t>
      </w:r>
      <w:r>
        <w:rPr>
          <w:rFonts w:hint="eastAsia" w:ascii="Times New Roman" w:hAnsi="Times New Roman" w:eastAsia="宋体" w:cs="Times New Roman"/>
          <w:color w:val="auto"/>
          <w:highlight w:val="none"/>
          <w:lang w:val="en-US" w:eastAsia="zh-CN"/>
        </w:rPr>
        <w:t>符合性分析</w:t>
      </w:r>
    </w:p>
    <w:p w14:paraId="5DB3B602">
      <w:pPr>
        <w:bidi w:val="0"/>
        <w:ind w:left="0" w:leftChars="0" w:firstLine="0" w:firstLineChars="0"/>
        <w:jc w:val="center"/>
        <w:rPr>
          <w:rFonts w:hint="default" w:eastAsia="宋体"/>
          <w:b/>
          <w:bCs/>
          <w:color w:val="auto"/>
          <w:highlight w:val="none"/>
          <w:lang w:val="en-US" w:eastAsia="zh-CN"/>
        </w:rPr>
      </w:pPr>
      <w:r>
        <w:rPr>
          <w:rFonts w:eastAsia="宋体" w:cs="Times New Roman"/>
          <w:b/>
          <w:bCs/>
          <w:color w:val="auto"/>
          <w:szCs w:val="24"/>
          <w:highlight w:val="none"/>
        </w:rPr>
        <w:t>表1-4-</w:t>
      </w:r>
      <w:r>
        <w:rPr>
          <w:rFonts w:hint="eastAsia" w:eastAsia="宋体" w:cs="Times New Roman"/>
          <w:b/>
          <w:bCs/>
          <w:color w:val="auto"/>
          <w:szCs w:val="24"/>
          <w:highlight w:val="none"/>
          <w:lang w:val="en-US" w:eastAsia="zh-CN"/>
        </w:rPr>
        <w:t>4</w:t>
      </w:r>
      <w:r>
        <w:rPr>
          <w:rFonts w:eastAsia="宋体" w:cs="Times New Roman"/>
          <w:b/>
          <w:bCs/>
          <w:color w:val="auto"/>
          <w:szCs w:val="24"/>
          <w:highlight w:val="none"/>
          <w:lang w:val="en-US"/>
        </w:rPr>
        <w:t xml:space="preserve">  </w:t>
      </w:r>
      <w:r>
        <w:rPr>
          <w:rFonts w:eastAsia="宋体" w:cs="Times New Roman"/>
          <w:b/>
          <w:bCs/>
          <w:color w:val="auto"/>
          <w:szCs w:val="24"/>
          <w:highlight w:val="none"/>
        </w:rPr>
        <w:t>与</w:t>
      </w:r>
      <w:r>
        <w:rPr>
          <w:rFonts w:hint="eastAsia" w:ascii="Times New Roman" w:hAnsi="Times New Roman" w:eastAsia="宋体" w:cs="Times New Roman"/>
          <w:b/>
          <w:bCs/>
          <w:color w:val="auto"/>
          <w:highlight w:val="none"/>
        </w:rPr>
        <w:t>《病死畜禽和病害畜禽产品无害化处理管理办法》</w:t>
      </w:r>
      <w:r>
        <w:rPr>
          <w:rFonts w:hint="eastAsia" w:ascii="Times New Roman" w:hAnsi="Times New Roman" w:eastAsia="宋体" w:cs="Times New Roman"/>
          <w:b/>
          <w:bCs/>
          <w:color w:val="auto"/>
          <w:highlight w:val="none"/>
          <w:lang w:val="en-US" w:eastAsia="zh-CN"/>
        </w:rPr>
        <w:t>符合性分析</w:t>
      </w:r>
    </w:p>
    <w:tbl>
      <w:tblPr>
        <w:tblStyle w:val="4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1"/>
        <w:gridCol w:w="4687"/>
        <w:gridCol w:w="1825"/>
        <w:gridCol w:w="793"/>
      </w:tblGrid>
      <w:tr w14:paraId="43987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dxa"/>
            <w:shd w:val="clear" w:color="auto" w:fill="auto"/>
            <w:vAlign w:val="center"/>
          </w:tcPr>
          <w:p w14:paraId="1C120EEB">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政策内容</w:t>
            </w:r>
          </w:p>
        </w:tc>
        <w:tc>
          <w:tcPr>
            <w:tcW w:w="4687" w:type="dxa"/>
            <w:shd w:val="clear" w:color="auto" w:fill="auto"/>
            <w:vAlign w:val="center"/>
          </w:tcPr>
          <w:p w14:paraId="1AE5617C">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要求</w:t>
            </w:r>
          </w:p>
        </w:tc>
        <w:tc>
          <w:tcPr>
            <w:tcW w:w="1825" w:type="dxa"/>
            <w:shd w:val="clear" w:color="auto" w:fill="auto"/>
            <w:vAlign w:val="center"/>
          </w:tcPr>
          <w:p w14:paraId="2B04D844">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符合性分析</w:t>
            </w:r>
          </w:p>
        </w:tc>
        <w:tc>
          <w:tcPr>
            <w:tcW w:w="793" w:type="dxa"/>
            <w:shd w:val="clear" w:color="auto" w:fill="auto"/>
            <w:vAlign w:val="center"/>
          </w:tcPr>
          <w:p w14:paraId="69F92ED0">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是否符合</w:t>
            </w:r>
          </w:p>
        </w:tc>
      </w:tr>
      <w:tr w14:paraId="45DDA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dxa"/>
            <w:shd w:val="clear" w:color="auto" w:fill="auto"/>
            <w:vAlign w:val="center"/>
          </w:tcPr>
          <w:p w14:paraId="68BCBA35">
            <w:pPr>
              <w:pStyle w:val="73"/>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napToGrid w:val="0"/>
                <w:color w:val="auto"/>
                <w:highlight w:val="none"/>
                <w:lang w:val="zh-CN"/>
              </w:rPr>
            </w:pPr>
            <w:r>
              <w:rPr>
                <w:rFonts w:hint="eastAsia" w:ascii="Times New Roman" w:hAnsi="Times New Roman" w:eastAsia="宋体" w:cs="Times New Roman"/>
                <w:snapToGrid w:val="0"/>
                <w:color w:val="auto"/>
                <w:highlight w:val="none"/>
              </w:rPr>
              <w:t>《病死畜禽和病害畜禽产品无害化处理管理办法》（2022 年 7 月 1 日）（中华人民共和国农业农村部令 2022 年第 3号）</w:t>
            </w:r>
          </w:p>
        </w:tc>
        <w:tc>
          <w:tcPr>
            <w:tcW w:w="4687" w:type="dxa"/>
            <w:shd w:val="clear" w:color="auto" w:fill="auto"/>
            <w:vAlign w:val="center"/>
          </w:tcPr>
          <w:p w14:paraId="5B5834A6">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ascii="Times New Roman" w:hAnsi="Times New Roman" w:eastAsia="宋体" w:cs="Times New Roman"/>
                <w:snapToGrid w:val="0"/>
                <w:color w:val="auto"/>
                <w:highlight w:val="none"/>
              </w:rPr>
            </w:pPr>
            <w:r>
              <w:rPr>
                <w:rFonts w:hint="eastAsia" w:ascii="Times New Roman" w:hAnsi="Times New Roman" w:eastAsia="宋体" w:cs="Times New Roman"/>
                <w:b/>
                <w:bCs/>
                <w:snapToGrid w:val="0"/>
                <w:color w:val="auto"/>
                <w:highlight w:val="none"/>
                <w:lang w:val="en-US" w:eastAsia="zh-CN"/>
              </w:rPr>
              <w:t>第三条</w:t>
            </w:r>
            <w:r>
              <w:rPr>
                <w:rFonts w:hint="eastAsia" w:ascii="Times New Roman" w:hAnsi="Times New Roman" w:eastAsia="宋体" w:cs="Times New Roman"/>
                <w:snapToGrid w:val="0"/>
                <w:color w:val="auto"/>
                <w:highlight w:val="none"/>
                <w:lang w:val="en-US" w:eastAsia="zh-CN"/>
              </w:rPr>
              <w:t xml:space="preserve"> </w:t>
            </w:r>
            <w:r>
              <w:rPr>
                <w:rFonts w:hint="default" w:ascii="Times New Roman" w:hAnsi="Times New Roman" w:eastAsia="宋体" w:cs="Times New Roman"/>
                <w:snapToGrid w:val="0"/>
                <w:color w:val="auto"/>
                <w:highlight w:val="none"/>
              </w:rPr>
              <w:t>下列畜禽和畜禽产品应当进行无害化处理：</w:t>
            </w:r>
          </w:p>
          <w:p w14:paraId="473C215A">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（一）染疫或者疑似染疫死亡、因病死亡或者死因不明的；</w:t>
            </w:r>
          </w:p>
          <w:p w14:paraId="6E87647B">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（二）经检疫、检验可能危害人体或者动物健康的；</w:t>
            </w:r>
          </w:p>
          <w:p w14:paraId="22F77A20">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（三）因自然灾害、应激反应、物理挤压等因素死亡的；</w:t>
            </w:r>
          </w:p>
          <w:p w14:paraId="6822122C">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（四）屠宰过程中经肉品品质检验确认为不可食用的；</w:t>
            </w:r>
          </w:p>
          <w:p w14:paraId="247CB7A7">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（五）死胎、木乃伊胎等；</w:t>
            </w:r>
          </w:p>
          <w:p w14:paraId="6C451821">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（六）因动物疫病防控需要被扑杀或销毁的；</w:t>
            </w:r>
          </w:p>
          <w:p w14:paraId="5562A4FD">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（七）其他应当进行无害化处理的。</w:t>
            </w:r>
          </w:p>
          <w:p w14:paraId="5DA612E5">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ascii="Times New Roman" w:hAnsi="Times New Roman" w:eastAsia="宋体" w:cs="Times New Roman"/>
                <w:snapToGrid w:val="0"/>
                <w:color w:val="auto"/>
                <w:highlight w:val="none"/>
              </w:rPr>
            </w:pPr>
            <w:r>
              <w:rPr>
                <w:rFonts w:hint="eastAsia" w:ascii="Times New Roman" w:hAnsi="Times New Roman" w:eastAsia="宋体" w:cs="Times New Roman"/>
                <w:b/>
                <w:bCs/>
                <w:snapToGrid w:val="0"/>
                <w:color w:val="auto"/>
                <w:highlight w:val="none"/>
              </w:rPr>
              <w:t>第七条</w:t>
            </w:r>
            <w:r>
              <w:rPr>
                <w:rFonts w:hint="eastAsia" w:ascii="Times New Roman" w:hAnsi="Times New Roman" w:eastAsia="宋体" w:cs="Times New Roman"/>
                <w:snapToGrid w:val="0"/>
                <w:color w:val="auto"/>
                <w:highlight w:val="none"/>
              </w:rPr>
              <w:t xml:space="preserve">  病死畜禽和病害畜禽产品收集、无害化处理、资源化利用应当符合农业农村部相关技术规范, 并采取必要的防疫措施，防止传播动物疫病。</w:t>
            </w:r>
          </w:p>
          <w:p w14:paraId="04DD10D0">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eastAsia" w:ascii="Times New Roman" w:hAnsi="Times New Roman" w:eastAsia="宋体" w:cs="Times New Roman"/>
                <w:snapToGrid w:val="0"/>
                <w:color w:val="auto"/>
                <w:highlight w:val="none"/>
              </w:rPr>
            </w:pPr>
            <w:r>
              <w:rPr>
                <w:rFonts w:hint="eastAsia" w:ascii="Times New Roman" w:hAnsi="Times New Roman" w:eastAsia="宋体" w:cs="Times New Roman"/>
                <w:b/>
                <w:bCs/>
                <w:snapToGrid w:val="0"/>
                <w:color w:val="auto"/>
                <w:highlight w:val="none"/>
              </w:rPr>
              <w:t>第二十条</w:t>
            </w:r>
            <w:r>
              <w:rPr>
                <w:rFonts w:hint="eastAsia" w:ascii="Times New Roman" w:hAnsi="Times New Roman" w:eastAsia="宋体" w:cs="Times New Roman"/>
                <w:snapToGrid w:val="0"/>
                <w:color w:val="auto"/>
                <w:highlight w:val="none"/>
              </w:rPr>
              <w:t xml:space="preserve">  畜禽养殖场、养殖户、屠宰厂（场）、隔离场委托病死畜禽无害化处理场进行无害化处理的，应当签订委托合同，明确双方的权利、义务。</w:t>
            </w:r>
          </w:p>
        </w:tc>
        <w:tc>
          <w:tcPr>
            <w:tcW w:w="1825" w:type="dxa"/>
            <w:shd w:val="clear" w:color="auto" w:fill="auto"/>
            <w:vAlign w:val="center"/>
          </w:tcPr>
          <w:p w14:paraId="7B2B7EED">
            <w:pPr>
              <w:pStyle w:val="73"/>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 xml:space="preserve"> 本项目产生的病死牛、羊和检疫不合格品委托</w:t>
            </w:r>
            <w:r>
              <w:rPr>
                <w:rFonts w:hint="eastAsia" w:cs="Times New Roman"/>
                <w:color w:val="auto"/>
                <w:szCs w:val="24"/>
                <w:highlight w:val="none"/>
                <w:lang w:eastAsia="zh-CN"/>
              </w:rPr>
              <w:t>双</w:t>
            </w:r>
            <w:r>
              <w:rPr>
                <w:rFonts w:hint="eastAsia" w:cs="Times New Roman"/>
                <w:color w:val="auto"/>
                <w:szCs w:val="24"/>
                <w:highlight w:val="none"/>
                <w:lang w:val="en-US" w:eastAsia="zh-CN"/>
              </w:rPr>
              <w:t>鸭</w:t>
            </w:r>
            <w:r>
              <w:rPr>
                <w:rFonts w:hint="eastAsia" w:cs="Times New Roman"/>
                <w:color w:val="auto"/>
                <w:szCs w:val="24"/>
                <w:highlight w:val="none"/>
                <w:lang w:eastAsia="zh-CN"/>
              </w:rPr>
              <w:t>山百奥迈斯生物科技有限公司</w:t>
            </w:r>
            <w:r>
              <w:rPr>
                <w:rFonts w:hint="eastAsia" w:cs="Times New Roman"/>
                <w:color w:val="auto"/>
                <w:szCs w:val="24"/>
                <w:highlight w:val="none"/>
                <w:lang w:val="en-US" w:eastAsia="zh-CN"/>
              </w:rPr>
              <w:t>拉运处理进行无害化拉运处理，无害化处理协议见附件5。</w:t>
            </w:r>
          </w:p>
        </w:tc>
        <w:tc>
          <w:tcPr>
            <w:tcW w:w="793" w:type="dxa"/>
            <w:shd w:val="clear" w:color="auto" w:fill="auto"/>
            <w:vAlign w:val="center"/>
          </w:tcPr>
          <w:p w14:paraId="5752E4E5">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cs="Times New Roman"/>
                <w:snapToGrid w:val="0"/>
                <w:color w:val="auto"/>
                <w:sz w:val="21"/>
                <w:highlight w:val="none"/>
                <w:lang w:val="zh-CN"/>
              </w:rPr>
            </w:pPr>
            <w:r>
              <w:rPr>
                <w:rFonts w:cs="Times New Roman"/>
                <w:snapToGrid w:val="0"/>
                <w:color w:val="auto"/>
                <w:sz w:val="21"/>
                <w:highlight w:val="none"/>
                <w:lang w:val="zh-CN"/>
              </w:rPr>
              <w:t>符合</w:t>
            </w:r>
          </w:p>
        </w:tc>
      </w:tr>
    </w:tbl>
    <w:p w14:paraId="241199FC">
      <w:pPr>
        <w:pStyle w:val="5"/>
        <w:rPr>
          <w:color w:val="auto"/>
          <w:highlight w:val="none"/>
        </w:rPr>
      </w:pPr>
      <w:r>
        <w:rPr>
          <w:rFonts w:hint="eastAsia"/>
          <w:color w:val="auto"/>
          <w:highlight w:val="none"/>
          <w:lang w:val="en-US" w:eastAsia="zh-CN"/>
        </w:rPr>
        <w:t>1.4.3.4</w:t>
      </w:r>
      <w:r>
        <w:rPr>
          <w:color w:val="auto"/>
          <w:highlight w:val="none"/>
        </w:rPr>
        <w:t>“三线一单”符合性分析</w:t>
      </w:r>
    </w:p>
    <w:p w14:paraId="2A31544F">
      <w:pPr>
        <w:pStyle w:val="117"/>
        <w:rPr>
          <w:rFonts w:cs="Times New Roman"/>
          <w:color w:val="auto"/>
          <w:highlight w:val="none"/>
          <w:lang w:val="zh-CN"/>
        </w:rPr>
      </w:pPr>
      <w:r>
        <w:rPr>
          <w:rFonts w:cs="Times New Roman"/>
          <w:color w:val="auto"/>
          <w:highlight w:val="none"/>
          <w:lang w:val="zh-CN"/>
        </w:rPr>
        <w:t>本项目位于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cs="Times New Roman"/>
          <w:color w:val="auto"/>
          <w:highlight w:val="none"/>
          <w:lang w:val="zh-CN"/>
        </w:rPr>
        <w:t>，</w:t>
      </w:r>
      <w:r>
        <w:rPr>
          <w:rFonts w:hint="eastAsia" w:cs="Times New Roman"/>
          <w:color w:val="auto"/>
          <w:szCs w:val="24"/>
          <w:highlight w:val="none"/>
          <w:lang w:val="en-US" w:eastAsia="zh-CN"/>
        </w:rPr>
        <w:t>与生态保护红线无交集，与自然保护地无交集，与饮用水水源保护区无交集，</w:t>
      </w:r>
      <w:r>
        <w:rPr>
          <w:rFonts w:cs="Times New Roman"/>
          <w:color w:val="auto"/>
          <w:highlight w:val="none"/>
        </w:rPr>
        <w:t>本项目所在区域为重点管控单元。</w:t>
      </w:r>
      <w:r>
        <w:rPr>
          <w:rFonts w:hint="default" w:ascii="Times New Roman" w:hAnsi="Times New Roman" w:eastAsia="宋体" w:cs="Times New Roman"/>
          <w:color w:val="auto"/>
          <w:kern w:val="0"/>
          <w:sz w:val="24"/>
          <w:szCs w:val="18"/>
          <w:highlight w:val="none"/>
          <w:lang w:val="en-US" w:eastAsia="zh-CN" w:bidi="ar-SA"/>
        </w:rPr>
        <w:t>根据《双鸭山市人民政府关于实施“三线一单”生态环境分区管控的意见》（双政规〔2021〕2号）</w:t>
      </w:r>
      <w:r>
        <w:rPr>
          <w:rFonts w:hint="default" w:ascii="Times New Roman" w:hAnsi="Times New Roman" w:eastAsia="宋体" w:cs="Times New Roman"/>
          <w:color w:val="auto"/>
          <w:sz w:val="24"/>
          <w:highlight w:val="none"/>
          <w:lang w:val="en-US" w:eastAsia="zh-CN"/>
        </w:rPr>
        <w:t>、《</w:t>
      </w:r>
      <w:bookmarkStart w:id="18" w:name="_Toc12967"/>
      <w:bookmarkStart w:id="19" w:name="_Toc26531"/>
      <w:r>
        <w:rPr>
          <w:rFonts w:hint="default" w:ascii="Times New Roman" w:hAnsi="Times New Roman" w:eastAsia="宋体" w:cs="Times New Roman"/>
          <w:color w:val="auto"/>
          <w:sz w:val="24"/>
          <w:highlight w:val="none"/>
          <w:lang w:val="en-US" w:eastAsia="zh-CN"/>
        </w:rPr>
        <w:t>双鸭山市生</w:t>
      </w:r>
      <w:r>
        <w:rPr>
          <w:rFonts w:hint="default" w:ascii="Times New Roman" w:hAnsi="Times New Roman" w:eastAsia="宋体" w:cs="Times New Roman"/>
          <w:snapToGrid w:val="0"/>
          <w:color w:val="auto"/>
          <w:sz w:val="24"/>
          <w:highlight w:val="none"/>
          <w:lang w:val="en-US" w:eastAsia="zh-CN"/>
        </w:rPr>
        <w:t>态环境准入清单</w:t>
      </w:r>
      <w:bookmarkEnd w:id="18"/>
      <w:bookmarkEnd w:id="19"/>
      <w:r>
        <w:rPr>
          <w:rFonts w:hint="default" w:ascii="Times New Roman" w:hAnsi="Times New Roman" w:eastAsia="宋体" w:cs="Times New Roman"/>
          <w:snapToGrid w:val="0"/>
          <w:color w:val="auto"/>
          <w:sz w:val="24"/>
          <w:highlight w:val="none"/>
          <w:lang w:val="en-US" w:eastAsia="zh-CN"/>
        </w:rPr>
        <w:t>（2023年）</w:t>
      </w:r>
      <w:r>
        <w:rPr>
          <w:rFonts w:hint="default" w:ascii="Times New Roman" w:hAnsi="Times New Roman" w:eastAsia="宋体" w:cs="Times New Roman"/>
          <w:snapToGrid w:val="0"/>
          <w:color w:val="auto"/>
          <w:sz w:val="24"/>
          <w:highlight w:val="none"/>
          <w:lang w:eastAsia="zh-CN"/>
        </w:rPr>
        <w:t>》</w:t>
      </w:r>
      <w:r>
        <w:rPr>
          <w:rFonts w:cs="Times New Roman"/>
          <w:color w:val="auto"/>
          <w:highlight w:val="none"/>
          <w:lang w:val="zh-CN"/>
        </w:rPr>
        <w:t>中要求，结合本项目生产工艺、排污状况和区域环境及环境质量现状进行调查的基础上，本工程与</w:t>
      </w:r>
      <w:r>
        <w:rPr>
          <w:rFonts w:hint="eastAsia" w:ascii="Times New Roman" w:hAnsi="Times New Roman" w:eastAsia="宋体" w:cs="Times New Roman"/>
          <w:snapToGrid w:val="0"/>
          <w:color w:val="auto"/>
          <w:sz w:val="24"/>
          <w:highlight w:val="none"/>
          <w:lang w:eastAsia="zh-CN"/>
        </w:rPr>
        <w:t>“</w:t>
      </w:r>
      <w:r>
        <w:rPr>
          <w:rFonts w:hint="eastAsia" w:ascii="Times New Roman" w:hAnsi="Times New Roman" w:eastAsia="宋体" w:cs="Times New Roman"/>
          <w:snapToGrid w:val="0"/>
          <w:color w:val="auto"/>
          <w:sz w:val="24"/>
          <w:highlight w:val="none"/>
          <w:lang w:val="en-US" w:eastAsia="zh-CN"/>
        </w:rPr>
        <w:t>生态环境分区管控符合性分析</w:t>
      </w:r>
      <w:r>
        <w:rPr>
          <w:rFonts w:hint="eastAsia" w:ascii="Times New Roman" w:hAnsi="Times New Roman" w:eastAsia="宋体" w:cs="Times New Roman"/>
          <w:snapToGrid w:val="0"/>
          <w:color w:val="auto"/>
          <w:sz w:val="24"/>
          <w:highlight w:val="none"/>
          <w:lang w:eastAsia="zh-CN"/>
        </w:rPr>
        <w:t>”</w:t>
      </w:r>
      <w:r>
        <w:rPr>
          <w:rFonts w:cs="Times New Roman"/>
          <w:color w:val="auto"/>
          <w:highlight w:val="none"/>
          <w:lang w:val="zh-CN"/>
        </w:rPr>
        <w:t>符合性情况如下。</w:t>
      </w:r>
    </w:p>
    <w:p w14:paraId="23E2C517">
      <w:pPr>
        <w:pStyle w:val="117"/>
        <w:tabs>
          <w:tab w:val="left" w:pos="6480"/>
        </w:tabs>
        <w:ind w:firstLine="482"/>
        <w:rPr>
          <w:rFonts w:hint="eastAsia" w:eastAsia="宋体" w:cs="Times New Roman"/>
          <w:b/>
          <w:bCs/>
          <w:color w:val="auto"/>
          <w:szCs w:val="24"/>
          <w:highlight w:val="none"/>
          <w:lang w:val="en-US" w:eastAsia="zh-CN"/>
        </w:rPr>
      </w:pPr>
      <w:r>
        <w:rPr>
          <w:rFonts w:cs="Times New Roman"/>
          <w:b/>
          <w:bCs/>
          <w:color w:val="auto"/>
          <w:highlight w:val="none"/>
          <w:lang w:val="zh-CN"/>
        </w:rPr>
        <w:t>1、生态保护红线</w:t>
      </w:r>
      <w:r>
        <w:rPr>
          <w:rFonts w:hint="eastAsia" w:cs="Times New Roman"/>
          <w:b/>
          <w:bCs/>
          <w:color w:val="auto"/>
          <w:highlight w:val="none"/>
          <w:lang w:val="en-US" w:eastAsia="zh-CN"/>
        </w:rPr>
        <w:t xml:space="preserve"> ，</w:t>
      </w:r>
    </w:p>
    <w:p w14:paraId="1E7F2AE5">
      <w:pPr>
        <w:pStyle w:val="66"/>
        <w:rPr>
          <w:rFonts w:eastAsia="宋体" w:cs="Times New Roman"/>
          <w:b/>
          <w:bCs/>
          <w:color w:val="auto"/>
          <w:szCs w:val="24"/>
          <w:highlight w:val="none"/>
        </w:rPr>
      </w:pPr>
      <w:r>
        <w:rPr>
          <w:rFonts w:eastAsia="宋体" w:cs="Times New Roman"/>
          <w:b/>
          <w:bCs/>
          <w:color w:val="auto"/>
          <w:szCs w:val="24"/>
          <w:highlight w:val="none"/>
        </w:rPr>
        <w:t>表1-4-</w:t>
      </w:r>
      <w:r>
        <w:rPr>
          <w:rFonts w:hint="eastAsia" w:eastAsia="宋体" w:cs="Times New Roman"/>
          <w:b/>
          <w:bCs/>
          <w:color w:val="auto"/>
          <w:szCs w:val="24"/>
          <w:highlight w:val="none"/>
          <w:lang w:val="en-US" w:eastAsia="zh-CN"/>
        </w:rPr>
        <w:t>5</w:t>
      </w:r>
      <w:r>
        <w:rPr>
          <w:rFonts w:eastAsia="宋体" w:cs="Times New Roman"/>
          <w:b/>
          <w:bCs/>
          <w:color w:val="auto"/>
          <w:szCs w:val="24"/>
          <w:highlight w:val="none"/>
        </w:rPr>
        <w:t xml:space="preserve">  生态保护红线控要求符合性分析</w:t>
      </w:r>
    </w:p>
    <w:tbl>
      <w:tblPr>
        <w:tblStyle w:val="47"/>
        <w:tblW w:w="504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44"/>
        <w:gridCol w:w="6655"/>
      </w:tblGrid>
      <w:tr w14:paraId="4C03AA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130" w:type="pct"/>
            <w:vAlign w:val="center"/>
          </w:tcPr>
          <w:p w14:paraId="0A92DB9B">
            <w:pPr>
              <w:spacing w:line="360" w:lineRule="exact"/>
              <w:ind w:firstLine="0" w:firstLineChars="0"/>
              <w:jc w:val="center"/>
              <w:rPr>
                <w:rFonts w:cs="Times New Roman"/>
                <w:color w:val="auto"/>
                <w:sz w:val="21"/>
                <w:szCs w:val="21"/>
                <w:highlight w:val="none"/>
                <w:lang w:bidi="ar"/>
              </w:rPr>
            </w:pPr>
            <w:r>
              <w:rPr>
                <w:rFonts w:cs="Times New Roman"/>
                <w:color w:val="auto"/>
                <w:sz w:val="21"/>
                <w:szCs w:val="21"/>
                <w:highlight w:val="none"/>
              </w:rPr>
              <w:t>管控单元类别</w:t>
            </w:r>
          </w:p>
        </w:tc>
        <w:tc>
          <w:tcPr>
            <w:tcW w:w="3869" w:type="pct"/>
            <w:vAlign w:val="center"/>
          </w:tcPr>
          <w:p w14:paraId="1BA257C9">
            <w:pPr>
              <w:spacing w:line="360" w:lineRule="exact"/>
              <w:ind w:firstLine="0" w:firstLineChars="0"/>
              <w:jc w:val="center"/>
              <w:rPr>
                <w:rFonts w:cs="Times New Roman"/>
                <w:color w:val="auto"/>
                <w:sz w:val="21"/>
                <w:szCs w:val="21"/>
                <w:highlight w:val="none"/>
                <w:lang w:bidi="ar"/>
              </w:rPr>
            </w:pPr>
            <w:r>
              <w:rPr>
                <w:rFonts w:cs="Times New Roman"/>
                <w:color w:val="auto"/>
                <w:sz w:val="21"/>
                <w:szCs w:val="21"/>
                <w:highlight w:val="none"/>
              </w:rPr>
              <w:t>一般管控区</w:t>
            </w:r>
          </w:p>
        </w:tc>
      </w:tr>
      <w:tr w14:paraId="6BBAFC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3" w:hRule="atLeast"/>
        </w:trPr>
        <w:tc>
          <w:tcPr>
            <w:tcW w:w="1130" w:type="pct"/>
            <w:vAlign w:val="center"/>
          </w:tcPr>
          <w:p w14:paraId="53366F0B">
            <w:pPr>
              <w:spacing w:line="360" w:lineRule="exact"/>
              <w:ind w:firstLine="0" w:firstLineChars="0"/>
              <w:jc w:val="center"/>
              <w:rPr>
                <w:rFonts w:cs="Times New Roman"/>
                <w:color w:val="auto"/>
                <w:sz w:val="21"/>
                <w:szCs w:val="21"/>
                <w:highlight w:val="none"/>
                <w:lang w:bidi="ar"/>
              </w:rPr>
            </w:pPr>
            <w:r>
              <w:rPr>
                <w:rFonts w:cs="Times New Roman"/>
                <w:color w:val="auto"/>
                <w:sz w:val="21"/>
                <w:szCs w:val="21"/>
                <w:highlight w:val="none"/>
              </w:rPr>
              <w:t>管控要求</w:t>
            </w:r>
          </w:p>
        </w:tc>
        <w:tc>
          <w:tcPr>
            <w:tcW w:w="3869" w:type="pct"/>
            <w:vAlign w:val="center"/>
          </w:tcPr>
          <w:p w14:paraId="73EF4607">
            <w:pPr>
              <w:spacing w:line="360" w:lineRule="exact"/>
              <w:ind w:firstLine="420"/>
              <w:rPr>
                <w:rFonts w:cs="Times New Roman"/>
                <w:color w:val="auto"/>
                <w:sz w:val="21"/>
                <w:szCs w:val="21"/>
                <w:highlight w:val="none"/>
                <w:lang w:bidi="ar"/>
              </w:rPr>
            </w:pPr>
            <w:r>
              <w:rPr>
                <w:rFonts w:cs="Times New Roman"/>
                <w:color w:val="auto"/>
                <w:sz w:val="21"/>
                <w:szCs w:val="21"/>
                <w:highlight w:val="none"/>
              </w:rPr>
              <w:t>生态空间包括生态保护红线和一般生态空间，生态保护红线及一般生态空间均属于优先保护区，其余区域属于一般管控区。</w:t>
            </w:r>
          </w:p>
        </w:tc>
      </w:tr>
      <w:tr w14:paraId="445815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6" w:hRule="atLeast"/>
        </w:trPr>
        <w:tc>
          <w:tcPr>
            <w:tcW w:w="1130" w:type="pct"/>
            <w:vAlign w:val="center"/>
          </w:tcPr>
          <w:p w14:paraId="1FBE2DD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符合性分析</w:t>
            </w:r>
          </w:p>
        </w:tc>
        <w:tc>
          <w:tcPr>
            <w:tcW w:w="3869" w:type="pct"/>
            <w:vAlign w:val="center"/>
          </w:tcPr>
          <w:p w14:paraId="4EB857FB">
            <w:pPr>
              <w:spacing w:line="360" w:lineRule="exact"/>
              <w:ind w:firstLine="420"/>
              <w:rPr>
                <w:rFonts w:cs="Times New Roman"/>
                <w:color w:val="auto"/>
                <w:sz w:val="21"/>
                <w:szCs w:val="21"/>
                <w:highlight w:val="none"/>
              </w:rPr>
            </w:pPr>
            <w:r>
              <w:rPr>
                <w:rFonts w:cs="Times New Roman"/>
                <w:color w:val="auto"/>
                <w:sz w:val="21"/>
                <w:szCs w:val="21"/>
                <w:highlight w:val="none"/>
              </w:rPr>
              <w:t>项目</w:t>
            </w:r>
            <w:r>
              <w:rPr>
                <w:rFonts w:hint="eastAsia" w:ascii="Times New Roman" w:hAnsi="Times New Roman" w:cs="Times New Roman"/>
                <w:color w:val="auto"/>
                <w:sz w:val="21"/>
                <w:szCs w:val="21"/>
                <w:highlight w:val="none"/>
                <w:lang w:val="en-US" w:eastAsia="zh-CN"/>
              </w:rPr>
              <w:t>位于黑龙江省双鸭山市岭东区长胜乡东兴村，所</w:t>
            </w:r>
            <w:r>
              <w:rPr>
                <w:rFonts w:cs="Times New Roman"/>
                <w:color w:val="auto"/>
                <w:sz w:val="21"/>
                <w:szCs w:val="21"/>
                <w:highlight w:val="none"/>
              </w:rPr>
              <w:t>在区域不属于生态空间和优先保护区，属于</w:t>
            </w:r>
            <w:r>
              <w:rPr>
                <w:rFonts w:hint="eastAsia" w:cs="Times New Roman"/>
                <w:color w:val="auto"/>
                <w:sz w:val="21"/>
                <w:szCs w:val="21"/>
                <w:highlight w:val="none"/>
                <w:lang w:val="en-US" w:eastAsia="zh-CN"/>
              </w:rPr>
              <w:t>重点管控区</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不在生态保护红线范围内</w:t>
            </w:r>
            <w:r>
              <w:rPr>
                <w:rFonts w:cs="Times New Roman"/>
                <w:color w:val="auto"/>
                <w:sz w:val="21"/>
                <w:szCs w:val="21"/>
                <w:highlight w:val="none"/>
              </w:rPr>
              <w:t>。</w:t>
            </w:r>
          </w:p>
        </w:tc>
      </w:tr>
    </w:tbl>
    <w:p w14:paraId="78F5E9E3">
      <w:pPr>
        <w:pStyle w:val="117"/>
        <w:numPr>
          <w:ilvl w:val="0"/>
          <w:numId w:val="5"/>
        </w:numPr>
        <w:ind w:firstLine="482"/>
        <w:rPr>
          <w:rFonts w:cs="Times New Roman"/>
          <w:b/>
          <w:bCs/>
          <w:color w:val="auto"/>
          <w:highlight w:val="none"/>
          <w:lang w:val="zh-CN"/>
        </w:rPr>
      </w:pPr>
      <w:r>
        <w:rPr>
          <w:rFonts w:cs="Times New Roman"/>
          <w:b/>
          <w:bCs/>
          <w:color w:val="auto"/>
          <w:highlight w:val="none"/>
          <w:lang w:val="zh-CN"/>
        </w:rPr>
        <w:t>环境质量底线</w:t>
      </w:r>
    </w:p>
    <w:p w14:paraId="3A728CB5">
      <w:pPr>
        <w:pStyle w:val="117"/>
        <w:rPr>
          <w:rFonts w:hint="default" w:eastAsia="宋体" w:cs="Times New Roman"/>
          <w:color w:val="auto"/>
          <w:highlight w:val="none"/>
          <w:lang w:val="en-US" w:eastAsia="zh-CN"/>
        </w:rPr>
      </w:pPr>
      <w:r>
        <w:rPr>
          <w:rFonts w:hint="eastAsia" w:eastAsia="宋体" w:cs="Times New Roman"/>
          <w:color w:val="auto"/>
          <w:highlight w:val="none"/>
          <w:lang w:val="en-US" w:eastAsia="zh-CN"/>
        </w:rPr>
        <w:t>本项目</w:t>
      </w:r>
      <w:r>
        <w:rPr>
          <w:rFonts w:hint="eastAsia" w:cs="Times New Roman"/>
          <w:color w:val="auto"/>
          <w:highlight w:val="none"/>
          <w:lang w:val="en-US" w:eastAsia="zh-CN"/>
        </w:rPr>
        <w:t>水环境质量底线为一般管控区，</w:t>
      </w:r>
      <w:r>
        <w:rPr>
          <w:rFonts w:hint="eastAsia" w:eastAsia="宋体" w:cs="Times New Roman"/>
          <w:color w:val="auto"/>
          <w:highlight w:val="none"/>
          <w:lang w:val="en-US" w:eastAsia="zh-CN"/>
        </w:rPr>
        <w:t>大气环境质量底线为大气环境</w:t>
      </w:r>
      <w:r>
        <w:rPr>
          <w:rFonts w:hint="eastAsia" w:cs="Times New Roman"/>
          <w:color w:val="auto"/>
          <w:highlight w:val="none"/>
          <w:lang w:val="en-US" w:eastAsia="zh-CN"/>
        </w:rPr>
        <w:t>布局敏感重点管控区及大气环境受体敏感重点管控区</w:t>
      </w:r>
      <w:r>
        <w:rPr>
          <w:rFonts w:hint="eastAsia" w:eastAsia="宋体" w:cs="Times New Roman"/>
          <w:color w:val="auto"/>
          <w:highlight w:val="none"/>
          <w:lang w:val="en-US" w:eastAsia="zh-CN"/>
        </w:rPr>
        <w:t>。</w:t>
      </w:r>
    </w:p>
    <w:p w14:paraId="1D64D351">
      <w:pPr>
        <w:pStyle w:val="117"/>
        <w:rPr>
          <w:rFonts w:hint="eastAsia" w:eastAsia="宋体" w:cs="Times New Roman"/>
          <w:color w:val="auto"/>
          <w:highlight w:val="none"/>
          <w:lang w:val="en-US" w:eastAsia="zh-CN"/>
        </w:rPr>
      </w:pPr>
      <w:r>
        <w:rPr>
          <w:rFonts w:hint="eastAsia" w:eastAsia="宋体" w:cs="Times New Roman"/>
          <w:color w:val="auto"/>
          <w:highlight w:val="none"/>
          <w:lang w:val="en-US" w:eastAsia="zh-CN"/>
        </w:rPr>
        <w:t>本项目运营期各类污染物经环境保护措施治理后均可达标排放，经预测，对区域环境造成的不利影响较小，不会改变区域环境质量现状，因此，符合环境质量底线要求。</w:t>
      </w:r>
    </w:p>
    <w:p w14:paraId="60E7C8A0">
      <w:pPr>
        <w:pStyle w:val="117"/>
        <w:numPr>
          <w:ilvl w:val="0"/>
          <w:numId w:val="5"/>
        </w:numPr>
        <w:ind w:firstLine="482"/>
        <w:rPr>
          <w:rFonts w:cs="Times New Roman"/>
          <w:b/>
          <w:bCs/>
          <w:color w:val="auto"/>
          <w:sz w:val="21"/>
          <w:szCs w:val="21"/>
          <w:highlight w:val="none"/>
        </w:rPr>
      </w:pPr>
      <w:r>
        <w:rPr>
          <w:rFonts w:cs="Times New Roman"/>
          <w:b/>
          <w:bCs/>
          <w:color w:val="auto"/>
          <w:highlight w:val="none"/>
          <w:lang w:val="zh-CN"/>
        </w:rPr>
        <w:t>资源利用上线</w:t>
      </w:r>
    </w:p>
    <w:p w14:paraId="5D9244D1">
      <w:pPr>
        <w:wordWrap/>
        <w:bidi w:val="0"/>
        <w:adjustRightInd w:val="0"/>
        <w:snapToGrid w:val="0"/>
        <w:spacing w:line="520" w:lineRule="exact"/>
        <w:ind w:firstLine="480" w:firstLineChars="200"/>
        <w:rPr>
          <w:rFonts w:cs="Times New Roman"/>
          <w:color w:val="auto"/>
          <w:sz w:val="21"/>
          <w:szCs w:val="21"/>
          <w:highlight w:val="none"/>
        </w:rPr>
      </w:pPr>
      <w:r>
        <w:rPr>
          <w:rFonts w:hint="default" w:ascii="宋体" w:hAnsi="宋体" w:eastAsia="宋体" w:cs="宋体"/>
          <w:color w:val="auto"/>
          <w:sz w:val="24"/>
          <w:highlight w:val="none"/>
          <w:lang w:val="en-US" w:eastAsia="zh-CN"/>
        </w:rPr>
        <w:t>本项目资源</w:t>
      </w:r>
      <w:r>
        <w:rPr>
          <w:rFonts w:hint="eastAsia" w:ascii="宋体" w:hAnsi="宋体" w:cs="宋体"/>
          <w:color w:val="auto"/>
          <w:sz w:val="24"/>
          <w:highlight w:val="none"/>
          <w:lang w:val="en-US" w:eastAsia="zh-CN"/>
        </w:rPr>
        <w:t>利用上线为高污染燃料禁燃区</w:t>
      </w:r>
      <w:r>
        <w:rPr>
          <w:rFonts w:hint="default" w:ascii="宋体" w:hAnsi="宋体" w:eastAsia="宋体" w:cs="宋体"/>
          <w:color w:val="auto"/>
          <w:sz w:val="24"/>
          <w:highlight w:val="none"/>
          <w:lang w:val="en-US" w:eastAsia="zh-CN"/>
        </w:rPr>
        <w:t>。</w:t>
      </w:r>
      <w:r>
        <w:rPr>
          <w:rFonts w:hint="eastAsia" w:ascii="宋体" w:hAnsi="宋体" w:eastAsia="宋体" w:cs="宋体"/>
          <w:color w:val="auto"/>
          <w:sz w:val="24"/>
          <w:highlight w:val="none"/>
          <w:lang w:val="en-US" w:eastAsia="zh-CN"/>
        </w:rPr>
        <w:t>本项目运营期</w:t>
      </w:r>
      <w:r>
        <w:rPr>
          <w:rFonts w:hint="eastAsia" w:ascii="宋体" w:hAnsi="宋体" w:cs="宋体"/>
          <w:color w:val="auto"/>
          <w:sz w:val="24"/>
          <w:highlight w:val="none"/>
          <w:lang w:val="en-US" w:eastAsia="zh-CN"/>
        </w:rPr>
        <w:t>仅供暖需要热量，来源于市政热网，</w:t>
      </w:r>
      <w:r>
        <w:rPr>
          <w:rFonts w:hint="eastAsia" w:ascii="宋体" w:hAnsi="宋体" w:cs="宋体"/>
          <w:color w:val="auto"/>
          <w:sz w:val="24"/>
          <w:highlight w:val="none"/>
          <w:lang w:val="en-US" w:eastAsia="zh-CN"/>
        </w:rPr>
        <w:t>企业不单独设置锅炉房，不涉及使用高污染燃料，项目生产无需用热。</w:t>
      </w:r>
      <w:r>
        <w:rPr>
          <w:rFonts w:hint="default" w:ascii="宋体" w:hAnsi="宋体" w:eastAsia="宋体" w:cs="宋体"/>
          <w:color w:val="auto"/>
          <w:sz w:val="24"/>
          <w:highlight w:val="none"/>
          <w:lang w:val="en-US" w:eastAsia="zh-CN"/>
        </w:rPr>
        <w:t>用水来自市政供水</w:t>
      </w:r>
      <w:r>
        <w:rPr>
          <w:rFonts w:hint="eastAsia" w:ascii="宋体" w:hAnsi="宋体" w:eastAsia="宋体" w:cs="宋体"/>
          <w:color w:val="auto"/>
          <w:sz w:val="24"/>
          <w:highlight w:val="none"/>
          <w:lang w:val="en-US" w:eastAsia="zh-CN"/>
        </w:rPr>
        <w:t>。综上，本项目符合资源利用上线要求。</w:t>
      </w:r>
    </w:p>
    <w:p w14:paraId="288C2185">
      <w:pPr>
        <w:pStyle w:val="117"/>
        <w:numPr>
          <w:ilvl w:val="0"/>
          <w:numId w:val="5"/>
        </w:numPr>
        <w:ind w:firstLine="482"/>
        <w:rPr>
          <w:rFonts w:cs="Times New Roman"/>
          <w:b/>
          <w:bCs/>
          <w:color w:val="auto"/>
          <w:szCs w:val="24"/>
          <w:highlight w:val="none"/>
        </w:rPr>
      </w:pPr>
      <w:r>
        <w:rPr>
          <w:rFonts w:cs="Times New Roman"/>
          <w:b/>
          <w:bCs/>
          <w:color w:val="auto"/>
          <w:highlight w:val="none"/>
          <w:lang w:val="zh-CN"/>
        </w:rPr>
        <w:t>生态环境准入清单</w:t>
      </w:r>
    </w:p>
    <w:p w14:paraId="6B5E27A7">
      <w:pPr>
        <w:autoSpaceDE w:val="0"/>
        <w:autoSpaceDN w:val="0"/>
        <w:spacing w:before="156" w:beforeLines="50" w:line="240" w:lineRule="auto"/>
        <w:ind w:firstLine="482"/>
        <w:jc w:val="center"/>
        <w:rPr>
          <w:rFonts w:cs="Times New Roman"/>
          <w:b/>
          <w:bCs/>
          <w:color w:val="auto"/>
          <w:szCs w:val="24"/>
          <w:highlight w:val="none"/>
        </w:rPr>
      </w:pPr>
      <w:r>
        <w:rPr>
          <w:rFonts w:cs="Times New Roman"/>
          <w:b/>
          <w:bCs/>
          <w:color w:val="auto"/>
          <w:szCs w:val="24"/>
          <w:highlight w:val="none"/>
        </w:rPr>
        <w:t>表1-4-</w:t>
      </w:r>
      <w:r>
        <w:rPr>
          <w:rFonts w:hint="eastAsia" w:cs="Times New Roman"/>
          <w:b/>
          <w:bCs/>
          <w:color w:val="auto"/>
          <w:szCs w:val="24"/>
          <w:highlight w:val="none"/>
          <w:lang w:val="en-US" w:eastAsia="zh-CN"/>
        </w:rPr>
        <w:t>6</w:t>
      </w:r>
      <w:r>
        <w:rPr>
          <w:rFonts w:cs="Times New Roman"/>
          <w:b/>
          <w:bCs/>
          <w:color w:val="auto"/>
          <w:szCs w:val="24"/>
          <w:highlight w:val="none"/>
        </w:rPr>
        <w:t xml:space="preserve">  生态环境准入清单管控要求符合性分析</w:t>
      </w:r>
    </w:p>
    <w:tbl>
      <w:tblPr>
        <w:tblStyle w:val="47"/>
        <w:tblW w:w="502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7"/>
        <w:gridCol w:w="724"/>
        <w:gridCol w:w="695"/>
        <w:gridCol w:w="637"/>
        <w:gridCol w:w="4221"/>
        <w:gridCol w:w="1530"/>
      </w:tblGrid>
      <w:tr w14:paraId="4BFBB7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1" w:type="pct"/>
            <w:vAlign w:val="center"/>
          </w:tcPr>
          <w:p w14:paraId="77A8D32C">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管控单元编码</w:t>
            </w:r>
          </w:p>
        </w:tc>
        <w:tc>
          <w:tcPr>
            <w:tcW w:w="422" w:type="pct"/>
            <w:vAlign w:val="center"/>
          </w:tcPr>
          <w:p w14:paraId="5F0BE63D">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环境管控单元名称</w:t>
            </w:r>
          </w:p>
        </w:tc>
        <w:tc>
          <w:tcPr>
            <w:tcW w:w="405" w:type="pct"/>
            <w:vAlign w:val="center"/>
          </w:tcPr>
          <w:p w14:paraId="62DD0E57">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管控单元类别</w:t>
            </w:r>
          </w:p>
        </w:tc>
        <w:tc>
          <w:tcPr>
            <w:tcW w:w="2836" w:type="pct"/>
            <w:gridSpan w:val="2"/>
            <w:vAlign w:val="center"/>
          </w:tcPr>
          <w:p w14:paraId="54C68ACF">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管控要求</w:t>
            </w:r>
          </w:p>
        </w:tc>
        <w:tc>
          <w:tcPr>
            <w:tcW w:w="893" w:type="pct"/>
            <w:vAlign w:val="center"/>
          </w:tcPr>
          <w:p w14:paraId="69C35901">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符合性</w:t>
            </w:r>
          </w:p>
        </w:tc>
      </w:tr>
      <w:tr w14:paraId="7B054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441" w:type="pct"/>
            <w:vMerge w:val="restart"/>
            <w:vAlign w:val="center"/>
          </w:tcPr>
          <w:p w14:paraId="13C02881">
            <w:pPr>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cs="Times New Roman"/>
                <w:snapToGrid w:val="0"/>
                <w:color w:val="auto"/>
                <w:kern w:val="0"/>
                <w:sz w:val="21"/>
                <w:szCs w:val="21"/>
                <w:highlight w:val="none"/>
              </w:rPr>
              <w:t>ZH</w:t>
            </w:r>
            <w:r>
              <w:rPr>
                <w:rFonts w:hint="eastAsia" w:cs="Times New Roman"/>
                <w:snapToGrid w:val="0"/>
                <w:color w:val="auto"/>
                <w:kern w:val="0"/>
                <w:sz w:val="21"/>
                <w:szCs w:val="21"/>
                <w:highlight w:val="none"/>
                <w:lang w:val="en-US" w:eastAsia="zh-CN"/>
              </w:rPr>
              <w:t>23050320005</w:t>
            </w:r>
          </w:p>
        </w:tc>
        <w:tc>
          <w:tcPr>
            <w:tcW w:w="422" w:type="pct"/>
            <w:vMerge w:val="restart"/>
            <w:vAlign w:val="center"/>
          </w:tcPr>
          <w:p w14:paraId="5340672F">
            <w:pPr>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岭东区城镇空间</w:t>
            </w:r>
          </w:p>
        </w:tc>
        <w:tc>
          <w:tcPr>
            <w:tcW w:w="405" w:type="pct"/>
            <w:vMerge w:val="restart"/>
            <w:vAlign w:val="center"/>
          </w:tcPr>
          <w:p w14:paraId="2C38CE08">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重点管控单元</w:t>
            </w:r>
          </w:p>
        </w:tc>
        <w:tc>
          <w:tcPr>
            <w:tcW w:w="371" w:type="pct"/>
            <w:vAlign w:val="center"/>
          </w:tcPr>
          <w:p w14:paraId="736BE2D3">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空间布局约束</w:t>
            </w:r>
          </w:p>
        </w:tc>
        <w:tc>
          <w:tcPr>
            <w:tcW w:w="2464" w:type="pct"/>
            <w:vAlign w:val="center"/>
          </w:tcPr>
          <w:p w14:paraId="246CF3DD">
            <w:pPr>
              <w:spacing w:line="360" w:lineRule="exact"/>
              <w:ind w:firstLine="0" w:firstLineChars="0"/>
              <w:jc w:val="center"/>
              <w:rPr>
                <w:rFonts w:hint="eastAsia" w:ascii="Times New Roman" w:hAnsi="Times New Roman" w:cs="Times New Roman"/>
                <w:snapToGrid w:val="0"/>
                <w:color w:val="auto"/>
                <w:kern w:val="0"/>
                <w:sz w:val="21"/>
                <w:szCs w:val="21"/>
                <w:highlight w:val="none"/>
                <w:lang w:eastAsia="zh-CN"/>
              </w:rPr>
            </w:pPr>
            <w:r>
              <w:rPr>
                <w:rFonts w:hint="eastAsia" w:ascii="Times New Roman" w:hAnsi="Times New Roman" w:cs="Times New Roman"/>
                <w:snapToGrid w:val="0"/>
                <w:color w:val="auto"/>
                <w:kern w:val="0"/>
                <w:sz w:val="21"/>
                <w:szCs w:val="21"/>
                <w:highlight w:val="none"/>
              </w:rPr>
              <w:t>1.执行:1)严禁在人口密集区新建危险化学品生产项目，城镇人口密集区危险化学品生产企业应搬迁改造。2)禁止在城镇居民区、文化教育科学研究区等人口集中区域建设畜禽养殖场、养殖小区。”2.大气环境布局敏感重点管控区同时执行“禁止在居民区、学校、医疗和养老机构等周边新建有色金属冶炼、焦化等行业企业。</w:t>
            </w:r>
            <w:r>
              <w:rPr>
                <w:rFonts w:hint="eastAsia" w:ascii="Times New Roman" w:hAnsi="Times New Roman" w:cs="Times New Roman"/>
                <w:snapToGrid w:val="0"/>
                <w:color w:val="auto"/>
                <w:kern w:val="0"/>
                <w:sz w:val="21"/>
                <w:szCs w:val="21"/>
                <w:highlight w:val="none"/>
                <w:lang w:eastAsia="zh-CN"/>
              </w:rPr>
              <w:t>”</w:t>
            </w:r>
          </w:p>
        </w:tc>
        <w:tc>
          <w:tcPr>
            <w:tcW w:w="893" w:type="pct"/>
            <w:vMerge w:val="restart"/>
            <w:vAlign w:val="center"/>
          </w:tcPr>
          <w:p w14:paraId="0238B6FC">
            <w:pPr>
              <w:spacing w:line="360" w:lineRule="exact"/>
              <w:ind w:firstLine="0" w:firstLineChars="0"/>
              <w:jc w:val="center"/>
              <w:rPr>
                <w:rFonts w:hint="default" w:cs="Times New Roman"/>
                <w:snapToGrid w:val="0"/>
                <w:color w:val="auto"/>
                <w:kern w:val="0"/>
                <w:sz w:val="21"/>
                <w:szCs w:val="21"/>
                <w:highlight w:val="none"/>
                <w:lang w:val="en-US"/>
              </w:rPr>
            </w:pPr>
            <w:r>
              <w:rPr>
                <w:rFonts w:cs="Times New Roman"/>
                <w:snapToGrid w:val="0"/>
                <w:color w:val="auto"/>
                <w:kern w:val="0"/>
                <w:sz w:val="21"/>
                <w:szCs w:val="21"/>
                <w:highlight w:val="none"/>
              </w:rPr>
              <w:t>本项目为牛、羊屠宰项目，不属于</w:t>
            </w:r>
            <w:r>
              <w:rPr>
                <w:rFonts w:hint="eastAsia" w:cs="Times New Roman"/>
                <w:snapToGrid w:val="0"/>
                <w:color w:val="auto"/>
                <w:kern w:val="0"/>
                <w:sz w:val="21"/>
                <w:szCs w:val="21"/>
                <w:highlight w:val="none"/>
                <w:lang w:val="en-US" w:eastAsia="zh-CN"/>
              </w:rPr>
              <w:t>危险化学品生产、养殖类、</w:t>
            </w:r>
            <w:r>
              <w:rPr>
                <w:rFonts w:hint="eastAsia" w:ascii="Times New Roman" w:hAnsi="Times New Roman" w:cs="Times New Roman"/>
                <w:snapToGrid w:val="0"/>
                <w:color w:val="auto"/>
                <w:kern w:val="0"/>
                <w:sz w:val="21"/>
                <w:szCs w:val="21"/>
                <w:highlight w:val="none"/>
              </w:rPr>
              <w:t>有色金属冶炼、焦化等行业企业</w:t>
            </w:r>
            <w:r>
              <w:rPr>
                <w:rFonts w:hint="eastAsia" w:cs="Times New Roman"/>
                <w:snapToGrid w:val="0"/>
                <w:color w:val="auto"/>
                <w:kern w:val="0"/>
                <w:sz w:val="21"/>
                <w:szCs w:val="21"/>
                <w:highlight w:val="none"/>
                <w:lang w:val="en-US" w:eastAsia="zh-CN"/>
              </w:rPr>
              <w:t>。符合空间布局约束。本项目无需生产用热，无需建设锅炉，冬季取暖依</w:t>
            </w:r>
            <w:r>
              <w:rPr>
                <w:rFonts w:hint="eastAsia" w:ascii="Times New Roman" w:hAnsi="Times New Roman" w:cs="Times New Roman"/>
                <w:snapToGrid w:val="0"/>
                <w:color w:val="auto"/>
                <w:kern w:val="0"/>
                <w:sz w:val="21"/>
                <w:szCs w:val="21"/>
                <w:highlight w:val="none"/>
                <w:lang w:val="en-US" w:eastAsia="zh-CN"/>
              </w:rPr>
              <w:t>托市政热网。符合污染排放管控。本项目位于黑龙江省双鸭山市岭东区长胜乡东兴村，不属于化工园区，本项目不属于有色金属冶炼、焦化等行业企业。符合环境风险防控要求。</w:t>
            </w:r>
            <w:r>
              <w:rPr>
                <w:rFonts w:hint="eastAsia" w:cs="Times New Roman"/>
                <w:snapToGrid w:val="0"/>
                <w:color w:val="auto"/>
                <w:kern w:val="0"/>
                <w:sz w:val="21"/>
                <w:szCs w:val="21"/>
                <w:highlight w:val="none"/>
                <w:lang w:val="en-US" w:eastAsia="zh-CN"/>
              </w:rPr>
              <w:t>本项目所用污水处理设施及设备均符合国家质量标准要求。本项目无需生产用热，不新建锅炉，冬季取暖依托于市政热网，符合资源利用效率要求。</w:t>
            </w:r>
          </w:p>
        </w:tc>
      </w:tr>
      <w:tr w14:paraId="30CDE5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6" w:hRule="atLeast"/>
          <w:jc w:val="center"/>
        </w:trPr>
        <w:tc>
          <w:tcPr>
            <w:tcW w:w="441" w:type="pct"/>
            <w:vMerge w:val="continue"/>
            <w:vAlign w:val="center"/>
          </w:tcPr>
          <w:p w14:paraId="6E1703AA">
            <w:pPr>
              <w:spacing w:line="360" w:lineRule="exact"/>
              <w:ind w:firstLine="0" w:firstLineChars="0"/>
              <w:rPr>
                <w:rFonts w:cs="Times New Roman"/>
                <w:color w:val="auto"/>
                <w:highlight w:val="none"/>
              </w:rPr>
            </w:pPr>
          </w:p>
        </w:tc>
        <w:tc>
          <w:tcPr>
            <w:tcW w:w="422" w:type="pct"/>
            <w:vMerge w:val="continue"/>
            <w:vAlign w:val="center"/>
          </w:tcPr>
          <w:p w14:paraId="63CCD13D">
            <w:pPr>
              <w:spacing w:line="360" w:lineRule="exact"/>
              <w:ind w:firstLine="0" w:firstLineChars="0"/>
              <w:rPr>
                <w:rFonts w:cs="Times New Roman"/>
                <w:color w:val="auto"/>
                <w:highlight w:val="none"/>
              </w:rPr>
            </w:pPr>
          </w:p>
        </w:tc>
        <w:tc>
          <w:tcPr>
            <w:tcW w:w="405" w:type="pct"/>
            <w:vMerge w:val="continue"/>
            <w:vAlign w:val="center"/>
          </w:tcPr>
          <w:p w14:paraId="1442A4B7">
            <w:pPr>
              <w:spacing w:line="360" w:lineRule="exact"/>
              <w:ind w:firstLine="0" w:firstLineChars="0"/>
              <w:rPr>
                <w:rFonts w:cs="Times New Roman"/>
                <w:color w:val="auto"/>
                <w:highlight w:val="none"/>
              </w:rPr>
            </w:pPr>
          </w:p>
        </w:tc>
        <w:tc>
          <w:tcPr>
            <w:tcW w:w="371" w:type="pct"/>
            <w:vAlign w:val="center"/>
          </w:tcPr>
          <w:p w14:paraId="28FC3722">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污染物排放管</w:t>
            </w:r>
          </w:p>
          <w:p w14:paraId="1C31B916">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控</w:t>
            </w:r>
          </w:p>
        </w:tc>
        <w:tc>
          <w:tcPr>
            <w:tcW w:w="2464" w:type="pct"/>
            <w:vAlign w:val="center"/>
          </w:tcPr>
          <w:p w14:paraId="541E3BF2">
            <w:pPr>
              <w:spacing w:line="360" w:lineRule="exact"/>
              <w:ind w:firstLine="0" w:firstLineChars="0"/>
              <w:jc w:val="center"/>
              <w:rPr>
                <w:rFonts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1.执行:加快65t/h以上燃煤锅炉(含电力)超低排放改造。2.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含电力)实现超低排放，钢铁企业基本实现超低排放。</w:t>
            </w:r>
            <w:r>
              <w:rPr>
                <w:rFonts w:hint="eastAsia" w:ascii="Times New Roman" w:hAnsi="Times New Roman" w:cs="Times New Roman"/>
                <w:snapToGrid w:val="0"/>
                <w:color w:val="auto"/>
                <w:kern w:val="0"/>
                <w:sz w:val="21"/>
                <w:szCs w:val="21"/>
                <w:highlight w:val="none"/>
                <w:lang w:eastAsia="zh-CN"/>
              </w:rPr>
              <w:t>”</w:t>
            </w:r>
          </w:p>
        </w:tc>
        <w:tc>
          <w:tcPr>
            <w:tcW w:w="893" w:type="pct"/>
            <w:vMerge w:val="continue"/>
            <w:vAlign w:val="center"/>
          </w:tcPr>
          <w:p w14:paraId="11898D40">
            <w:pPr>
              <w:spacing w:line="360" w:lineRule="exact"/>
              <w:ind w:firstLine="0" w:firstLineChars="0"/>
              <w:rPr>
                <w:rFonts w:cs="Times New Roman"/>
                <w:color w:val="auto"/>
                <w:kern w:val="0"/>
                <w:sz w:val="21"/>
                <w:szCs w:val="21"/>
                <w:highlight w:val="none"/>
              </w:rPr>
            </w:pPr>
          </w:p>
        </w:tc>
      </w:tr>
      <w:tr w14:paraId="334E41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441" w:type="pct"/>
            <w:vMerge w:val="continue"/>
            <w:vAlign w:val="center"/>
          </w:tcPr>
          <w:p w14:paraId="2A7B6C68">
            <w:pPr>
              <w:spacing w:line="360" w:lineRule="exact"/>
              <w:ind w:firstLine="0" w:firstLineChars="0"/>
              <w:rPr>
                <w:rFonts w:cs="Times New Roman"/>
                <w:color w:val="auto"/>
                <w:highlight w:val="none"/>
              </w:rPr>
            </w:pPr>
          </w:p>
        </w:tc>
        <w:tc>
          <w:tcPr>
            <w:tcW w:w="422" w:type="pct"/>
            <w:vMerge w:val="continue"/>
            <w:vAlign w:val="center"/>
          </w:tcPr>
          <w:p w14:paraId="32C1716E">
            <w:pPr>
              <w:spacing w:line="360" w:lineRule="exact"/>
              <w:ind w:firstLine="0" w:firstLineChars="0"/>
              <w:rPr>
                <w:rFonts w:cs="Times New Roman"/>
                <w:color w:val="auto"/>
                <w:highlight w:val="none"/>
              </w:rPr>
            </w:pPr>
          </w:p>
        </w:tc>
        <w:tc>
          <w:tcPr>
            <w:tcW w:w="405" w:type="pct"/>
            <w:vMerge w:val="continue"/>
            <w:vAlign w:val="center"/>
          </w:tcPr>
          <w:p w14:paraId="25671EBA">
            <w:pPr>
              <w:spacing w:line="360" w:lineRule="exact"/>
              <w:ind w:firstLine="0" w:firstLineChars="0"/>
              <w:rPr>
                <w:rFonts w:cs="Times New Roman"/>
                <w:color w:val="auto"/>
                <w:highlight w:val="none"/>
              </w:rPr>
            </w:pPr>
          </w:p>
        </w:tc>
        <w:tc>
          <w:tcPr>
            <w:tcW w:w="371" w:type="pct"/>
            <w:vAlign w:val="center"/>
          </w:tcPr>
          <w:p w14:paraId="1E886EEA">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环境风险防控</w:t>
            </w:r>
          </w:p>
        </w:tc>
        <w:tc>
          <w:tcPr>
            <w:tcW w:w="2464" w:type="pct"/>
            <w:vAlign w:val="center"/>
          </w:tcPr>
          <w:p w14:paraId="2FDAF0E3">
            <w:pPr>
              <w:spacing w:line="360" w:lineRule="exact"/>
              <w:ind w:firstLine="0" w:firstLineChars="0"/>
              <w:jc w:val="center"/>
              <w:rPr>
                <w:rFonts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1.执行“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2.大气环境布局敏感重点管控区同时执行执行本清单禁止在居民区、学校、医疗和养老机构等周边新建有色金属冶炼、焦化等行业企业。</w:t>
            </w:r>
            <w:r>
              <w:rPr>
                <w:rFonts w:hint="eastAsia" w:ascii="Times New Roman" w:hAnsi="Times New Roman" w:cs="Times New Roman"/>
                <w:snapToGrid w:val="0"/>
                <w:color w:val="auto"/>
                <w:kern w:val="0"/>
                <w:sz w:val="21"/>
                <w:szCs w:val="21"/>
                <w:highlight w:val="none"/>
                <w:lang w:eastAsia="zh-CN"/>
              </w:rPr>
              <w:t>”</w:t>
            </w:r>
          </w:p>
        </w:tc>
        <w:tc>
          <w:tcPr>
            <w:tcW w:w="893" w:type="pct"/>
            <w:vMerge w:val="continue"/>
            <w:vAlign w:val="center"/>
          </w:tcPr>
          <w:p w14:paraId="3A92F2DA">
            <w:pPr>
              <w:spacing w:line="360" w:lineRule="exact"/>
              <w:ind w:firstLine="0" w:firstLineChars="0"/>
              <w:rPr>
                <w:rFonts w:cs="Times New Roman"/>
                <w:color w:val="auto"/>
                <w:kern w:val="0"/>
                <w:sz w:val="21"/>
                <w:szCs w:val="21"/>
                <w:highlight w:val="none"/>
              </w:rPr>
            </w:pPr>
          </w:p>
        </w:tc>
      </w:tr>
      <w:tr w14:paraId="6659C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1" w:hRule="atLeast"/>
          <w:jc w:val="center"/>
        </w:trPr>
        <w:tc>
          <w:tcPr>
            <w:tcW w:w="441" w:type="pct"/>
            <w:vMerge w:val="continue"/>
            <w:vAlign w:val="center"/>
          </w:tcPr>
          <w:p w14:paraId="40760EA1">
            <w:pPr>
              <w:spacing w:line="360" w:lineRule="exact"/>
              <w:ind w:firstLine="0" w:firstLineChars="0"/>
              <w:rPr>
                <w:rFonts w:cs="Times New Roman"/>
                <w:color w:val="auto"/>
                <w:kern w:val="0"/>
                <w:sz w:val="21"/>
                <w:szCs w:val="21"/>
                <w:highlight w:val="none"/>
              </w:rPr>
            </w:pPr>
          </w:p>
        </w:tc>
        <w:tc>
          <w:tcPr>
            <w:tcW w:w="422" w:type="pct"/>
            <w:vMerge w:val="continue"/>
            <w:vAlign w:val="center"/>
          </w:tcPr>
          <w:p w14:paraId="37E8C5F0">
            <w:pPr>
              <w:spacing w:line="360" w:lineRule="exact"/>
              <w:ind w:firstLine="0" w:firstLineChars="0"/>
              <w:rPr>
                <w:rFonts w:cs="Times New Roman"/>
                <w:color w:val="auto"/>
                <w:kern w:val="0"/>
                <w:sz w:val="21"/>
                <w:szCs w:val="21"/>
                <w:highlight w:val="none"/>
              </w:rPr>
            </w:pPr>
          </w:p>
        </w:tc>
        <w:tc>
          <w:tcPr>
            <w:tcW w:w="405" w:type="pct"/>
            <w:vMerge w:val="continue"/>
            <w:vAlign w:val="center"/>
          </w:tcPr>
          <w:p w14:paraId="7BCAFF61">
            <w:pPr>
              <w:spacing w:line="360" w:lineRule="exact"/>
              <w:ind w:firstLine="0" w:firstLineChars="0"/>
              <w:rPr>
                <w:rFonts w:cs="Times New Roman"/>
                <w:color w:val="auto"/>
                <w:kern w:val="0"/>
                <w:sz w:val="21"/>
                <w:szCs w:val="21"/>
                <w:highlight w:val="none"/>
              </w:rPr>
            </w:pPr>
          </w:p>
        </w:tc>
        <w:tc>
          <w:tcPr>
            <w:tcW w:w="371" w:type="pct"/>
            <w:vAlign w:val="center"/>
          </w:tcPr>
          <w:p w14:paraId="173C0385">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资源利用效率</w:t>
            </w:r>
          </w:p>
          <w:p w14:paraId="2A789933">
            <w:pPr>
              <w:spacing w:line="360" w:lineRule="exact"/>
              <w:ind w:firstLine="0" w:firstLineChars="0"/>
              <w:jc w:val="center"/>
              <w:rPr>
                <w:rFonts w:cs="Times New Roman"/>
                <w:color w:val="auto"/>
                <w:kern w:val="0"/>
                <w:sz w:val="21"/>
                <w:szCs w:val="21"/>
                <w:highlight w:val="none"/>
              </w:rPr>
            </w:pPr>
            <w:r>
              <w:rPr>
                <w:rFonts w:cs="Times New Roman"/>
                <w:snapToGrid w:val="0"/>
                <w:color w:val="auto"/>
                <w:kern w:val="0"/>
                <w:sz w:val="21"/>
                <w:szCs w:val="21"/>
                <w:highlight w:val="none"/>
              </w:rPr>
              <w:t>要求</w:t>
            </w:r>
          </w:p>
        </w:tc>
        <w:tc>
          <w:tcPr>
            <w:tcW w:w="2464" w:type="pct"/>
            <w:vAlign w:val="center"/>
          </w:tcPr>
          <w:p w14:paraId="20F4A739">
            <w:pPr>
              <w:spacing w:line="360" w:lineRule="exact"/>
              <w:ind w:firstLine="0" w:firstLineChars="0"/>
              <w:jc w:val="center"/>
              <w:rPr>
                <w:rFonts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1.执行“1)推进污水再生利用设施建设。2)公共建筑必须采用节水器具，限期淘汰公共建筑中不符合节水标准的水嘴、便器水箱等生活用水器具。”2.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r>
              <w:rPr>
                <w:rFonts w:hint="eastAsia" w:ascii="Times New Roman" w:hAnsi="Times New Roman" w:cs="Times New Roman"/>
                <w:snapToGrid w:val="0"/>
                <w:color w:val="auto"/>
                <w:kern w:val="0"/>
                <w:sz w:val="21"/>
                <w:szCs w:val="21"/>
                <w:highlight w:val="none"/>
                <w:lang w:eastAsia="zh-CN"/>
              </w:rPr>
              <w:t>”</w:t>
            </w:r>
          </w:p>
        </w:tc>
        <w:tc>
          <w:tcPr>
            <w:tcW w:w="893" w:type="pct"/>
            <w:vMerge w:val="continue"/>
            <w:vAlign w:val="center"/>
          </w:tcPr>
          <w:p w14:paraId="32942E94">
            <w:pPr>
              <w:spacing w:line="360" w:lineRule="exact"/>
              <w:ind w:firstLine="0" w:firstLineChars="0"/>
              <w:rPr>
                <w:rFonts w:cs="Times New Roman"/>
                <w:color w:val="auto"/>
                <w:kern w:val="0"/>
                <w:sz w:val="21"/>
                <w:szCs w:val="21"/>
                <w:highlight w:val="none"/>
              </w:rPr>
            </w:pPr>
          </w:p>
        </w:tc>
      </w:tr>
    </w:tbl>
    <w:p w14:paraId="4BD20E6A">
      <w:pPr>
        <w:pStyle w:val="117"/>
        <w:rPr>
          <w:rFonts w:cs="Times New Roman"/>
          <w:color w:val="auto"/>
          <w:highlight w:val="none"/>
          <w:lang w:val="zh-CN"/>
        </w:rPr>
      </w:pPr>
      <w:r>
        <w:rPr>
          <w:rFonts w:cs="Times New Roman"/>
          <w:color w:val="auto"/>
          <w:szCs w:val="24"/>
          <w:highlight w:val="none"/>
        </w:rPr>
        <w:t>综上，本项目选址占地性质为</w:t>
      </w:r>
      <w:r>
        <w:rPr>
          <w:rFonts w:hint="eastAsia" w:cs="Times New Roman"/>
          <w:color w:val="auto"/>
          <w:szCs w:val="24"/>
          <w:highlight w:val="none"/>
          <w:lang w:val="en-US" w:eastAsia="zh-CN"/>
        </w:rPr>
        <w:t>划拨</w:t>
      </w:r>
      <w:r>
        <w:rPr>
          <w:rFonts w:cs="Times New Roman"/>
          <w:color w:val="auto"/>
          <w:szCs w:val="24"/>
          <w:highlight w:val="none"/>
        </w:rPr>
        <w:t>用地，并采取了有效、可行的污染治理措施，各项污染物均可达标排放，本项目建设对周围环境影响较小，因此本项目符合</w:t>
      </w:r>
      <w:r>
        <w:rPr>
          <w:rFonts w:hint="default" w:ascii="Times New Roman" w:hAnsi="Times New Roman" w:eastAsia="宋体" w:cs="Times New Roman"/>
          <w:color w:val="auto"/>
          <w:kern w:val="0"/>
          <w:sz w:val="24"/>
          <w:szCs w:val="18"/>
          <w:highlight w:val="none"/>
          <w:lang w:val="en-US" w:eastAsia="zh-CN" w:bidi="ar-SA"/>
        </w:rPr>
        <w:t>《双鸭山市人民政府关于实施“三线一单”生态环境分区管控的意见》（双政规〔2021〕2号）</w:t>
      </w:r>
      <w:r>
        <w:rPr>
          <w:rFonts w:hint="default" w:ascii="Times New Roman" w:hAnsi="Times New Roman" w:eastAsia="宋体" w:cs="Times New Roman"/>
          <w:color w:val="auto"/>
          <w:sz w:val="24"/>
          <w:highlight w:val="none"/>
          <w:lang w:val="en-US" w:eastAsia="zh-CN"/>
        </w:rPr>
        <w:t>、《双鸭山市生</w:t>
      </w:r>
      <w:r>
        <w:rPr>
          <w:rFonts w:hint="default" w:ascii="Times New Roman" w:hAnsi="Times New Roman" w:eastAsia="宋体" w:cs="Times New Roman"/>
          <w:snapToGrid w:val="0"/>
          <w:color w:val="auto"/>
          <w:sz w:val="24"/>
          <w:highlight w:val="none"/>
          <w:lang w:val="en-US" w:eastAsia="zh-CN"/>
        </w:rPr>
        <w:t>态环境准入清单（2023年）</w:t>
      </w:r>
      <w:r>
        <w:rPr>
          <w:rFonts w:hint="default" w:ascii="Times New Roman" w:hAnsi="Times New Roman" w:eastAsia="宋体" w:cs="Times New Roman"/>
          <w:snapToGrid w:val="0"/>
          <w:color w:val="auto"/>
          <w:sz w:val="24"/>
          <w:highlight w:val="none"/>
          <w:lang w:eastAsia="zh-CN"/>
        </w:rPr>
        <w:t>》</w:t>
      </w:r>
      <w:r>
        <w:rPr>
          <w:rFonts w:cs="Times New Roman"/>
          <w:color w:val="auto"/>
          <w:highlight w:val="none"/>
          <w:lang w:val="zh-CN"/>
        </w:rPr>
        <w:t>中要求</w:t>
      </w:r>
      <w:r>
        <w:rPr>
          <w:rFonts w:cs="Times New Roman"/>
          <w:color w:val="auto"/>
          <w:szCs w:val="24"/>
          <w:highlight w:val="none"/>
        </w:rPr>
        <w:t>。</w:t>
      </w:r>
    </w:p>
    <w:p w14:paraId="2116D7D3">
      <w:pPr>
        <w:pStyle w:val="4"/>
        <w:spacing w:after="156"/>
        <w:rPr>
          <w:rFonts w:cs="Times New Roman"/>
          <w:color w:val="auto"/>
          <w:highlight w:val="none"/>
        </w:rPr>
      </w:pPr>
      <w:bookmarkStart w:id="20" w:name="_Toc16663"/>
      <w:r>
        <w:rPr>
          <w:rFonts w:cs="Times New Roman"/>
          <w:color w:val="auto"/>
          <w:highlight w:val="none"/>
        </w:rPr>
        <w:t>1.4.4选址合理性分析</w:t>
      </w:r>
      <w:bookmarkEnd w:id="20"/>
    </w:p>
    <w:p w14:paraId="536613C2">
      <w:pPr>
        <w:pStyle w:val="117"/>
        <w:numPr>
          <w:ilvl w:val="0"/>
          <w:numId w:val="6"/>
        </w:numPr>
        <w:ind w:firstLine="482"/>
        <w:rPr>
          <w:rFonts w:cs="Times New Roman"/>
          <w:b/>
          <w:bCs/>
          <w:snapToGrid w:val="0"/>
          <w:color w:val="auto"/>
          <w:kern w:val="0"/>
          <w:szCs w:val="21"/>
          <w:highlight w:val="none"/>
        </w:rPr>
      </w:pPr>
      <w:r>
        <w:rPr>
          <w:rFonts w:cs="Times New Roman"/>
          <w:b/>
          <w:bCs/>
          <w:snapToGrid w:val="0"/>
          <w:color w:val="auto"/>
          <w:kern w:val="0"/>
          <w:szCs w:val="21"/>
          <w:highlight w:val="none"/>
        </w:rPr>
        <w:t>从规划角度分析</w:t>
      </w:r>
    </w:p>
    <w:p w14:paraId="28419C3B">
      <w:pPr>
        <w:pStyle w:val="117"/>
        <w:rPr>
          <w:rFonts w:hint="default" w:eastAsia="宋体" w:cs="Times New Roman"/>
          <w:snapToGrid w:val="0"/>
          <w:color w:val="auto"/>
          <w:kern w:val="0"/>
          <w:szCs w:val="21"/>
          <w:highlight w:val="none"/>
          <w:lang w:val="en-US" w:eastAsia="zh-CN"/>
        </w:rPr>
      </w:pPr>
      <w:r>
        <w:rPr>
          <w:rFonts w:cs="Times New Roman"/>
          <w:snapToGrid w:val="0"/>
          <w:color w:val="auto"/>
          <w:kern w:val="0"/>
          <w:szCs w:val="21"/>
          <w:highlight w:val="none"/>
        </w:rPr>
        <w:t>本项目</w:t>
      </w:r>
      <w:r>
        <w:rPr>
          <w:rFonts w:hint="eastAsia" w:cs="Times New Roman"/>
          <w:snapToGrid w:val="0"/>
          <w:color w:val="auto"/>
          <w:kern w:val="0"/>
          <w:szCs w:val="21"/>
          <w:highlight w:val="none"/>
          <w:lang w:val="en-US" w:eastAsia="zh-CN"/>
        </w:rPr>
        <w:t>为屠宰项目，</w:t>
      </w:r>
      <w:r>
        <w:rPr>
          <w:rFonts w:hint="eastAsia" w:ascii="Times New Roman" w:hAnsi="Times New Roman" w:cs="Times New Roman"/>
          <w:snapToGrid w:val="0"/>
          <w:color w:val="auto"/>
          <w:kern w:val="0"/>
          <w:szCs w:val="21"/>
          <w:highlight w:val="none"/>
          <w:lang w:val="en-US" w:eastAsia="zh-CN"/>
        </w:rPr>
        <w:t>位于黑龙江省双鸭山市岭东区长胜乡东兴村，目前该地区尚无规划要求。</w:t>
      </w:r>
      <w:r>
        <w:rPr>
          <w:rFonts w:cs="Times New Roman"/>
          <w:snapToGrid w:val="0"/>
          <w:color w:val="auto"/>
          <w:kern w:val="0"/>
          <w:szCs w:val="21"/>
          <w:highlight w:val="none"/>
        </w:rPr>
        <w:t>项目用地性质为</w:t>
      </w:r>
      <w:r>
        <w:rPr>
          <w:rFonts w:hint="eastAsia" w:cs="Times New Roman"/>
          <w:snapToGrid w:val="0"/>
          <w:color w:val="auto"/>
          <w:kern w:val="0"/>
          <w:szCs w:val="21"/>
          <w:highlight w:val="none"/>
          <w:lang w:val="en-US" w:eastAsia="zh-CN"/>
        </w:rPr>
        <w:t>划拨</w:t>
      </w:r>
      <w:r>
        <w:rPr>
          <w:rFonts w:cs="Times New Roman"/>
          <w:snapToGrid w:val="0"/>
          <w:color w:val="auto"/>
          <w:kern w:val="0"/>
          <w:szCs w:val="21"/>
          <w:highlight w:val="none"/>
        </w:rPr>
        <w:t>用地</w:t>
      </w:r>
      <w:r>
        <w:rPr>
          <w:rFonts w:hint="eastAsia" w:ascii="Times New Roman" w:hAnsi="Times New Roman" w:eastAsia="宋体" w:cs="Times New Roman"/>
          <w:snapToGrid w:val="0"/>
          <w:color w:val="auto"/>
          <w:kern w:val="0"/>
          <w:szCs w:val="21"/>
          <w:highlight w:val="none"/>
          <w:lang w:eastAsia="zh-CN"/>
        </w:rPr>
        <w:t>，</w:t>
      </w:r>
      <w:r>
        <w:rPr>
          <w:rFonts w:hint="eastAsia" w:ascii="Times New Roman" w:hAnsi="Times New Roman" w:eastAsia="宋体" w:cs="Times New Roman"/>
          <w:snapToGrid w:val="0"/>
          <w:color w:val="auto"/>
          <w:kern w:val="0"/>
          <w:szCs w:val="21"/>
          <w:highlight w:val="none"/>
          <w:lang w:val="en-US" w:eastAsia="zh-CN"/>
        </w:rPr>
        <w:t>同时</w:t>
      </w:r>
      <w:r>
        <w:rPr>
          <w:rFonts w:hint="eastAsia" w:cs="Times New Roman"/>
          <w:snapToGrid w:val="0"/>
          <w:color w:val="auto"/>
          <w:kern w:val="0"/>
          <w:szCs w:val="21"/>
          <w:highlight w:val="none"/>
          <w:lang w:val="en-US" w:eastAsia="zh-CN"/>
        </w:rPr>
        <w:t>岭东区农业农村局出具了《岭东区关于双鸭山市兴昌屠宰有限公司设立牲畜定点屠宰场动物防疫条件审查场所选址的报告》</w:t>
      </w:r>
      <w:r>
        <w:rPr>
          <w:rFonts w:hint="eastAsia" w:ascii="Times New Roman" w:hAnsi="Times New Roman" w:eastAsia="宋体" w:cs="Times New Roman"/>
          <w:snapToGrid w:val="0"/>
          <w:color w:val="auto"/>
          <w:kern w:val="0"/>
          <w:szCs w:val="21"/>
          <w:highlight w:val="none"/>
          <w:lang w:val="en-US" w:eastAsia="zh-CN"/>
        </w:rPr>
        <w:t>（见附</w:t>
      </w:r>
      <w:r>
        <w:rPr>
          <w:rFonts w:hint="eastAsia" w:cs="Times New Roman"/>
          <w:snapToGrid w:val="0"/>
          <w:color w:val="auto"/>
          <w:kern w:val="0"/>
          <w:szCs w:val="21"/>
          <w:highlight w:val="none"/>
          <w:lang w:val="en-US" w:eastAsia="zh-CN"/>
        </w:rPr>
        <w:t>件</w:t>
      </w:r>
      <w:r>
        <w:rPr>
          <w:rFonts w:hint="eastAsia" w:ascii="Times New Roman" w:hAnsi="Times New Roman" w:eastAsia="宋体" w:cs="Times New Roman"/>
          <w:snapToGrid w:val="0"/>
          <w:color w:val="auto"/>
          <w:kern w:val="0"/>
          <w:szCs w:val="21"/>
          <w:highlight w:val="none"/>
          <w:lang w:val="en-US" w:eastAsia="zh-CN"/>
        </w:rPr>
        <w:t>2）</w:t>
      </w:r>
      <w:r>
        <w:rPr>
          <w:rFonts w:hint="eastAsia" w:ascii="宋体" w:hAnsi="宋体" w:cs="宋体"/>
          <w:color w:val="auto"/>
          <w:sz w:val="24"/>
          <w:szCs w:val="24"/>
          <w:highlight w:val="none"/>
          <w:lang w:val="en-US" w:eastAsia="zh-CN"/>
        </w:rPr>
        <w:t>，</w:t>
      </w:r>
      <w:r>
        <w:rPr>
          <w:rFonts w:cs="Times New Roman"/>
          <w:snapToGrid w:val="0"/>
          <w:color w:val="auto"/>
          <w:kern w:val="0"/>
          <w:szCs w:val="21"/>
          <w:highlight w:val="none"/>
        </w:rPr>
        <w:t>因此本项目选址是合理的</w:t>
      </w:r>
      <w:r>
        <w:rPr>
          <w:rFonts w:hint="eastAsia" w:cs="Times New Roman"/>
          <w:snapToGrid w:val="0"/>
          <w:color w:val="auto"/>
          <w:kern w:val="0"/>
          <w:szCs w:val="21"/>
          <w:highlight w:val="none"/>
          <w:lang w:val="en-US" w:eastAsia="zh-CN"/>
        </w:rPr>
        <w:t>。</w:t>
      </w:r>
    </w:p>
    <w:p w14:paraId="79F5A266">
      <w:pPr>
        <w:pStyle w:val="117"/>
        <w:ind w:firstLine="482"/>
        <w:rPr>
          <w:rFonts w:cs="Times New Roman"/>
          <w:snapToGrid w:val="0"/>
          <w:color w:val="auto"/>
          <w:kern w:val="0"/>
          <w:szCs w:val="21"/>
          <w:highlight w:val="none"/>
        </w:rPr>
      </w:pPr>
      <w:r>
        <w:rPr>
          <w:rFonts w:cs="Times New Roman"/>
          <w:b/>
          <w:bCs/>
          <w:snapToGrid w:val="0"/>
          <w:color w:val="auto"/>
          <w:kern w:val="0"/>
          <w:szCs w:val="21"/>
          <w:highlight w:val="none"/>
        </w:rPr>
        <w:t>2、从环境角度分析</w:t>
      </w:r>
    </w:p>
    <w:p w14:paraId="6C05889B">
      <w:pPr>
        <w:pStyle w:val="117"/>
        <w:rPr>
          <w:rFonts w:cs="Times New Roman"/>
          <w:snapToGrid w:val="0"/>
          <w:color w:val="auto"/>
          <w:kern w:val="0"/>
          <w:szCs w:val="21"/>
          <w:highlight w:val="none"/>
        </w:rPr>
      </w:pPr>
      <w:r>
        <w:rPr>
          <w:rFonts w:cs="Times New Roman"/>
          <w:snapToGrid w:val="0"/>
          <w:color w:val="auto"/>
          <w:kern w:val="0"/>
          <w:szCs w:val="21"/>
          <w:highlight w:val="none"/>
        </w:rPr>
        <w:t>本项目位于</w:t>
      </w:r>
      <w:r>
        <w:rPr>
          <w:rFonts w:hint="eastAsia" w:ascii="Times New Roman" w:hAnsi="Times New Roman" w:cs="Times New Roman"/>
          <w:snapToGrid w:val="0"/>
          <w:color w:val="auto"/>
          <w:kern w:val="0"/>
          <w:szCs w:val="21"/>
          <w:highlight w:val="none"/>
          <w:lang w:val="en-US" w:eastAsia="zh-CN"/>
        </w:rPr>
        <w:t>黑龙江省双鸭山市岭东区长胜乡东兴村</w:t>
      </w:r>
      <w:r>
        <w:rPr>
          <w:rFonts w:cs="Times New Roman"/>
          <w:snapToGrid w:val="0"/>
          <w:color w:val="auto"/>
          <w:kern w:val="0"/>
          <w:szCs w:val="21"/>
          <w:highlight w:val="none"/>
        </w:rPr>
        <w:t>，主要污染物为废水、废气、固体废物、噪声，采取相应的措施后对环境的影响程度和范围可为周边环境所接受，</w:t>
      </w:r>
      <w:r>
        <w:rPr>
          <w:rFonts w:hint="eastAsia" w:cs="Times New Roman"/>
          <w:snapToGrid w:val="0"/>
          <w:color w:val="auto"/>
          <w:kern w:val="0"/>
          <w:szCs w:val="21"/>
          <w:highlight w:val="none"/>
          <w:lang w:val="en-US" w:eastAsia="zh-CN"/>
        </w:rPr>
        <w:t>本项目当地风向常年西南风，敏感目标为厂界西侧居民区，位于厂区上风向，</w:t>
      </w:r>
      <w:r>
        <w:rPr>
          <w:rFonts w:cs="Times New Roman"/>
          <w:snapToGrid w:val="0"/>
          <w:color w:val="auto"/>
          <w:kern w:val="0"/>
          <w:szCs w:val="21"/>
          <w:highlight w:val="none"/>
        </w:rPr>
        <w:t>从环境保护角度分析，本项目选址是可行的。</w:t>
      </w:r>
    </w:p>
    <w:p w14:paraId="64153F4D">
      <w:pPr>
        <w:pStyle w:val="117"/>
        <w:ind w:firstLine="482"/>
        <w:rPr>
          <w:rFonts w:cs="Times New Roman"/>
          <w:b/>
          <w:bCs/>
          <w:snapToGrid w:val="0"/>
          <w:color w:val="auto"/>
          <w:kern w:val="0"/>
          <w:szCs w:val="21"/>
          <w:highlight w:val="none"/>
        </w:rPr>
      </w:pPr>
      <w:r>
        <w:rPr>
          <w:rFonts w:cs="Times New Roman"/>
          <w:b/>
          <w:bCs/>
          <w:snapToGrid w:val="0"/>
          <w:color w:val="auto"/>
          <w:kern w:val="0"/>
          <w:szCs w:val="21"/>
          <w:highlight w:val="none"/>
        </w:rPr>
        <w:t>3、从规范角度分析</w:t>
      </w:r>
    </w:p>
    <w:p w14:paraId="14C3348E">
      <w:pPr>
        <w:adjustRightInd/>
        <w:snapToGrid/>
        <w:spacing w:line="500" w:lineRule="exact"/>
        <w:rPr>
          <w:rFonts w:cs="Times New Roman"/>
          <w:b/>
          <w:bCs/>
          <w:color w:val="auto"/>
          <w:szCs w:val="24"/>
          <w:highlight w:val="none"/>
          <w:lang w:val="zh-CN"/>
        </w:rPr>
      </w:pPr>
      <w:r>
        <w:rPr>
          <w:rFonts w:cs="Times New Roman"/>
          <w:color w:val="auto"/>
          <w:highlight w:val="none"/>
        </w:rPr>
        <w:t>本项目与《黑龙江省畜禽屠宰管理条例》、《畜类屠宰加工通用技术》（GB/T17237-2008）、《牛羊屠宰与分割车间设计规范》（GB51225-2017）等的符合性分析见下表。</w:t>
      </w:r>
    </w:p>
    <w:p w14:paraId="1FDB1EA1">
      <w:pPr>
        <w:autoSpaceDE w:val="0"/>
        <w:autoSpaceDN w:val="0"/>
        <w:spacing w:before="156" w:beforeLines="50" w:line="240" w:lineRule="auto"/>
        <w:ind w:firstLine="482"/>
        <w:jc w:val="center"/>
        <w:rPr>
          <w:rFonts w:cs="Times New Roman"/>
          <w:b/>
          <w:bCs/>
          <w:color w:val="auto"/>
          <w:szCs w:val="24"/>
          <w:highlight w:val="none"/>
          <w:lang w:val="zh-CN"/>
        </w:rPr>
      </w:pPr>
      <w:r>
        <w:rPr>
          <w:rFonts w:cs="Times New Roman"/>
          <w:b/>
          <w:bCs/>
          <w:color w:val="auto"/>
          <w:szCs w:val="24"/>
          <w:highlight w:val="none"/>
          <w:lang w:val="zh-CN"/>
        </w:rPr>
        <w:t>表1-4-</w:t>
      </w:r>
      <w:r>
        <w:rPr>
          <w:rFonts w:hint="eastAsia" w:cs="Times New Roman"/>
          <w:b/>
          <w:bCs/>
          <w:color w:val="auto"/>
          <w:szCs w:val="24"/>
          <w:highlight w:val="none"/>
          <w:lang w:val="en-US" w:eastAsia="zh-CN"/>
        </w:rPr>
        <w:t>6</w:t>
      </w:r>
      <w:r>
        <w:rPr>
          <w:rFonts w:cs="Times New Roman"/>
          <w:b/>
          <w:bCs/>
          <w:color w:val="auto"/>
          <w:szCs w:val="24"/>
          <w:highlight w:val="none"/>
        </w:rPr>
        <w:t xml:space="preserve">  </w:t>
      </w:r>
      <w:r>
        <w:rPr>
          <w:rFonts w:cs="Times New Roman"/>
          <w:b/>
          <w:bCs/>
          <w:color w:val="auto"/>
          <w:szCs w:val="24"/>
          <w:highlight w:val="none"/>
          <w:lang w:val="zh-CN"/>
        </w:rPr>
        <w:t>选址合理性分析</w:t>
      </w:r>
    </w:p>
    <w:tbl>
      <w:tblPr>
        <w:tblStyle w:val="398"/>
        <w:tblW w:w="86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4"/>
        <w:gridCol w:w="3804"/>
        <w:gridCol w:w="3210"/>
        <w:gridCol w:w="750"/>
      </w:tblGrid>
      <w:tr w14:paraId="6FEC4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4" w:type="dxa"/>
            <w:vAlign w:val="center"/>
          </w:tcPr>
          <w:p w14:paraId="66E8A007">
            <w:pPr>
              <w:adjustRightInd/>
              <w:snapToGrid/>
              <w:spacing w:line="360" w:lineRule="exact"/>
              <w:ind w:firstLine="0" w:firstLineChars="0"/>
              <w:jc w:val="center"/>
              <w:rPr>
                <w:rFonts w:cs="Times New Roman"/>
                <w:snapToGrid w:val="0"/>
                <w:color w:val="auto"/>
                <w:kern w:val="0"/>
                <w:sz w:val="21"/>
                <w:highlight w:val="none"/>
                <w:lang w:val="zh-CN"/>
              </w:rPr>
            </w:pPr>
            <w:bookmarkStart w:id="21" w:name="_Hlk519701584"/>
            <w:r>
              <w:rPr>
                <w:rFonts w:cs="Times New Roman"/>
                <w:snapToGrid w:val="0"/>
                <w:color w:val="auto"/>
                <w:kern w:val="0"/>
                <w:sz w:val="21"/>
                <w:highlight w:val="none"/>
                <w:lang w:val="zh-CN"/>
              </w:rPr>
              <w:t>相关政策、条例、规范</w:t>
            </w:r>
          </w:p>
        </w:tc>
        <w:tc>
          <w:tcPr>
            <w:tcW w:w="3804" w:type="dxa"/>
            <w:vAlign w:val="center"/>
          </w:tcPr>
          <w:p w14:paraId="70F99BFF">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要求</w:t>
            </w:r>
          </w:p>
        </w:tc>
        <w:tc>
          <w:tcPr>
            <w:tcW w:w="3210" w:type="dxa"/>
            <w:vAlign w:val="center"/>
          </w:tcPr>
          <w:p w14:paraId="2DB7C3D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符合性分析</w:t>
            </w:r>
          </w:p>
        </w:tc>
        <w:tc>
          <w:tcPr>
            <w:tcW w:w="750" w:type="dxa"/>
            <w:vAlign w:val="center"/>
          </w:tcPr>
          <w:p w14:paraId="28AAE05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是否符合</w:t>
            </w:r>
          </w:p>
        </w:tc>
      </w:tr>
      <w:tr w14:paraId="366BE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4" w:type="dxa"/>
            <w:vAlign w:val="center"/>
          </w:tcPr>
          <w:p w14:paraId="18BEBD46">
            <w:pPr>
              <w:adjustRightInd/>
              <w:snapToGrid/>
              <w:spacing w:line="360" w:lineRule="exact"/>
              <w:ind w:firstLine="0" w:firstLineChars="0"/>
              <w:rPr>
                <w:rFonts w:cs="Times New Roman"/>
                <w:snapToGrid w:val="0"/>
                <w:color w:val="auto"/>
                <w:kern w:val="0"/>
                <w:sz w:val="21"/>
                <w:highlight w:val="none"/>
                <w:lang w:val="zh-CN"/>
              </w:rPr>
            </w:pPr>
            <w:r>
              <w:rPr>
                <w:rFonts w:cs="Times New Roman"/>
                <w:snapToGrid w:val="0"/>
                <w:color w:val="auto"/>
                <w:kern w:val="0"/>
                <w:sz w:val="21"/>
                <w:highlight w:val="none"/>
                <w:lang w:val="zh-CN"/>
              </w:rPr>
              <w:t>《黑龙江省畜禽屠宰管理条例》</w:t>
            </w:r>
          </w:p>
        </w:tc>
        <w:tc>
          <w:tcPr>
            <w:tcW w:w="3804" w:type="dxa"/>
            <w:vAlign w:val="center"/>
          </w:tcPr>
          <w:p w14:paraId="5826D6DE">
            <w:pPr>
              <w:adjustRightInd/>
              <w:snapToGrid/>
              <w:spacing w:line="360" w:lineRule="exact"/>
              <w:ind w:firstLine="0" w:firstLineChars="0"/>
              <w:rPr>
                <w:rFonts w:cs="Times New Roman"/>
                <w:snapToGrid w:val="0"/>
                <w:color w:val="auto"/>
                <w:kern w:val="0"/>
                <w:sz w:val="21"/>
                <w:highlight w:val="none"/>
                <w:lang w:val="zh-CN"/>
              </w:rPr>
            </w:pPr>
            <w:r>
              <w:rPr>
                <w:rFonts w:cs="Times New Roman"/>
                <w:snapToGrid w:val="0"/>
                <w:color w:val="auto"/>
                <w:kern w:val="0"/>
                <w:sz w:val="21"/>
                <w:szCs w:val="21"/>
                <w:highlight w:val="none"/>
              </w:rPr>
              <w:t> 畜禽定点屠宰厂（场）、小型生猪屠宰场点的选址，应当符合规划、建设、土地、环境保护、动物防疫、食品安全等方面有关法律、法规的规定。</w:t>
            </w:r>
          </w:p>
        </w:tc>
        <w:tc>
          <w:tcPr>
            <w:tcW w:w="3210" w:type="dxa"/>
            <w:vAlign w:val="center"/>
          </w:tcPr>
          <w:p w14:paraId="109C5CCA">
            <w:pPr>
              <w:spacing w:line="360" w:lineRule="exact"/>
              <w:ind w:firstLine="420"/>
              <w:rPr>
                <w:rFonts w:cs="Times New Roman"/>
                <w:snapToGrid w:val="0"/>
                <w:color w:val="auto"/>
                <w:kern w:val="0"/>
                <w:sz w:val="21"/>
                <w:highlight w:val="none"/>
              </w:rPr>
            </w:pPr>
            <w:r>
              <w:rPr>
                <w:rFonts w:cs="Times New Roman"/>
                <w:snapToGrid w:val="0"/>
                <w:color w:val="auto"/>
                <w:kern w:val="0"/>
                <w:sz w:val="21"/>
                <w:highlight w:val="none"/>
                <w:lang w:val="zh-CN"/>
              </w:rPr>
              <w:t>本项目位</w:t>
            </w:r>
            <w:r>
              <w:rPr>
                <w:rFonts w:ascii="Times New Roman" w:hAnsi="Times New Roman" w:cs="Times New Roman"/>
                <w:snapToGrid w:val="0"/>
                <w:color w:val="auto"/>
                <w:kern w:val="0"/>
                <w:sz w:val="21"/>
                <w:highlight w:val="none"/>
                <w:lang w:val="zh-CN"/>
              </w:rPr>
              <w:t>于</w:t>
            </w:r>
            <w:r>
              <w:rPr>
                <w:rFonts w:hint="eastAsia" w:ascii="Times New Roman" w:hAnsi="Times New Roman" w:cs="Times New Roman"/>
                <w:snapToGrid w:val="0"/>
                <w:color w:val="auto"/>
                <w:kern w:val="0"/>
                <w:sz w:val="21"/>
                <w:highlight w:val="none"/>
                <w:lang w:val="en-US" w:eastAsia="zh-CN"/>
              </w:rPr>
              <w:t>黑龙江省双鸭山市岭东区长胜乡东兴村</w:t>
            </w:r>
            <w:r>
              <w:rPr>
                <w:rFonts w:ascii="Times New Roman" w:hAnsi="Times New Roman" w:cs="Times New Roman"/>
                <w:snapToGrid w:val="0"/>
                <w:color w:val="auto"/>
                <w:kern w:val="0"/>
                <w:sz w:val="21"/>
                <w:highlight w:val="none"/>
                <w:lang w:val="zh-CN"/>
              </w:rPr>
              <w:t>，</w:t>
            </w:r>
            <w:r>
              <w:rPr>
                <w:rFonts w:hint="eastAsia" w:ascii="Times New Roman" w:hAnsi="Times New Roman" w:cs="Times New Roman"/>
                <w:snapToGrid w:val="0"/>
                <w:color w:val="auto"/>
                <w:kern w:val="0"/>
                <w:sz w:val="21"/>
                <w:highlight w:val="none"/>
                <w:lang w:val="en-US" w:eastAsia="zh-CN"/>
              </w:rPr>
              <w:t>该场地符合距离生活饮用水水源地、动物饲养场、动物和动物产品集贸市场和双鸭山市牧昌牧业种畜场距离要求</w:t>
            </w:r>
            <w:r>
              <w:rPr>
                <w:rFonts w:ascii="Times New Roman" w:hAnsi="Times New Roman" w:cs="Times New Roman"/>
                <w:snapToGrid w:val="0"/>
                <w:color w:val="auto"/>
                <w:kern w:val="0"/>
                <w:sz w:val="21"/>
                <w:highlight w:val="none"/>
                <w:lang w:val="zh-CN"/>
              </w:rPr>
              <w:t>，项目同</w:t>
            </w:r>
            <w:r>
              <w:rPr>
                <w:rFonts w:cs="Times New Roman"/>
                <w:snapToGrid w:val="0"/>
                <w:color w:val="auto"/>
                <w:kern w:val="0"/>
                <w:sz w:val="21"/>
                <w:szCs w:val="21"/>
                <w:highlight w:val="none"/>
              </w:rPr>
              <w:t>时配备相应的技术人员与检验设备，生产技术人员和检验人员进行技术培训，项目配有相应的环保措施，能够保证排放的废水、废气、废物和噪声等符合国家环保规定的要求。</w:t>
            </w:r>
          </w:p>
        </w:tc>
        <w:tc>
          <w:tcPr>
            <w:tcW w:w="750" w:type="dxa"/>
            <w:vAlign w:val="center"/>
          </w:tcPr>
          <w:p w14:paraId="7FF72A6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符合</w:t>
            </w:r>
          </w:p>
        </w:tc>
      </w:tr>
      <w:tr w14:paraId="66E98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884" w:type="dxa"/>
            <w:vAlign w:val="center"/>
          </w:tcPr>
          <w:p w14:paraId="27EAEB48">
            <w:pPr>
              <w:adjustRightInd/>
              <w:snapToGrid/>
              <w:spacing w:line="360" w:lineRule="exact"/>
              <w:ind w:firstLine="0" w:firstLineChars="0"/>
              <w:rPr>
                <w:rFonts w:cs="Times New Roman"/>
                <w:snapToGrid w:val="0"/>
                <w:color w:val="auto"/>
                <w:kern w:val="0"/>
                <w:sz w:val="21"/>
                <w:highlight w:val="none"/>
                <w:lang w:val="zh-CN"/>
              </w:rPr>
            </w:pPr>
            <w:bookmarkStart w:id="22" w:name="_Hlk519780609"/>
            <w:r>
              <w:rPr>
                <w:rFonts w:cs="Times New Roman"/>
                <w:snapToGrid w:val="0"/>
                <w:color w:val="auto"/>
                <w:kern w:val="0"/>
                <w:sz w:val="21"/>
                <w:highlight w:val="none"/>
                <w:lang w:val="zh-CN"/>
              </w:rPr>
              <w:t>《畜禽屠宰加工卫生规范》（GB12694-2016）</w:t>
            </w:r>
            <w:bookmarkEnd w:id="22"/>
          </w:p>
        </w:tc>
        <w:tc>
          <w:tcPr>
            <w:tcW w:w="3804" w:type="dxa"/>
            <w:vAlign w:val="center"/>
          </w:tcPr>
          <w:p w14:paraId="3CA540D4">
            <w:pPr>
              <w:adjustRightInd/>
              <w:snapToGrid/>
              <w:spacing w:line="360" w:lineRule="exact"/>
              <w:ind w:firstLine="0" w:firstLineChars="0"/>
              <w:rPr>
                <w:rFonts w:cs="Times New Roman"/>
                <w:snapToGrid w:val="0"/>
                <w:color w:val="auto"/>
                <w:kern w:val="0"/>
                <w:sz w:val="21"/>
                <w:highlight w:val="none"/>
              </w:rPr>
            </w:pPr>
            <w:r>
              <w:rPr>
                <w:rFonts w:cs="Times New Roman"/>
                <w:snapToGrid w:val="0"/>
                <w:color w:val="auto"/>
                <w:kern w:val="0"/>
                <w:sz w:val="21"/>
                <w:highlight w:val="none"/>
              </w:rPr>
              <w:t>3.2.1卫生防护距离应符合GB18078.1及动物防疫要求。</w:t>
            </w:r>
          </w:p>
          <w:p w14:paraId="2E7CEB2D">
            <w:pPr>
              <w:adjustRightInd/>
              <w:snapToGrid/>
              <w:spacing w:line="360" w:lineRule="exact"/>
              <w:ind w:firstLine="0" w:firstLineChars="0"/>
              <w:rPr>
                <w:rFonts w:cs="Times New Roman"/>
                <w:snapToGrid w:val="0"/>
                <w:color w:val="auto"/>
                <w:kern w:val="0"/>
                <w:sz w:val="21"/>
                <w:highlight w:val="none"/>
              </w:rPr>
            </w:pPr>
            <w:r>
              <w:rPr>
                <w:rFonts w:cs="Times New Roman"/>
                <w:snapToGrid w:val="0"/>
                <w:color w:val="auto"/>
                <w:kern w:val="0"/>
                <w:sz w:val="21"/>
                <w:highlight w:val="none"/>
              </w:rPr>
              <w:t>3.2.2厂址周围应有良好的环境卫生条件。厂区应远离受污染的水体，并应避开产生有害气体、烟雾、粉尘等污染源的工业企业或其他产生污染源的地区或场所。</w:t>
            </w:r>
          </w:p>
          <w:p w14:paraId="715DC3BE">
            <w:pPr>
              <w:adjustRightInd/>
              <w:snapToGrid/>
              <w:spacing w:line="360" w:lineRule="exact"/>
              <w:ind w:firstLine="0" w:firstLineChars="0"/>
              <w:rPr>
                <w:rFonts w:cs="Times New Roman"/>
                <w:snapToGrid w:val="0"/>
                <w:color w:val="auto"/>
                <w:kern w:val="0"/>
                <w:sz w:val="21"/>
                <w:highlight w:val="none"/>
              </w:rPr>
            </w:pPr>
            <w:r>
              <w:rPr>
                <w:rFonts w:cs="Times New Roman"/>
                <w:snapToGrid w:val="0"/>
                <w:color w:val="auto"/>
                <w:kern w:val="0"/>
                <w:sz w:val="21"/>
                <w:highlight w:val="none"/>
              </w:rPr>
              <w:t>3.2.3厂址必须具备符合要求的水源和电源，应结合工艺要求因地制宜地确定，并应符合屠宰企业设置规划的要求。</w:t>
            </w:r>
          </w:p>
        </w:tc>
        <w:tc>
          <w:tcPr>
            <w:tcW w:w="3210" w:type="dxa"/>
            <w:vAlign w:val="center"/>
          </w:tcPr>
          <w:p w14:paraId="01FB1FCA">
            <w:pPr>
              <w:spacing w:line="360" w:lineRule="exact"/>
              <w:ind w:firstLine="420"/>
              <w:rPr>
                <w:rFonts w:cs="Times New Roman"/>
                <w:snapToGrid w:val="0"/>
                <w:color w:val="auto"/>
                <w:kern w:val="0"/>
                <w:sz w:val="21"/>
                <w:highlight w:val="none"/>
              </w:rPr>
            </w:pPr>
            <w:r>
              <w:rPr>
                <w:rFonts w:cs="Times New Roman"/>
                <w:snapToGrid w:val="0"/>
                <w:color w:val="auto"/>
                <w:kern w:val="0"/>
                <w:sz w:val="21"/>
                <w:highlight w:val="none"/>
                <w:lang w:val="zh-CN"/>
              </w:rPr>
              <w:t>本项目位于</w:t>
            </w:r>
            <w:r>
              <w:rPr>
                <w:rFonts w:hint="eastAsia" w:ascii="Times New Roman" w:hAnsi="Times New Roman" w:cs="Times New Roman"/>
                <w:snapToGrid w:val="0"/>
                <w:color w:val="auto"/>
                <w:kern w:val="0"/>
                <w:sz w:val="21"/>
                <w:highlight w:val="none"/>
                <w:lang w:val="en-US" w:eastAsia="zh-CN"/>
              </w:rPr>
              <w:t>黑龙江省双鸭山市岭东区长胜乡东兴村</w:t>
            </w:r>
            <w:r>
              <w:rPr>
                <w:rFonts w:cs="Times New Roman"/>
                <w:snapToGrid w:val="0"/>
                <w:color w:val="auto"/>
                <w:kern w:val="0"/>
                <w:sz w:val="21"/>
                <w:highlight w:val="none"/>
                <w:lang w:val="zh-CN"/>
              </w:rPr>
              <w:t>，</w:t>
            </w:r>
            <w:r>
              <w:rPr>
                <w:rFonts w:cs="Times New Roman"/>
                <w:snapToGrid w:val="0"/>
                <w:color w:val="auto"/>
                <w:kern w:val="0"/>
                <w:sz w:val="21"/>
                <w:szCs w:val="21"/>
                <w:highlight w:val="none"/>
              </w:rPr>
              <w:t>周边无产生有害气体、烟雾、粉尘等污染源的工业企业。交通运输方便，市政供电，供水来源于</w:t>
            </w:r>
            <w:r>
              <w:rPr>
                <w:rFonts w:hint="eastAsia" w:cs="Times New Roman"/>
                <w:snapToGrid w:val="0"/>
                <w:color w:val="auto"/>
                <w:kern w:val="0"/>
                <w:sz w:val="21"/>
                <w:szCs w:val="21"/>
                <w:highlight w:val="none"/>
                <w:lang w:val="en-US" w:eastAsia="zh-CN"/>
              </w:rPr>
              <w:t>市政</w:t>
            </w:r>
            <w:r>
              <w:rPr>
                <w:rFonts w:cs="Times New Roman"/>
                <w:snapToGrid w:val="0"/>
                <w:color w:val="auto"/>
                <w:kern w:val="0"/>
                <w:sz w:val="21"/>
                <w:szCs w:val="21"/>
                <w:highlight w:val="none"/>
              </w:rPr>
              <w:t>供水管网，水电等各项设施完善。</w:t>
            </w:r>
          </w:p>
        </w:tc>
        <w:tc>
          <w:tcPr>
            <w:tcW w:w="750" w:type="dxa"/>
            <w:vAlign w:val="center"/>
          </w:tcPr>
          <w:p w14:paraId="000F443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符合</w:t>
            </w:r>
          </w:p>
        </w:tc>
      </w:tr>
      <w:tr w14:paraId="4C270C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2" w:hRule="atLeast"/>
          <w:jc w:val="center"/>
        </w:trPr>
        <w:tc>
          <w:tcPr>
            <w:tcW w:w="884" w:type="dxa"/>
            <w:vAlign w:val="center"/>
          </w:tcPr>
          <w:p w14:paraId="71C22D13">
            <w:pPr>
              <w:adjustRightInd/>
              <w:snapToGrid/>
              <w:spacing w:line="360" w:lineRule="exact"/>
              <w:ind w:firstLine="0" w:firstLineChars="0"/>
              <w:rPr>
                <w:rFonts w:cs="Times New Roman"/>
                <w:snapToGrid w:val="0"/>
                <w:color w:val="auto"/>
                <w:kern w:val="0"/>
                <w:sz w:val="21"/>
                <w:highlight w:val="none"/>
                <w:lang w:val="zh-CN"/>
              </w:rPr>
            </w:pPr>
            <w:bookmarkStart w:id="23" w:name="_Hlk519780620"/>
            <w:r>
              <w:rPr>
                <w:rFonts w:cs="Times New Roman"/>
                <w:snapToGrid w:val="0"/>
                <w:color w:val="auto"/>
                <w:kern w:val="0"/>
                <w:sz w:val="21"/>
                <w:highlight w:val="none"/>
                <w:lang w:val="zh-CN"/>
              </w:rPr>
              <w:t>《畜类屠宰加工通用技术》（GB/T17237-2008）</w:t>
            </w:r>
          </w:p>
        </w:tc>
        <w:tc>
          <w:tcPr>
            <w:tcW w:w="3804" w:type="dxa"/>
            <w:vAlign w:val="center"/>
          </w:tcPr>
          <w:p w14:paraId="08B64945">
            <w:pPr>
              <w:adjustRightInd/>
              <w:snapToGrid/>
              <w:spacing w:line="360" w:lineRule="exact"/>
              <w:ind w:firstLine="0" w:firstLineChars="0"/>
              <w:rPr>
                <w:rFonts w:cs="Times New Roman"/>
                <w:snapToGrid w:val="0"/>
                <w:color w:val="auto"/>
                <w:kern w:val="0"/>
                <w:sz w:val="21"/>
                <w:highlight w:val="none"/>
              </w:rPr>
            </w:pPr>
            <w:r>
              <w:rPr>
                <w:rFonts w:cs="Times New Roman"/>
                <w:snapToGrid w:val="0"/>
                <w:color w:val="auto"/>
                <w:kern w:val="0"/>
                <w:sz w:val="21"/>
                <w:highlight w:val="none"/>
              </w:rPr>
              <w:t>4.1畜类屠宰加工厂（场）选址除应符合GB12694和GB50317的相关要求外，还应选在当地常年主导风向的下风侧，远离水源保护区和饮用水取水口，避开居民住宅区、公共场所以及畜禽饲养场；</w:t>
            </w:r>
          </w:p>
          <w:p w14:paraId="44BDA36E">
            <w:pPr>
              <w:adjustRightInd/>
              <w:snapToGrid/>
              <w:spacing w:line="360" w:lineRule="exact"/>
              <w:ind w:firstLine="0" w:firstLineChars="0"/>
              <w:rPr>
                <w:rFonts w:cs="Times New Roman"/>
                <w:snapToGrid w:val="0"/>
                <w:color w:val="auto"/>
                <w:kern w:val="0"/>
                <w:sz w:val="21"/>
                <w:highlight w:val="none"/>
              </w:rPr>
            </w:pPr>
            <w:r>
              <w:rPr>
                <w:rFonts w:cs="Times New Roman"/>
                <w:snapToGrid w:val="0"/>
                <w:color w:val="auto"/>
                <w:kern w:val="0"/>
                <w:sz w:val="21"/>
                <w:highlight w:val="none"/>
              </w:rPr>
              <w:t>4.2畜类屠宰加工厂（场）应设在交通运输方便，电源稳定，水源充足，水质符合GB5749要求，环境卫生条件良好，无有害气体、粉尘、污浊水及其他污染源的地区。</w:t>
            </w:r>
          </w:p>
        </w:tc>
        <w:tc>
          <w:tcPr>
            <w:tcW w:w="3210" w:type="dxa"/>
            <w:vAlign w:val="center"/>
          </w:tcPr>
          <w:p w14:paraId="5BBBA062">
            <w:pPr>
              <w:spacing w:line="360" w:lineRule="exact"/>
              <w:ind w:firstLine="420"/>
              <w:rPr>
                <w:rFonts w:cs="Times New Roman"/>
                <w:snapToGrid w:val="0"/>
                <w:color w:val="auto"/>
                <w:kern w:val="0"/>
                <w:sz w:val="21"/>
                <w:highlight w:val="none"/>
                <w:lang w:val="zh-CN"/>
              </w:rPr>
            </w:pPr>
            <w:r>
              <w:rPr>
                <w:rFonts w:cs="Times New Roman"/>
                <w:snapToGrid w:val="0"/>
                <w:color w:val="auto"/>
                <w:kern w:val="0"/>
                <w:sz w:val="21"/>
                <w:highlight w:val="none"/>
                <w:lang w:val="zh-CN"/>
              </w:rPr>
              <w:t>本项目位于</w:t>
            </w:r>
            <w:r>
              <w:rPr>
                <w:rFonts w:hint="eastAsia" w:ascii="Times New Roman" w:hAnsi="Times New Roman" w:cs="Times New Roman"/>
                <w:snapToGrid w:val="0"/>
                <w:color w:val="auto"/>
                <w:kern w:val="0"/>
                <w:sz w:val="21"/>
                <w:highlight w:val="none"/>
                <w:lang w:val="en-US" w:eastAsia="zh-CN"/>
              </w:rPr>
              <w:t>黑龙江省双鸭山市岭东区长胜乡东兴村</w:t>
            </w:r>
            <w:r>
              <w:rPr>
                <w:rFonts w:cs="Times New Roman"/>
                <w:snapToGrid w:val="0"/>
                <w:color w:val="auto"/>
                <w:kern w:val="0"/>
                <w:sz w:val="21"/>
                <w:highlight w:val="none"/>
                <w:lang w:val="zh-CN"/>
              </w:rPr>
              <w:t>，</w:t>
            </w:r>
            <w:r>
              <w:rPr>
                <w:rFonts w:cs="Times New Roman"/>
                <w:snapToGrid w:val="0"/>
                <w:color w:val="auto"/>
                <w:kern w:val="0"/>
                <w:sz w:val="21"/>
                <w:highlight w:val="none"/>
              </w:rPr>
              <w:t>距离最近居民区</w:t>
            </w:r>
            <w:r>
              <w:rPr>
                <w:rFonts w:hint="eastAsia" w:cs="Times New Roman"/>
                <w:snapToGrid w:val="0"/>
                <w:color w:val="auto"/>
                <w:kern w:val="0"/>
                <w:sz w:val="21"/>
                <w:highlight w:val="none"/>
                <w:lang w:val="en-US" w:eastAsia="zh-CN"/>
              </w:rPr>
              <w:t>约100</w:t>
            </w:r>
            <w:r>
              <w:rPr>
                <w:rFonts w:cs="Times New Roman"/>
                <w:snapToGrid w:val="0"/>
                <w:color w:val="auto"/>
                <w:kern w:val="0"/>
                <w:sz w:val="21"/>
                <w:highlight w:val="none"/>
              </w:rPr>
              <w:t>m，</w:t>
            </w:r>
            <w:r>
              <w:rPr>
                <w:rFonts w:cs="Times New Roman"/>
                <w:snapToGrid w:val="0"/>
                <w:color w:val="auto"/>
                <w:kern w:val="0"/>
                <w:sz w:val="21"/>
                <w:szCs w:val="21"/>
                <w:highlight w:val="none"/>
              </w:rPr>
              <w:t>厂区位于</w:t>
            </w:r>
            <w:r>
              <w:rPr>
                <w:rFonts w:hint="eastAsia" w:cs="Times New Roman"/>
                <w:snapToGrid w:val="0"/>
                <w:color w:val="auto"/>
                <w:kern w:val="0"/>
                <w:sz w:val="21"/>
                <w:szCs w:val="21"/>
                <w:highlight w:val="none"/>
                <w:lang w:val="en-US" w:eastAsia="zh-CN"/>
              </w:rPr>
              <w:t>当地</w:t>
            </w:r>
            <w:r>
              <w:rPr>
                <w:rFonts w:cs="Times New Roman"/>
                <w:snapToGrid w:val="0"/>
                <w:color w:val="auto"/>
                <w:kern w:val="0"/>
                <w:sz w:val="21"/>
                <w:szCs w:val="21"/>
                <w:highlight w:val="none"/>
              </w:rPr>
              <w:t>全年主导风向下风向，本项目符合卫生防护距离及动物防疫要求。项目周边无产生有害气体、烟雾、粉尘等污染源的工业企业。交通运输方便，市政供电，供水来源于</w:t>
            </w:r>
            <w:r>
              <w:rPr>
                <w:rFonts w:hint="eastAsia" w:cs="Times New Roman"/>
                <w:snapToGrid w:val="0"/>
                <w:color w:val="auto"/>
                <w:kern w:val="0"/>
                <w:sz w:val="21"/>
                <w:szCs w:val="21"/>
                <w:highlight w:val="none"/>
                <w:lang w:val="en-US" w:eastAsia="zh-CN"/>
              </w:rPr>
              <w:t>市政</w:t>
            </w:r>
            <w:r>
              <w:rPr>
                <w:rFonts w:cs="Times New Roman"/>
                <w:snapToGrid w:val="0"/>
                <w:color w:val="auto"/>
                <w:kern w:val="0"/>
                <w:sz w:val="21"/>
                <w:szCs w:val="21"/>
                <w:highlight w:val="none"/>
              </w:rPr>
              <w:t>供水管网，水电等各项设施完善。</w:t>
            </w:r>
          </w:p>
          <w:p w14:paraId="0B9D130C">
            <w:pPr>
              <w:spacing w:line="360" w:lineRule="exact"/>
              <w:ind w:firstLine="420"/>
              <w:rPr>
                <w:rFonts w:cs="Times New Roman"/>
                <w:snapToGrid w:val="0"/>
                <w:color w:val="auto"/>
                <w:kern w:val="0"/>
                <w:sz w:val="21"/>
                <w:highlight w:val="none"/>
                <w:lang w:val="zh-CN"/>
              </w:rPr>
            </w:pPr>
          </w:p>
        </w:tc>
        <w:tc>
          <w:tcPr>
            <w:tcW w:w="750" w:type="dxa"/>
            <w:vAlign w:val="center"/>
          </w:tcPr>
          <w:p w14:paraId="1D4A850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符合</w:t>
            </w:r>
          </w:p>
        </w:tc>
      </w:tr>
      <w:bookmarkEnd w:id="23"/>
      <w:tr w14:paraId="4494C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4" w:type="dxa"/>
            <w:vMerge w:val="restart"/>
            <w:vAlign w:val="center"/>
          </w:tcPr>
          <w:p w14:paraId="305A74AB">
            <w:pPr>
              <w:adjustRightInd/>
              <w:snapToGrid/>
              <w:spacing w:line="360" w:lineRule="exact"/>
              <w:ind w:firstLine="0" w:firstLineChars="0"/>
              <w:rPr>
                <w:rFonts w:cs="Times New Roman"/>
                <w:snapToGrid w:val="0"/>
                <w:color w:val="auto"/>
                <w:kern w:val="0"/>
                <w:sz w:val="21"/>
                <w:highlight w:val="none"/>
                <w:lang w:val="zh-CN"/>
              </w:rPr>
            </w:pPr>
            <w:r>
              <w:rPr>
                <w:rFonts w:cs="Times New Roman"/>
                <w:snapToGrid w:val="0"/>
                <w:color w:val="auto"/>
                <w:kern w:val="0"/>
                <w:sz w:val="21"/>
                <w:highlight w:val="none"/>
                <w:lang w:val="zh-CN"/>
              </w:rPr>
              <w:t>《牛羊屠宰与分割车间设计规范》（GB51225-2017）</w:t>
            </w:r>
          </w:p>
        </w:tc>
        <w:tc>
          <w:tcPr>
            <w:tcW w:w="3804" w:type="dxa"/>
            <w:vAlign w:val="center"/>
          </w:tcPr>
          <w:p w14:paraId="22A42E41">
            <w:pPr>
              <w:adjustRightInd/>
              <w:snapToGrid/>
              <w:spacing w:line="360" w:lineRule="exact"/>
              <w:ind w:firstLine="0" w:firstLineChars="0"/>
              <w:rPr>
                <w:rFonts w:cs="Times New Roman"/>
                <w:snapToGrid w:val="0"/>
                <w:color w:val="auto"/>
                <w:kern w:val="0"/>
                <w:sz w:val="21"/>
                <w:szCs w:val="21"/>
                <w:highlight w:val="none"/>
              </w:rPr>
            </w:pPr>
            <w:r>
              <w:rPr>
                <w:rFonts w:cs="Times New Roman"/>
                <w:snapToGrid w:val="0"/>
                <w:color w:val="auto"/>
                <w:kern w:val="0"/>
                <w:sz w:val="21"/>
                <w:szCs w:val="21"/>
                <w:highlight w:val="none"/>
              </w:rPr>
              <w:t>3.1.1屠宰与分割车间所在厂区（以下简称“厂区”）必须具备可靠的水源和电源，周边交通运输方便，并符合当地城乡规划、卫生与环境保护部门的要求。</w:t>
            </w:r>
            <w:r>
              <w:rPr>
                <w:rFonts w:cs="Times New Roman"/>
                <w:snapToGrid w:val="0"/>
                <w:color w:val="auto"/>
                <w:kern w:val="0"/>
                <w:sz w:val="21"/>
                <w:szCs w:val="21"/>
                <w:highlight w:val="none"/>
              </w:rPr>
              <w:br w:type="textWrapping"/>
            </w:r>
            <w:r>
              <w:rPr>
                <w:rFonts w:cs="Times New Roman"/>
                <w:snapToGrid w:val="0"/>
                <w:color w:val="auto"/>
                <w:kern w:val="0"/>
                <w:sz w:val="21"/>
                <w:szCs w:val="21"/>
                <w:highlight w:val="none"/>
              </w:rPr>
              <w:t>3.1.2厂址周围应有良好的环境卫生条件。厂址应避开受污染的水体及产生有害气体、烟雾、粉尘或其他污染源的工业企业或场所。</w:t>
            </w:r>
          </w:p>
          <w:p w14:paraId="44763631">
            <w:pPr>
              <w:adjustRightInd/>
              <w:snapToGrid/>
              <w:spacing w:line="360" w:lineRule="exact"/>
              <w:ind w:firstLine="0" w:firstLineChars="0"/>
              <w:rPr>
                <w:rFonts w:cs="Times New Roman"/>
                <w:snapToGrid w:val="0"/>
                <w:color w:val="auto"/>
                <w:kern w:val="0"/>
                <w:sz w:val="21"/>
                <w:highlight w:val="none"/>
                <w:lang w:val="zh-CN"/>
              </w:rPr>
            </w:pPr>
            <w:r>
              <w:rPr>
                <w:rFonts w:cs="Times New Roman"/>
                <w:snapToGrid w:val="0"/>
                <w:color w:val="auto"/>
                <w:kern w:val="0"/>
                <w:sz w:val="21"/>
                <w:szCs w:val="21"/>
                <w:highlight w:val="none"/>
              </w:rPr>
              <w:t>3.1.4厂址应远离城市水源地和城市给水、取水口，其附近应有城市污水排放管网或允许排入的最终受纳水体。</w:t>
            </w:r>
          </w:p>
        </w:tc>
        <w:tc>
          <w:tcPr>
            <w:tcW w:w="3210" w:type="dxa"/>
            <w:vAlign w:val="center"/>
          </w:tcPr>
          <w:p w14:paraId="56760174">
            <w:pPr>
              <w:spacing w:line="360" w:lineRule="exact"/>
              <w:ind w:firstLine="420"/>
              <w:rPr>
                <w:rFonts w:cs="Times New Roman"/>
                <w:snapToGrid w:val="0"/>
                <w:color w:val="auto"/>
                <w:kern w:val="0"/>
                <w:sz w:val="21"/>
                <w:highlight w:val="none"/>
              </w:rPr>
            </w:pPr>
            <w:r>
              <w:rPr>
                <w:rFonts w:cs="Times New Roman"/>
                <w:snapToGrid w:val="0"/>
                <w:color w:val="auto"/>
                <w:kern w:val="0"/>
                <w:sz w:val="21"/>
                <w:highlight w:val="none"/>
                <w:lang w:val="zh-CN"/>
              </w:rPr>
              <w:t>本项目位于</w:t>
            </w:r>
            <w:r>
              <w:rPr>
                <w:rFonts w:hint="eastAsia" w:ascii="Times New Roman" w:hAnsi="Times New Roman" w:cs="Times New Roman"/>
                <w:snapToGrid w:val="0"/>
                <w:color w:val="auto"/>
                <w:kern w:val="0"/>
                <w:sz w:val="21"/>
                <w:highlight w:val="none"/>
                <w:lang w:val="en-US" w:eastAsia="zh-CN"/>
              </w:rPr>
              <w:t>黑龙江省双鸭山市岭东区长胜乡东兴村</w:t>
            </w:r>
            <w:r>
              <w:rPr>
                <w:rFonts w:cs="Times New Roman"/>
                <w:snapToGrid w:val="0"/>
                <w:color w:val="auto"/>
                <w:kern w:val="0"/>
                <w:sz w:val="21"/>
                <w:highlight w:val="none"/>
              </w:rPr>
              <w:t>，</w:t>
            </w:r>
            <w:r>
              <w:rPr>
                <w:rFonts w:cs="Times New Roman"/>
                <w:snapToGrid w:val="0"/>
                <w:color w:val="auto"/>
                <w:kern w:val="0"/>
                <w:sz w:val="21"/>
                <w:szCs w:val="21"/>
                <w:highlight w:val="none"/>
              </w:rPr>
              <w:t>交通运输方便，市政供电，供水来源于</w:t>
            </w:r>
            <w:r>
              <w:rPr>
                <w:rFonts w:hint="eastAsia" w:cs="Times New Roman"/>
                <w:snapToGrid w:val="0"/>
                <w:color w:val="auto"/>
                <w:kern w:val="0"/>
                <w:sz w:val="21"/>
                <w:szCs w:val="21"/>
                <w:highlight w:val="none"/>
                <w:lang w:val="en-US" w:eastAsia="zh-CN"/>
              </w:rPr>
              <w:t>市政</w:t>
            </w:r>
            <w:r>
              <w:rPr>
                <w:rFonts w:cs="Times New Roman"/>
                <w:snapToGrid w:val="0"/>
                <w:color w:val="auto"/>
                <w:kern w:val="0"/>
                <w:sz w:val="21"/>
                <w:szCs w:val="21"/>
                <w:highlight w:val="none"/>
              </w:rPr>
              <w:t>供水管网，水电等各项设施完善。当地城乡规划、卫生与环境保护部门的要求。</w:t>
            </w:r>
            <w:r>
              <w:rPr>
                <w:rFonts w:cs="Times New Roman"/>
                <w:snapToGrid w:val="0"/>
                <w:color w:val="auto"/>
                <w:kern w:val="0"/>
                <w:sz w:val="21"/>
                <w:szCs w:val="21"/>
                <w:highlight w:val="none"/>
              </w:rPr>
              <w:br w:type="textWrapping"/>
            </w:r>
            <w:r>
              <w:rPr>
                <w:rFonts w:cs="Times New Roman"/>
                <w:snapToGrid w:val="0"/>
                <w:color w:val="auto"/>
                <w:kern w:val="0"/>
                <w:sz w:val="21"/>
                <w:szCs w:val="21"/>
                <w:highlight w:val="none"/>
              </w:rPr>
              <w:t>项目周边无产生有害气体、烟雾、粉尘等污染源的工业企业。项目厂区位于</w:t>
            </w:r>
            <w:r>
              <w:rPr>
                <w:rFonts w:hint="eastAsia" w:cs="Times New Roman"/>
                <w:snapToGrid w:val="0"/>
                <w:color w:val="auto"/>
                <w:kern w:val="0"/>
                <w:sz w:val="21"/>
                <w:szCs w:val="21"/>
                <w:highlight w:val="none"/>
                <w:lang w:val="en-US" w:eastAsia="zh-CN"/>
              </w:rPr>
              <w:t>当地</w:t>
            </w:r>
            <w:r>
              <w:rPr>
                <w:rFonts w:cs="Times New Roman"/>
                <w:snapToGrid w:val="0"/>
                <w:color w:val="auto"/>
                <w:kern w:val="0"/>
                <w:sz w:val="21"/>
                <w:szCs w:val="21"/>
                <w:highlight w:val="none"/>
              </w:rPr>
              <w:t>全年主导风向下风向，</w:t>
            </w:r>
            <w:r>
              <w:rPr>
                <w:rFonts w:cs="Times New Roman"/>
                <w:snapToGrid w:val="0"/>
                <w:color w:val="auto"/>
                <w:kern w:val="0"/>
                <w:sz w:val="21"/>
                <w:highlight w:val="none"/>
              </w:rPr>
              <w:t>距离最近居民区</w:t>
            </w:r>
            <w:r>
              <w:rPr>
                <w:rFonts w:hint="eastAsia" w:cs="Times New Roman"/>
                <w:snapToGrid w:val="0"/>
                <w:color w:val="auto"/>
                <w:kern w:val="0"/>
                <w:sz w:val="21"/>
                <w:highlight w:val="none"/>
                <w:lang w:val="en-US" w:eastAsia="zh-CN"/>
              </w:rPr>
              <w:t>约100</w:t>
            </w:r>
            <w:r>
              <w:rPr>
                <w:rFonts w:cs="Times New Roman"/>
                <w:snapToGrid w:val="0"/>
                <w:color w:val="auto"/>
                <w:kern w:val="0"/>
                <w:sz w:val="21"/>
                <w:highlight w:val="none"/>
              </w:rPr>
              <w:t>m，符合</w:t>
            </w:r>
            <w:r>
              <w:rPr>
                <w:rFonts w:cs="Times New Roman"/>
                <w:snapToGrid w:val="0"/>
                <w:color w:val="auto"/>
                <w:kern w:val="0"/>
                <w:sz w:val="21"/>
                <w:szCs w:val="21"/>
                <w:highlight w:val="none"/>
              </w:rPr>
              <w:t>GB18078.1的规定。项目废水排入</w:t>
            </w:r>
            <w:r>
              <w:rPr>
                <w:rFonts w:hint="eastAsia" w:cs="Times New Roman"/>
                <w:snapToGrid w:val="0"/>
                <w:color w:val="auto"/>
                <w:kern w:val="0"/>
                <w:sz w:val="21"/>
                <w:szCs w:val="21"/>
                <w:highlight w:val="none"/>
                <w:lang w:val="en-US" w:eastAsia="zh-CN"/>
              </w:rPr>
              <w:t>厂区自建</w:t>
            </w:r>
            <w:r>
              <w:rPr>
                <w:rFonts w:cs="Times New Roman"/>
                <w:snapToGrid w:val="0"/>
                <w:color w:val="auto"/>
                <w:kern w:val="0"/>
                <w:sz w:val="21"/>
                <w:szCs w:val="21"/>
                <w:highlight w:val="none"/>
              </w:rPr>
              <w:t>污水处理</w:t>
            </w:r>
            <w:r>
              <w:rPr>
                <w:rFonts w:hint="eastAsia" w:cs="Times New Roman"/>
                <w:snapToGrid w:val="0"/>
                <w:color w:val="auto"/>
                <w:kern w:val="0"/>
                <w:sz w:val="21"/>
                <w:szCs w:val="21"/>
                <w:highlight w:val="none"/>
                <w:lang w:val="en-US" w:eastAsia="zh-CN"/>
              </w:rPr>
              <w:t>站</w:t>
            </w:r>
            <w:r>
              <w:rPr>
                <w:rFonts w:cs="Times New Roman"/>
                <w:snapToGrid w:val="0"/>
                <w:color w:val="auto"/>
                <w:kern w:val="0"/>
                <w:sz w:val="21"/>
                <w:szCs w:val="21"/>
                <w:highlight w:val="none"/>
              </w:rPr>
              <w:t>处理后排放</w:t>
            </w:r>
            <w:r>
              <w:rPr>
                <w:rFonts w:hint="eastAsia" w:cs="Times New Roman"/>
                <w:snapToGrid w:val="0"/>
                <w:color w:val="auto"/>
                <w:kern w:val="0"/>
                <w:sz w:val="21"/>
                <w:szCs w:val="21"/>
                <w:highlight w:val="none"/>
                <w:lang w:val="en-US" w:eastAsia="zh-CN"/>
              </w:rPr>
              <w:t>至市政管网</w:t>
            </w:r>
            <w:r>
              <w:rPr>
                <w:rFonts w:cs="Times New Roman"/>
                <w:snapToGrid w:val="0"/>
                <w:color w:val="auto"/>
                <w:kern w:val="0"/>
                <w:sz w:val="21"/>
                <w:szCs w:val="21"/>
                <w:highlight w:val="none"/>
              </w:rPr>
              <w:t>。</w:t>
            </w:r>
          </w:p>
        </w:tc>
        <w:tc>
          <w:tcPr>
            <w:tcW w:w="750" w:type="dxa"/>
            <w:vMerge w:val="restart"/>
            <w:vAlign w:val="center"/>
          </w:tcPr>
          <w:p w14:paraId="2BFDDAD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符合</w:t>
            </w:r>
          </w:p>
        </w:tc>
      </w:tr>
      <w:tr w14:paraId="4C7AF8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11" w:hRule="atLeast"/>
          <w:jc w:val="center"/>
        </w:trPr>
        <w:tc>
          <w:tcPr>
            <w:tcW w:w="884" w:type="dxa"/>
            <w:vMerge w:val="continue"/>
            <w:vAlign w:val="center"/>
          </w:tcPr>
          <w:p w14:paraId="24AD1C33">
            <w:pPr>
              <w:adjustRightInd/>
              <w:snapToGrid/>
              <w:spacing w:line="360" w:lineRule="exact"/>
              <w:ind w:firstLine="0" w:firstLineChars="0"/>
              <w:rPr>
                <w:rFonts w:cs="Times New Roman"/>
                <w:snapToGrid w:val="0"/>
                <w:color w:val="auto"/>
                <w:kern w:val="0"/>
                <w:sz w:val="21"/>
                <w:highlight w:val="none"/>
                <w:lang w:val="zh-CN"/>
              </w:rPr>
            </w:pPr>
          </w:p>
        </w:tc>
        <w:tc>
          <w:tcPr>
            <w:tcW w:w="3804" w:type="dxa"/>
            <w:vAlign w:val="center"/>
          </w:tcPr>
          <w:p w14:paraId="1C823934">
            <w:pPr>
              <w:adjustRightInd/>
              <w:snapToGrid/>
              <w:spacing w:line="360" w:lineRule="exact"/>
              <w:ind w:firstLine="0" w:firstLineChars="0"/>
              <w:rPr>
                <w:rFonts w:cs="Times New Roman"/>
                <w:snapToGrid w:val="0"/>
                <w:color w:val="auto"/>
                <w:kern w:val="0"/>
                <w:sz w:val="21"/>
                <w:szCs w:val="21"/>
                <w:highlight w:val="none"/>
              </w:rPr>
            </w:pPr>
            <w:r>
              <w:rPr>
                <w:rFonts w:cs="Times New Roman"/>
                <w:snapToGrid w:val="0"/>
                <w:color w:val="auto"/>
                <w:kern w:val="0"/>
                <w:sz w:val="21"/>
                <w:szCs w:val="21"/>
                <w:highlight w:val="none"/>
              </w:rPr>
              <w:t>3.2.1厂区应划分为生产区和生活区。生产区内应明确区分非清洁区和清洁区。在严寒、寒冷和夏热冬冷地区，非清洁区不应布置在厂区夏季主导风向的上风侧，清洁区不应布置在厂区夏季主导风向的下风侧；在夏热冬暖和温和地区，非清洁区不应布置在厂区全年主导风向的上风侧，清洁区不应布置在厂区全年主导风向的下风侧。</w:t>
            </w:r>
          </w:p>
          <w:p w14:paraId="6E0CD038">
            <w:pPr>
              <w:adjustRightInd/>
              <w:snapToGrid/>
              <w:spacing w:line="360" w:lineRule="exact"/>
              <w:ind w:firstLine="0" w:firstLineChars="0"/>
              <w:rPr>
                <w:rFonts w:cs="Times New Roman"/>
                <w:snapToGrid w:val="0"/>
                <w:color w:val="auto"/>
                <w:highlight w:val="none"/>
                <w:lang w:val="zh-CN"/>
              </w:rPr>
            </w:pPr>
            <w:r>
              <w:rPr>
                <w:rFonts w:cs="Times New Roman"/>
                <w:snapToGrid w:val="0"/>
                <w:color w:val="auto"/>
                <w:kern w:val="0"/>
                <w:sz w:val="21"/>
                <w:szCs w:val="21"/>
                <w:highlight w:val="none"/>
              </w:rPr>
              <w:t>3.2.2生产区活畜入口、废弃物的出口与产品出口应分开设置，</w:t>
            </w:r>
            <w:r>
              <w:rPr>
                <w:rFonts w:cs="Times New Roman"/>
                <w:snapToGrid w:val="0"/>
                <w:color w:val="auto"/>
                <w:kern w:val="0"/>
                <w:sz w:val="21"/>
                <w:szCs w:val="21"/>
                <w:highlight w:val="none"/>
              </w:rPr>
              <w:br w:type="textWrapping"/>
            </w:r>
            <w:r>
              <w:rPr>
                <w:rFonts w:cs="Times New Roman"/>
                <w:snapToGrid w:val="0"/>
                <w:color w:val="auto"/>
                <w:kern w:val="0"/>
                <w:sz w:val="21"/>
                <w:szCs w:val="21"/>
                <w:highlight w:val="none"/>
              </w:rPr>
              <w:t>活畜、废弃物与产品的运送通道不得共用。</w:t>
            </w:r>
            <w:r>
              <w:rPr>
                <w:rFonts w:cs="Times New Roman"/>
                <w:snapToGrid w:val="0"/>
                <w:color w:val="auto"/>
                <w:kern w:val="0"/>
                <w:sz w:val="21"/>
                <w:szCs w:val="21"/>
                <w:highlight w:val="none"/>
              </w:rPr>
              <w:br w:type="textWrapping"/>
            </w:r>
            <w:r>
              <w:rPr>
                <w:rFonts w:cs="Times New Roman"/>
                <w:snapToGrid w:val="0"/>
                <w:color w:val="auto"/>
                <w:kern w:val="0"/>
                <w:sz w:val="21"/>
                <w:szCs w:val="21"/>
                <w:highlight w:val="none"/>
              </w:rPr>
              <w:t>3.2.3厂区屠宰与分割车间及其生产辅助用房与设施的布局应满足生产工艺流程和食品卫生要求，不得使产品受到污染。</w:t>
            </w:r>
          </w:p>
        </w:tc>
        <w:tc>
          <w:tcPr>
            <w:tcW w:w="3210" w:type="dxa"/>
            <w:vAlign w:val="center"/>
          </w:tcPr>
          <w:p w14:paraId="1A71514B">
            <w:pPr>
              <w:spacing w:line="360" w:lineRule="exact"/>
              <w:ind w:firstLine="420"/>
              <w:rPr>
                <w:rFonts w:cs="Times New Roman"/>
                <w:snapToGrid w:val="0"/>
                <w:color w:val="auto"/>
                <w:kern w:val="0"/>
                <w:sz w:val="21"/>
                <w:highlight w:val="none"/>
              </w:rPr>
            </w:pPr>
            <w:r>
              <w:rPr>
                <w:rFonts w:cs="Times New Roman"/>
                <w:snapToGrid w:val="0"/>
                <w:color w:val="auto"/>
                <w:kern w:val="0"/>
                <w:sz w:val="21"/>
                <w:szCs w:val="21"/>
                <w:highlight w:val="none"/>
              </w:rPr>
              <w:t>厂区划分为生产区和生活区。生产区分为非清洁区和清洁区。非清洁区位于厂区全年主导风向下风向。本项目设置两个进出口，满足生产需求；厂区屠宰与分割车间及其生产辅助用房与设施的布局满足生产工艺流程和食品卫生要求，不会使产品受到污染。</w:t>
            </w:r>
          </w:p>
        </w:tc>
        <w:tc>
          <w:tcPr>
            <w:tcW w:w="750" w:type="dxa"/>
            <w:vMerge w:val="continue"/>
            <w:vAlign w:val="center"/>
          </w:tcPr>
          <w:p w14:paraId="4C50F91E">
            <w:pPr>
              <w:adjustRightInd/>
              <w:snapToGrid/>
              <w:spacing w:line="360" w:lineRule="exact"/>
              <w:ind w:firstLine="0" w:firstLineChars="0"/>
              <w:jc w:val="center"/>
              <w:rPr>
                <w:rFonts w:cs="Times New Roman"/>
                <w:snapToGrid w:val="0"/>
                <w:color w:val="auto"/>
                <w:kern w:val="0"/>
                <w:sz w:val="21"/>
                <w:highlight w:val="none"/>
                <w:lang w:val="zh-CN"/>
              </w:rPr>
            </w:pPr>
          </w:p>
        </w:tc>
      </w:tr>
      <w:tr w14:paraId="74985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4" w:type="dxa"/>
            <w:vAlign w:val="center"/>
          </w:tcPr>
          <w:p w14:paraId="642671D0">
            <w:pPr>
              <w:adjustRightInd/>
              <w:snapToGrid/>
              <w:spacing w:line="360" w:lineRule="exact"/>
              <w:ind w:firstLine="0" w:firstLineChars="0"/>
              <w:rPr>
                <w:rFonts w:cs="Times New Roman"/>
                <w:snapToGrid w:val="0"/>
                <w:color w:val="auto"/>
                <w:kern w:val="0"/>
                <w:sz w:val="21"/>
                <w:highlight w:val="none"/>
                <w:lang w:val="zh-CN"/>
              </w:rPr>
            </w:pPr>
            <w:r>
              <w:rPr>
                <w:rFonts w:hint="eastAsia" w:ascii="Times New Roman" w:hAnsi="Times New Roman" w:eastAsia="宋体" w:cs="Times New Roman"/>
                <w:snapToGrid w:val="0"/>
                <w:color w:val="auto"/>
                <w:kern w:val="0"/>
                <w:sz w:val="21"/>
                <w:highlight w:val="none"/>
                <w:lang w:val="zh-CN" w:eastAsia="zh-CN"/>
              </w:rPr>
              <w:t>《冷库设计</w:t>
            </w:r>
            <w:r>
              <w:rPr>
                <w:rFonts w:hint="eastAsia" w:ascii="Times New Roman" w:hAnsi="Times New Roman" w:eastAsia="宋体" w:cs="Times New Roman"/>
                <w:snapToGrid w:val="0"/>
                <w:color w:val="auto"/>
                <w:kern w:val="0"/>
                <w:sz w:val="21"/>
                <w:highlight w:val="none"/>
                <w:lang w:val="en-US" w:eastAsia="zh-CN"/>
              </w:rPr>
              <w:t>标准</w:t>
            </w:r>
            <w:r>
              <w:rPr>
                <w:rFonts w:hint="eastAsia" w:ascii="Times New Roman" w:hAnsi="Times New Roman" w:eastAsia="宋体" w:cs="Times New Roman"/>
                <w:snapToGrid w:val="0"/>
                <w:color w:val="auto"/>
                <w:kern w:val="0"/>
                <w:sz w:val="21"/>
                <w:highlight w:val="none"/>
                <w:lang w:val="zh-CN" w:eastAsia="zh-CN"/>
              </w:rPr>
              <w:t>》（</w:t>
            </w:r>
            <w:r>
              <w:rPr>
                <w:rFonts w:hint="eastAsia" w:ascii="Times New Roman" w:hAnsi="Times New Roman" w:eastAsia="宋体" w:cs="Times New Roman"/>
                <w:snapToGrid w:val="0"/>
                <w:color w:val="auto"/>
                <w:kern w:val="0"/>
                <w:sz w:val="21"/>
                <w:highlight w:val="none"/>
                <w:lang w:val="en-US" w:eastAsia="zh-CN"/>
              </w:rPr>
              <w:t>GB50072-202</w:t>
            </w:r>
            <w:r>
              <w:rPr>
                <w:rFonts w:hint="eastAsia" w:ascii="Times New Roman" w:hAnsi="Times New Roman" w:eastAsia="宋体" w:cs="Times New Roman"/>
                <w:snapToGrid w:val="0"/>
                <w:color w:val="auto"/>
                <w:kern w:val="0"/>
                <w:sz w:val="21"/>
                <w:highlight w:val="none"/>
                <w:lang w:val="zh-CN" w:eastAsia="zh-CN"/>
              </w:rPr>
              <w:t>）</w:t>
            </w:r>
          </w:p>
        </w:tc>
        <w:tc>
          <w:tcPr>
            <w:tcW w:w="3804" w:type="dxa"/>
            <w:vAlign w:val="center"/>
          </w:tcPr>
          <w:p w14:paraId="449AD8A7">
            <w:pPr>
              <w:adjustRightInd/>
              <w:snapToGrid/>
              <w:spacing w:line="360" w:lineRule="exact"/>
              <w:ind w:firstLine="0" w:firstLineChars="0"/>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冷库库址的选择应符合下列规定：</w:t>
            </w:r>
          </w:p>
          <w:p w14:paraId="670C2288">
            <w:pPr>
              <w:adjustRightInd/>
              <w:snapToGrid/>
              <w:spacing w:line="360" w:lineRule="exact"/>
              <w:ind w:firstLine="0" w:firstLineChars="0"/>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    1、应符合当地总体规划的要求；</w:t>
            </w:r>
          </w:p>
          <w:p w14:paraId="73FD993E">
            <w:pPr>
              <w:adjustRightInd/>
              <w:snapToGrid/>
              <w:spacing w:line="360" w:lineRule="exact"/>
              <w:ind w:firstLine="0" w:firstLineChars="0"/>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    2 、使用氨制冷系统的冷库库址宜选择在相邻集中居住区全年最大频率风向的下风侧；</w:t>
            </w:r>
          </w:p>
          <w:p w14:paraId="0DFAA231">
            <w:pPr>
              <w:adjustRightInd/>
              <w:snapToGrid/>
              <w:spacing w:line="360" w:lineRule="exact"/>
              <w:ind w:firstLine="0" w:firstLineChars="0"/>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    3 、库址周围应有良好的卫生条件，并应避开和远离有害气体、烟雾、粉尘及其他有污染源的地段；</w:t>
            </w:r>
          </w:p>
          <w:p w14:paraId="67B1E2D7">
            <w:pPr>
              <w:adjustRightInd/>
              <w:snapToGrid/>
              <w:spacing w:line="360" w:lineRule="exact"/>
              <w:ind w:firstLine="0" w:firstLineChars="0"/>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    4 、应结合物流流向和近远期发展等因素，选择在交通运输方便的区域；</w:t>
            </w:r>
          </w:p>
          <w:p w14:paraId="0A36F45C">
            <w:pPr>
              <w:adjustRightInd/>
              <w:snapToGrid/>
              <w:spacing w:line="360" w:lineRule="exact"/>
              <w:ind w:firstLine="0" w:firstLineChars="0"/>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    5、 宜具备可靠的水源和电源以及排水条件；</w:t>
            </w:r>
          </w:p>
          <w:p w14:paraId="22E90B27">
            <w:pPr>
              <w:adjustRightInd/>
              <w:snapToGrid/>
              <w:spacing w:line="360" w:lineRule="exact"/>
              <w:ind w:firstLine="0" w:firstLineChars="0"/>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    6 、应避开洪水和泥石流易发地段以及其他地质条件不良地段；</w:t>
            </w:r>
          </w:p>
          <w:p w14:paraId="087739DA">
            <w:pPr>
              <w:adjustRightInd/>
              <w:snapToGrid/>
              <w:spacing w:line="360" w:lineRule="exact"/>
              <w:ind w:firstLine="0" w:firstLineChars="0"/>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    7 、冷库库址还应综合考虑各类冷库的特殊要求。</w:t>
            </w:r>
          </w:p>
          <w:p w14:paraId="0D61C3A4">
            <w:pPr>
              <w:adjustRightInd/>
              <w:snapToGrid/>
              <w:spacing w:line="360" w:lineRule="exact"/>
              <w:ind w:firstLine="0" w:firstLineChars="0"/>
              <w:rPr>
                <w:rFonts w:cs="Times New Roman"/>
                <w:snapToGrid w:val="0"/>
                <w:color w:val="auto"/>
                <w:kern w:val="0"/>
                <w:sz w:val="21"/>
                <w:szCs w:val="21"/>
                <w:highlight w:val="none"/>
              </w:rPr>
            </w:pPr>
          </w:p>
        </w:tc>
        <w:tc>
          <w:tcPr>
            <w:tcW w:w="3210" w:type="dxa"/>
            <w:vAlign w:val="center"/>
          </w:tcPr>
          <w:p w14:paraId="6D521160">
            <w:pPr>
              <w:spacing w:line="360" w:lineRule="exact"/>
              <w:ind w:firstLine="420"/>
              <w:rPr>
                <w:rFonts w:hint="default" w:eastAsia="宋体" w:cs="Times New Roman"/>
                <w:snapToGrid w:val="0"/>
                <w:color w:val="auto"/>
                <w:kern w:val="0"/>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rPr>
              <w:t>本项目</w:t>
            </w:r>
            <w:r>
              <w:rPr>
                <w:rFonts w:hint="eastAsia" w:ascii="Times New Roman" w:hAnsi="Times New Roman" w:cs="Times New Roman"/>
                <w:snapToGrid w:val="0"/>
                <w:color w:val="auto"/>
                <w:kern w:val="0"/>
                <w:sz w:val="21"/>
                <w:highlight w:val="none"/>
                <w:lang w:val="en-US" w:eastAsia="zh-CN"/>
              </w:rPr>
              <w:t>黑龙江省双鸭山市岭东区长胜乡东兴村，</w:t>
            </w:r>
            <w:r>
              <w:rPr>
                <w:rFonts w:hint="eastAsia" w:ascii="Times New Roman" w:hAnsi="Times New Roman" w:eastAsia="宋体" w:cs="Times New Roman"/>
                <w:snapToGrid w:val="0"/>
                <w:color w:val="auto"/>
                <w:kern w:val="0"/>
                <w:sz w:val="21"/>
                <w:szCs w:val="21"/>
                <w:highlight w:val="none"/>
                <w:lang w:val="en-US" w:eastAsia="zh-CN"/>
              </w:rPr>
              <w:t>有良好的卫生条件，远离有害气体、烟雾、粉尘及其他有污染源的地段；项目所在位置交通便利，具备可靠的水源和电源以及排水条件，不在洪水和泥石流易发地段以及其他地质条件不良地段。</w:t>
            </w:r>
            <w:r>
              <w:rPr>
                <w:rFonts w:hint="eastAsia" w:cs="Times New Roman"/>
                <w:snapToGrid w:val="0"/>
                <w:color w:val="auto"/>
                <w:kern w:val="0"/>
                <w:sz w:val="21"/>
                <w:szCs w:val="21"/>
                <w:highlight w:val="none"/>
                <w:lang w:val="en-US" w:eastAsia="zh-CN"/>
              </w:rPr>
              <w:t>冷库选址合理。</w:t>
            </w:r>
          </w:p>
        </w:tc>
        <w:tc>
          <w:tcPr>
            <w:tcW w:w="750" w:type="dxa"/>
            <w:vAlign w:val="center"/>
          </w:tcPr>
          <w:p w14:paraId="41D5A50B">
            <w:pPr>
              <w:adjustRightInd/>
              <w:snapToGrid/>
              <w:spacing w:line="360" w:lineRule="exact"/>
              <w:ind w:firstLine="0" w:firstLineChars="0"/>
              <w:jc w:val="center"/>
              <w:rPr>
                <w:rFonts w:hint="eastAsia" w:eastAsia="宋体" w:cs="Times New Roman"/>
                <w:snapToGrid w:val="0"/>
                <w:color w:val="auto"/>
                <w:kern w:val="0"/>
                <w:sz w:val="21"/>
                <w:highlight w:val="none"/>
                <w:lang w:val="en-US" w:eastAsia="zh-CN"/>
              </w:rPr>
            </w:pPr>
            <w:r>
              <w:rPr>
                <w:rFonts w:hint="eastAsia" w:cs="Times New Roman"/>
                <w:snapToGrid w:val="0"/>
                <w:color w:val="auto"/>
                <w:kern w:val="0"/>
                <w:sz w:val="21"/>
                <w:highlight w:val="none"/>
                <w:lang w:val="en-US" w:eastAsia="zh-CN"/>
              </w:rPr>
              <w:t>符合</w:t>
            </w:r>
          </w:p>
        </w:tc>
      </w:tr>
      <w:bookmarkEnd w:id="21"/>
    </w:tbl>
    <w:p w14:paraId="4CA8DE04">
      <w:pPr>
        <w:spacing w:before="156" w:beforeLines="50" w:line="500" w:lineRule="exact"/>
        <w:rPr>
          <w:rFonts w:cs="Times New Roman"/>
          <w:snapToGrid w:val="0"/>
          <w:color w:val="auto"/>
          <w:kern w:val="0"/>
          <w:szCs w:val="24"/>
          <w:highlight w:val="none"/>
        </w:rPr>
      </w:pPr>
      <w:r>
        <w:rPr>
          <w:rFonts w:cs="Times New Roman"/>
          <w:snapToGrid w:val="0"/>
          <w:color w:val="auto"/>
          <w:kern w:val="0"/>
          <w:szCs w:val="24"/>
          <w:highlight w:val="none"/>
        </w:rPr>
        <w:t>本项目</w:t>
      </w:r>
      <w:r>
        <w:rPr>
          <w:rFonts w:cs="Times New Roman"/>
          <w:snapToGrid w:val="0"/>
          <w:color w:val="auto"/>
          <w:kern w:val="0"/>
          <w:szCs w:val="24"/>
          <w:highlight w:val="none"/>
          <w:lang w:val="zh-CN"/>
        </w:rPr>
        <w:t>占地类型为</w:t>
      </w:r>
      <w:r>
        <w:rPr>
          <w:rFonts w:hint="eastAsia" w:cs="Times New Roman"/>
          <w:snapToGrid w:val="0"/>
          <w:color w:val="auto"/>
          <w:kern w:val="0"/>
          <w:szCs w:val="24"/>
          <w:highlight w:val="none"/>
          <w:lang w:val="en-US" w:eastAsia="zh-CN"/>
        </w:rPr>
        <w:t>建设</w:t>
      </w:r>
      <w:r>
        <w:rPr>
          <w:rFonts w:cs="Times New Roman"/>
          <w:snapToGrid w:val="0"/>
          <w:color w:val="auto"/>
          <w:kern w:val="0"/>
          <w:szCs w:val="24"/>
          <w:highlight w:val="none"/>
          <w:lang w:val="zh-CN"/>
        </w:rPr>
        <w:t>用地，用地性质符合</w:t>
      </w:r>
      <w:r>
        <w:rPr>
          <w:rFonts w:hint="eastAsia" w:cs="Times New Roman"/>
          <w:snapToGrid w:val="0"/>
          <w:color w:val="auto"/>
          <w:kern w:val="0"/>
          <w:szCs w:val="24"/>
          <w:highlight w:val="none"/>
          <w:lang w:val="en-US" w:eastAsia="zh-CN"/>
        </w:rPr>
        <w:t>牲畜定点屠宰场的</w:t>
      </w:r>
      <w:r>
        <w:rPr>
          <w:rFonts w:cs="Times New Roman"/>
          <w:snapToGrid w:val="0"/>
          <w:color w:val="auto"/>
          <w:kern w:val="0"/>
          <w:szCs w:val="24"/>
          <w:highlight w:val="none"/>
          <w:lang w:val="zh-CN"/>
        </w:rPr>
        <w:t>要求；</w:t>
      </w:r>
      <w:r>
        <w:rPr>
          <w:rFonts w:cs="Times New Roman"/>
          <w:snapToGrid w:val="0"/>
          <w:color w:val="auto"/>
          <w:kern w:val="0"/>
          <w:szCs w:val="24"/>
          <w:highlight w:val="none"/>
        </w:rPr>
        <w:t>且本项目符合《黑龙江省畜禽屠宰管理条例》、《畜类屠宰加工通用技术》（GB/T17237-2008）、《牛羊屠宰与分割车间设计规范》（</w:t>
      </w:r>
      <w:r>
        <w:rPr>
          <w:rFonts w:ascii="Times New Roman" w:hAnsi="Times New Roman" w:eastAsia="宋体" w:cs="Times New Roman"/>
          <w:snapToGrid w:val="0"/>
          <w:color w:val="auto"/>
          <w:kern w:val="0"/>
          <w:szCs w:val="24"/>
          <w:highlight w:val="none"/>
        </w:rPr>
        <w:t>GB51225-2017）</w:t>
      </w:r>
      <w:r>
        <w:rPr>
          <w:rFonts w:hint="eastAsia" w:ascii="Times New Roman" w:hAnsi="Times New Roman" w:eastAsia="宋体" w:cs="Times New Roman"/>
          <w:snapToGrid w:val="0"/>
          <w:color w:val="auto"/>
          <w:kern w:val="0"/>
          <w:szCs w:val="24"/>
          <w:highlight w:val="none"/>
          <w:lang w:eastAsia="zh-CN"/>
        </w:rPr>
        <w:t>、</w:t>
      </w:r>
      <w:r>
        <w:rPr>
          <w:rFonts w:hint="eastAsia" w:ascii="Times New Roman" w:hAnsi="Times New Roman" w:eastAsia="宋体" w:cs="Times New Roman"/>
          <w:snapToGrid w:val="0"/>
          <w:color w:val="auto"/>
          <w:kern w:val="0"/>
          <w:szCs w:val="24"/>
          <w:highlight w:val="none"/>
          <w:lang w:val="zh-CN" w:eastAsia="zh-CN"/>
        </w:rPr>
        <w:t>《冷库设计</w:t>
      </w:r>
      <w:r>
        <w:rPr>
          <w:rFonts w:hint="eastAsia" w:ascii="Times New Roman" w:hAnsi="Times New Roman" w:eastAsia="宋体" w:cs="Times New Roman"/>
          <w:snapToGrid w:val="0"/>
          <w:color w:val="auto"/>
          <w:kern w:val="0"/>
          <w:szCs w:val="24"/>
          <w:highlight w:val="none"/>
          <w:lang w:val="en-US" w:eastAsia="zh-CN"/>
        </w:rPr>
        <w:t>标准</w:t>
      </w:r>
      <w:r>
        <w:rPr>
          <w:rFonts w:hint="eastAsia" w:ascii="Times New Roman" w:hAnsi="Times New Roman" w:eastAsia="宋体" w:cs="Times New Roman"/>
          <w:snapToGrid w:val="0"/>
          <w:color w:val="auto"/>
          <w:kern w:val="0"/>
          <w:szCs w:val="24"/>
          <w:highlight w:val="none"/>
          <w:lang w:val="zh-CN" w:eastAsia="zh-CN"/>
        </w:rPr>
        <w:t>》（</w:t>
      </w:r>
      <w:r>
        <w:rPr>
          <w:rFonts w:hint="eastAsia" w:ascii="Times New Roman" w:hAnsi="Times New Roman" w:eastAsia="宋体" w:cs="Times New Roman"/>
          <w:snapToGrid w:val="0"/>
          <w:color w:val="auto"/>
          <w:kern w:val="0"/>
          <w:szCs w:val="24"/>
          <w:highlight w:val="none"/>
          <w:lang w:val="en-US" w:eastAsia="zh-CN"/>
        </w:rPr>
        <w:t>GB50072-202</w:t>
      </w:r>
      <w:r>
        <w:rPr>
          <w:rFonts w:hint="eastAsia" w:ascii="Times New Roman" w:hAnsi="Times New Roman" w:eastAsia="宋体" w:cs="Times New Roman"/>
          <w:snapToGrid w:val="0"/>
          <w:color w:val="auto"/>
          <w:kern w:val="0"/>
          <w:szCs w:val="24"/>
          <w:highlight w:val="none"/>
          <w:lang w:val="zh-CN" w:eastAsia="zh-CN"/>
        </w:rPr>
        <w:t>）</w:t>
      </w:r>
      <w:r>
        <w:rPr>
          <w:rFonts w:cs="Times New Roman"/>
          <w:snapToGrid w:val="0"/>
          <w:color w:val="auto"/>
          <w:kern w:val="0"/>
          <w:szCs w:val="24"/>
          <w:highlight w:val="none"/>
        </w:rPr>
        <w:t>及</w:t>
      </w:r>
      <w:r>
        <w:rPr>
          <w:rFonts w:cs="Times New Roman"/>
          <w:snapToGrid w:val="0"/>
          <w:color w:val="auto"/>
          <w:kern w:val="0"/>
          <w:szCs w:val="24"/>
          <w:highlight w:val="none"/>
          <w:lang w:val="zh-CN"/>
        </w:rPr>
        <w:t>《中共中央关于制定国民经济和社会发展第十四个五年规划和二〇三五年远景目标的建议》、《黑龙江省国民经济和社会发展第十四个五年规划和2035年远景目标纲要》</w:t>
      </w:r>
      <w:r>
        <w:rPr>
          <w:rFonts w:ascii="Times New Roman" w:hAnsi="Times New Roman" w:cs="Times New Roman"/>
          <w:snapToGrid w:val="0"/>
          <w:color w:val="auto"/>
          <w:kern w:val="0"/>
          <w:szCs w:val="24"/>
          <w:highlight w:val="none"/>
          <w:lang w:val="zh-CN"/>
        </w:rPr>
        <w:t>、《</w:t>
      </w:r>
      <w:r>
        <w:rPr>
          <w:rFonts w:ascii="Times New Roman" w:hAnsi="Times New Roman" w:cs="Times New Roman"/>
          <w:snapToGrid w:val="0"/>
          <w:color w:val="auto"/>
          <w:kern w:val="0"/>
          <w:szCs w:val="24"/>
          <w:highlight w:val="none"/>
        </w:rPr>
        <w:t>双鸭山市人民政府关于印发双鸭山市国民经济和社会发展第十四个五年规划和二〇三五年远景目标纲要的通知</w:t>
      </w:r>
      <w:r>
        <w:rPr>
          <w:rFonts w:ascii="Times New Roman" w:hAnsi="Times New Roman" w:cs="Times New Roman"/>
          <w:snapToGrid w:val="0"/>
          <w:color w:val="auto"/>
          <w:kern w:val="0"/>
          <w:szCs w:val="24"/>
          <w:highlight w:val="none"/>
          <w:lang w:val="zh-CN"/>
        </w:rPr>
        <w:t>》、</w:t>
      </w:r>
      <w:r>
        <w:rPr>
          <w:rFonts w:ascii="Times New Roman" w:hAnsi="Times New Roman" w:cs="Times New Roman"/>
          <w:snapToGrid w:val="0"/>
          <w:color w:val="auto"/>
          <w:kern w:val="0"/>
          <w:szCs w:val="24"/>
          <w:highlight w:val="none"/>
        </w:rPr>
        <w:t>《黑龙江省生态功能区划》、《黑龙江省主体功能区划》及“三线一单</w:t>
      </w:r>
      <w:r>
        <w:rPr>
          <w:rFonts w:cs="Times New Roman"/>
          <w:snapToGrid w:val="0"/>
          <w:color w:val="auto"/>
          <w:kern w:val="0"/>
          <w:szCs w:val="24"/>
          <w:highlight w:val="none"/>
        </w:rPr>
        <w:t>”等相关规划和政策。</w:t>
      </w:r>
    </w:p>
    <w:p w14:paraId="57FBECE7">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综上所述，项目选址符合相关规划及政策要求。因此，项目选址是合理可行的。</w:t>
      </w:r>
    </w:p>
    <w:p w14:paraId="23DC6280">
      <w:pPr>
        <w:pStyle w:val="4"/>
        <w:spacing w:after="156"/>
        <w:rPr>
          <w:rFonts w:ascii="Times New Roman" w:hAnsi="Times New Roman" w:cs="Times New Roman"/>
          <w:color w:val="auto"/>
          <w:highlight w:val="none"/>
        </w:rPr>
      </w:pPr>
      <w:bookmarkStart w:id="24" w:name="_Toc6081"/>
      <w:r>
        <w:rPr>
          <w:rFonts w:ascii="Times New Roman" w:hAnsi="Times New Roman" w:cs="Times New Roman"/>
          <w:color w:val="auto"/>
          <w:highlight w:val="none"/>
        </w:rPr>
        <w:t>1.4.5项目平面布置合理性分析</w:t>
      </w:r>
    </w:p>
    <w:p w14:paraId="53C3D79C">
      <w:pPr>
        <w:rPr>
          <w:rFonts w:hint="default" w:ascii="Times New Roman" w:hAnsi="Times New Roman" w:eastAsia="宋体" w:cs="Times New Roman"/>
          <w:snapToGrid w:val="0"/>
          <w:color w:val="auto"/>
          <w:highlight w:val="none"/>
          <w:lang w:val="en-US" w:eastAsia="zh-CN"/>
        </w:rPr>
      </w:pPr>
      <w:r>
        <w:rPr>
          <w:i w:val="0"/>
          <w:iCs w:val="0"/>
          <w:color w:val="auto"/>
          <w:sz w:val="24"/>
          <w:highlight w:val="none"/>
        </w:rPr>
        <w:t>本项目为节约用地，使厂区外形美观，建筑物朝向合理，同时按工艺流程、防火、卫生及厂内运输等方面要求，确定出建筑物的间距、厂区道路及绿化，并进行主要生产工段的布置</w:t>
      </w:r>
      <w:r>
        <w:rPr>
          <w:rFonts w:hint="eastAsia"/>
          <w:i w:val="0"/>
          <w:iCs w:val="0"/>
          <w:color w:val="auto"/>
          <w:sz w:val="24"/>
          <w:highlight w:val="none"/>
          <w:lang w:eastAsia="zh-CN"/>
        </w:rPr>
        <w:t>：</w:t>
      </w:r>
      <w:r>
        <w:rPr>
          <w:rFonts w:hint="eastAsia" w:ascii="Times New Roman" w:hAnsi="Times New Roman" w:eastAsia="宋体"/>
          <w:i w:val="0"/>
          <w:iCs w:val="0"/>
          <w:color w:val="auto"/>
          <w:sz w:val="24"/>
          <w:highlight w:val="none"/>
          <w:lang w:val="en-US" w:eastAsia="zh-CN"/>
        </w:rPr>
        <w:t>生产车间位于厂区</w:t>
      </w:r>
      <w:r>
        <w:rPr>
          <w:rFonts w:hint="eastAsia"/>
          <w:i w:val="0"/>
          <w:iCs w:val="0"/>
          <w:color w:val="auto"/>
          <w:sz w:val="24"/>
          <w:highlight w:val="none"/>
          <w:lang w:val="en-US" w:eastAsia="zh-CN"/>
        </w:rPr>
        <w:t>南</w:t>
      </w:r>
      <w:r>
        <w:rPr>
          <w:rFonts w:hint="eastAsia" w:ascii="Times New Roman" w:hAnsi="Times New Roman" w:eastAsia="宋体"/>
          <w:i w:val="0"/>
          <w:iCs w:val="0"/>
          <w:color w:val="auto"/>
          <w:sz w:val="24"/>
          <w:highlight w:val="none"/>
          <w:lang w:val="en-US" w:eastAsia="zh-CN"/>
        </w:rPr>
        <w:t>侧，将生产车间按待宰、屠宰分割、冷藏的顺序合理设置；隔离</w:t>
      </w:r>
      <w:r>
        <w:rPr>
          <w:rFonts w:hint="eastAsia"/>
          <w:i w:val="0"/>
          <w:iCs w:val="0"/>
          <w:color w:val="auto"/>
          <w:sz w:val="24"/>
          <w:highlight w:val="none"/>
          <w:lang w:val="en-US" w:eastAsia="zh-CN"/>
        </w:rPr>
        <w:t>间</w:t>
      </w:r>
      <w:r>
        <w:rPr>
          <w:rFonts w:hint="eastAsia" w:ascii="Times New Roman" w:hAnsi="Times New Roman" w:eastAsia="宋体"/>
          <w:i w:val="0"/>
          <w:iCs w:val="0"/>
          <w:color w:val="auto"/>
          <w:sz w:val="24"/>
          <w:highlight w:val="none"/>
          <w:lang w:val="en-US" w:eastAsia="zh-CN"/>
        </w:rPr>
        <w:t>位</w:t>
      </w:r>
      <w:r>
        <w:rPr>
          <w:rFonts w:hint="eastAsia" w:cs="Times New Roman"/>
          <w:snapToGrid w:val="0"/>
          <w:color w:val="auto"/>
          <w:highlight w:val="none"/>
          <w:lang w:val="en-US" w:eastAsia="zh-CN"/>
        </w:rPr>
        <w:t>于厂区南侧待宰区内；固体废物暂存间位于厂区南侧待宰区内，污水处理站位于厂区东南侧、消防泵房及消防水池位于厂区西侧、车库位于厂区西侧紧邻消防泵房；制冷机房</w:t>
      </w:r>
      <w:r>
        <w:rPr>
          <w:rFonts w:cs="Times New Roman"/>
          <w:snapToGrid w:val="0"/>
          <w:color w:val="auto"/>
          <w:highlight w:val="none"/>
          <w:lang w:val="en-US"/>
        </w:rPr>
        <w:t>位于</w:t>
      </w:r>
      <w:r>
        <w:rPr>
          <w:rFonts w:hint="eastAsia" w:cs="Times New Roman"/>
          <w:snapToGrid w:val="0"/>
          <w:color w:val="auto"/>
          <w:highlight w:val="none"/>
          <w:lang w:val="en-US" w:eastAsia="zh-CN"/>
        </w:rPr>
        <w:t>生产车间东侧</w:t>
      </w:r>
      <w:r>
        <w:rPr>
          <w:rFonts w:hint="eastAsia" w:ascii="Times New Roman" w:hAnsi="Times New Roman" w:eastAsia="宋体" w:cs="Times New Roman"/>
          <w:snapToGrid w:val="0"/>
          <w:color w:val="auto"/>
          <w:highlight w:val="none"/>
          <w:lang w:val="en-US" w:eastAsia="zh-CN"/>
        </w:rPr>
        <w:t>。污水处理设施与屠宰车间间隔一定距离，并位于主导风向</w:t>
      </w:r>
      <w:r>
        <w:rPr>
          <w:rFonts w:hint="eastAsia" w:cs="Times New Roman"/>
          <w:snapToGrid w:val="0"/>
          <w:color w:val="auto"/>
          <w:highlight w:val="none"/>
          <w:lang w:val="en-US" w:eastAsia="zh-CN"/>
        </w:rPr>
        <w:t>上</w:t>
      </w:r>
      <w:r>
        <w:rPr>
          <w:rFonts w:hint="eastAsia" w:ascii="Times New Roman" w:hAnsi="Times New Roman" w:eastAsia="宋体" w:cs="Times New Roman"/>
          <w:snapToGrid w:val="0"/>
          <w:color w:val="auto"/>
          <w:highlight w:val="none"/>
          <w:lang w:val="en-US" w:eastAsia="zh-CN"/>
        </w:rPr>
        <w:t>风向处。厂内各主要建筑物周边均设有环形通道，并在适当处设置有车辆回转场地，可满足货物运输的需要和消防通道的畅通。从整体布局和环境影响上看，项目总平面布置合理（见附图</w:t>
      </w:r>
      <w:r>
        <w:rPr>
          <w:rFonts w:hint="eastAsia" w:cs="Times New Roman"/>
          <w:snapToGrid w:val="0"/>
          <w:color w:val="auto"/>
          <w:highlight w:val="none"/>
          <w:lang w:val="en-US" w:eastAsia="zh-CN"/>
        </w:rPr>
        <w:t>3、附图4</w:t>
      </w:r>
      <w:r>
        <w:rPr>
          <w:rFonts w:hint="eastAsia" w:ascii="Times New Roman" w:hAnsi="Times New Roman" w:eastAsia="宋体" w:cs="Times New Roman"/>
          <w:snapToGrid w:val="0"/>
          <w:color w:val="auto"/>
          <w:highlight w:val="none"/>
          <w:lang w:val="en-US" w:eastAsia="zh-CN"/>
        </w:rPr>
        <w:t>）。</w:t>
      </w:r>
    </w:p>
    <w:p w14:paraId="4F549CA7">
      <w:pPr>
        <w:pStyle w:val="4"/>
        <w:spacing w:after="156"/>
        <w:rPr>
          <w:rFonts w:cs="Times New Roman"/>
          <w:b/>
          <w:bCs/>
          <w:color w:val="auto"/>
          <w:highlight w:val="none"/>
        </w:rPr>
      </w:pPr>
      <w:r>
        <w:rPr>
          <w:rFonts w:hint="eastAsia" w:cs="Times New Roman"/>
          <w:color w:val="auto"/>
          <w:highlight w:val="none"/>
          <w:lang w:val="en-US" w:eastAsia="zh-CN"/>
        </w:rPr>
        <w:t>1.4.6</w:t>
      </w:r>
      <w:r>
        <w:rPr>
          <w:rFonts w:cs="Times New Roman"/>
          <w:color w:val="auto"/>
          <w:highlight w:val="none"/>
        </w:rPr>
        <w:t>相关污染防治政策的符合性分析</w:t>
      </w:r>
      <w:bookmarkEnd w:id="24"/>
      <w:bookmarkStart w:id="25" w:name="_Toc25504"/>
    </w:p>
    <w:p w14:paraId="71374111">
      <w:pPr>
        <w:spacing w:line="240" w:lineRule="auto"/>
        <w:ind w:firstLine="0" w:firstLineChars="0"/>
        <w:jc w:val="center"/>
        <w:rPr>
          <w:rFonts w:cs="Times New Roman"/>
          <w:b/>
          <w:bCs/>
          <w:color w:val="auto"/>
          <w:highlight w:val="none"/>
        </w:rPr>
      </w:pPr>
      <w:r>
        <w:rPr>
          <w:rFonts w:cs="Times New Roman"/>
          <w:b/>
          <w:bCs/>
          <w:color w:val="auto"/>
          <w:highlight w:val="none"/>
        </w:rPr>
        <w:t>表1.4-10  项目建设与相关政策符合性分析</w:t>
      </w:r>
    </w:p>
    <w:tbl>
      <w:tblPr>
        <w:tblStyle w:val="47"/>
        <w:tblW w:w="847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62"/>
        <w:gridCol w:w="3101"/>
        <w:gridCol w:w="2770"/>
        <w:gridCol w:w="645"/>
      </w:tblGrid>
      <w:tr w14:paraId="596308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962" w:type="dxa"/>
            <w:vAlign w:val="center"/>
          </w:tcPr>
          <w:p w14:paraId="1BA44013">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名称</w:t>
            </w:r>
          </w:p>
        </w:tc>
        <w:tc>
          <w:tcPr>
            <w:tcW w:w="3101" w:type="dxa"/>
            <w:vAlign w:val="center"/>
          </w:tcPr>
          <w:p w14:paraId="348D4021">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相关要求</w:t>
            </w:r>
          </w:p>
        </w:tc>
        <w:tc>
          <w:tcPr>
            <w:tcW w:w="2770" w:type="dxa"/>
            <w:vAlign w:val="center"/>
          </w:tcPr>
          <w:p w14:paraId="5F0E19C6">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本项目情况</w:t>
            </w:r>
          </w:p>
        </w:tc>
        <w:tc>
          <w:tcPr>
            <w:tcW w:w="645" w:type="dxa"/>
            <w:vAlign w:val="center"/>
          </w:tcPr>
          <w:p w14:paraId="778572D9">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结论</w:t>
            </w:r>
          </w:p>
        </w:tc>
      </w:tr>
      <w:tr w14:paraId="330099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9" w:hRule="atLeast"/>
        </w:trPr>
        <w:tc>
          <w:tcPr>
            <w:tcW w:w="1962" w:type="dxa"/>
            <w:vAlign w:val="center"/>
          </w:tcPr>
          <w:p w14:paraId="7C85E2A3">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《黑龙江省大气污染防治条例》</w:t>
            </w:r>
          </w:p>
        </w:tc>
        <w:tc>
          <w:tcPr>
            <w:tcW w:w="3101" w:type="dxa"/>
            <w:vAlign w:val="center"/>
          </w:tcPr>
          <w:p w14:paraId="18301D85">
            <w:pPr>
              <w:spacing w:line="360" w:lineRule="exact"/>
              <w:ind w:firstLine="0" w:firstLineChars="0"/>
              <w:rPr>
                <w:rFonts w:cs="Times New Roman"/>
                <w:color w:val="auto"/>
                <w:kern w:val="0"/>
                <w:sz w:val="21"/>
                <w:szCs w:val="21"/>
                <w:highlight w:val="none"/>
              </w:rPr>
            </w:pPr>
            <w:r>
              <w:rPr>
                <w:rFonts w:cs="Times New Roman"/>
                <w:color w:val="auto"/>
                <w:kern w:val="0"/>
                <w:sz w:val="21"/>
                <w:szCs w:val="21"/>
                <w:highlight w:val="none"/>
              </w:rPr>
              <w:t>第十条 企业事业单位和其他生产经营者建设对大气环境有影响的项目，应当依法进行环境影响评价、公开环境影响评价文件；向大气排放污染物的，应当符合大气污染物排放标准，遵守重点大气污染物排放总量控制要求。</w:t>
            </w:r>
          </w:p>
        </w:tc>
        <w:tc>
          <w:tcPr>
            <w:tcW w:w="2770" w:type="dxa"/>
            <w:vAlign w:val="center"/>
          </w:tcPr>
          <w:p w14:paraId="094D936E">
            <w:pPr>
              <w:spacing w:line="360" w:lineRule="exact"/>
              <w:ind w:firstLine="0" w:firstLineChars="0"/>
              <w:rPr>
                <w:rFonts w:hint="eastAsia" w:eastAsia="宋体" w:cs="Times New Roman"/>
                <w:color w:val="auto"/>
                <w:kern w:val="0"/>
                <w:sz w:val="21"/>
                <w:szCs w:val="21"/>
                <w:highlight w:val="none"/>
                <w:lang w:eastAsia="zh-CN"/>
              </w:rPr>
            </w:pPr>
            <w:r>
              <w:rPr>
                <w:rFonts w:cs="Times New Roman"/>
                <w:color w:val="auto"/>
                <w:kern w:val="0"/>
                <w:sz w:val="21"/>
                <w:szCs w:val="21"/>
                <w:highlight w:val="none"/>
              </w:rPr>
              <w:t>本项目正在进行环境影响报告书的编制工作，并对建设内容规模等进行了二次公示，项目生产过程中对产生废气均采取处理措施，处理后达标排放</w:t>
            </w:r>
            <w:r>
              <w:rPr>
                <w:rFonts w:hint="eastAsia" w:cs="Times New Roman"/>
                <w:color w:val="auto"/>
                <w:kern w:val="0"/>
                <w:sz w:val="21"/>
                <w:szCs w:val="21"/>
                <w:highlight w:val="none"/>
                <w:lang w:eastAsia="zh-CN"/>
              </w:rPr>
              <w:t>。</w:t>
            </w:r>
          </w:p>
        </w:tc>
        <w:tc>
          <w:tcPr>
            <w:tcW w:w="645" w:type="dxa"/>
            <w:vAlign w:val="center"/>
          </w:tcPr>
          <w:p w14:paraId="315BA42A">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符合</w:t>
            </w:r>
          </w:p>
        </w:tc>
      </w:tr>
      <w:tr w14:paraId="76CBF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1" w:hRule="atLeast"/>
        </w:trPr>
        <w:tc>
          <w:tcPr>
            <w:tcW w:w="1962" w:type="dxa"/>
            <w:vAlign w:val="center"/>
          </w:tcPr>
          <w:p w14:paraId="2DD25310">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《黑龙江省水污染防治实施方案》（黑政发〔2016〕3号）</w:t>
            </w:r>
          </w:p>
        </w:tc>
        <w:tc>
          <w:tcPr>
            <w:tcW w:w="3101" w:type="dxa"/>
            <w:vAlign w:val="center"/>
          </w:tcPr>
          <w:p w14:paraId="0D222149">
            <w:pPr>
              <w:spacing w:line="360" w:lineRule="exact"/>
              <w:ind w:firstLine="0" w:firstLineChars="0"/>
              <w:rPr>
                <w:rFonts w:cs="Times New Roman"/>
                <w:color w:val="auto"/>
                <w:kern w:val="0"/>
                <w:sz w:val="21"/>
                <w:szCs w:val="21"/>
                <w:highlight w:val="none"/>
              </w:rPr>
            </w:pPr>
            <w:r>
              <w:rPr>
                <w:rFonts w:cs="Times New Roman"/>
                <w:color w:val="auto"/>
                <w:kern w:val="0"/>
                <w:sz w:val="21"/>
                <w:szCs w:val="21"/>
                <w:highlight w:val="none"/>
              </w:rPr>
              <w:t>（1）狠抓工业污染防治。</w:t>
            </w:r>
          </w:p>
          <w:p w14:paraId="000A4715">
            <w:pPr>
              <w:spacing w:line="360" w:lineRule="exact"/>
              <w:ind w:firstLine="0" w:firstLineChars="0"/>
              <w:rPr>
                <w:rFonts w:cs="Times New Roman"/>
                <w:color w:val="auto"/>
                <w:kern w:val="0"/>
                <w:sz w:val="21"/>
                <w:szCs w:val="21"/>
                <w:highlight w:val="none"/>
              </w:rPr>
            </w:pPr>
            <w:r>
              <w:rPr>
                <w:rFonts w:cs="Times New Roman"/>
                <w:color w:val="auto"/>
                <w:kern w:val="0"/>
                <w:sz w:val="21"/>
                <w:szCs w:val="21"/>
                <w:highlight w:val="none"/>
              </w:rPr>
              <w:t>（2）推进污泥处理处置。</w:t>
            </w:r>
          </w:p>
          <w:p w14:paraId="022B8429">
            <w:pPr>
              <w:spacing w:line="360" w:lineRule="exact"/>
              <w:ind w:firstLine="0" w:firstLineChars="0"/>
              <w:rPr>
                <w:rFonts w:cs="Times New Roman"/>
                <w:color w:val="auto"/>
                <w:kern w:val="0"/>
                <w:sz w:val="21"/>
                <w:szCs w:val="21"/>
                <w:highlight w:val="none"/>
              </w:rPr>
            </w:pPr>
            <w:r>
              <w:rPr>
                <w:rFonts w:cs="Times New Roman"/>
                <w:color w:val="auto"/>
                <w:kern w:val="0"/>
                <w:sz w:val="21"/>
                <w:szCs w:val="21"/>
                <w:highlight w:val="none"/>
              </w:rPr>
              <w:t>（3）防治地下水污染。石化生产存贮销售企业和工业园区、矿山开采区、垃圾填埋场等区域应进行必要的防渗处理。</w:t>
            </w:r>
          </w:p>
        </w:tc>
        <w:tc>
          <w:tcPr>
            <w:tcW w:w="2770" w:type="dxa"/>
            <w:vAlign w:val="center"/>
          </w:tcPr>
          <w:p w14:paraId="021699A9">
            <w:pPr>
              <w:spacing w:line="360" w:lineRule="exact"/>
              <w:ind w:firstLine="0" w:firstLineChars="0"/>
              <w:rPr>
                <w:rFonts w:cs="Times New Roman"/>
                <w:color w:val="auto"/>
                <w:kern w:val="0"/>
                <w:sz w:val="21"/>
                <w:szCs w:val="21"/>
                <w:highlight w:val="none"/>
              </w:rPr>
            </w:pPr>
            <w:r>
              <w:rPr>
                <w:rFonts w:cs="Times New Roman"/>
                <w:color w:val="auto"/>
                <w:kern w:val="0"/>
                <w:sz w:val="21"/>
                <w:szCs w:val="21"/>
                <w:highlight w:val="none"/>
              </w:rPr>
              <w:t>本项目屠宰废水经厂区自建的污水处理站进行处理，处理后满足GB13457-1992表3中的畜类屠宰加工三级标准及</w:t>
            </w:r>
            <w:r>
              <w:rPr>
                <w:rFonts w:hint="eastAsia" w:cs="Times New Roman"/>
                <w:color w:val="auto"/>
                <w:kern w:val="0"/>
                <w:sz w:val="21"/>
                <w:szCs w:val="21"/>
                <w:highlight w:val="none"/>
                <w:lang w:val="en-GB" w:eastAsia="zh-CN"/>
              </w:rPr>
              <w:t>双鸭山市畅源排水有限公司</w:t>
            </w:r>
            <w:r>
              <w:rPr>
                <w:rFonts w:cs="Times New Roman"/>
                <w:color w:val="auto"/>
                <w:kern w:val="0"/>
                <w:sz w:val="21"/>
                <w:szCs w:val="21"/>
                <w:highlight w:val="none"/>
              </w:rPr>
              <w:t>设计进水水质指标后，与生活污水和一同经市政污水管网进入</w:t>
            </w:r>
            <w:r>
              <w:rPr>
                <w:rFonts w:hint="eastAsia" w:cs="Times New Roman"/>
                <w:color w:val="auto"/>
                <w:kern w:val="0"/>
                <w:sz w:val="21"/>
                <w:szCs w:val="21"/>
                <w:highlight w:val="none"/>
                <w:lang w:val="en-GB" w:eastAsia="zh-CN"/>
              </w:rPr>
              <w:t>双鸭山市畅源排水有限公司</w:t>
            </w:r>
            <w:r>
              <w:rPr>
                <w:rFonts w:cs="Times New Roman"/>
                <w:color w:val="auto"/>
                <w:kern w:val="0"/>
                <w:sz w:val="21"/>
                <w:szCs w:val="21"/>
                <w:highlight w:val="none"/>
                <w:lang w:val="en-GB"/>
              </w:rPr>
              <w:t>处理，</w:t>
            </w:r>
            <w:r>
              <w:rPr>
                <w:rFonts w:cs="Times New Roman"/>
                <w:color w:val="auto"/>
                <w:kern w:val="0"/>
                <w:sz w:val="21"/>
                <w:szCs w:val="21"/>
                <w:highlight w:val="none"/>
              </w:rPr>
              <w:t>处理达标后</w:t>
            </w:r>
            <w:r>
              <w:rPr>
                <w:rFonts w:cs="Times New Roman"/>
                <w:color w:val="auto"/>
                <w:kern w:val="0"/>
                <w:sz w:val="21"/>
                <w:szCs w:val="21"/>
                <w:highlight w:val="none"/>
                <w:lang w:val="en-GB"/>
              </w:rPr>
              <w:t>排入</w:t>
            </w:r>
            <w:r>
              <w:rPr>
                <w:rFonts w:hint="eastAsia" w:cs="Times New Roman"/>
                <w:color w:val="auto"/>
                <w:kern w:val="0"/>
                <w:sz w:val="21"/>
                <w:szCs w:val="21"/>
                <w:highlight w:val="none"/>
                <w:lang w:val="en-GB" w:eastAsia="zh-CN"/>
              </w:rPr>
              <w:t>安邦河</w:t>
            </w:r>
            <w:r>
              <w:rPr>
                <w:rFonts w:cs="Times New Roman"/>
                <w:color w:val="auto"/>
                <w:kern w:val="0"/>
                <w:sz w:val="21"/>
                <w:szCs w:val="21"/>
                <w:highlight w:val="none"/>
              </w:rPr>
              <w:t>。厂区采取分区防渗的措施，符合国家、省市水十条的相关要求。</w:t>
            </w:r>
          </w:p>
        </w:tc>
        <w:tc>
          <w:tcPr>
            <w:tcW w:w="645" w:type="dxa"/>
            <w:vAlign w:val="center"/>
          </w:tcPr>
          <w:p w14:paraId="6C64B668">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符合</w:t>
            </w:r>
          </w:p>
        </w:tc>
      </w:tr>
    </w:tbl>
    <w:p w14:paraId="4C3E3BAC">
      <w:pPr>
        <w:pStyle w:val="3"/>
        <w:spacing w:before="156" w:after="156"/>
        <w:rPr>
          <w:rFonts w:cs="Times New Roman"/>
          <w:color w:val="auto"/>
          <w:highlight w:val="none"/>
        </w:rPr>
      </w:pPr>
      <w:r>
        <w:rPr>
          <w:rFonts w:cs="Times New Roman"/>
          <w:color w:val="auto"/>
          <w:highlight w:val="none"/>
        </w:rPr>
        <w:t>1.5关注的主要环境问题及环境影响</w:t>
      </w:r>
      <w:bookmarkEnd w:id="25"/>
    </w:p>
    <w:p w14:paraId="12A72D00">
      <w:pPr>
        <w:spacing w:line="500" w:lineRule="exact"/>
        <w:rPr>
          <w:rFonts w:cs="Times New Roman"/>
          <w:color w:val="auto"/>
          <w:highlight w:val="none"/>
        </w:rPr>
      </w:pPr>
      <w:r>
        <w:rPr>
          <w:rFonts w:cs="Times New Roman"/>
          <w:color w:val="auto"/>
          <w:highlight w:val="none"/>
        </w:rPr>
        <w:t>根据本项目工程特点和项目周边环境现状，关注的主要问题如下：</w:t>
      </w:r>
    </w:p>
    <w:p w14:paraId="49997517">
      <w:pPr>
        <w:numPr>
          <w:ilvl w:val="0"/>
          <w:numId w:val="7"/>
        </w:numPr>
        <w:spacing w:line="500" w:lineRule="exact"/>
        <w:ind w:firstLine="482"/>
        <w:rPr>
          <w:rFonts w:cs="Times New Roman"/>
          <w:b/>
          <w:bCs/>
          <w:color w:val="auto"/>
          <w:highlight w:val="none"/>
        </w:rPr>
      </w:pPr>
      <w:r>
        <w:rPr>
          <w:rFonts w:cs="Times New Roman"/>
          <w:b/>
          <w:bCs/>
          <w:color w:val="auto"/>
          <w:highlight w:val="none"/>
        </w:rPr>
        <w:t>废气</w:t>
      </w:r>
    </w:p>
    <w:p w14:paraId="0ADD3F71">
      <w:pPr>
        <w:widowControl/>
        <w:rPr>
          <w:rFonts w:cs="Times New Roman"/>
          <w:color w:val="auto"/>
          <w:kern w:val="0"/>
          <w:szCs w:val="24"/>
          <w:highlight w:val="none"/>
          <w:lang w:bidi="ar"/>
        </w:rPr>
      </w:pPr>
      <w:r>
        <w:rPr>
          <w:rFonts w:cs="Times New Roman"/>
          <w:color w:val="auto"/>
          <w:spacing w:val="-3"/>
          <w:szCs w:val="24"/>
          <w:highlight w:val="none"/>
        </w:rPr>
        <w:t>本项目运营期废气主要为</w:t>
      </w:r>
      <w:r>
        <w:rPr>
          <w:rFonts w:hint="eastAsia" w:cs="Times New Roman"/>
          <w:snapToGrid w:val="0"/>
          <w:color w:val="auto"/>
          <w:highlight w:val="none"/>
          <w:lang w:val="zh-CN"/>
        </w:rPr>
        <w:t>待宰圈</w:t>
      </w:r>
      <w:r>
        <w:rPr>
          <w:rFonts w:cs="Times New Roman"/>
          <w:snapToGrid w:val="0"/>
          <w:color w:val="auto"/>
          <w:highlight w:val="none"/>
          <w:lang w:val="zh-CN"/>
        </w:rPr>
        <w:t>、</w:t>
      </w:r>
      <w:r>
        <w:rPr>
          <w:rFonts w:hint="eastAsia" w:cs="Times New Roman"/>
          <w:snapToGrid w:val="0"/>
          <w:color w:val="auto"/>
          <w:highlight w:val="none"/>
          <w:lang w:val="en-US" w:eastAsia="zh-CN"/>
        </w:rPr>
        <w:t>急宰间、</w:t>
      </w:r>
      <w:r>
        <w:rPr>
          <w:rFonts w:cs="Times New Roman"/>
          <w:snapToGrid w:val="0"/>
          <w:color w:val="auto"/>
          <w:highlight w:val="none"/>
          <w:lang w:val="zh-CN"/>
        </w:rPr>
        <w:t>屠宰车间</w:t>
      </w:r>
      <w:r>
        <w:rPr>
          <w:rFonts w:hint="eastAsia" w:cs="Times New Roman"/>
          <w:snapToGrid w:val="0"/>
          <w:color w:val="auto"/>
          <w:highlight w:val="none"/>
          <w:lang w:val="en-US" w:eastAsia="zh-CN"/>
        </w:rPr>
        <w:t>、</w:t>
      </w:r>
      <w:r>
        <w:rPr>
          <w:rFonts w:cs="Times New Roman"/>
          <w:snapToGrid w:val="0"/>
          <w:color w:val="auto"/>
          <w:highlight w:val="none"/>
          <w:lang w:val="zh-CN"/>
        </w:rPr>
        <w:t>污水处理站</w:t>
      </w:r>
      <w:r>
        <w:rPr>
          <w:rFonts w:cs="Times New Roman"/>
          <w:color w:val="auto"/>
          <w:spacing w:val="12"/>
          <w:szCs w:val="24"/>
          <w:highlight w:val="none"/>
        </w:rPr>
        <w:t>、隔离</w:t>
      </w:r>
      <w:r>
        <w:rPr>
          <w:rFonts w:hint="eastAsia" w:cs="Times New Roman"/>
          <w:color w:val="auto"/>
          <w:spacing w:val="12"/>
          <w:szCs w:val="24"/>
          <w:highlight w:val="none"/>
          <w:lang w:val="en-US" w:eastAsia="zh-CN"/>
        </w:rPr>
        <w:t>间</w:t>
      </w:r>
      <w:r>
        <w:rPr>
          <w:rFonts w:cs="Times New Roman"/>
          <w:color w:val="auto"/>
          <w:spacing w:val="12"/>
          <w:szCs w:val="24"/>
          <w:highlight w:val="none"/>
        </w:rPr>
        <w:t>及</w:t>
      </w:r>
      <w:r>
        <w:rPr>
          <w:rFonts w:hint="eastAsia" w:cs="Times New Roman"/>
          <w:color w:val="auto"/>
          <w:spacing w:val="12"/>
          <w:szCs w:val="24"/>
          <w:highlight w:val="none"/>
          <w:lang w:val="en-US" w:eastAsia="zh-CN"/>
        </w:rPr>
        <w:t>固体废物</w:t>
      </w:r>
      <w:r>
        <w:rPr>
          <w:rFonts w:cs="Times New Roman"/>
          <w:snapToGrid w:val="0"/>
          <w:color w:val="auto"/>
          <w:highlight w:val="none"/>
        </w:rPr>
        <w:t>暂存间</w:t>
      </w:r>
      <w:r>
        <w:rPr>
          <w:rFonts w:cs="Times New Roman"/>
          <w:snapToGrid w:val="0"/>
          <w:color w:val="auto"/>
          <w:highlight w:val="none"/>
          <w:lang w:val="zh-CN"/>
        </w:rPr>
        <w:t>产生的恶臭废气</w:t>
      </w:r>
      <w:r>
        <w:rPr>
          <w:rFonts w:hint="eastAsia" w:cs="Times New Roman"/>
          <w:snapToGrid w:val="0"/>
          <w:color w:val="auto"/>
          <w:highlight w:val="none"/>
          <w:lang w:val="zh-CN"/>
        </w:rPr>
        <w:t>。</w:t>
      </w:r>
      <w:r>
        <w:rPr>
          <w:rFonts w:cs="Times New Roman"/>
          <w:color w:val="auto"/>
          <w:highlight w:val="none"/>
        </w:rPr>
        <w:t>主要</w:t>
      </w:r>
      <w:r>
        <w:rPr>
          <w:rFonts w:cs="Times New Roman"/>
          <w:color w:val="auto"/>
          <w:kern w:val="0"/>
          <w:szCs w:val="24"/>
          <w:highlight w:val="none"/>
          <w:lang w:bidi="ar"/>
        </w:rPr>
        <w:t>污染物为NH</w:t>
      </w:r>
      <w:r>
        <w:rPr>
          <w:rFonts w:cs="Times New Roman"/>
          <w:color w:val="auto"/>
          <w:kern w:val="0"/>
          <w:sz w:val="16"/>
          <w:szCs w:val="16"/>
          <w:highlight w:val="none"/>
          <w:lang w:bidi="ar"/>
        </w:rPr>
        <w:t>3</w:t>
      </w:r>
      <w:r>
        <w:rPr>
          <w:rFonts w:cs="Times New Roman"/>
          <w:color w:val="auto"/>
          <w:kern w:val="0"/>
          <w:szCs w:val="24"/>
          <w:highlight w:val="none"/>
          <w:lang w:bidi="ar"/>
        </w:rPr>
        <w:t>、H</w:t>
      </w:r>
      <w:r>
        <w:rPr>
          <w:rFonts w:cs="Times New Roman"/>
          <w:color w:val="auto"/>
          <w:kern w:val="0"/>
          <w:sz w:val="16"/>
          <w:szCs w:val="16"/>
          <w:highlight w:val="none"/>
          <w:lang w:bidi="ar"/>
        </w:rPr>
        <w:t>2</w:t>
      </w:r>
      <w:r>
        <w:rPr>
          <w:rFonts w:cs="Times New Roman"/>
          <w:color w:val="auto"/>
          <w:kern w:val="0"/>
          <w:szCs w:val="24"/>
          <w:highlight w:val="none"/>
          <w:lang w:bidi="ar"/>
        </w:rPr>
        <w:t>S、臭气浓度。</w:t>
      </w:r>
    </w:p>
    <w:p w14:paraId="26CA346B">
      <w:pPr>
        <w:widowControl/>
        <w:rPr>
          <w:rFonts w:ascii="Times New Roman" w:hAnsi="Times New Roman" w:eastAsia="宋体" w:cs="Times New Roman"/>
          <w:snapToGrid w:val="0"/>
          <w:color w:val="auto"/>
          <w:highlight w:val="none"/>
        </w:rPr>
      </w:pPr>
      <w:r>
        <w:rPr>
          <w:rFonts w:cs="Times New Roman"/>
          <w:color w:val="auto"/>
          <w:highlight w:val="none"/>
        </w:rPr>
        <w:t>屠宰车间产生的废气</w:t>
      </w:r>
      <w:r>
        <w:rPr>
          <w:rFonts w:hint="eastAsia" w:cs="Times New Roman"/>
          <w:color w:val="auto"/>
          <w:highlight w:val="none"/>
          <w:lang w:eastAsia="zh-CN"/>
        </w:rPr>
        <w:t>采用微负压集中收集后</w:t>
      </w:r>
      <w:r>
        <w:rPr>
          <w:rFonts w:cs="Times New Roman"/>
          <w:color w:val="auto"/>
          <w:highlight w:val="none"/>
        </w:rPr>
        <w:t>（收集率约90%左右），通过活性炭净化装置（</w:t>
      </w:r>
      <w:r>
        <w:rPr>
          <w:rFonts w:hint="eastAsia" w:cs="Times New Roman"/>
          <w:color w:val="auto"/>
          <w:highlight w:val="none"/>
          <w:lang w:eastAsia="zh-CN"/>
        </w:rPr>
        <w:t>净化效率80%</w:t>
      </w:r>
      <w:r>
        <w:rPr>
          <w:rFonts w:cs="Times New Roman"/>
          <w:color w:val="auto"/>
          <w:highlight w:val="none"/>
        </w:rPr>
        <w:t>）处理后，经15m高的排气筒DA001排放；</w:t>
      </w:r>
      <w:r>
        <w:rPr>
          <w:rFonts w:hint="eastAsia" w:cs="Times New Roman"/>
          <w:color w:val="auto"/>
          <w:highlight w:val="none"/>
          <w:lang w:val="en-US" w:eastAsia="zh-CN"/>
        </w:rPr>
        <w:t>急宰间、隔离间及固体废物暂存间</w:t>
      </w:r>
      <w:r>
        <w:rPr>
          <w:rFonts w:cs="Times New Roman"/>
          <w:color w:val="auto"/>
          <w:highlight w:val="none"/>
        </w:rPr>
        <w:t>废气</w:t>
      </w:r>
      <w:r>
        <w:rPr>
          <w:rFonts w:hint="eastAsia" w:cs="Times New Roman"/>
          <w:color w:val="auto"/>
          <w:highlight w:val="none"/>
          <w:lang w:eastAsia="zh-CN"/>
        </w:rPr>
        <w:t>采用微负压集中收集后</w:t>
      </w:r>
      <w:r>
        <w:rPr>
          <w:rFonts w:cs="Times New Roman"/>
          <w:color w:val="auto"/>
          <w:highlight w:val="none"/>
        </w:rPr>
        <w:t>（收集率约90%左右），通过一套活性炭净化装置（</w:t>
      </w:r>
      <w:r>
        <w:rPr>
          <w:rFonts w:hint="eastAsia" w:cs="Times New Roman"/>
          <w:color w:val="auto"/>
          <w:highlight w:val="none"/>
          <w:lang w:eastAsia="zh-CN"/>
        </w:rPr>
        <w:t>净化效率80%</w:t>
      </w:r>
      <w:r>
        <w:rPr>
          <w:rFonts w:cs="Times New Roman"/>
          <w:color w:val="auto"/>
          <w:highlight w:val="none"/>
        </w:rPr>
        <w:t>），净化后的废气</w:t>
      </w:r>
      <w:r>
        <w:rPr>
          <w:rFonts w:hint="eastAsia" w:cs="Times New Roman"/>
          <w:color w:val="auto"/>
          <w:highlight w:val="none"/>
          <w:lang w:val="en-US" w:eastAsia="zh-CN"/>
        </w:rPr>
        <w:t>与屠宰车间产生的废气一同</w:t>
      </w:r>
      <w:r>
        <w:rPr>
          <w:rFonts w:cs="Times New Roman"/>
          <w:color w:val="auto"/>
          <w:highlight w:val="none"/>
        </w:rPr>
        <w:t>通过15m排气筒DA00</w:t>
      </w:r>
      <w:r>
        <w:rPr>
          <w:rFonts w:hint="eastAsia" w:cs="Times New Roman"/>
          <w:color w:val="auto"/>
          <w:highlight w:val="none"/>
          <w:lang w:val="en-US" w:eastAsia="zh-CN"/>
        </w:rPr>
        <w:t>1</w:t>
      </w:r>
      <w:r>
        <w:rPr>
          <w:rFonts w:cs="Times New Roman"/>
          <w:color w:val="auto"/>
          <w:highlight w:val="none"/>
        </w:rPr>
        <w:t>排放；</w:t>
      </w:r>
      <w:r>
        <w:rPr>
          <w:rFonts w:cs="Times New Roman"/>
          <w:color w:val="auto"/>
          <w:szCs w:val="24"/>
          <w:highlight w:val="none"/>
        </w:rPr>
        <w:t>污水处理站产生的废气，经负压收集</w:t>
      </w:r>
      <w:r>
        <w:rPr>
          <w:rFonts w:cs="Times New Roman"/>
          <w:color w:val="auto"/>
          <w:highlight w:val="none"/>
        </w:rPr>
        <w:t>（收集率约90%左右）</w:t>
      </w:r>
      <w:r>
        <w:rPr>
          <w:rFonts w:cs="Times New Roman"/>
          <w:color w:val="auto"/>
          <w:szCs w:val="24"/>
          <w:highlight w:val="none"/>
        </w:rPr>
        <w:t>至活性炭吸附装置</w:t>
      </w:r>
      <w:r>
        <w:rPr>
          <w:rFonts w:cs="Times New Roman"/>
          <w:color w:val="auto"/>
          <w:highlight w:val="none"/>
        </w:rPr>
        <w:t>（</w:t>
      </w:r>
      <w:r>
        <w:rPr>
          <w:rFonts w:hint="eastAsia" w:cs="Times New Roman"/>
          <w:color w:val="auto"/>
          <w:highlight w:val="none"/>
          <w:lang w:eastAsia="zh-CN"/>
        </w:rPr>
        <w:t>净化效率80%</w:t>
      </w:r>
      <w:r>
        <w:rPr>
          <w:rFonts w:cs="Times New Roman"/>
          <w:color w:val="auto"/>
          <w:highlight w:val="none"/>
        </w:rPr>
        <w:t>）</w:t>
      </w:r>
      <w:r>
        <w:rPr>
          <w:rFonts w:cs="Times New Roman"/>
          <w:color w:val="auto"/>
          <w:szCs w:val="24"/>
          <w:highlight w:val="none"/>
        </w:rPr>
        <w:t>进行处理，处理后经15m高的排气筒DA00</w:t>
      </w:r>
      <w:r>
        <w:rPr>
          <w:rFonts w:hint="eastAsia" w:cs="Times New Roman"/>
          <w:color w:val="auto"/>
          <w:szCs w:val="24"/>
          <w:highlight w:val="none"/>
          <w:lang w:val="en-US" w:eastAsia="zh-CN"/>
        </w:rPr>
        <w:t>2</w:t>
      </w:r>
      <w:r>
        <w:rPr>
          <w:rFonts w:cs="Times New Roman"/>
          <w:color w:val="auto"/>
          <w:szCs w:val="24"/>
          <w:highlight w:val="none"/>
        </w:rPr>
        <w:t>排放；</w:t>
      </w:r>
      <w:r>
        <w:rPr>
          <w:rFonts w:cs="Times New Roman"/>
          <w:snapToGrid w:val="0"/>
          <w:color w:val="auto"/>
          <w:highlight w:val="none"/>
        </w:rPr>
        <w:t>DA001</w:t>
      </w:r>
      <w:r>
        <w:rPr>
          <w:rFonts w:hint="eastAsia" w:cs="Times New Roman"/>
          <w:snapToGrid w:val="0"/>
          <w:color w:val="auto"/>
          <w:highlight w:val="none"/>
          <w:lang w:eastAsia="zh-CN"/>
        </w:rPr>
        <w:t>、</w:t>
      </w:r>
      <w:r>
        <w:rPr>
          <w:rFonts w:cs="Times New Roman"/>
          <w:snapToGrid w:val="0"/>
          <w:color w:val="auto"/>
          <w:highlight w:val="none"/>
        </w:rPr>
        <w:t>DA00</w:t>
      </w:r>
      <w:r>
        <w:rPr>
          <w:rFonts w:hint="eastAsia" w:cs="Times New Roman"/>
          <w:snapToGrid w:val="0"/>
          <w:color w:val="auto"/>
          <w:highlight w:val="none"/>
          <w:lang w:val="en-US" w:eastAsia="zh-CN"/>
        </w:rPr>
        <w:t>2</w:t>
      </w:r>
      <w:r>
        <w:rPr>
          <w:rFonts w:cs="Times New Roman"/>
          <w:snapToGrid w:val="0"/>
          <w:color w:val="auto"/>
          <w:highlight w:val="none"/>
        </w:rPr>
        <w:t>排气筒排放速率及浓度均可满足《恶臭污染物排放标准》（GB14554-93）表2中排放标准限值。</w:t>
      </w:r>
    </w:p>
    <w:p w14:paraId="56ED6A46">
      <w:pPr>
        <w:widowControl/>
        <w:rPr>
          <w:rFonts w:hint="eastAsia" w:ascii="Times New Roman" w:hAnsi="Times New Roman" w:eastAsia="宋体" w:cs="Times New Roman"/>
          <w:snapToGrid w:val="0"/>
          <w:color w:val="auto"/>
          <w:highlight w:val="none"/>
          <w:lang w:eastAsia="zh-CN"/>
        </w:rPr>
      </w:pPr>
      <w:r>
        <w:rPr>
          <w:rFonts w:cs="Times New Roman"/>
          <w:snapToGrid w:val="0"/>
          <w:color w:val="auto"/>
          <w:highlight w:val="none"/>
          <w:lang w:val="zh-CN"/>
        </w:rPr>
        <w:t>同时</w:t>
      </w:r>
      <w:r>
        <w:rPr>
          <w:rFonts w:cs="Times New Roman"/>
          <w:color w:val="auto"/>
          <w:highlight w:val="none"/>
        </w:rPr>
        <w:t>屠宰车间及时清洗清运，定期喷洒除臭剂</w:t>
      </w:r>
      <w:r>
        <w:rPr>
          <w:rFonts w:cs="Times New Roman"/>
          <w:snapToGrid w:val="0"/>
          <w:color w:val="auto"/>
          <w:highlight w:val="none"/>
          <w:lang w:val="zh-CN"/>
        </w:rPr>
        <w:t>；</w:t>
      </w:r>
      <w:r>
        <w:rPr>
          <w:rFonts w:hint="eastAsia" w:cs="Times New Roman"/>
          <w:snapToGrid w:val="0"/>
          <w:color w:val="auto"/>
          <w:highlight w:val="none"/>
          <w:lang w:eastAsia="zh-CN"/>
        </w:rPr>
        <w:t>待宰圈</w:t>
      </w:r>
      <w:r>
        <w:rPr>
          <w:rFonts w:hint="eastAsia" w:cs="Times New Roman"/>
          <w:snapToGrid w:val="0"/>
          <w:color w:val="auto"/>
          <w:highlight w:val="none"/>
        </w:rPr>
        <w:t>设置专人管理</w:t>
      </w:r>
      <w:r>
        <w:rPr>
          <w:rFonts w:cs="Times New Roman"/>
          <w:snapToGrid w:val="0"/>
          <w:color w:val="auto"/>
          <w:highlight w:val="none"/>
        </w:rPr>
        <w:t>，及时清理地面上的粪便及尿液，</w:t>
      </w:r>
      <w:r>
        <w:rPr>
          <w:rFonts w:hint="eastAsia" w:cs="Times New Roman"/>
          <w:snapToGrid w:val="0"/>
          <w:color w:val="auto"/>
          <w:highlight w:val="none"/>
        </w:rPr>
        <w:t>定期冲洗待地面</w:t>
      </w:r>
      <w:r>
        <w:rPr>
          <w:rFonts w:cs="Times New Roman"/>
          <w:snapToGrid w:val="0"/>
          <w:color w:val="auto"/>
          <w:highlight w:val="none"/>
        </w:rPr>
        <w:t>，同时定期喷洒除臭剂，减少恶臭源的散发；屠宰车间及时清洗清运</w:t>
      </w:r>
      <w:r>
        <w:rPr>
          <w:rFonts w:hint="eastAsia" w:cs="Times New Roman"/>
          <w:snapToGrid w:val="0"/>
          <w:color w:val="auto"/>
          <w:highlight w:val="none"/>
        </w:rPr>
        <w:t>，</w:t>
      </w:r>
      <w:r>
        <w:rPr>
          <w:rFonts w:cs="Times New Roman"/>
          <w:snapToGrid w:val="0"/>
          <w:color w:val="auto"/>
          <w:highlight w:val="none"/>
        </w:rPr>
        <w:t>定期喷洒除臭剂；对于污水处理站产生恶臭区域加盖、喷洒除臭剂，来降低污水处理站恶臭对厂区内外的影响；固废暂存间内废物暂存于加盖的</w:t>
      </w:r>
      <w:r>
        <w:rPr>
          <w:rFonts w:hint="eastAsia" w:cs="Times New Roman"/>
          <w:snapToGrid w:val="0"/>
          <w:color w:val="auto"/>
          <w:highlight w:val="none"/>
          <w:lang w:val="en-US" w:eastAsia="zh-CN"/>
        </w:rPr>
        <w:t>转运桶</w:t>
      </w:r>
      <w:r>
        <w:rPr>
          <w:rFonts w:cs="Times New Roman"/>
          <w:snapToGrid w:val="0"/>
          <w:color w:val="auto"/>
          <w:highlight w:val="none"/>
        </w:rPr>
        <w:t>内，正常情况下为密封，仅输送生产废物时，将</w:t>
      </w:r>
      <w:r>
        <w:rPr>
          <w:rFonts w:hint="eastAsia" w:cs="Times New Roman"/>
          <w:snapToGrid w:val="0"/>
          <w:color w:val="auto"/>
          <w:highlight w:val="none"/>
          <w:lang w:val="en-US" w:eastAsia="zh-CN"/>
        </w:rPr>
        <w:t>转运桶</w:t>
      </w:r>
      <w:r>
        <w:rPr>
          <w:rFonts w:cs="Times New Roman"/>
          <w:snapToGrid w:val="0"/>
          <w:color w:val="auto"/>
          <w:highlight w:val="none"/>
        </w:rPr>
        <w:t>输送至运输车上</w:t>
      </w:r>
      <w:r>
        <w:rPr>
          <w:rFonts w:hint="eastAsia" w:cs="Times New Roman"/>
          <w:snapToGrid w:val="0"/>
          <w:color w:val="auto"/>
          <w:highlight w:val="none"/>
        </w:rPr>
        <w:t>，</w:t>
      </w:r>
      <w:r>
        <w:rPr>
          <w:rFonts w:hint="eastAsia" w:cs="Times New Roman"/>
          <w:snapToGrid w:val="0"/>
          <w:color w:val="auto"/>
          <w:highlight w:val="none"/>
          <w:lang w:val="en-US" w:eastAsia="zh-CN"/>
        </w:rPr>
        <w:t>并放置新的转运桶用于存放下一个周期的固体废物，定期喷洒除臭剂，</w:t>
      </w:r>
      <w:r>
        <w:rPr>
          <w:rFonts w:hint="eastAsia" w:cs="Times New Roman"/>
          <w:snapToGrid w:val="0"/>
          <w:color w:val="auto"/>
          <w:highlight w:val="none"/>
          <w:lang w:val="en-US"/>
        </w:rPr>
        <w:t>减少恶臭的释放</w:t>
      </w:r>
      <w:r>
        <w:rPr>
          <w:rFonts w:hint="eastAsia" w:cs="Times New Roman"/>
          <w:snapToGrid w:val="0"/>
          <w:color w:val="auto"/>
          <w:highlight w:val="none"/>
          <w:lang w:val="en-US" w:eastAsia="zh-CN"/>
        </w:rPr>
        <w:t>。</w:t>
      </w:r>
    </w:p>
    <w:p w14:paraId="76201784">
      <w:pPr>
        <w:widowControl/>
        <w:spacing w:line="500" w:lineRule="exact"/>
        <w:ind w:firstLine="468"/>
        <w:jc w:val="left"/>
        <w:rPr>
          <w:rFonts w:cs="Times New Roman"/>
          <w:color w:val="auto"/>
          <w:kern w:val="0"/>
          <w:szCs w:val="24"/>
          <w:highlight w:val="none"/>
          <w:lang w:bidi="ar"/>
        </w:rPr>
      </w:pPr>
      <w:r>
        <w:rPr>
          <w:rFonts w:cs="Times New Roman"/>
          <w:color w:val="auto"/>
          <w:szCs w:val="24"/>
          <w:highlight w:val="none"/>
        </w:rPr>
        <w:t>本次评价重点分析废气源强、治理措施的可行性及对周边大气环境的影响。</w:t>
      </w:r>
    </w:p>
    <w:p w14:paraId="38901F9A">
      <w:pPr>
        <w:numPr>
          <w:ilvl w:val="0"/>
          <w:numId w:val="7"/>
        </w:numPr>
        <w:spacing w:line="500" w:lineRule="exact"/>
        <w:ind w:firstLine="482"/>
        <w:rPr>
          <w:rFonts w:cs="Times New Roman"/>
          <w:b/>
          <w:bCs/>
          <w:color w:val="auto"/>
          <w:highlight w:val="none"/>
        </w:rPr>
      </w:pPr>
      <w:r>
        <w:rPr>
          <w:rFonts w:cs="Times New Roman"/>
          <w:b/>
          <w:bCs/>
          <w:color w:val="auto"/>
          <w:highlight w:val="none"/>
        </w:rPr>
        <w:t>废水</w:t>
      </w:r>
    </w:p>
    <w:p w14:paraId="3D165D34">
      <w:pPr>
        <w:widowControl/>
        <w:spacing w:line="500" w:lineRule="exact"/>
        <w:ind w:firstLine="468"/>
        <w:jc w:val="left"/>
        <w:rPr>
          <w:rFonts w:cs="Times New Roman"/>
          <w:color w:val="auto"/>
          <w:szCs w:val="24"/>
          <w:highlight w:val="none"/>
        </w:rPr>
      </w:pPr>
      <w:r>
        <w:rPr>
          <w:rFonts w:cs="Times New Roman"/>
          <w:color w:val="auto"/>
          <w:spacing w:val="-3"/>
          <w:szCs w:val="24"/>
          <w:highlight w:val="none"/>
          <w:lang w:val="zh-CN"/>
        </w:rPr>
        <w:t>本项</w:t>
      </w:r>
      <w:r>
        <w:rPr>
          <w:rFonts w:cs="Times New Roman"/>
          <w:snapToGrid w:val="0"/>
          <w:color w:val="auto"/>
          <w:highlight w:val="none"/>
          <w:lang w:val="zh-CN"/>
        </w:rPr>
        <w:t>目运营期产生的废水包括生产废水和生活污水。其中，生产废水</w:t>
      </w:r>
      <w:r>
        <w:rPr>
          <w:rFonts w:hint="eastAsia" w:cs="Times New Roman"/>
          <w:snapToGrid w:val="0"/>
          <w:color w:val="auto"/>
          <w:highlight w:val="none"/>
          <w:lang w:val="zh-CN"/>
        </w:rPr>
        <w:t>包括</w:t>
      </w:r>
      <w:r>
        <w:rPr>
          <w:rFonts w:cs="Times New Roman"/>
          <w:snapToGrid w:val="0"/>
          <w:color w:val="auto"/>
          <w:highlight w:val="none"/>
          <w:lang w:val="zh-CN"/>
        </w:rPr>
        <w:t>屠宰废水</w:t>
      </w:r>
      <w:r>
        <w:rPr>
          <w:rFonts w:hint="eastAsia" w:cs="Times New Roman"/>
          <w:snapToGrid w:val="0"/>
          <w:color w:val="auto"/>
          <w:highlight w:val="none"/>
          <w:lang w:val="en-US" w:eastAsia="zh-CN"/>
        </w:rPr>
        <w:t>车辆冲洗水及冷库排酸废水</w:t>
      </w:r>
      <w:r>
        <w:rPr>
          <w:rFonts w:cs="Times New Roman"/>
          <w:snapToGrid w:val="0"/>
          <w:color w:val="auto"/>
          <w:highlight w:val="none"/>
          <w:lang w:val="zh-CN"/>
        </w:rPr>
        <w:t>，</w:t>
      </w:r>
      <w:r>
        <w:rPr>
          <w:rFonts w:cs="Times New Roman"/>
          <w:snapToGrid w:val="0"/>
          <w:color w:val="auto"/>
          <w:highlight w:val="none"/>
        </w:rPr>
        <w:t>主要污染物为</w:t>
      </w:r>
      <w:r>
        <w:rPr>
          <w:rFonts w:hint="eastAsia" w:cs="Times New Roman"/>
          <w:snapToGrid w:val="0"/>
          <w:color w:val="auto"/>
          <w:highlight w:val="none"/>
          <w:lang w:val="en-US" w:eastAsia="zh-CN"/>
        </w:rPr>
        <w:t>pH值、</w:t>
      </w:r>
      <w:r>
        <w:rPr>
          <w:rFonts w:cs="Times New Roman"/>
          <w:snapToGrid w:val="0"/>
          <w:color w:val="auto"/>
          <w:highlight w:val="none"/>
        </w:rPr>
        <w:t>COD、氨氮、BOD</w:t>
      </w:r>
      <w:r>
        <w:rPr>
          <w:rFonts w:cs="Times New Roman"/>
          <w:snapToGrid w:val="0"/>
          <w:color w:val="auto"/>
          <w:highlight w:val="none"/>
          <w:vertAlign w:val="subscript"/>
        </w:rPr>
        <w:t>5</w:t>
      </w:r>
      <w:r>
        <w:rPr>
          <w:rFonts w:cs="Times New Roman"/>
          <w:snapToGrid w:val="0"/>
          <w:color w:val="auto"/>
          <w:highlight w:val="none"/>
        </w:rPr>
        <w:t>、SS、</w:t>
      </w:r>
      <w:r>
        <w:rPr>
          <w:rFonts w:cs="Times New Roman"/>
          <w:color w:val="auto"/>
          <w:kern w:val="0"/>
          <w:szCs w:val="24"/>
          <w:highlight w:val="none"/>
          <w:lang w:bidi="ar"/>
        </w:rPr>
        <w:t>动植物油、</w:t>
      </w:r>
      <w:r>
        <w:rPr>
          <w:rFonts w:cs="Times New Roman"/>
          <w:snapToGrid w:val="0"/>
          <w:color w:val="auto"/>
          <w:highlight w:val="none"/>
        </w:rPr>
        <w:t>总氮</w:t>
      </w:r>
      <w:r>
        <w:rPr>
          <w:rFonts w:hint="eastAsia" w:cs="Times New Roman"/>
          <w:snapToGrid w:val="0"/>
          <w:color w:val="auto"/>
          <w:highlight w:val="none"/>
          <w:lang w:eastAsia="zh-CN"/>
        </w:rPr>
        <w:t>、</w:t>
      </w:r>
      <w:r>
        <w:rPr>
          <w:rFonts w:cs="Times New Roman"/>
          <w:snapToGrid w:val="0"/>
          <w:color w:val="auto"/>
          <w:highlight w:val="none"/>
        </w:rPr>
        <w:t>总磷</w:t>
      </w:r>
      <w:r>
        <w:rPr>
          <w:rFonts w:hint="eastAsia" w:cs="Times New Roman"/>
          <w:snapToGrid w:val="0"/>
          <w:color w:val="auto"/>
          <w:highlight w:val="none"/>
          <w:lang w:val="en-US" w:eastAsia="zh-CN"/>
        </w:rPr>
        <w:t>及大肠菌群数</w:t>
      </w:r>
      <w:r>
        <w:rPr>
          <w:rFonts w:cs="Times New Roman"/>
          <w:snapToGrid w:val="0"/>
          <w:color w:val="auto"/>
          <w:highlight w:val="none"/>
        </w:rPr>
        <w:t>；</w:t>
      </w:r>
      <w:r>
        <w:rPr>
          <w:rFonts w:cs="Times New Roman"/>
          <w:snapToGrid w:val="0"/>
          <w:color w:val="auto"/>
          <w:highlight w:val="none"/>
          <w:lang w:val="zh-CN"/>
        </w:rPr>
        <w:t>生活污水为员工日常生活污水，主要污染物为</w:t>
      </w:r>
      <w:r>
        <w:rPr>
          <w:rFonts w:cs="Times New Roman"/>
          <w:snapToGrid w:val="0"/>
          <w:color w:val="auto"/>
          <w:highlight w:val="none"/>
        </w:rPr>
        <w:t>COD、氨氮。</w:t>
      </w:r>
      <w:r>
        <w:rPr>
          <w:rFonts w:hint="eastAsia" w:cs="Times New Roman"/>
          <w:color w:val="auto"/>
          <w:kern w:val="0"/>
          <w:highlight w:val="none"/>
          <w:lang w:eastAsia="zh-CN"/>
        </w:rPr>
        <w:t>屠宰废水、车辆冲洗水及冷库排酸废水经污水处理</w:t>
      </w:r>
      <w:r>
        <w:rPr>
          <w:rFonts w:hint="eastAsia" w:cs="Times New Roman"/>
          <w:snapToGrid w:val="0"/>
          <w:color w:val="auto"/>
          <w:highlight w:val="none"/>
          <w:lang w:val="zh-CN" w:eastAsia="zh-CN"/>
        </w:rPr>
        <w:t>站处理（</w:t>
      </w:r>
      <w:r>
        <w:rPr>
          <w:rFonts w:hint="eastAsia" w:cs="Times New Roman"/>
          <w:snapToGrid w:val="0"/>
          <w:color w:val="auto"/>
          <w:highlight w:val="none"/>
          <w:lang w:val="en-US" w:eastAsia="zh-CN"/>
        </w:rPr>
        <w:t>处理工艺：</w:t>
      </w:r>
      <w:r>
        <w:rPr>
          <w:rFonts w:cs="Times New Roman"/>
          <w:bCs/>
          <w:color w:val="auto"/>
          <w:szCs w:val="24"/>
          <w:highlight w:val="none"/>
        </w:rPr>
        <w:t>格栅+</w:t>
      </w:r>
      <w:r>
        <w:rPr>
          <w:rFonts w:hint="eastAsia" w:cs="Times New Roman"/>
          <w:bCs/>
          <w:color w:val="auto"/>
          <w:szCs w:val="24"/>
          <w:highlight w:val="none"/>
          <w:lang w:val="en-US" w:eastAsia="zh-CN"/>
        </w:rPr>
        <w:t>隔油池</w:t>
      </w:r>
      <w:r>
        <w:rPr>
          <w:rFonts w:cs="Times New Roman"/>
          <w:bCs/>
          <w:color w:val="auto"/>
          <w:szCs w:val="24"/>
          <w:highlight w:val="none"/>
        </w:rPr>
        <w:t>+</w:t>
      </w:r>
      <w:r>
        <w:rPr>
          <w:rFonts w:hint="eastAsia" w:cs="Times New Roman"/>
          <w:bCs/>
          <w:color w:val="auto"/>
          <w:szCs w:val="24"/>
          <w:highlight w:val="none"/>
          <w:lang w:val="en-US" w:eastAsia="zh-CN"/>
        </w:rPr>
        <w:t>调节池</w:t>
      </w:r>
      <w:r>
        <w:rPr>
          <w:rFonts w:cs="Times New Roman"/>
          <w:bCs/>
          <w:color w:val="auto"/>
          <w:szCs w:val="24"/>
          <w:highlight w:val="none"/>
        </w:rPr>
        <w:t>+气浮+水解酸化+</w:t>
      </w:r>
      <w:r>
        <w:rPr>
          <w:rFonts w:hint="eastAsia" w:cs="Times New Roman"/>
          <w:bCs/>
          <w:color w:val="auto"/>
          <w:szCs w:val="24"/>
          <w:highlight w:val="none"/>
          <w:lang w:val="en-US" w:eastAsia="zh-CN"/>
        </w:rPr>
        <w:t>反硝化缺氧+好氧</w:t>
      </w:r>
      <w:r>
        <w:rPr>
          <w:rFonts w:cs="Times New Roman"/>
          <w:bCs/>
          <w:color w:val="auto"/>
          <w:szCs w:val="24"/>
          <w:highlight w:val="none"/>
        </w:rPr>
        <w:t>+沉淀+消毒（</w:t>
      </w:r>
      <w:r>
        <w:rPr>
          <w:rFonts w:hint="eastAsia" w:cs="Times New Roman"/>
          <w:bCs/>
          <w:color w:val="auto"/>
          <w:szCs w:val="24"/>
          <w:highlight w:val="none"/>
          <w:lang w:val="en-US" w:eastAsia="zh-CN"/>
        </w:rPr>
        <w:t>次氯酸钠</w:t>
      </w:r>
      <w:r>
        <w:rPr>
          <w:rFonts w:hint="eastAsia" w:cs="Times New Roman"/>
          <w:snapToGrid w:val="0"/>
          <w:color w:val="auto"/>
          <w:highlight w:val="none"/>
          <w:lang w:val="zh-CN" w:eastAsia="zh-CN"/>
        </w:rPr>
        <w:t>）后，</w:t>
      </w:r>
      <w:r>
        <w:rPr>
          <w:rFonts w:cs="Times New Roman"/>
          <w:snapToGrid w:val="0"/>
          <w:color w:val="auto"/>
          <w:highlight w:val="none"/>
          <w:lang w:val="zh-CN"/>
        </w:rPr>
        <w:t>水污染物浓度和排水量均</w:t>
      </w:r>
      <w:r>
        <w:rPr>
          <w:rFonts w:cs="Times New Roman"/>
          <w:snapToGrid w:val="0"/>
          <w:color w:val="auto"/>
          <w:highlight w:val="none"/>
          <w:lang w:val="en-GB"/>
        </w:rPr>
        <w:t>达到《肉类加工工业水污染物排放标准》（GB13457-9</w:t>
      </w:r>
      <w:r>
        <w:rPr>
          <w:rFonts w:cs="Times New Roman"/>
          <w:color w:val="auto"/>
          <w:kern w:val="0"/>
          <w:highlight w:val="none"/>
          <w:lang w:val="en-GB"/>
        </w:rPr>
        <w:t>2）</w:t>
      </w:r>
      <w:r>
        <w:rPr>
          <w:rFonts w:cs="Times New Roman"/>
          <w:color w:val="auto"/>
          <w:kern w:val="0"/>
          <w:highlight w:val="none"/>
        </w:rPr>
        <w:t>表3</w:t>
      </w:r>
      <w:r>
        <w:rPr>
          <w:rFonts w:cs="Times New Roman"/>
          <w:color w:val="auto"/>
          <w:kern w:val="0"/>
          <w:highlight w:val="none"/>
          <w:lang w:val="en-GB"/>
        </w:rPr>
        <w:t>中畜类屠宰加工三级标准，并满足</w:t>
      </w:r>
      <w:r>
        <w:rPr>
          <w:rFonts w:hint="eastAsia" w:cs="Times New Roman"/>
          <w:color w:val="auto"/>
          <w:kern w:val="0"/>
          <w:highlight w:val="none"/>
          <w:lang w:val="en-GB" w:eastAsia="zh-CN"/>
        </w:rPr>
        <w:t>双鸭山市畅源排水有限公司</w:t>
      </w:r>
      <w:r>
        <w:rPr>
          <w:rFonts w:cs="Times New Roman"/>
          <w:color w:val="auto"/>
          <w:kern w:val="0"/>
          <w:highlight w:val="none"/>
          <w:lang w:val="en-GB"/>
        </w:rPr>
        <w:t>进水水质要求后，</w:t>
      </w:r>
      <w:r>
        <w:rPr>
          <w:rFonts w:cs="Times New Roman"/>
          <w:color w:val="auto"/>
          <w:kern w:val="0"/>
          <w:highlight w:val="none"/>
        </w:rPr>
        <w:t>与生活污水一同经污水管网进入</w:t>
      </w:r>
      <w:r>
        <w:rPr>
          <w:rFonts w:hint="eastAsia" w:cs="Times New Roman"/>
          <w:color w:val="auto"/>
          <w:kern w:val="0"/>
          <w:highlight w:val="none"/>
          <w:lang w:val="en-GB" w:eastAsia="zh-CN"/>
        </w:rPr>
        <w:t>双鸭山市畅源排水有限公司</w:t>
      </w:r>
      <w:r>
        <w:rPr>
          <w:rFonts w:cs="Times New Roman"/>
          <w:color w:val="auto"/>
          <w:kern w:val="0"/>
          <w:highlight w:val="none"/>
        </w:rPr>
        <w:t>处理，处理达标后排放，</w:t>
      </w:r>
      <w:r>
        <w:rPr>
          <w:rFonts w:cs="Times New Roman"/>
          <w:snapToGrid w:val="0"/>
          <w:color w:val="auto"/>
          <w:highlight w:val="none"/>
          <w:lang w:val="en-GB"/>
        </w:rPr>
        <w:t>排入</w:t>
      </w:r>
      <w:r>
        <w:rPr>
          <w:rFonts w:hint="eastAsia" w:cs="Times New Roman"/>
          <w:snapToGrid w:val="0"/>
          <w:color w:val="auto"/>
          <w:highlight w:val="none"/>
          <w:lang w:val="en-GB" w:eastAsia="zh-CN"/>
        </w:rPr>
        <w:t>安邦河</w:t>
      </w:r>
      <w:r>
        <w:rPr>
          <w:rFonts w:cs="Times New Roman"/>
          <w:snapToGrid w:val="0"/>
          <w:color w:val="auto"/>
          <w:highlight w:val="none"/>
          <w:lang w:val="en-GB"/>
        </w:rPr>
        <w:t>。</w:t>
      </w:r>
      <w:r>
        <w:rPr>
          <w:rFonts w:cs="Times New Roman"/>
          <w:color w:val="auto"/>
          <w:szCs w:val="24"/>
          <w:highlight w:val="none"/>
        </w:rPr>
        <w:t>本次评价重点分析废水水量、水质及处理措施的可行性和依托污水处理厂的可行性。</w:t>
      </w:r>
    </w:p>
    <w:p w14:paraId="726B5A4C">
      <w:pPr>
        <w:widowControl/>
        <w:spacing w:line="500" w:lineRule="exact"/>
        <w:ind w:firstLine="470"/>
        <w:jc w:val="left"/>
        <w:rPr>
          <w:rFonts w:cs="Times New Roman"/>
          <w:b/>
          <w:bCs/>
          <w:color w:val="auto"/>
          <w:spacing w:val="-3"/>
          <w:szCs w:val="24"/>
          <w:highlight w:val="none"/>
        </w:rPr>
      </w:pPr>
      <w:r>
        <w:rPr>
          <w:rFonts w:cs="Times New Roman"/>
          <w:b/>
          <w:bCs/>
          <w:color w:val="auto"/>
          <w:spacing w:val="-3"/>
          <w:szCs w:val="24"/>
          <w:highlight w:val="none"/>
        </w:rPr>
        <w:t>3、地下水</w:t>
      </w:r>
    </w:p>
    <w:p w14:paraId="5996E07E">
      <w:pPr>
        <w:widowControl/>
        <w:spacing w:line="500" w:lineRule="exact"/>
        <w:rPr>
          <w:rFonts w:hint="default" w:eastAsia="宋体" w:cs="Times New Roman"/>
          <w:color w:val="auto"/>
          <w:szCs w:val="24"/>
          <w:highlight w:val="none"/>
          <w:lang w:val="en-US" w:eastAsia="zh-CN"/>
        </w:rPr>
      </w:pPr>
      <w:r>
        <w:rPr>
          <w:rFonts w:cs="Times New Roman"/>
          <w:color w:val="auto"/>
          <w:szCs w:val="24"/>
          <w:highlight w:val="none"/>
        </w:rPr>
        <w:t>本项目污水处理站各构筑物渗漏后通过包气带进入地下水含水层，项目建成后对地下水可能产生的潜在的污染源将会对地下水产生影响。在正常生产情况下对区域地下水体不会产生大的影响，但在生产过程中仍存在着一些潜在的事故隐患，具有污染环境、危害工程安全的潜在因素。本项目废水泄露可能会对地下水造成不利影响，本次评价重点分析地下水污染防治措施的可行性及对周边地下水环境的影响。</w:t>
      </w:r>
      <w:r>
        <w:rPr>
          <w:rFonts w:hint="eastAsia" w:cs="Times New Roman"/>
          <w:color w:val="auto"/>
          <w:szCs w:val="24"/>
          <w:highlight w:val="none"/>
          <w:lang w:val="en-US" w:eastAsia="zh-CN"/>
        </w:rPr>
        <w:t>本项目采取分区防渗后对地下水影响较小。</w:t>
      </w:r>
    </w:p>
    <w:p w14:paraId="0FCD740E">
      <w:pPr>
        <w:spacing w:line="500" w:lineRule="exact"/>
        <w:ind w:left="480" w:leftChars="200" w:firstLine="0" w:firstLineChars="0"/>
        <w:rPr>
          <w:rFonts w:cs="Times New Roman"/>
          <w:b/>
          <w:bCs/>
          <w:color w:val="auto"/>
          <w:highlight w:val="none"/>
        </w:rPr>
      </w:pPr>
      <w:r>
        <w:rPr>
          <w:rFonts w:cs="Times New Roman"/>
          <w:b/>
          <w:bCs/>
          <w:color w:val="auto"/>
          <w:highlight w:val="none"/>
        </w:rPr>
        <w:t>4、固废</w:t>
      </w:r>
    </w:p>
    <w:p w14:paraId="1076CD7B">
      <w:pPr>
        <w:widowControl/>
        <w:jc w:val="left"/>
        <w:rPr>
          <w:rFonts w:cs="Times New Roman"/>
          <w:color w:val="auto"/>
          <w:szCs w:val="24"/>
          <w:highlight w:val="none"/>
        </w:rPr>
      </w:pPr>
      <w:r>
        <w:rPr>
          <w:rFonts w:cs="Times New Roman"/>
          <w:color w:val="auto"/>
          <w:szCs w:val="24"/>
          <w:highlight w:val="none"/>
        </w:rPr>
        <w:t>本项目运营期产生的固体废物为一般固体废物及危险废物，一般固体废物主要包括检疫不合格品、病死牛羊、粪便、边角料、胃容物及肠内物、废活性炭、污泥（含栅渣）、</w:t>
      </w:r>
      <w:r>
        <w:rPr>
          <w:rFonts w:hint="eastAsia" w:cs="Times New Roman"/>
          <w:color w:val="auto"/>
          <w:szCs w:val="24"/>
          <w:highlight w:val="none"/>
          <w:lang w:val="en-US" w:eastAsia="zh-CN"/>
        </w:rPr>
        <w:t>隔油池废油脂、</w:t>
      </w:r>
      <w:r>
        <w:rPr>
          <w:rFonts w:cs="Times New Roman"/>
          <w:color w:val="auto"/>
          <w:szCs w:val="24"/>
          <w:highlight w:val="none"/>
        </w:rPr>
        <w:t>废包装以及生活垃圾；</w:t>
      </w:r>
      <w:r>
        <w:rPr>
          <w:rFonts w:hint="eastAsia" w:cs="Times New Roman"/>
          <w:color w:val="auto"/>
          <w:szCs w:val="24"/>
          <w:highlight w:val="none"/>
          <w:lang w:eastAsia="zh-CN"/>
        </w:rPr>
        <w:t>危险废物主要为检疫废物、废润滑油及含油抹布、劳保手套</w:t>
      </w:r>
      <w:r>
        <w:rPr>
          <w:rFonts w:cs="Times New Roman"/>
          <w:color w:val="auto"/>
          <w:szCs w:val="24"/>
          <w:highlight w:val="none"/>
        </w:rPr>
        <w:t>。</w:t>
      </w:r>
      <w:r>
        <w:rPr>
          <w:rFonts w:cs="Times New Roman"/>
          <w:color w:val="auto"/>
          <w:kern w:val="0"/>
          <w:szCs w:val="24"/>
          <w:highlight w:val="none"/>
          <w:lang w:bidi="ar"/>
        </w:rPr>
        <w:t>本项目固体废物100%处置，本项目运营期产生的固体废物对周围环境影响较小。</w:t>
      </w:r>
    </w:p>
    <w:p w14:paraId="5CCAE76B">
      <w:pPr>
        <w:widowControl/>
        <w:spacing w:line="500" w:lineRule="exact"/>
        <w:rPr>
          <w:rFonts w:cs="Times New Roman"/>
          <w:color w:val="auto"/>
          <w:szCs w:val="24"/>
          <w:highlight w:val="none"/>
        </w:rPr>
      </w:pPr>
      <w:r>
        <w:rPr>
          <w:rFonts w:cs="Times New Roman"/>
          <w:color w:val="auto"/>
          <w:szCs w:val="24"/>
          <w:highlight w:val="none"/>
        </w:rPr>
        <w:t>本次评价重点分析固体废物处置的可行性。</w:t>
      </w:r>
    </w:p>
    <w:p w14:paraId="0C10BCE1">
      <w:pPr>
        <w:spacing w:line="500" w:lineRule="exact"/>
        <w:ind w:left="480" w:leftChars="200" w:firstLine="0" w:firstLineChars="0"/>
        <w:rPr>
          <w:rFonts w:cs="Times New Roman"/>
          <w:b/>
          <w:bCs/>
          <w:color w:val="auto"/>
          <w:highlight w:val="none"/>
        </w:rPr>
      </w:pPr>
      <w:r>
        <w:rPr>
          <w:rFonts w:cs="Times New Roman"/>
          <w:b/>
          <w:bCs/>
          <w:color w:val="auto"/>
          <w:highlight w:val="none"/>
        </w:rPr>
        <w:t>5、噪声</w:t>
      </w:r>
    </w:p>
    <w:p w14:paraId="32C891C8">
      <w:pPr>
        <w:widowControl/>
        <w:jc w:val="left"/>
        <w:rPr>
          <w:rFonts w:cs="Times New Roman"/>
          <w:color w:val="auto"/>
          <w:highlight w:val="none"/>
        </w:rPr>
      </w:pPr>
      <w:r>
        <w:rPr>
          <w:rFonts w:cs="Times New Roman"/>
          <w:snapToGrid w:val="0"/>
          <w:color w:val="auto"/>
          <w:highlight w:val="none"/>
          <w:lang w:val="zh-CN"/>
        </w:rPr>
        <w:t>本项目运营期噪声主要为设备噪声和牛、羊嚎叫，设备主要为为风机、泵类等。</w:t>
      </w:r>
      <w:r>
        <w:rPr>
          <w:rFonts w:cs="Times New Roman"/>
          <w:color w:val="auto"/>
          <w:kern w:val="0"/>
          <w:szCs w:val="24"/>
          <w:highlight w:val="none"/>
          <w:lang w:bidi="ar"/>
        </w:rPr>
        <w:t>经采取选用低噪声设备、减振、隔声等措施后，噪声可满足《工业企业厂界环境噪声排放标准》（GB12348-2008）中</w:t>
      </w:r>
      <w:r>
        <w:rPr>
          <w:rFonts w:hint="eastAsia" w:cs="Times New Roman"/>
          <w:color w:val="auto"/>
          <w:kern w:val="0"/>
          <w:szCs w:val="24"/>
          <w:highlight w:val="none"/>
          <w:lang w:val="en-US" w:eastAsia="zh-CN" w:bidi="ar"/>
        </w:rPr>
        <w:t>2</w:t>
      </w:r>
      <w:r>
        <w:rPr>
          <w:rFonts w:cs="Times New Roman"/>
          <w:color w:val="auto"/>
          <w:kern w:val="0"/>
          <w:szCs w:val="24"/>
          <w:highlight w:val="none"/>
          <w:lang w:bidi="ar"/>
        </w:rPr>
        <w:t>类标准要求，</w:t>
      </w:r>
      <w:r>
        <w:rPr>
          <w:rFonts w:cs="Times New Roman"/>
          <w:color w:val="auto"/>
          <w:szCs w:val="24"/>
          <w:highlight w:val="none"/>
        </w:rPr>
        <w:t>实现厂界达标</w:t>
      </w:r>
      <w:r>
        <w:rPr>
          <w:rFonts w:cs="Times New Roman"/>
          <w:color w:val="auto"/>
          <w:kern w:val="0"/>
          <w:szCs w:val="24"/>
          <w:highlight w:val="none"/>
          <w:lang w:bidi="ar"/>
        </w:rPr>
        <w:t>，因此本项目运营期对周围声环境质量影响较小。</w:t>
      </w:r>
    </w:p>
    <w:p w14:paraId="11E48479">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本次评价重点分析噪声控制措施的可行性及厂界的达标可行性。</w:t>
      </w:r>
    </w:p>
    <w:p w14:paraId="7AC97500">
      <w:pPr>
        <w:spacing w:line="500" w:lineRule="exact"/>
        <w:ind w:left="480" w:leftChars="200" w:firstLine="0" w:firstLineChars="0"/>
        <w:rPr>
          <w:rFonts w:cs="Times New Roman"/>
          <w:b/>
          <w:bCs/>
          <w:color w:val="auto"/>
          <w:highlight w:val="none"/>
        </w:rPr>
      </w:pPr>
      <w:r>
        <w:rPr>
          <w:rFonts w:cs="Times New Roman"/>
          <w:b/>
          <w:bCs/>
          <w:color w:val="auto"/>
          <w:highlight w:val="none"/>
        </w:rPr>
        <w:t>6、环境风险</w:t>
      </w:r>
    </w:p>
    <w:p w14:paraId="07ED15ED">
      <w:pPr>
        <w:widowControl/>
        <w:jc w:val="left"/>
        <w:rPr>
          <w:rFonts w:cs="Times New Roman"/>
          <w:color w:val="auto"/>
          <w:kern w:val="0"/>
          <w:szCs w:val="24"/>
          <w:highlight w:val="none"/>
          <w:lang w:bidi="ar"/>
        </w:rPr>
      </w:pPr>
      <w:r>
        <w:rPr>
          <w:rFonts w:cs="Times New Roman"/>
          <w:color w:val="auto"/>
          <w:kern w:val="0"/>
          <w:szCs w:val="24"/>
          <w:highlight w:val="none"/>
          <w:lang w:bidi="ar"/>
        </w:rPr>
        <w:t>本项目环境风险主要为危险物质</w:t>
      </w:r>
      <w:r>
        <w:rPr>
          <w:rFonts w:hint="eastAsia" w:cs="Times New Roman"/>
          <w:color w:val="auto"/>
          <w:kern w:val="0"/>
          <w:szCs w:val="24"/>
          <w:highlight w:val="none"/>
          <w:lang w:val="en-US" w:eastAsia="zh-CN" w:bidi="ar"/>
        </w:rPr>
        <w:t>次氯酸钠</w:t>
      </w:r>
      <w:r>
        <w:rPr>
          <w:rFonts w:cs="Times New Roman"/>
          <w:color w:val="auto"/>
          <w:kern w:val="0"/>
          <w:szCs w:val="24"/>
          <w:highlight w:val="none"/>
          <w:lang w:bidi="ar"/>
        </w:rPr>
        <w:t>发生泄漏</w:t>
      </w:r>
      <w:r>
        <w:rPr>
          <w:rFonts w:hint="eastAsia" w:cs="Times New Roman"/>
          <w:color w:val="auto"/>
          <w:kern w:val="0"/>
          <w:szCs w:val="24"/>
          <w:highlight w:val="none"/>
          <w:lang w:eastAsia="zh-CN" w:bidi="ar"/>
        </w:rPr>
        <w:t>，</w:t>
      </w:r>
      <w:r>
        <w:rPr>
          <w:rFonts w:cs="Times New Roman"/>
          <w:color w:val="auto"/>
          <w:kern w:val="0"/>
          <w:szCs w:val="24"/>
          <w:highlight w:val="none"/>
          <w:lang w:bidi="ar"/>
        </w:rPr>
        <w:t>火灾、爆炸事故，建设单位运营过程中应从多方面积极采取防护措施，企业建立健全环境应急预案体系，加强环境应急预案演练、评估与修订。本项目设有事故池，能够有效防止事故过程中产生的可能严重污染水体的生产废水、废液直接排入水体。一旦突发环境风险事故，立即按应急预案提到的紧急处理、救援、监测方案等进行紧急救援，项目可以有效的防范风险事故发生或对事故的发生进行有效处置，防止环境污染事故发生。</w:t>
      </w:r>
    </w:p>
    <w:p w14:paraId="3164D992">
      <w:pPr>
        <w:spacing w:line="500" w:lineRule="exact"/>
        <w:rPr>
          <w:rFonts w:cs="Times New Roman"/>
          <w:snapToGrid w:val="0"/>
          <w:color w:val="auto"/>
          <w:highlight w:val="none"/>
          <w:lang w:val="zh-CN"/>
        </w:rPr>
      </w:pPr>
      <w:r>
        <w:rPr>
          <w:rFonts w:cs="Times New Roman"/>
          <w:snapToGrid w:val="0"/>
          <w:color w:val="auto"/>
          <w:highlight w:val="none"/>
          <w:lang w:val="zh-CN"/>
        </w:rPr>
        <w:t>根据《建设项目环境风险评价技术导则》（HJ/T169-2018）附录B，本项目环境风险评价Q＜1，该项目环境风险潜势为Ⅰ，风险评价等级为简单分析。针对本项目</w:t>
      </w:r>
      <w:r>
        <w:rPr>
          <w:rFonts w:cs="Times New Roman"/>
          <w:color w:val="auto"/>
          <w:szCs w:val="24"/>
          <w:highlight w:val="none"/>
        </w:rPr>
        <w:t>事故状态下</w:t>
      </w:r>
      <w:r>
        <w:rPr>
          <w:rFonts w:hint="eastAsia" w:cs="Times New Roman"/>
          <w:color w:val="auto"/>
          <w:szCs w:val="24"/>
          <w:highlight w:val="none"/>
          <w:lang w:val="en-US" w:eastAsia="zh-CN"/>
        </w:rPr>
        <w:t>次氯酸钠</w:t>
      </w:r>
      <w:r>
        <w:rPr>
          <w:rFonts w:cs="Times New Roman"/>
          <w:color w:val="auto"/>
          <w:szCs w:val="24"/>
          <w:highlight w:val="none"/>
        </w:rPr>
        <w:t>挥发</w:t>
      </w:r>
      <w:r>
        <w:rPr>
          <w:rFonts w:cs="Times New Roman"/>
          <w:color w:val="auto"/>
          <w:highlight w:val="none"/>
        </w:rPr>
        <w:t>，分析本项目需安全监督的重点部位、易发生事故环节和可能引发的事故后果及对保护目标的影响程度，提出防范措施和对策。</w:t>
      </w:r>
    </w:p>
    <w:p w14:paraId="6FF5FBA1">
      <w:pPr>
        <w:pStyle w:val="3"/>
        <w:spacing w:before="156" w:after="156"/>
        <w:rPr>
          <w:rFonts w:cs="Times New Roman"/>
          <w:color w:val="auto"/>
          <w:highlight w:val="none"/>
        </w:rPr>
      </w:pPr>
      <w:bookmarkStart w:id="26" w:name="_Toc18145"/>
      <w:r>
        <w:rPr>
          <w:rFonts w:cs="Times New Roman"/>
          <w:color w:val="auto"/>
          <w:highlight w:val="none"/>
        </w:rPr>
        <w:t>1.6环境影响评价主要结论</w:t>
      </w:r>
      <w:bookmarkEnd w:id="26"/>
    </w:p>
    <w:p w14:paraId="070A6F9E">
      <w:pPr>
        <w:pStyle w:val="117"/>
        <w:rPr>
          <w:rFonts w:cs="Times New Roman"/>
          <w:snapToGrid w:val="0"/>
          <w:color w:val="auto"/>
          <w:kern w:val="0"/>
          <w:highlight w:val="none"/>
        </w:rPr>
      </w:pPr>
      <w:r>
        <w:rPr>
          <w:rFonts w:cs="Times New Roman"/>
          <w:snapToGrid w:val="0"/>
          <w:color w:val="auto"/>
          <w:kern w:val="0"/>
          <w:highlight w:val="none"/>
        </w:rPr>
        <w:t>本工程的建设符合国家产业政策，项目选址环境可行，平面布局科学；通过对本工程施工期及运营期产生的污染源强及对环境的影响进行预测、分析，结果表明本工程所采用的生产工艺技术合理，符合行业环保政策要求。该项目拟采取的“三废”治理方案有效、合理，技术经济上可行，在切实落实本环评报告中提出的各项污染物防治措施以及生产设施正常运行状况下，各污染物排放不会改变周围环境质量现状水平，环境风险处可接受水平。</w:t>
      </w:r>
    </w:p>
    <w:p w14:paraId="41A80DA6">
      <w:pPr>
        <w:pStyle w:val="117"/>
        <w:rPr>
          <w:rFonts w:cs="Times New Roman"/>
          <w:snapToGrid w:val="0"/>
          <w:color w:val="auto"/>
          <w:kern w:val="0"/>
          <w:highlight w:val="none"/>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rFonts w:cs="Times New Roman"/>
          <w:snapToGrid w:val="0"/>
          <w:color w:val="auto"/>
          <w:kern w:val="0"/>
          <w:highlight w:val="none"/>
        </w:rPr>
        <w:t>本次评价认为，在严格执行国家各项环保规章制度，按“三同时”要求严格落实各项污控措施对策条件下，并切实落实本报告书所提出的各项污染物防治措施，保证环保设施正常运转的前提下，从环境保护的角度上看，本工程的建设是可行的。</w:t>
      </w:r>
    </w:p>
    <w:p w14:paraId="7BFA5048">
      <w:pPr>
        <w:pStyle w:val="2"/>
        <w:rPr>
          <w:rFonts w:cs="Times New Roman"/>
          <w:color w:val="auto"/>
          <w:highlight w:val="none"/>
        </w:rPr>
      </w:pPr>
      <w:bookmarkStart w:id="27" w:name="_Toc439236474"/>
      <w:bookmarkStart w:id="28" w:name="_Toc436918979"/>
      <w:bookmarkStart w:id="29" w:name="_Toc477190960"/>
      <w:bookmarkStart w:id="30" w:name="_Toc472585612"/>
      <w:bookmarkStart w:id="31" w:name="_Toc25904"/>
      <w:r>
        <w:rPr>
          <w:rFonts w:cs="Times New Roman"/>
          <w:color w:val="auto"/>
          <w:highlight w:val="none"/>
        </w:rPr>
        <w:t>2</w:t>
      </w:r>
      <w:bookmarkEnd w:id="27"/>
      <w:bookmarkEnd w:id="28"/>
      <w:bookmarkEnd w:id="29"/>
      <w:bookmarkEnd w:id="30"/>
      <w:r>
        <w:rPr>
          <w:rFonts w:cs="Times New Roman"/>
          <w:color w:val="auto"/>
          <w:highlight w:val="none"/>
        </w:rPr>
        <w:t>总则</w:t>
      </w:r>
      <w:bookmarkEnd w:id="31"/>
    </w:p>
    <w:p w14:paraId="1BED93A5">
      <w:pPr>
        <w:pStyle w:val="3"/>
        <w:spacing w:before="156" w:after="156"/>
        <w:rPr>
          <w:rFonts w:cs="Times New Roman"/>
          <w:color w:val="auto"/>
          <w:highlight w:val="none"/>
        </w:rPr>
      </w:pPr>
      <w:bookmarkStart w:id="32" w:name="_Toc7166"/>
      <w:r>
        <w:rPr>
          <w:rFonts w:cs="Times New Roman"/>
          <w:color w:val="auto"/>
          <w:highlight w:val="none"/>
        </w:rPr>
        <w:t>2.1</w:t>
      </w:r>
      <w:bookmarkStart w:id="33" w:name="_Toc472585613"/>
      <w:bookmarkStart w:id="34" w:name="_Toc477190961"/>
      <w:bookmarkStart w:id="35" w:name="_Toc439236475"/>
      <w:bookmarkStart w:id="36" w:name="_Toc436918980"/>
      <w:r>
        <w:rPr>
          <w:rFonts w:cs="Times New Roman"/>
          <w:color w:val="auto"/>
          <w:highlight w:val="none"/>
        </w:rPr>
        <w:t>编制依据</w:t>
      </w:r>
      <w:bookmarkEnd w:id="32"/>
      <w:bookmarkEnd w:id="33"/>
      <w:bookmarkEnd w:id="34"/>
      <w:bookmarkEnd w:id="35"/>
      <w:bookmarkEnd w:id="36"/>
    </w:p>
    <w:p w14:paraId="73759BCB">
      <w:pPr>
        <w:pStyle w:val="4"/>
        <w:spacing w:after="156"/>
        <w:rPr>
          <w:rFonts w:hint="default" w:eastAsia="黑体" w:cs="Times New Roman"/>
          <w:color w:val="auto"/>
          <w:highlight w:val="none"/>
          <w:lang w:val="en-US" w:eastAsia="zh-CN"/>
        </w:rPr>
      </w:pPr>
      <w:bookmarkStart w:id="37" w:name="_Toc17554"/>
      <w:r>
        <w:rPr>
          <w:rFonts w:cs="Times New Roman"/>
          <w:color w:val="auto"/>
          <w:highlight w:val="none"/>
        </w:rPr>
        <w:t>2.1.1相关环境保护法律、法规</w:t>
      </w:r>
      <w:bookmarkEnd w:id="37"/>
      <w:r>
        <w:rPr>
          <w:rFonts w:hint="eastAsia" w:cs="Times New Roman"/>
          <w:color w:val="auto"/>
          <w:highlight w:val="none"/>
          <w:lang w:eastAsia="zh-CN"/>
        </w:rPr>
        <w:t>、</w:t>
      </w:r>
      <w:r>
        <w:rPr>
          <w:rFonts w:hint="eastAsia" w:cs="Times New Roman"/>
          <w:color w:val="auto"/>
          <w:highlight w:val="none"/>
          <w:lang w:val="en-US" w:eastAsia="zh-CN"/>
        </w:rPr>
        <w:t>条例</w:t>
      </w:r>
    </w:p>
    <w:p w14:paraId="3FDEB61E">
      <w:pPr>
        <w:pStyle w:val="117"/>
        <w:rPr>
          <w:rFonts w:ascii="Times New Roman" w:hAnsi="Times New Roman" w:eastAsia="宋体" w:cs="Times New Roman"/>
          <w:snapToGrid w:val="0"/>
          <w:color w:val="auto"/>
          <w:kern w:val="0"/>
          <w:highlight w:val="none"/>
        </w:rPr>
      </w:pPr>
      <w:bookmarkStart w:id="38" w:name="_Toc233779584"/>
      <w:r>
        <w:rPr>
          <w:rFonts w:hint="eastAsia" w:ascii="Times New Roman" w:hAnsi="Times New Roman" w:eastAsia="宋体" w:cs="Times New Roman"/>
          <w:snapToGrid w:val="0"/>
          <w:color w:val="auto"/>
          <w:kern w:val="0"/>
          <w:highlight w:val="none"/>
        </w:rPr>
        <w:t>（</w:t>
      </w:r>
      <w:r>
        <w:rPr>
          <w:rFonts w:ascii="Times New Roman" w:hAnsi="Times New Roman" w:eastAsia="宋体" w:cs="Times New Roman"/>
          <w:snapToGrid w:val="0"/>
          <w:color w:val="auto"/>
          <w:kern w:val="0"/>
          <w:highlight w:val="none"/>
        </w:rPr>
        <w:t>1</w:t>
      </w:r>
      <w:r>
        <w:rPr>
          <w:rFonts w:hint="eastAsia" w:ascii="Times New Roman" w:hAnsi="Times New Roman" w:eastAsia="宋体" w:cs="Times New Roman"/>
          <w:snapToGrid w:val="0"/>
          <w:color w:val="auto"/>
          <w:kern w:val="0"/>
          <w:highlight w:val="none"/>
        </w:rPr>
        <w:t>）</w:t>
      </w:r>
      <w:r>
        <w:rPr>
          <w:rFonts w:ascii="Times New Roman" w:hAnsi="Times New Roman" w:eastAsia="宋体" w:cs="Times New Roman"/>
          <w:snapToGrid w:val="0"/>
          <w:color w:val="auto"/>
          <w:kern w:val="0"/>
          <w:highlight w:val="none"/>
        </w:rPr>
        <w:t>《中华人民共和国环境保护法》（</w:t>
      </w:r>
      <w:r>
        <w:rPr>
          <w:rFonts w:hint="eastAsia" w:ascii="Times New Roman" w:hAnsi="Times New Roman" w:eastAsia="宋体" w:cs="Times New Roman"/>
          <w:snapToGrid w:val="0"/>
          <w:color w:val="auto"/>
          <w:kern w:val="0"/>
          <w:highlight w:val="none"/>
        </w:rPr>
        <w:t>2014年修正，</w:t>
      </w:r>
      <w:r>
        <w:rPr>
          <w:rFonts w:ascii="Times New Roman" w:hAnsi="Times New Roman" w:eastAsia="宋体" w:cs="Times New Roman"/>
          <w:snapToGrid w:val="0"/>
          <w:color w:val="auto"/>
          <w:kern w:val="0"/>
          <w:highlight w:val="none"/>
        </w:rPr>
        <w:t>2015年1月1日起施行）；</w:t>
      </w:r>
    </w:p>
    <w:p w14:paraId="0010E531">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（2）《中华人民共和国环境影响评价法》（</w:t>
      </w:r>
      <w:r>
        <w:rPr>
          <w:rFonts w:hint="eastAsia" w:ascii="Times New Roman" w:hAnsi="Times New Roman" w:eastAsia="宋体" w:cs="Times New Roman"/>
          <w:snapToGrid w:val="0"/>
          <w:color w:val="auto"/>
          <w:kern w:val="0"/>
          <w:highlight w:val="none"/>
        </w:rPr>
        <w:t>2018年修正，</w:t>
      </w:r>
      <w:r>
        <w:rPr>
          <w:rFonts w:ascii="Times New Roman" w:hAnsi="Times New Roman" w:eastAsia="宋体" w:cs="Times New Roman"/>
          <w:snapToGrid w:val="0"/>
          <w:color w:val="auto"/>
          <w:kern w:val="0"/>
          <w:highlight w:val="none"/>
        </w:rPr>
        <w:t>2018年12月29日起施行）；</w:t>
      </w:r>
    </w:p>
    <w:p w14:paraId="29B684AF">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（3）《中华人民共和国大气污染防治法》（</w:t>
      </w:r>
      <w:r>
        <w:rPr>
          <w:rFonts w:hint="eastAsia" w:ascii="Times New Roman" w:hAnsi="Times New Roman" w:eastAsia="宋体" w:cs="Times New Roman"/>
          <w:snapToGrid w:val="0"/>
          <w:color w:val="auto"/>
          <w:kern w:val="0"/>
          <w:highlight w:val="none"/>
        </w:rPr>
        <w:t>2018年修正，</w:t>
      </w:r>
      <w:r>
        <w:rPr>
          <w:rFonts w:ascii="Times New Roman" w:hAnsi="Times New Roman" w:eastAsia="宋体" w:cs="Times New Roman"/>
          <w:snapToGrid w:val="0"/>
          <w:color w:val="auto"/>
          <w:kern w:val="0"/>
          <w:highlight w:val="none"/>
        </w:rPr>
        <w:t>2018年10月26日起施行）；</w:t>
      </w:r>
    </w:p>
    <w:p w14:paraId="3EB97AD0">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（4）《中华人民共和国水污染防治法》（</w:t>
      </w:r>
      <w:r>
        <w:rPr>
          <w:rFonts w:hint="eastAsia" w:ascii="Times New Roman" w:hAnsi="Times New Roman" w:eastAsia="宋体" w:cs="Times New Roman"/>
          <w:snapToGrid w:val="0"/>
          <w:color w:val="auto"/>
          <w:kern w:val="0"/>
          <w:highlight w:val="none"/>
        </w:rPr>
        <w:t>2017年修正，</w:t>
      </w:r>
      <w:r>
        <w:rPr>
          <w:rFonts w:ascii="Times New Roman" w:hAnsi="Times New Roman" w:eastAsia="宋体" w:cs="Times New Roman"/>
          <w:snapToGrid w:val="0"/>
          <w:color w:val="auto"/>
          <w:kern w:val="0"/>
          <w:highlight w:val="none"/>
        </w:rPr>
        <w:t>2018年1月1日起施行）；</w:t>
      </w:r>
    </w:p>
    <w:p w14:paraId="4865B54A">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（5）《中华人民共和国噪声污染防治法》（</w:t>
      </w:r>
      <w:r>
        <w:rPr>
          <w:rFonts w:hint="eastAsia" w:ascii="Times New Roman" w:hAnsi="Times New Roman" w:eastAsia="宋体" w:cs="Times New Roman"/>
          <w:snapToGrid w:val="0"/>
          <w:color w:val="auto"/>
          <w:kern w:val="0"/>
          <w:highlight w:val="none"/>
        </w:rPr>
        <w:t>2022年6月5日起施行</w:t>
      </w:r>
      <w:r>
        <w:rPr>
          <w:rFonts w:ascii="Times New Roman" w:hAnsi="Times New Roman" w:eastAsia="宋体" w:cs="Times New Roman"/>
          <w:snapToGrid w:val="0"/>
          <w:color w:val="auto"/>
          <w:kern w:val="0"/>
          <w:highlight w:val="none"/>
        </w:rPr>
        <w:t>）；</w:t>
      </w:r>
    </w:p>
    <w:p w14:paraId="6BF55347">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（6）《中华人民共和国固体废物污染环境防治法》（</w:t>
      </w:r>
      <w:r>
        <w:rPr>
          <w:rFonts w:hint="eastAsia" w:ascii="Times New Roman" w:hAnsi="Times New Roman" w:eastAsia="宋体" w:cs="Times New Roman"/>
          <w:snapToGrid w:val="0"/>
          <w:color w:val="auto"/>
          <w:kern w:val="0"/>
          <w:highlight w:val="none"/>
        </w:rPr>
        <w:t>2020年4月29日修订，2020</w:t>
      </w:r>
      <w:r>
        <w:rPr>
          <w:rFonts w:ascii="Times New Roman" w:hAnsi="Times New Roman" w:eastAsia="宋体" w:cs="Times New Roman"/>
          <w:snapToGrid w:val="0"/>
          <w:color w:val="auto"/>
          <w:kern w:val="0"/>
          <w:highlight w:val="none"/>
        </w:rPr>
        <w:t>年</w:t>
      </w:r>
      <w:r>
        <w:rPr>
          <w:rFonts w:hint="eastAsia" w:ascii="Times New Roman" w:hAnsi="Times New Roman" w:eastAsia="宋体" w:cs="Times New Roman"/>
          <w:snapToGrid w:val="0"/>
          <w:color w:val="auto"/>
          <w:kern w:val="0"/>
          <w:highlight w:val="none"/>
        </w:rPr>
        <w:t>9</w:t>
      </w:r>
      <w:r>
        <w:rPr>
          <w:rFonts w:ascii="Times New Roman" w:hAnsi="Times New Roman" w:eastAsia="宋体" w:cs="Times New Roman"/>
          <w:snapToGrid w:val="0"/>
          <w:color w:val="auto"/>
          <w:kern w:val="0"/>
          <w:highlight w:val="none"/>
        </w:rPr>
        <w:t>月</w:t>
      </w:r>
      <w:r>
        <w:rPr>
          <w:rFonts w:hint="eastAsia" w:ascii="Times New Roman" w:hAnsi="Times New Roman" w:eastAsia="宋体" w:cs="Times New Roman"/>
          <w:snapToGrid w:val="0"/>
          <w:color w:val="auto"/>
          <w:kern w:val="0"/>
          <w:highlight w:val="none"/>
        </w:rPr>
        <w:t>1</w:t>
      </w:r>
      <w:r>
        <w:rPr>
          <w:rFonts w:ascii="Times New Roman" w:hAnsi="Times New Roman" w:eastAsia="宋体" w:cs="Times New Roman"/>
          <w:snapToGrid w:val="0"/>
          <w:color w:val="auto"/>
          <w:kern w:val="0"/>
          <w:highlight w:val="none"/>
        </w:rPr>
        <w:t>日起施行）；</w:t>
      </w:r>
    </w:p>
    <w:p w14:paraId="41EF58A6">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（7）《中华人民共和国土壤污染防治法》（2019年1月1日起施行）；</w:t>
      </w:r>
    </w:p>
    <w:p w14:paraId="62264876">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8</w:t>
      </w:r>
      <w:r>
        <w:rPr>
          <w:rFonts w:ascii="Times New Roman" w:hAnsi="Times New Roman" w:eastAsia="宋体" w:cs="Times New Roman"/>
          <w:snapToGrid w:val="0"/>
          <w:color w:val="auto"/>
          <w:kern w:val="0"/>
          <w:highlight w:val="none"/>
        </w:rPr>
        <w:t>）《中华人民共和国清洁生产促进法》（</w:t>
      </w:r>
      <w:r>
        <w:rPr>
          <w:rFonts w:hint="eastAsia" w:ascii="Times New Roman" w:hAnsi="Times New Roman" w:eastAsia="宋体" w:cs="Times New Roman"/>
          <w:snapToGrid w:val="0"/>
          <w:color w:val="auto"/>
          <w:kern w:val="0"/>
          <w:highlight w:val="none"/>
        </w:rPr>
        <w:t>2012年修正，2012年7月1日起施行</w:t>
      </w:r>
      <w:r>
        <w:rPr>
          <w:rFonts w:ascii="Times New Roman" w:hAnsi="Times New Roman" w:eastAsia="宋体" w:cs="Times New Roman"/>
          <w:snapToGrid w:val="0"/>
          <w:color w:val="auto"/>
          <w:kern w:val="0"/>
          <w:highlight w:val="none"/>
        </w:rPr>
        <w:t>）；</w:t>
      </w:r>
    </w:p>
    <w:p w14:paraId="1EC96F58">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（9）《中华人民共和国循环经济促进法》（2018年修正，2018年10月26日</w:t>
      </w:r>
      <w:r>
        <w:rPr>
          <w:rFonts w:ascii="Times New Roman" w:hAnsi="Times New Roman" w:eastAsia="宋体" w:cs="Times New Roman"/>
          <w:snapToGrid w:val="0"/>
          <w:color w:val="auto"/>
          <w:kern w:val="0"/>
          <w:highlight w:val="none"/>
        </w:rPr>
        <w:t>施行</w:t>
      </w:r>
      <w:r>
        <w:rPr>
          <w:rFonts w:hint="eastAsia" w:ascii="Times New Roman" w:hAnsi="Times New Roman" w:eastAsia="宋体" w:cs="Times New Roman"/>
          <w:snapToGrid w:val="0"/>
          <w:color w:val="auto"/>
          <w:kern w:val="0"/>
          <w:highlight w:val="none"/>
        </w:rPr>
        <w:t>）；</w:t>
      </w:r>
    </w:p>
    <w:p w14:paraId="5A83162A">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10</w:t>
      </w:r>
      <w:r>
        <w:rPr>
          <w:rFonts w:ascii="Times New Roman" w:hAnsi="Times New Roman" w:eastAsia="宋体" w:cs="Times New Roman"/>
          <w:snapToGrid w:val="0"/>
          <w:color w:val="auto"/>
          <w:kern w:val="0"/>
          <w:highlight w:val="none"/>
        </w:rPr>
        <w:t>）《中华人民共和国水法》（2016</w:t>
      </w:r>
      <w:r>
        <w:rPr>
          <w:rFonts w:hint="eastAsia" w:ascii="Times New Roman" w:hAnsi="Times New Roman" w:eastAsia="宋体" w:cs="Times New Roman"/>
          <w:snapToGrid w:val="0"/>
          <w:color w:val="auto"/>
          <w:kern w:val="0"/>
          <w:highlight w:val="none"/>
        </w:rPr>
        <w:t>年</w:t>
      </w:r>
      <w:r>
        <w:rPr>
          <w:rFonts w:ascii="Times New Roman" w:hAnsi="Times New Roman" w:eastAsia="宋体" w:cs="Times New Roman"/>
          <w:snapToGrid w:val="0"/>
          <w:color w:val="auto"/>
          <w:kern w:val="0"/>
          <w:highlight w:val="none"/>
        </w:rPr>
        <w:t>7</w:t>
      </w:r>
      <w:r>
        <w:rPr>
          <w:rFonts w:hint="eastAsia" w:ascii="Times New Roman" w:hAnsi="Times New Roman" w:eastAsia="宋体" w:cs="Times New Roman"/>
          <w:snapToGrid w:val="0"/>
          <w:color w:val="auto"/>
          <w:kern w:val="0"/>
          <w:highlight w:val="none"/>
        </w:rPr>
        <w:t>月</w:t>
      </w:r>
      <w:r>
        <w:rPr>
          <w:rFonts w:ascii="Times New Roman" w:hAnsi="Times New Roman" w:eastAsia="宋体" w:cs="Times New Roman"/>
          <w:snapToGrid w:val="0"/>
          <w:color w:val="auto"/>
          <w:kern w:val="0"/>
          <w:highlight w:val="none"/>
        </w:rPr>
        <w:t>2</w:t>
      </w:r>
      <w:r>
        <w:rPr>
          <w:rFonts w:hint="eastAsia" w:ascii="Times New Roman" w:hAnsi="Times New Roman" w:eastAsia="宋体" w:cs="Times New Roman"/>
          <w:snapToGrid w:val="0"/>
          <w:color w:val="auto"/>
          <w:kern w:val="0"/>
          <w:highlight w:val="none"/>
        </w:rPr>
        <w:t>日修订</w:t>
      </w:r>
      <w:r>
        <w:rPr>
          <w:rFonts w:ascii="Times New Roman" w:hAnsi="Times New Roman" w:eastAsia="宋体" w:cs="Times New Roman"/>
          <w:snapToGrid w:val="0"/>
          <w:color w:val="auto"/>
          <w:kern w:val="0"/>
          <w:highlight w:val="none"/>
        </w:rPr>
        <w:t>）；</w:t>
      </w:r>
    </w:p>
    <w:p w14:paraId="52362DFB">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11</w:t>
      </w:r>
      <w:r>
        <w:rPr>
          <w:rFonts w:ascii="Times New Roman" w:hAnsi="Times New Roman" w:eastAsia="宋体" w:cs="Times New Roman"/>
          <w:snapToGrid w:val="0"/>
          <w:color w:val="auto"/>
          <w:kern w:val="0"/>
          <w:highlight w:val="none"/>
        </w:rPr>
        <w:t>）《中华人民共和国节约能源法》（</w:t>
      </w:r>
      <w:r>
        <w:rPr>
          <w:rFonts w:hint="eastAsia" w:ascii="Times New Roman" w:hAnsi="Times New Roman" w:eastAsia="宋体" w:cs="Times New Roman"/>
          <w:snapToGrid w:val="0"/>
          <w:color w:val="auto"/>
          <w:kern w:val="0"/>
          <w:highlight w:val="none"/>
        </w:rPr>
        <w:t>2018年修正，2018年10月26日</w:t>
      </w:r>
      <w:r>
        <w:rPr>
          <w:rFonts w:ascii="Times New Roman" w:hAnsi="Times New Roman" w:eastAsia="宋体" w:cs="Times New Roman"/>
          <w:snapToGrid w:val="0"/>
          <w:color w:val="auto"/>
          <w:kern w:val="0"/>
          <w:highlight w:val="none"/>
        </w:rPr>
        <w:t>施行）；</w:t>
      </w:r>
    </w:p>
    <w:p w14:paraId="2A711901">
      <w:pPr>
        <w:pStyle w:val="117"/>
        <w:rPr>
          <w:rFonts w:hint="eastAsia"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（1</w:t>
      </w:r>
      <w:r>
        <w:rPr>
          <w:rFonts w:hint="eastAsia" w:ascii="Times New Roman" w:hAnsi="Times New Roman" w:eastAsia="宋体" w:cs="Times New Roman"/>
          <w:snapToGrid w:val="0"/>
          <w:color w:val="auto"/>
          <w:kern w:val="0"/>
          <w:highlight w:val="none"/>
        </w:rPr>
        <w:t>2</w:t>
      </w:r>
      <w:r>
        <w:rPr>
          <w:rFonts w:ascii="Times New Roman" w:hAnsi="Times New Roman" w:eastAsia="宋体" w:cs="Times New Roman"/>
          <w:snapToGrid w:val="0"/>
          <w:color w:val="auto"/>
          <w:kern w:val="0"/>
          <w:highlight w:val="none"/>
        </w:rPr>
        <w:t>）《中华人民共和国环境保护税法》（</w:t>
      </w:r>
      <w:r>
        <w:rPr>
          <w:rFonts w:hint="eastAsia" w:ascii="Times New Roman" w:hAnsi="Times New Roman" w:eastAsia="宋体" w:cs="Times New Roman"/>
          <w:snapToGrid w:val="0"/>
          <w:color w:val="auto"/>
          <w:kern w:val="0"/>
          <w:highlight w:val="none"/>
        </w:rPr>
        <w:t>2018年修正，2018年10月26日起施行</w:t>
      </w: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w:t>
      </w:r>
    </w:p>
    <w:p w14:paraId="06AB70DA">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（13）《中华人民共和国黑土地保护法》（2022年8月1日起施行）；</w:t>
      </w:r>
    </w:p>
    <w:p w14:paraId="142F275D">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（1</w:t>
      </w:r>
      <w:r>
        <w:rPr>
          <w:rFonts w:hint="eastAsia" w:ascii="Times New Roman" w:hAnsi="Times New Roman" w:eastAsia="宋体" w:cs="Times New Roman"/>
          <w:snapToGrid w:val="0"/>
          <w:color w:val="auto"/>
          <w:kern w:val="0"/>
          <w:highlight w:val="none"/>
        </w:rPr>
        <w:t>4</w:t>
      </w:r>
      <w:r>
        <w:rPr>
          <w:rFonts w:ascii="Times New Roman" w:hAnsi="Times New Roman" w:eastAsia="宋体" w:cs="Times New Roman"/>
          <w:snapToGrid w:val="0"/>
          <w:color w:val="auto"/>
          <w:kern w:val="0"/>
          <w:highlight w:val="none"/>
        </w:rPr>
        <w:t>）《危险化学品安全管理条例》（国务院令第591号，2013年12月7日</w:t>
      </w:r>
      <w:r>
        <w:rPr>
          <w:rFonts w:hint="eastAsia" w:ascii="Times New Roman" w:hAnsi="Times New Roman" w:eastAsia="宋体" w:cs="Times New Roman"/>
          <w:snapToGrid w:val="0"/>
          <w:color w:val="auto"/>
          <w:kern w:val="0"/>
          <w:highlight w:val="none"/>
        </w:rPr>
        <w:t>）</w:t>
      </w:r>
      <w:r>
        <w:rPr>
          <w:rFonts w:ascii="Times New Roman" w:hAnsi="Times New Roman" w:eastAsia="宋体" w:cs="Times New Roman"/>
          <w:snapToGrid w:val="0"/>
          <w:color w:val="auto"/>
          <w:kern w:val="0"/>
          <w:highlight w:val="none"/>
        </w:rPr>
        <w:t>；</w:t>
      </w:r>
    </w:p>
    <w:p w14:paraId="460141AF">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（1</w:t>
      </w:r>
      <w:r>
        <w:rPr>
          <w:rFonts w:hint="eastAsia" w:ascii="Times New Roman" w:hAnsi="Times New Roman" w:eastAsia="宋体" w:cs="Times New Roman"/>
          <w:snapToGrid w:val="0"/>
          <w:color w:val="auto"/>
          <w:kern w:val="0"/>
          <w:highlight w:val="none"/>
        </w:rPr>
        <w:t>5</w:t>
      </w: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《排污许可管理条例》（中华人民共和国国务院令，第736号）；</w:t>
      </w:r>
    </w:p>
    <w:p w14:paraId="4A41DA73">
      <w:pPr>
        <w:pStyle w:val="117"/>
        <w:rPr>
          <w:rFonts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（16）</w:t>
      </w:r>
      <w:r>
        <w:rPr>
          <w:rFonts w:ascii="Times New Roman" w:hAnsi="Times New Roman" w:eastAsia="宋体" w:cs="Times New Roman"/>
          <w:snapToGrid w:val="0"/>
          <w:color w:val="auto"/>
          <w:kern w:val="0"/>
          <w:highlight w:val="none"/>
        </w:rPr>
        <w:t>《国务院关于印发大气污染防治行动计划的通知》（国发〔2013〕37 号）；</w:t>
      </w:r>
    </w:p>
    <w:p w14:paraId="6B84CB00">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（1</w:t>
      </w:r>
      <w:r>
        <w:rPr>
          <w:rFonts w:hint="eastAsia" w:ascii="Times New Roman" w:hAnsi="Times New Roman" w:eastAsia="宋体" w:cs="Times New Roman"/>
          <w:snapToGrid w:val="0"/>
          <w:color w:val="auto"/>
          <w:kern w:val="0"/>
          <w:highlight w:val="none"/>
        </w:rPr>
        <w:t>7</w:t>
      </w:r>
      <w:r>
        <w:rPr>
          <w:rFonts w:ascii="Times New Roman" w:hAnsi="Times New Roman" w:eastAsia="宋体" w:cs="Times New Roman"/>
          <w:snapToGrid w:val="0"/>
          <w:color w:val="auto"/>
          <w:kern w:val="0"/>
          <w:highlight w:val="none"/>
        </w:rPr>
        <w:t>）《国务院关于印发水污染防治行动计划的通知》（国发〔2015〕17号）；</w:t>
      </w:r>
    </w:p>
    <w:p w14:paraId="58DAC3B1">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（1</w:t>
      </w:r>
      <w:r>
        <w:rPr>
          <w:rFonts w:hint="eastAsia" w:ascii="Times New Roman" w:hAnsi="Times New Roman" w:eastAsia="宋体" w:cs="Times New Roman"/>
          <w:snapToGrid w:val="0"/>
          <w:color w:val="auto"/>
          <w:kern w:val="0"/>
          <w:highlight w:val="none"/>
        </w:rPr>
        <w:t>8</w:t>
      </w:r>
      <w:r>
        <w:rPr>
          <w:rFonts w:ascii="Times New Roman" w:hAnsi="Times New Roman" w:eastAsia="宋体" w:cs="Times New Roman"/>
          <w:snapToGrid w:val="0"/>
          <w:color w:val="auto"/>
          <w:kern w:val="0"/>
          <w:highlight w:val="none"/>
        </w:rPr>
        <w:t>）《国务院关于印发土壤污染防治行动计划的通知》（国发〔2016〕31号）；</w:t>
      </w:r>
    </w:p>
    <w:p w14:paraId="6A98BFB8">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（1</w:t>
      </w:r>
      <w:r>
        <w:rPr>
          <w:rFonts w:hint="eastAsia" w:ascii="Times New Roman" w:hAnsi="Times New Roman" w:eastAsia="宋体" w:cs="Times New Roman"/>
          <w:snapToGrid w:val="0"/>
          <w:color w:val="auto"/>
          <w:kern w:val="0"/>
          <w:highlight w:val="none"/>
        </w:rPr>
        <w:t>9</w:t>
      </w:r>
      <w:r>
        <w:rPr>
          <w:rFonts w:ascii="Times New Roman" w:hAnsi="Times New Roman" w:eastAsia="宋体" w:cs="Times New Roman"/>
          <w:snapToGrid w:val="0"/>
          <w:color w:val="auto"/>
          <w:kern w:val="0"/>
          <w:highlight w:val="none"/>
        </w:rPr>
        <w:t>）《国务院办公厅关于印发控制污染物排放许可制实施方案的通知》（国办发〔2016〕81号）；</w:t>
      </w:r>
    </w:p>
    <w:p w14:paraId="00035572">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（20）《地下水管理条例》（中华人民共和国国务院令 第748号 ）；</w:t>
      </w:r>
    </w:p>
    <w:p w14:paraId="22A4F7F6">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（21）《环境保护综合名录》（2021年版）（环办综合函</w:t>
      </w:r>
      <w:r>
        <w:rPr>
          <w:rFonts w:ascii="Times New Roman" w:hAnsi="Times New Roman" w:eastAsia="宋体" w:cs="Times New Roman"/>
          <w:snapToGrid w:val="0"/>
          <w:color w:val="auto"/>
          <w:kern w:val="0"/>
          <w:highlight w:val="none"/>
        </w:rPr>
        <w:t>〔20</w:t>
      </w:r>
      <w:r>
        <w:rPr>
          <w:rFonts w:hint="eastAsia" w:ascii="Times New Roman" w:hAnsi="Times New Roman" w:eastAsia="宋体" w:cs="Times New Roman"/>
          <w:snapToGrid w:val="0"/>
          <w:color w:val="auto"/>
          <w:kern w:val="0"/>
          <w:highlight w:val="none"/>
        </w:rPr>
        <w:t>21</w:t>
      </w: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495号）</w:t>
      </w:r>
      <w:r>
        <w:rPr>
          <w:rFonts w:ascii="Times New Roman" w:hAnsi="Times New Roman" w:eastAsia="宋体" w:cs="Times New Roman"/>
          <w:snapToGrid w:val="0"/>
          <w:color w:val="auto"/>
          <w:kern w:val="0"/>
          <w:highlight w:val="none"/>
        </w:rPr>
        <w:t>；</w:t>
      </w:r>
    </w:p>
    <w:p w14:paraId="101A8362">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22</w:t>
      </w:r>
      <w:r>
        <w:rPr>
          <w:rFonts w:ascii="Times New Roman" w:hAnsi="Times New Roman" w:eastAsia="宋体" w:cs="Times New Roman"/>
          <w:snapToGrid w:val="0"/>
          <w:color w:val="auto"/>
          <w:kern w:val="0"/>
          <w:highlight w:val="none"/>
        </w:rPr>
        <w:t>）《印发&lt;关于加强工业节水工作的意见&gt;的通知》（国家经济贸易委员会、水利部、建设部、科学技术部、国家环境保护总局、国家税务局，国经贸资源〔20</w:t>
      </w:r>
      <w:r>
        <w:rPr>
          <w:rFonts w:hint="eastAsia" w:ascii="Times New Roman" w:hAnsi="Times New Roman" w:eastAsia="宋体" w:cs="Times New Roman"/>
          <w:snapToGrid w:val="0"/>
          <w:color w:val="auto"/>
          <w:kern w:val="0"/>
          <w:highlight w:val="none"/>
        </w:rPr>
        <w:t>00</w:t>
      </w:r>
      <w:r>
        <w:rPr>
          <w:rFonts w:ascii="Times New Roman" w:hAnsi="Times New Roman" w:eastAsia="宋体" w:cs="Times New Roman"/>
          <w:snapToGrid w:val="0"/>
          <w:color w:val="auto"/>
          <w:kern w:val="0"/>
          <w:highlight w:val="none"/>
        </w:rPr>
        <w:t>〕1015号，2000年10月25日）；</w:t>
      </w:r>
    </w:p>
    <w:p w14:paraId="3BA116E6">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（2</w:t>
      </w:r>
      <w:r>
        <w:rPr>
          <w:rFonts w:hint="eastAsia" w:ascii="Times New Roman" w:hAnsi="Times New Roman" w:eastAsia="宋体" w:cs="Times New Roman"/>
          <w:snapToGrid w:val="0"/>
          <w:color w:val="auto"/>
          <w:kern w:val="0"/>
          <w:highlight w:val="none"/>
        </w:rPr>
        <w:t>3</w:t>
      </w:r>
      <w:r>
        <w:rPr>
          <w:rFonts w:ascii="Times New Roman" w:hAnsi="Times New Roman" w:eastAsia="宋体" w:cs="Times New Roman"/>
          <w:snapToGrid w:val="0"/>
          <w:color w:val="auto"/>
          <w:kern w:val="0"/>
          <w:highlight w:val="none"/>
        </w:rPr>
        <w:t>）《国务院关于落实科学发展观加强环境保护的决定》（国发〔20</w:t>
      </w:r>
      <w:r>
        <w:rPr>
          <w:rFonts w:hint="eastAsia" w:ascii="Times New Roman" w:hAnsi="Times New Roman" w:eastAsia="宋体" w:cs="Times New Roman"/>
          <w:snapToGrid w:val="0"/>
          <w:color w:val="auto"/>
          <w:kern w:val="0"/>
          <w:highlight w:val="none"/>
        </w:rPr>
        <w:t>05</w:t>
      </w:r>
      <w:r>
        <w:rPr>
          <w:rFonts w:ascii="Times New Roman" w:hAnsi="Times New Roman" w:eastAsia="宋体" w:cs="Times New Roman"/>
          <w:snapToGrid w:val="0"/>
          <w:color w:val="auto"/>
          <w:kern w:val="0"/>
          <w:highlight w:val="none"/>
        </w:rPr>
        <w:t>〕39号）；</w:t>
      </w:r>
    </w:p>
    <w:p w14:paraId="13D17AEF">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（2</w:t>
      </w:r>
      <w:r>
        <w:rPr>
          <w:rFonts w:hint="eastAsia" w:ascii="Times New Roman" w:hAnsi="Times New Roman" w:eastAsia="宋体" w:cs="Times New Roman"/>
          <w:snapToGrid w:val="0"/>
          <w:color w:val="auto"/>
          <w:kern w:val="0"/>
          <w:highlight w:val="none"/>
        </w:rPr>
        <w:t>4</w:t>
      </w: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《国家危险废物名录》（202</w:t>
      </w:r>
      <w:r>
        <w:rPr>
          <w:rFonts w:hint="eastAsia" w:ascii="Times New Roman" w:hAnsi="Times New Roman" w:eastAsia="宋体" w:cs="Times New Roman"/>
          <w:snapToGrid w:val="0"/>
          <w:color w:val="auto"/>
          <w:kern w:val="0"/>
          <w:highlight w:val="none"/>
          <w:lang w:val="en-US" w:eastAsia="zh-CN"/>
        </w:rPr>
        <w:t>5</w:t>
      </w:r>
      <w:r>
        <w:rPr>
          <w:rFonts w:hint="eastAsia" w:ascii="Times New Roman" w:hAnsi="Times New Roman" w:eastAsia="宋体" w:cs="Times New Roman"/>
          <w:snapToGrid w:val="0"/>
          <w:color w:val="auto"/>
          <w:kern w:val="0"/>
          <w:highlight w:val="none"/>
        </w:rPr>
        <w:t>年版）（生态环境部令第</w:t>
      </w:r>
      <w:r>
        <w:rPr>
          <w:rFonts w:hint="eastAsia" w:ascii="Times New Roman" w:hAnsi="Times New Roman" w:eastAsia="宋体" w:cs="Times New Roman"/>
          <w:snapToGrid w:val="0"/>
          <w:color w:val="auto"/>
          <w:kern w:val="0"/>
          <w:highlight w:val="none"/>
          <w:lang w:val="en-US" w:eastAsia="zh-CN"/>
        </w:rPr>
        <w:t>36</w:t>
      </w:r>
      <w:r>
        <w:rPr>
          <w:rFonts w:hint="eastAsia" w:ascii="Times New Roman" w:hAnsi="Times New Roman" w:eastAsia="宋体" w:cs="Times New Roman"/>
          <w:snapToGrid w:val="0"/>
          <w:color w:val="auto"/>
          <w:kern w:val="0"/>
          <w:highlight w:val="none"/>
        </w:rPr>
        <w:t>号，202</w:t>
      </w:r>
      <w:r>
        <w:rPr>
          <w:rFonts w:hint="eastAsia" w:ascii="Times New Roman" w:hAnsi="Times New Roman" w:eastAsia="宋体" w:cs="Times New Roman"/>
          <w:snapToGrid w:val="0"/>
          <w:color w:val="auto"/>
          <w:kern w:val="0"/>
          <w:highlight w:val="none"/>
          <w:lang w:val="en-US" w:eastAsia="zh-CN"/>
        </w:rPr>
        <w:t>5</w:t>
      </w:r>
      <w:r>
        <w:rPr>
          <w:rFonts w:hint="eastAsia" w:ascii="Times New Roman" w:hAnsi="Times New Roman" w:eastAsia="宋体" w:cs="Times New Roman"/>
          <w:snapToGrid w:val="0"/>
          <w:color w:val="auto"/>
          <w:kern w:val="0"/>
          <w:highlight w:val="none"/>
        </w:rPr>
        <w:t>年1月1日起施行）</w:t>
      </w:r>
      <w:r>
        <w:rPr>
          <w:rFonts w:ascii="Times New Roman" w:hAnsi="Times New Roman" w:eastAsia="宋体" w:cs="Times New Roman"/>
          <w:snapToGrid w:val="0"/>
          <w:color w:val="auto"/>
          <w:kern w:val="0"/>
          <w:highlight w:val="none"/>
        </w:rPr>
        <w:t>；</w:t>
      </w:r>
    </w:p>
    <w:p w14:paraId="77F616BC">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（25）《危险废物转移管理办法》（生态环境部 公安部 交通运输部 部令 第23号，自2022年1月1日起施行）；</w:t>
      </w:r>
    </w:p>
    <w:p w14:paraId="6DAC1BF9">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26</w:t>
      </w: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《产业结构调整指导</w:t>
      </w:r>
      <w:r>
        <w:rPr>
          <w:rFonts w:ascii="Times New Roman" w:hAnsi="Times New Roman" w:eastAsia="宋体" w:cs="Times New Roman"/>
          <w:snapToGrid w:val="0"/>
          <w:color w:val="auto"/>
          <w:kern w:val="0"/>
          <w:highlight w:val="none"/>
        </w:rPr>
        <w:t>目录（2024本）》；</w:t>
      </w:r>
    </w:p>
    <w:p w14:paraId="62576BAC">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27</w:t>
      </w:r>
      <w:r>
        <w:rPr>
          <w:rFonts w:ascii="Times New Roman" w:hAnsi="Times New Roman" w:eastAsia="宋体" w:cs="Times New Roman"/>
          <w:snapToGrid w:val="0"/>
          <w:color w:val="auto"/>
          <w:kern w:val="0"/>
          <w:highlight w:val="none"/>
        </w:rPr>
        <w:t>）《关于进一步加强环境影响评价管理防范环境风险的通知》（环发〔20</w:t>
      </w:r>
      <w:r>
        <w:rPr>
          <w:rFonts w:hint="eastAsia" w:ascii="Times New Roman" w:hAnsi="Times New Roman" w:eastAsia="宋体" w:cs="Times New Roman"/>
          <w:snapToGrid w:val="0"/>
          <w:color w:val="auto"/>
          <w:kern w:val="0"/>
          <w:highlight w:val="none"/>
        </w:rPr>
        <w:t>12</w:t>
      </w:r>
      <w:r>
        <w:rPr>
          <w:rFonts w:ascii="Times New Roman" w:hAnsi="Times New Roman" w:eastAsia="宋体" w:cs="Times New Roman"/>
          <w:snapToGrid w:val="0"/>
          <w:color w:val="auto"/>
          <w:kern w:val="0"/>
          <w:highlight w:val="none"/>
        </w:rPr>
        <w:t>〕77号）；</w:t>
      </w:r>
    </w:p>
    <w:p w14:paraId="451047E0">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28</w:t>
      </w:r>
      <w:r>
        <w:rPr>
          <w:rFonts w:ascii="Times New Roman" w:hAnsi="Times New Roman" w:eastAsia="宋体" w:cs="Times New Roman"/>
          <w:snapToGrid w:val="0"/>
          <w:color w:val="auto"/>
          <w:kern w:val="0"/>
          <w:highlight w:val="none"/>
        </w:rPr>
        <w:t>）《关于切实加强风险防范严格环境影响评价管理的通知》（环发〔201</w:t>
      </w:r>
      <w:r>
        <w:rPr>
          <w:rFonts w:hint="eastAsia" w:ascii="Times New Roman" w:hAnsi="Times New Roman" w:eastAsia="宋体" w:cs="Times New Roman"/>
          <w:snapToGrid w:val="0"/>
          <w:color w:val="auto"/>
          <w:kern w:val="0"/>
          <w:highlight w:val="none"/>
        </w:rPr>
        <w:t>2</w:t>
      </w:r>
      <w:r>
        <w:rPr>
          <w:rFonts w:ascii="Times New Roman" w:hAnsi="Times New Roman" w:eastAsia="宋体" w:cs="Times New Roman"/>
          <w:snapToGrid w:val="0"/>
          <w:color w:val="auto"/>
          <w:kern w:val="0"/>
          <w:highlight w:val="none"/>
        </w:rPr>
        <w:t>〕98号）；</w:t>
      </w:r>
    </w:p>
    <w:p w14:paraId="5D4AEB59">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29</w:t>
      </w:r>
      <w:r>
        <w:rPr>
          <w:rFonts w:ascii="Times New Roman" w:hAnsi="Times New Roman" w:eastAsia="宋体" w:cs="Times New Roman"/>
          <w:snapToGrid w:val="0"/>
          <w:color w:val="auto"/>
          <w:kern w:val="0"/>
          <w:highlight w:val="none"/>
        </w:rPr>
        <w:t>）《关于做好环境影响评价制度与排污许可制衔接相关工作的通知》（环办环评〔201</w:t>
      </w:r>
      <w:r>
        <w:rPr>
          <w:rFonts w:hint="eastAsia" w:ascii="Times New Roman" w:hAnsi="Times New Roman" w:eastAsia="宋体" w:cs="Times New Roman"/>
          <w:snapToGrid w:val="0"/>
          <w:color w:val="auto"/>
          <w:kern w:val="0"/>
          <w:highlight w:val="none"/>
        </w:rPr>
        <w:t>7</w:t>
      </w:r>
      <w:r>
        <w:rPr>
          <w:rFonts w:ascii="Times New Roman" w:hAnsi="Times New Roman" w:eastAsia="宋体" w:cs="Times New Roman"/>
          <w:snapToGrid w:val="0"/>
          <w:color w:val="auto"/>
          <w:kern w:val="0"/>
          <w:highlight w:val="none"/>
        </w:rPr>
        <w:t>〕84号）；</w:t>
      </w:r>
    </w:p>
    <w:p w14:paraId="5FE9BE0D">
      <w:pPr>
        <w:pStyle w:val="117"/>
        <w:rPr>
          <w:rFonts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30</w:t>
      </w: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《环境影响评价公众参与办法》（生态环境部令 第4号，自2019年1月1日起施行）；</w:t>
      </w:r>
    </w:p>
    <w:p w14:paraId="3B5FE2C7">
      <w:pPr>
        <w:pStyle w:val="117"/>
        <w:rPr>
          <w:rFonts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（31）</w:t>
      </w:r>
      <w:r>
        <w:rPr>
          <w:rFonts w:ascii="Times New Roman" w:hAnsi="Times New Roman" w:eastAsia="宋体" w:cs="Times New Roman"/>
          <w:snapToGrid w:val="0"/>
          <w:color w:val="auto"/>
          <w:kern w:val="0"/>
          <w:highlight w:val="none"/>
        </w:rPr>
        <w:t>《建设项目环境保护管理条例》（中华人民共和国国务院令第682号，2017年10月1日）；</w:t>
      </w:r>
    </w:p>
    <w:p w14:paraId="43E6ACBC">
      <w:pPr>
        <w:pStyle w:val="117"/>
        <w:rPr>
          <w:rFonts w:hint="eastAsia"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32</w:t>
      </w: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《建设项目环境影响评价分类管理名录（2021年版）》（生态环境部部令第16号，2021年1月1日起施行）</w:t>
      </w:r>
      <w:r>
        <w:rPr>
          <w:rFonts w:ascii="Times New Roman" w:hAnsi="Times New Roman" w:eastAsia="宋体" w:cs="Times New Roman"/>
          <w:snapToGrid w:val="0"/>
          <w:color w:val="auto"/>
          <w:kern w:val="0"/>
          <w:highlight w:val="none"/>
        </w:rPr>
        <w:t>；</w:t>
      </w:r>
    </w:p>
    <w:p w14:paraId="7D701034">
      <w:pPr>
        <w:pStyle w:val="117"/>
        <w:rPr>
          <w:rFonts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（33）</w:t>
      </w:r>
      <w:r>
        <w:rPr>
          <w:rFonts w:ascii="Times New Roman" w:hAnsi="Times New Roman" w:eastAsia="宋体" w:cs="Times New Roman"/>
          <w:snapToGrid w:val="0"/>
          <w:color w:val="auto"/>
          <w:kern w:val="0"/>
          <w:highlight w:val="none"/>
        </w:rPr>
        <w:t>《黑龙江省环境保护条例》（2018年4月26日修正）；</w:t>
      </w:r>
    </w:p>
    <w:p w14:paraId="1C2DB280">
      <w:pPr>
        <w:pStyle w:val="117"/>
        <w:rPr>
          <w:rFonts w:hint="eastAsia" w:ascii="Times New Roman" w:hAnsi="Times New Roman" w:eastAsia="宋体" w:cs="Times New Roman"/>
          <w:snapToGrid w:val="0"/>
          <w:color w:val="auto"/>
          <w:kern w:val="0"/>
          <w:highlight w:val="none"/>
        </w:rPr>
      </w:pPr>
      <w:r>
        <w:rPr>
          <w:rFonts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rPr>
        <w:t>34</w:t>
      </w:r>
      <w:r>
        <w:rPr>
          <w:rFonts w:ascii="Times New Roman" w:hAnsi="Times New Roman" w:eastAsia="宋体" w:cs="Times New Roman"/>
          <w:snapToGrid w:val="0"/>
          <w:color w:val="auto"/>
          <w:kern w:val="0"/>
          <w:highlight w:val="none"/>
        </w:rPr>
        <w:t>）《黑龙江省大气污染防治条例》（</w:t>
      </w:r>
      <w:r>
        <w:rPr>
          <w:rFonts w:hint="eastAsia" w:ascii="Times New Roman" w:hAnsi="Times New Roman" w:eastAsia="宋体" w:cs="Times New Roman"/>
          <w:snapToGrid w:val="0"/>
          <w:color w:val="auto"/>
          <w:kern w:val="0"/>
          <w:highlight w:val="none"/>
        </w:rPr>
        <w:t>2018年12月27日修正</w:t>
      </w:r>
      <w:r>
        <w:rPr>
          <w:rFonts w:ascii="Times New Roman" w:hAnsi="Times New Roman" w:eastAsia="宋体" w:cs="Times New Roman"/>
          <w:snapToGrid w:val="0"/>
          <w:color w:val="auto"/>
          <w:kern w:val="0"/>
          <w:highlight w:val="none"/>
        </w:rPr>
        <w:t>）；</w:t>
      </w:r>
    </w:p>
    <w:p w14:paraId="26FB7E06">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（35）</w:t>
      </w:r>
      <w:r>
        <w:rPr>
          <w:rFonts w:ascii="Times New Roman" w:hAnsi="Times New Roman" w:eastAsia="宋体" w:cs="Times New Roman"/>
          <w:snapToGrid w:val="0"/>
          <w:color w:val="auto"/>
          <w:kern w:val="0"/>
          <w:highlight w:val="none"/>
        </w:rPr>
        <w:t>《黑龙江省空气质量持续改善行动计划实施方案》的通知（黑政发〔2023〕19号）符合性分析；</w:t>
      </w:r>
    </w:p>
    <w:p w14:paraId="72BE5C07">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（36）</w:t>
      </w:r>
      <w:r>
        <w:rPr>
          <w:rFonts w:ascii="Times New Roman" w:hAnsi="Times New Roman" w:eastAsia="宋体" w:cs="Times New Roman"/>
          <w:snapToGrid w:val="0"/>
          <w:color w:val="auto"/>
          <w:kern w:val="0"/>
          <w:highlight w:val="none"/>
        </w:rPr>
        <w:t>《黑龙江省水污染防治实施方案》（黑政发〔2016〕3号）</w:t>
      </w:r>
      <w:r>
        <w:rPr>
          <w:rFonts w:hint="eastAsia" w:ascii="Times New Roman" w:hAnsi="Times New Roman" w:eastAsia="宋体" w:cs="Times New Roman"/>
          <w:snapToGrid w:val="0"/>
          <w:color w:val="auto"/>
          <w:kern w:val="0"/>
          <w:highlight w:val="none"/>
        </w:rPr>
        <w:t>；</w:t>
      </w:r>
    </w:p>
    <w:p w14:paraId="1AB5327F">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（37）《黑龙江省畜禽屠宰管理条例》（2021年修订）；</w:t>
      </w:r>
    </w:p>
    <w:p w14:paraId="17D1C313">
      <w:pPr>
        <w:pStyle w:val="117"/>
        <w:rPr>
          <w:rFonts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（38）</w:t>
      </w:r>
      <w:r>
        <w:rPr>
          <w:rFonts w:ascii="Times New Roman" w:hAnsi="Times New Roman" w:eastAsia="宋体" w:cs="Times New Roman"/>
          <w:snapToGrid w:val="0"/>
          <w:color w:val="auto"/>
          <w:kern w:val="0"/>
          <w:highlight w:val="none"/>
        </w:rPr>
        <w:t>《屠宰及肉类加工业污染防治可行技术指南》（HJ1285-2023）；</w:t>
      </w:r>
    </w:p>
    <w:p w14:paraId="573E6D17">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（39）《黑龙江省人民政府关于实施“三线一单”生态环境分区管控的意见》（黑政发〔2020〕14号）；</w:t>
      </w:r>
    </w:p>
    <w:p w14:paraId="417057E0">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（40）《</w:t>
      </w:r>
      <w:r>
        <w:rPr>
          <w:rFonts w:hint="eastAsia" w:ascii="Times New Roman" w:hAnsi="Times New Roman" w:eastAsia="宋体" w:cs="Times New Roman"/>
          <w:snapToGrid w:val="0"/>
          <w:color w:val="auto"/>
          <w:kern w:val="0"/>
          <w:highlight w:val="none"/>
          <w:lang w:val="en-US" w:eastAsia="zh-CN"/>
        </w:rPr>
        <w:t>双鸭山</w:t>
      </w:r>
      <w:r>
        <w:rPr>
          <w:rFonts w:hint="eastAsia" w:ascii="Times New Roman" w:hAnsi="Times New Roman" w:eastAsia="宋体" w:cs="Times New Roman"/>
          <w:snapToGrid w:val="0"/>
          <w:color w:val="auto"/>
          <w:kern w:val="0"/>
          <w:highlight w:val="none"/>
          <w:lang w:eastAsia="zh-CN"/>
        </w:rPr>
        <w:t>市</w:t>
      </w:r>
      <w:r>
        <w:rPr>
          <w:rFonts w:hint="eastAsia" w:ascii="Times New Roman" w:hAnsi="Times New Roman" w:eastAsia="宋体" w:cs="Times New Roman"/>
          <w:snapToGrid w:val="0"/>
          <w:color w:val="auto"/>
          <w:kern w:val="0"/>
          <w:highlight w:val="none"/>
        </w:rPr>
        <w:t>人民政府关于加强“三线一单”生态环境分区管控的实施意见》（</w:t>
      </w:r>
      <w:r>
        <w:rPr>
          <w:rFonts w:hint="eastAsia" w:ascii="Times New Roman" w:hAnsi="Times New Roman" w:eastAsia="宋体" w:cs="Times New Roman"/>
          <w:snapToGrid w:val="0"/>
          <w:color w:val="auto"/>
          <w:kern w:val="0"/>
          <w:highlight w:val="none"/>
          <w:lang w:val="en-US" w:eastAsia="zh-CN"/>
        </w:rPr>
        <w:t>双政规</w:t>
      </w:r>
      <w:r>
        <w:rPr>
          <w:rFonts w:hint="eastAsia" w:ascii="Times New Roman" w:hAnsi="Times New Roman" w:eastAsia="宋体" w:cs="Times New Roman"/>
          <w:snapToGrid w:val="0"/>
          <w:color w:val="auto"/>
          <w:kern w:val="0"/>
          <w:highlight w:val="none"/>
        </w:rPr>
        <w:t>〔2021〕</w:t>
      </w:r>
      <w:r>
        <w:rPr>
          <w:rFonts w:hint="eastAsia" w:ascii="Times New Roman" w:hAnsi="Times New Roman" w:eastAsia="宋体" w:cs="Times New Roman"/>
          <w:snapToGrid w:val="0"/>
          <w:color w:val="auto"/>
          <w:kern w:val="0"/>
          <w:highlight w:val="none"/>
          <w:lang w:val="en-US" w:eastAsia="zh-CN"/>
        </w:rPr>
        <w:t>2</w:t>
      </w:r>
      <w:r>
        <w:rPr>
          <w:rFonts w:hint="eastAsia" w:ascii="Times New Roman" w:hAnsi="Times New Roman" w:eastAsia="宋体" w:cs="Times New Roman"/>
          <w:snapToGrid w:val="0"/>
          <w:color w:val="auto"/>
          <w:kern w:val="0"/>
          <w:highlight w:val="none"/>
        </w:rPr>
        <w:t>号）；</w:t>
      </w:r>
    </w:p>
    <w:p w14:paraId="6BBA0173">
      <w:pPr>
        <w:pStyle w:val="117"/>
        <w:rPr>
          <w:rFonts w:hint="eastAsia" w:ascii="Times New Roman" w:hAnsi="Times New Roman" w:eastAsia="宋体" w:cs="Times New Roman"/>
          <w:snapToGrid w:val="0"/>
          <w:color w:val="auto"/>
          <w:kern w:val="0"/>
          <w:highlight w:val="none"/>
        </w:rPr>
      </w:pPr>
      <w:r>
        <w:rPr>
          <w:rFonts w:hint="eastAsia" w:ascii="Times New Roman" w:hAnsi="Times New Roman" w:eastAsia="宋体" w:cs="Times New Roman"/>
          <w:snapToGrid w:val="0"/>
          <w:color w:val="auto"/>
          <w:kern w:val="0"/>
          <w:highlight w:val="none"/>
        </w:rPr>
        <w:t>（41）《</w:t>
      </w:r>
      <w:r>
        <w:rPr>
          <w:rFonts w:hint="eastAsia" w:ascii="Times New Roman" w:hAnsi="Times New Roman" w:eastAsia="宋体" w:cs="Times New Roman"/>
          <w:snapToGrid w:val="0"/>
          <w:color w:val="auto"/>
          <w:kern w:val="0"/>
          <w:highlight w:val="none"/>
          <w:lang w:val="en-US" w:eastAsia="zh-CN"/>
        </w:rPr>
        <w:t>双鸭山市</w:t>
      </w:r>
      <w:r>
        <w:rPr>
          <w:rFonts w:hint="eastAsia" w:ascii="Times New Roman" w:hAnsi="Times New Roman" w:eastAsia="宋体" w:cs="Times New Roman"/>
          <w:snapToGrid w:val="0"/>
          <w:color w:val="auto"/>
          <w:kern w:val="0"/>
          <w:highlight w:val="none"/>
        </w:rPr>
        <w:t>生态环境准入清单》（2023年版）；</w:t>
      </w:r>
    </w:p>
    <w:p w14:paraId="7FA4CBC9">
      <w:pPr>
        <w:pStyle w:val="117"/>
        <w:rPr>
          <w:rFonts w:hint="default" w:ascii="Times New Roman" w:hAnsi="Times New Roman" w:eastAsia="宋体" w:cs="Times New Roman"/>
          <w:snapToGrid w:val="0"/>
          <w:color w:val="auto"/>
          <w:kern w:val="0"/>
          <w:highlight w:val="none"/>
          <w:lang w:val="en-US" w:eastAsia="zh-CN"/>
        </w:rPr>
      </w:pPr>
      <w:r>
        <w:rPr>
          <w:rFonts w:hint="eastAsia" w:ascii="Times New Roman" w:hAnsi="Times New Roman" w:eastAsia="宋体" w:cs="Times New Roman"/>
          <w:snapToGrid w:val="0"/>
          <w:color w:val="auto"/>
          <w:kern w:val="0"/>
          <w:highlight w:val="none"/>
        </w:rPr>
        <w:t>（42）</w:t>
      </w:r>
      <w:r>
        <w:rPr>
          <w:rFonts w:hint="eastAsia" w:ascii="Times New Roman" w:hAnsi="Times New Roman" w:eastAsia="宋体" w:cs="Times New Roman"/>
          <w:snapToGrid w:val="0"/>
          <w:color w:val="auto"/>
          <w:kern w:val="0"/>
          <w:highlight w:val="none"/>
          <w:lang w:eastAsia="zh-CN"/>
        </w:rPr>
        <w:t>关于印发《双鸭山市“十四五”生态环境保护规划》的通知</w:t>
      </w:r>
      <w:r>
        <w:rPr>
          <w:rFonts w:hint="eastAsia" w:ascii="Times New Roman" w:hAnsi="Times New Roman" w:eastAsia="宋体" w:cs="Times New Roman"/>
          <w:snapToGrid w:val="0"/>
          <w:color w:val="auto"/>
          <w:kern w:val="0"/>
          <w:highlight w:val="none"/>
        </w:rPr>
        <w:t>（</w:t>
      </w:r>
      <w:r>
        <w:rPr>
          <w:rFonts w:hint="eastAsia" w:ascii="Times New Roman" w:hAnsi="Times New Roman" w:eastAsia="宋体" w:cs="Times New Roman"/>
          <w:snapToGrid w:val="0"/>
          <w:color w:val="auto"/>
          <w:kern w:val="0"/>
          <w:highlight w:val="none"/>
          <w:lang w:eastAsia="zh-CN"/>
        </w:rPr>
        <w:t>双政规〔2022〕9号</w:t>
      </w:r>
      <w:r>
        <w:rPr>
          <w:rFonts w:hint="eastAsia" w:ascii="Times New Roman" w:hAnsi="Times New Roman" w:eastAsia="宋体" w:cs="Times New Roman"/>
          <w:snapToGrid w:val="0"/>
          <w:color w:val="auto"/>
          <w:kern w:val="0"/>
          <w:highlight w:val="none"/>
        </w:rPr>
        <w:t>）。</w:t>
      </w:r>
    </w:p>
    <w:bookmarkEnd w:id="38"/>
    <w:p w14:paraId="4CCA2FAC">
      <w:pPr>
        <w:pStyle w:val="4"/>
        <w:spacing w:after="156"/>
        <w:rPr>
          <w:rFonts w:cs="Times New Roman"/>
          <w:color w:val="auto"/>
          <w:highlight w:val="none"/>
        </w:rPr>
      </w:pPr>
      <w:bookmarkStart w:id="39" w:name="_Toc12162"/>
      <w:r>
        <w:rPr>
          <w:rFonts w:cs="Times New Roman"/>
          <w:color w:val="auto"/>
          <w:highlight w:val="none"/>
        </w:rPr>
        <w:t>2.1.</w:t>
      </w:r>
      <w:r>
        <w:rPr>
          <w:rFonts w:hint="eastAsia" w:cs="Times New Roman"/>
          <w:color w:val="auto"/>
          <w:highlight w:val="none"/>
          <w:lang w:val="en-US" w:eastAsia="zh-CN"/>
        </w:rPr>
        <w:t>2</w:t>
      </w:r>
      <w:r>
        <w:rPr>
          <w:rFonts w:cs="Times New Roman"/>
          <w:color w:val="auto"/>
          <w:highlight w:val="none"/>
        </w:rPr>
        <w:t>技术导则与规范</w:t>
      </w:r>
      <w:bookmarkEnd w:id="39"/>
    </w:p>
    <w:p w14:paraId="386A2DDF">
      <w:pPr>
        <w:spacing w:line="500" w:lineRule="exact"/>
        <w:rPr>
          <w:rFonts w:cs="Times New Roman"/>
          <w:color w:val="auto"/>
          <w:szCs w:val="24"/>
          <w:highlight w:val="none"/>
        </w:rPr>
      </w:pPr>
      <w:r>
        <w:rPr>
          <w:rFonts w:cs="Times New Roman"/>
          <w:color w:val="auto"/>
          <w:szCs w:val="24"/>
          <w:highlight w:val="none"/>
        </w:rPr>
        <w:t>（1）《建设项目环境影响评价技术导则  总纲》（HJ2.1-2016）；</w:t>
      </w:r>
    </w:p>
    <w:p w14:paraId="54E84DAD">
      <w:pPr>
        <w:spacing w:line="500" w:lineRule="exact"/>
        <w:rPr>
          <w:rFonts w:cs="Times New Roman"/>
          <w:color w:val="auto"/>
          <w:szCs w:val="24"/>
          <w:highlight w:val="none"/>
        </w:rPr>
      </w:pPr>
      <w:r>
        <w:rPr>
          <w:rFonts w:cs="Times New Roman"/>
          <w:color w:val="auto"/>
          <w:szCs w:val="24"/>
          <w:highlight w:val="none"/>
        </w:rPr>
        <w:t>（2）《环境影响评价技术导则  大气环境》（HJ2.2-2018）；</w:t>
      </w:r>
    </w:p>
    <w:p w14:paraId="6CFC917C">
      <w:pPr>
        <w:spacing w:line="500" w:lineRule="exact"/>
        <w:rPr>
          <w:rFonts w:cs="Times New Roman"/>
          <w:color w:val="auto"/>
          <w:szCs w:val="24"/>
          <w:highlight w:val="none"/>
        </w:rPr>
      </w:pPr>
      <w:r>
        <w:rPr>
          <w:rFonts w:cs="Times New Roman"/>
          <w:color w:val="auto"/>
          <w:szCs w:val="24"/>
          <w:highlight w:val="none"/>
        </w:rPr>
        <w:t>（3）《环境影响评价技术导则  地表水环境》（HJ2.3-2018）；</w:t>
      </w:r>
    </w:p>
    <w:p w14:paraId="1BA4D045">
      <w:pPr>
        <w:spacing w:line="500" w:lineRule="exact"/>
        <w:rPr>
          <w:rFonts w:cs="Times New Roman"/>
          <w:color w:val="auto"/>
          <w:szCs w:val="24"/>
          <w:highlight w:val="none"/>
        </w:rPr>
      </w:pPr>
      <w:r>
        <w:rPr>
          <w:rFonts w:cs="Times New Roman"/>
          <w:color w:val="auto"/>
          <w:szCs w:val="24"/>
          <w:highlight w:val="none"/>
        </w:rPr>
        <w:t>（4）《环境影响评价技术导则  声环境》（HJ2.4-2021）；</w:t>
      </w:r>
    </w:p>
    <w:p w14:paraId="3582B991">
      <w:pPr>
        <w:spacing w:line="500" w:lineRule="exact"/>
        <w:rPr>
          <w:rFonts w:cs="Times New Roman"/>
          <w:color w:val="auto"/>
          <w:szCs w:val="24"/>
          <w:highlight w:val="none"/>
        </w:rPr>
      </w:pPr>
      <w:r>
        <w:rPr>
          <w:rFonts w:cs="Times New Roman"/>
          <w:color w:val="auto"/>
          <w:szCs w:val="24"/>
          <w:highlight w:val="none"/>
        </w:rPr>
        <w:t>（5）《环境影响评价技术导则  地下水环境》（HJ610-2016）；</w:t>
      </w:r>
    </w:p>
    <w:p w14:paraId="6C2F535F">
      <w:pPr>
        <w:spacing w:line="500" w:lineRule="exact"/>
        <w:rPr>
          <w:rFonts w:cs="Times New Roman"/>
          <w:color w:val="auto"/>
          <w:szCs w:val="24"/>
          <w:highlight w:val="none"/>
        </w:rPr>
      </w:pPr>
      <w:r>
        <w:rPr>
          <w:rFonts w:cs="Times New Roman"/>
          <w:color w:val="auto"/>
          <w:szCs w:val="24"/>
          <w:highlight w:val="none"/>
        </w:rPr>
        <w:t>（6）《环境影响评价技术导则  生态影响》（HJ19-2022）；</w:t>
      </w:r>
    </w:p>
    <w:p w14:paraId="07A3642B">
      <w:pPr>
        <w:spacing w:line="500" w:lineRule="exact"/>
        <w:rPr>
          <w:rFonts w:cs="Times New Roman"/>
          <w:color w:val="auto"/>
          <w:szCs w:val="24"/>
          <w:highlight w:val="none"/>
        </w:rPr>
      </w:pPr>
      <w:r>
        <w:rPr>
          <w:rFonts w:cs="Times New Roman"/>
          <w:color w:val="auto"/>
          <w:szCs w:val="24"/>
          <w:highlight w:val="none"/>
        </w:rPr>
        <w:t xml:space="preserve">（7）《环境影响评价技术导则 </w:t>
      </w:r>
      <w:r>
        <w:rPr>
          <w:rFonts w:hint="eastAsia" w:cs="Times New Roman"/>
          <w:color w:val="auto"/>
          <w:szCs w:val="24"/>
          <w:highlight w:val="none"/>
          <w:lang w:val="en-US" w:eastAsia="zh-CN"/>
        </w:rPr>
        <w:t xml:space="preserve"> </w:t>
      </w:r>
      <w:r>
        <w:rPr>
          <w:rFonts w:cs="Times New Roman"/>
          <w:color w:val="auto"/>
          <w:szCs w:val="24"/>
          <w:highlight w:val="none"/>
        </w:rPr>
        <w:t>土壤环境（试行）》（HJ 964-2018）；</w:t>
      </w:r>
    </w:p>
    <w:p w14:paraId="1FB6EA4A">
      <w:pPr>
        <w:spacing w:line="500" w:lineRule="exact"/>
        <w:rPr>
          <w:rFonts w:cs="Times New Roman"/>
          <w:color w:val="auto"/>
          <w:szCs w:val="24"/>
          <w:highlight w:val="none"/>
        </w:rPr>
      </w:pPr>
      <w:r>
        <w:rPr>
          <w:rFonts w:cs="Times New Roman"/>
          <w:color w:val="auto"/>
          <w:szCs w:val="24"/>
          <w:highlight w:val="none"/>
        </w:rPr>
        <w:t>（8）《建设项目环境风险评价技术导则》（HJ169-2018）；</w:t>
      </w:r>
    </w:p>
    <w:p w14:paraId="2D2DE55D">
      <w:pPr>
        <w:spacing w:line="500" w:lineRule="exact"/>
        <w:rPr>
          <w:rFonts w:cs="Times New Roman"/>
          <w:color w:val="auto"/>
          <w:szCs w:val="24"/>
          <w:highlight w:val="none"/>
        </w:rPr>
      </w:pPr>
      <w:r>
        <w:rPr>
          <w:rFonts w:cs="Times New Roman"/>
          <w:color w:val="auto"/>
          <w:szCs w:val="24"/>
          <w:highlight w:val="none"/>
        </w:rPr>
        <w:t>（9）《一般工业固体废物贮存和填埋污染控制标准》(GB18599-2020)；</w:t>
      </w:r>
    </w:p>
    <w:p w14:paraId="7D86923F">
      <w:pPr>
        <w:spacing w:line="500" w:lineRule="exact"/>
        <w:rPr>
          <w:rFonts w:cs="Times New Roman"/>
          <w:color w:val="auto"/>
          <w:szCs w:val="24"/>
          <w:highlight w:val="none"/>
        </w:rPr>
      </w:pPr>
      <w:r>
        <w:rPr>
          <w:rFonts w:cs="Times New Roman"/>
          <w:color w:val="auto"/>
          <w:szCs w:val="24"/>
          <w:highlight w:val="none"/>
        </w:rPr>
        <w:t>（10）《屠宰与肉类加工废水治理工程技术规范》（HJ 2004-2010）；</w:t>
      </w:r>
    </w:p>
    <w:p w14:paraId="6BB6BAD4">
      <w:pPr>
        <w:spacing w:line="500" w:lineRule="exact"/>
        <w:rPr>
          <w:rFonts w:cs="Times New Roman"/>
          <w:color w:val="auto"/>
          <w:szCs w:val="24"/>
          <w:highlight w:val="none"/>
        </w:rPr>
      </w:pPr>
      <w:r>
        <w:rPr>
          <w:rFonts w:cs="Times New Roman"/>
          <w:color w:val="auto"/>
          <w:szCs w:val="24"/>
          <w:highlight w:val="none"/>
        </w:rPr>
        <w:t>（11）《排污单位自行监测技术指南  总则》（HJ 819-2017）；</w:t>
      </w:r>
    </w:p>
    <w:p w14:paraId="46EF5F51">
      <w:pPr>
        <w:spacing w:line="500" w:lineRule="exact"/>
        <w:rPr>
          <w:rFonts w:hint="eastAsia" w:eastAsia="宋体" w:cs="Times New Roman"/>
          <w:color w:val="auto"/>
          <w:szCs w:val="24"/>
          <w:highlight w:val="none"/>
          <w:lang w:eastAsia="zh-CN"/>
        </w:rPr>
      </w:pPr>
      <w:r>
        <w:rPr>
          <w:rFonts w:cs="Times New Roman"/>
          <w:color w:val="auto"/>
          <w:szCs w:val="24"/>
          <w:highlight w:val="none"/>
        </w:rPr>
        <w:t>（12）《排污许可证申请与核发技术规范  农副食品加工工业-屠宰及肉类加工工业》（HJ860.3-2018）；</w:t>
      </w:r>
    </w:p>
    <w:p w14:paraId="20DAAE97">
      <w:pPr>
        <w:spacing w:line="500" w:lineRule="exact"/>
        <w:rPr>
          <w:rFonts w:hint="eastAsia" w:eastAsia="宋体" w:cs="Times New Roman"/>
          <w:color w:val="auto"/>
          <w:szCs w:val="24"/>
          <w:highlight w:val="none"/>
          <w:lang w:eastAsia="zh-CN"/>
        </w:rPr>
      </w:pPr>
      <w:r>
        <w:rPr>
          <w:rFonts w:eastAsia="宋体" w:cs="Times New Roman"/>
          <w:color w:val="auto"/>
          <w:szCs w:val="24"/>
          <w:highlight w:val="none"/>
        </w:rPr>
        <w:t>（13）《排污单位自行监测技术指南 农副食品加工业》（HJ 986-2018）</w:t>
      </w:r>
      <w:r>
        <w:rPr>
          <w:rFonts w:hint="eastAsia" w:eastAsia="宋体" w:cs="Times New Roman"/>
          <w:color w:val="auto"/>
          <w:szCs w:val="24"/>
          <w:highlight w:val="none"/>
          <w:lang w:eastAsia="zh-CN"/>
        </w:rPr>
        <w:t>；</w:t>
      </w:r>
    </w:p>
    <w:p w14:paraId="727E24E8">
      <w:pPr>
        <w:spacing w:line="500" w:lineRule="exact"/>
        <w:rPr>
          <w:rFonts w:eastAsia="宋体" w:cs="Times New Roman"/>
          <w:color w:val="auto"/>
          <w:szCs w:val="24"/>
          <w:highlight w:val="none"/>
        </w:rPr>
      </w:pPr>
      <w:r>
        <w:rPr>
          <w:rFonts w:hint="eastAsia" w:eastAsia="宋体" w:cs="Times New Roman"/>
          <w:color w:val="auto"/>
          <w:szCs w:val="24"/>
          <w:highlight w:val="none"/>
          <w:lang w:eastAsia="zh-CN"/>
        </w:rPr>
        <w:t>（</w:t>
      </w:r>
      <w:r>
        <w:rPr>
          <w:rFonts w:hint="eastAsia" w:eastAsia="宋体" w:cs="Times New Roman"/>
          <w:color w:val="auto"/>
          <w:szCs w:val="24"/>
          <w:highlight w:val="none"/>
          <w:lang w:val="en-US" w:eastAsia="zh-CN"/>
        </w:rPr>
        <w:t>1</w:t>
      </w:r>
      <w:r>
        <w:rPr>
          <w:rFonts w:hint="eastAsia" w:cs="Times New Roman"/>
          <w:color w:val="auto"/>
          <w:szCs w:val="24"/>
          <w:highlight w:val="none"/>
          <w:lang w:val="en-US" w:eastAsia="zh-CN"/>
        </w:rPr>
        <w:t>4</w:t>
      </w:r>
      <w:r>
        <w:rPr>
          <w:rFonts w:hint="eastAsia" w:eastAsia="宋体" w:cs="Times New Roman"/>
          <w:color w:val="auto"/>
          <w:szCs w:val="24"/>
          <w:highlight w:val="none"/>
          <w:lang w:eastAsia="zh-CN"/>
        </w:rPr>
        <w:t>）</w:t>
      </w:r>
      <w:r>
        <w:rPr>
          <w:rFonts w:hint="eastAsia" w:eastAsia="宋体" w:cs="Times New Roman"/>
          <w:color w:val="auto"/>
          <w:szCs w:val="24"/>
          <w:highlight w:val="none"/>
        </w:rPr>
        <w:t>《关于做好环境影响评价制度与排污许可制衔接相关工作的通知》（环办环评[2017]84号，2017年11月15日）；</w:t>
      </w:r>
    </w:p>
    <w:p w14:paraId="6B3EB9A6">
      <w:pPr>
        <w:spacing w:line="500" w:lineRule="exact"/>
        <w:rPr>
          <w:rFonts w:hint="eastAsia" w:eastAsia="宋体" w:cs="Times New Roman"/>
          <w:color w:val="auto"/>
          <w:szCs w:val="24"/>
          <w:highlight w:val="none"/>
        </w:rPr>
      </w:pPr>
      <w:r>
        <w:rPr>
          <w:rFonts w:hint="eastAsia" w:eastAsia="宋体" w:cs="Times New Roman"/>
          <w:color w:val="auto"/>
          <w:szCs w:val="24"/>
          <w:highlight w:val="none"/>
          <w:lang w:eastAsia="zh-CN"/>
        </w:rPr>
        <w:t>（</w:t>
      </w:r>
      <w:r>
        <w:rPr>
          <w:rFonts w:hint="eastAsia" w:eastAsia="宋体" w:cs="Times New Roman"/>
          <w:color w:val="auto"/>
          <w:szCs w:val="24"/>
          <w:highlight w:val="none"/>
          <w:lang w:val="en-US" w:eastAsia="zh-CN"/>
        </w:rPr>
        <w:t>1</w:t>
      </w:r>
      <w:r>
        <w:rPr>
          <w:rFonts w:hint="eastAsia" w:cs="Times New Roman"/>
          <w:color w:val="auto"/>
          <w:szCs w:val="24"/>
          <w:highlight w:val="none"/>
          <w:lang w:val="en-US" w:eastAsia="zh-CN"/>
        </w:rPr>
        <w:t>5</w:t>
      </w:r>
      <w:r>
        <w:rPr>
          <w:rFonts w:hint="eastAsia" w:eastAsia="宋体" w:cs="Times New Roman"/>
          <w:color w:val="auto"/>
          <w:szCs w:val="24"/>
          <w:highlight w:val="none"/>
          <w:lang w:eastAsia="zh-CN"/>
        </w:rPr>
        <w:t>）</w:t>
      </w:r>
      <w:r>
        <w:rPr>
          <w:rFonts w:hint="eastAsia" w:eastAsia="宋体" w:cs="Times New Roman"/>
          <w:color w:val="auto"/>
          <w:szCs w:val="24"/>
          <w:highlight w:val="none"/>
        </w:rPr>
        <w:t>《固定污染源排污许可分类管理名录（2019年版）》（生态环境部令第11号，2019年12月20日）</w:t>
      </w:r>
    </w:p>
    <w:p w14:paraId="262091CD">
      <w:pPr>
        <w:spacing w:line="500" w:lineRule="exact"/>
        <w:rPr>
          <w:rFonts w:eastAsia="宋体" w:cs="Times New Roman"/>
          <w:color w:val="auto"/>
          <w:szCs w:val="24"/>
          <w:highlight w:val="none"/>
        </w:rPr>
      </w:pPr>
      <w:r>
        <w:rPr>
          <w:rFonts w:hint="eastAsia" w:eastAsia="宋体" w:cs="Times New Roman"/>
          <w:color w:val="auto"/>
          <w:szCs w:val="24"/>
          <w:highlight w:val="none"/>
          <w:lang w:eastAsia="zh-CN"/>
        </w:rPr>
        <w:t>（</w:t>
      </w:r>
      <w:r>
        <w:rPr>
          <w:rFonts w:hint="eastAsia" w:eastAsia="宋体" w:cs="Times New Roman"/>
          <w:color w:val="auto"/>
          <w:szCs w:val="24"/>
          <w:highlight w:val="none"/>
          <w:lang w:val="en-US" w:eastAsia="zh-CN"/>
        </w:rPr>
        <w:t>1</w:t>
      </w:r>
      <w:r>
        <w:rPr>
          <w:rFonts w:hint="eastAsia" w:cs="Times New Roman"/>
          <w:color w:val="auto"/>
          <w:szCs w:val="24"/>
          <w:highlight w:val="none"/>
          <w:lang w:val="en-US" w:eastAsia="zh-CN"/>
        </w:rPr>
        <w:t>6</w:t>
      </w:r>
      <w:r>
        <w:rPr>
          <w:rFonts w:hint="eastAsia" w:eastAsia="宋体" w:cs="Times New Roman"/>
          <w:color w:val="auto"/>
          <w:szCs w:val="24"/>
          <w:highlight w:val="none"/>
          <w:lang w:eastAsia="zh-CN"/>
        </w:rPr>
        <w:t>）</w:t>
      </w:r>
      <w:r>
        <w:rPr>
          <w:rFonts w:eastAsia="宋体" w:cs="Times New Roman"/>
          <w:color w:val="auto"/>
          <w:szCs w:val="24"/>
          <w:highlight w:val="none"/>
        </w:rPr>
        <w:t>《畜类屠宰加工通用技术条件》（GB/T17237-2008）；</w:t>
      </w:r>
    </w:p>
    <w:p w14:paraId="534F5194">
      <w:pPr>
        <w:spacing w:line="500" w:lineRule="exact"/>
        <w:rPr>
          <w:rFonts w:hint="eastAsia" w:eastAsia="宋体" w:cs="Times New Roman"/>
          <w:color w:val="auto"/>
          <w:szCs w:val="24"/>
          <w:highlight w:val="none"/>
          <w:lang w:eastAsia="zh-CN"/>
        </w:rPr>
      </w:pPr>
      <w:r>
        <w:rPr>
          <w:rFonts w:hint="eastAsia" w:eastAsia="宋体" w:cs="Times New Roman"/>
          <w:color w:val="auto"/>
          <w:szCs w:val="24"/>
          <w:highlight w:val="none"/>
          <w:lang w:val="zh-CN"/>
        </w:rPr>
        <w:t>（</w:t>
      </w:r>
      <w:r>
        <w:rPr>
          <w:rFonts w:hint="eastAsia" w:eastAsia="宋体" w:cs="Times New Roman"/>
          <w:color w:val="auto"/>
          <w:szCs w:val="24"/>
          <w:highlight w:val="none"/>
          <w:lang w:val="en-US" w:eastAsia="zh-CN"/>
        </w:rPr>
        <w:t>1</w:t>
      </w:r>
      <w:r>
        <w:rPr>
          <w:rFonts w:hint="eastAsia" w:cs="Times New Roman"/>
          <w:color w:val="auto"/>
          <w:szCs w:val="24"/>
          <w:highlight w:val="none"/>
          <w:lang w:val="en-US" w:eastAsia="zh-CN"/>
        </w:rPr>
        <w:t>7</w:t>
      </w:r>
      <w:r>
        <w:rPr>
          <w:rFonts w:hint="eastAsia" w:eastAsia="宋体" w:cs="Times New Roman"/>
          <w:color w:val="auto"/>
          <w:szCs w:val="24"/>
          <w:highlight w:val="none"/>
          <w:lang w:val="zh-CN"/>
        </w:rPr>
        <w:t>）《牛羊屠宰与分割车间设计规范》（GB51225-2017）；</w:t>
      </w:r>
    </w:p>
    <w:p w14:paraId="5C1FA793">
      <w:pPr>
        <w:spacing w:line="500" w:lineRule="exact"/>
        <w:rPr>
          <w:rFonts w:cs="Times New Roman"/>
          <w:color w:val="auto"/>
          <w:szCs w:val="24"/>
          <w:highlight w:val="none"/>
        </w:rPr>
      </w:pPr>
      <w:r>
        <w:rPr>
          <w:rFonts w:cs="Times New Roman"/>
          <w:color w:val="auto"/>
          <w:szCs w:val="24"/>
          <w:highlight w:val="none"/>
        </w:rPr>
        <w:t>（</w:t>
      </w:r>
      <w:r>
        <w:rPr>
          <w:rFonts w:hint="eastAsia" w:cs="Times New Roman"/>
          <w:color w:val="auto"/>
          <w:szCs w:val="24"/>
          <w:highlight w:val="none"/>
          <w:lang w:val="en-US" w:eastAsia="zh-CN"/>
        </w:rPr>
        <w:t>18</w:t>
      </w:r>
      <w:r>
        <w:rPr>
          <w:rFonts w:cs="Times New Roman"/>
          <w:color w:val="auto"/>
          <w:szCs w:val="24"/>
          <w:highlight w:val="none"/>
        </w:rPr>
        <w:t>）《水污染治理工程技术导则》(HJ 2015-2012)；</w:t>
      </w:r>
    </w:p>
    <w:p w14:paraId="13EA2B78">
      <w:pPr>
        <w:spacing w:line="500" w:lineRule="exact"/>
        <w:rPr>
          <w:rFonts w:cs="Times New Roman"/>
          <w:color w:val="auto"/>
          <w:szCs w:val="24"/>
          <w:highlight w:val="none"/>
        </w:rPr>
      </w:pPr>
      <w:r>
        <w:rPr>
          <w:rFonts w:cs="Times New Roman"/>
          <w:color w:val="auto"/>
          <w:szCs w:val="24"/>
          <w:highlight w:val="none"/>
        </w:rPr>
        <w:t>（</w:t>
      </w:r>
      <w:r>
        <w:rPr>
          <w:rFonts w:hint="eastAsia" w:cs="Times New Roman"/>
          <w:color w:val="auto"/>
          <w:szCs w:val="24"/>
          <w:highlight w:val="none"/>
          <w:lang w:val="en-US" w:eastAsia="zh-CN"/>
        </w:rPr>
        <w:t>19</w:t>
      </w:r>
      <w:r>
        <w:rPr>
          <w:rFonts w:cs="Times New Roman"/>
          <w:color w:val="auto"/>
          <w:szCs w:val="24"/>
          <w:highlight w:val="none"/>
        </w:rPr>
        <w:t>）《大气污染治理工程技术导则》（HJ2000-2010）；</w:t>
      </w:r>
    </w:p>
    <w:p w14:paraId="661CC9A5">
      <w:pPr>
        <w:spacing w:line="500" w:lineRule="exact"/>
        <w:rPr>
          <w:rFonts w:cs="Times New Roman"/>
          <w:color w:val="auto"/>
          <w:szCs w:val="24"/>
          <w:highlight w:val="none"/>
        </w:rPr>
      </w:pPr>
      <w:r>
        <w:rPr>
          <w:rFonts w:cs="Times New Roman"/>
          <w:color w:val="auto"/>
          <w:szCs w:val="24"/>
          <w:highlight w:val="none"/>
        </w:rPr>
        <w:t>（</w:t>
      </w:r>
      <w:r>
        <w:rPr>
          <w:rFonts w:hint="eastAsia" w:cs="Times New Roman"/>
          <w:color w:val="auto"/>
          <w:szCs w:val="24"/>
          <w:highlight w:val="none"/>
          <w:lang w:val="en-US" w:eastAsia="zh-CN"/>
        </w:rPr>
        <w:t>20</w:t>
      </w:r>
      <w:r>
        <w:rPr>
          <w:rFonts w:cs="Times New Roman"/>
          <w:color w:val="auto"/>
          <w:szCs w:val="24"/>
          <w:highlight w:val="none"/>
        </w:rPr>
        <w:t>）《国家危险废物名录（202</w:t>
      </w:r>
      <w:r>
        <w:rPr>
          <w:rFonts w:hint="eastAsia" w:cs="Times New Roman"/>
          <w:color w:val="auto"/>
          <w:szCs w:val="24"/>
          <w:highlight w:val="none"/>
          <w:lang w:val="en-US" w:eastAsia="zh-CN"/>
        </w:rPr>
        <w:t>5</w:t>
      </w:r>
      <w:r>
        <w:rPr>
          <w:rFonts w:cs="Times New Roman"/>
          <w:color w:val="auto"/>
          <w:szCs w:val="24"/>
          <w:highlight w:val="none"/>
        </w:rPr>
        <w:t>年版）》（202</w:t>
      </w:r>
      <w:r>
        <w:rPr>
          <w:rFonts w:hint="eastAsia" w:cs="Times New Roman"/>
          <w:color w:val="auto"/>
          <w:szCs w:val="24"/>
          <w:highlight w:val="none"/>
          <w:lang w:val="en-US" w:eastAsia="zh-CN"/>
        </w:rPr>
        <w:t>5</w:t>
      </w:r>
      <w:r>
        <w:rPr>
          <w:rFonts w:cs="Times New Roman"/>
          <w:color w:val="auto"/>
          <w:szCs w:val="24"/>
          <w:highlight w:val="none"/>
        </w:rPr>
        <w:t>年1月1日实施）；</w:t>
      </w:r>
    </w:p>
    <w:p w14:paraId="41257765">
      <w:pPr>
        <w:spacing w:line="500" w:lineRule="exact"/>
        <w:rPr>
          <w:rFonts w:hint="eastAsia" w:cs="Times New Roman"/>
          <w:color w:val="auto"/>
          <w:szCs w:val="24"/>
          <w:highlight w:val="none"/>
          <w:lang w:eastAsia="zh-CN"/>
        </w:rPr>
      </w:pPr>
      <w:r>
        <w:rPr>
          <w:rFonts w:cs="Times New Roman"/>
          <w:color w:val="auto"/>
          <w:szCs w:val="24"/>
          <w:highlight w:val="none"/>
        </w:rPr>
        <w:t>（</w:t>
      </w:r>
      <w:r>
        <w:rPr>
          <w:rFonts w:hint="eastAsia" w:cs="Times New Roman"/>
          <w:color w:val="auto"/>
          <w:szCs w:val="24"/>
          <w:highlight w:val="none"/>
          <w:lang w:val="en-US" w:eastAsia="zh-CN"/>
        </w:rPr>
        <w:t>21</w:t>
      </w:r>
      <w:r>
        <w:rPr>
          <w:rFonts w:cs="Times New Roman"/>
          <w:color w:val="auto"/>
          <w:szCs w:val="24"/>
          <w:highlight w:val="none"/>
        </w:rPr>
        <w:t>）《建设项目危险废物环境影响评价指南》（公告2017 第43号）</w:t>
      </w:r>
      <w:r>
        <w:rPr>
          <w:rFonts w:hint="eastAsia" w:cs="Times New Roman"/>
          <w:color w:val="auto"/>
          <w:szCs w:val="24"/>
          <w:highlight w:val="none"/>
          <w:lang w:eastAsia="zh-CN"/>
        </w:rPr>
        <w:t>；</w:t>
      </w:r>
    </w:p>
    <w:p w14:paraId="397E5520">
      <w:pPr>
        <w:spacing w:line="500" w:lineRule="exact"/>
        <w:rPr>
          <w:rFonts w:cs="Times New Roman"/>
          <w:color w:val="auto"/>
          <w:highlight w:val="none"/>
        </w:rPr>
      </w:pPr>
      <w:r>
        <w:rPr>
          <w:rFonts w:hint="eastAsia" w:cs="Times New Roman"/>
          <w:color w:val="auto"/>
          <w:szCs w:val="24"/>
          <w:highlight w:val="none"/>
          <w:lang w:eastAsia="zh-CN"/>
        </w:rPr>
        <w:t>（</w:t>
      </w:r>
      <w:r>
        <w:rPr>
          <w:rFonts w:hint="eastAsia" w:cs="Times New Roman"/>
          <w:color w:val="auto"/>
          <w:szCs w:val="24"/>
          <w:highlight w:val="none"/>
          <w:lang w:val="en-US" w:eastAsia="zh-CN"/>
        </w:rPr>
        <w:t>22</w:t>
      </w:r>
      <w:r>
        <w:rPr>
          <w:rFonts w:hint="eastAsia" w:cs="Times New Roman"/>
          <w:color w:val="auto"/>
          <w:szCs w:val="24"/>
          <w:highlight w:val="none"/>
          <w:lang w:eastAsia="zh-CN"/>
        </w:rPr>
        <w:t>）《</w:t>
      </w:r>
      <w:r>
        <w:rPr>
          <w:rFonts w:hint="eastAsia" w:cs="Times New Roman"/>
          <w:color w:val="auto"/>
          <w:szCs w:val="24"/>
          <w:highlight w:val="none"/>
        </w:rPr>
        <w:t>病死畜禽和病害畜禽产品无害化处理管理办法</w:t>
      </w:r>
      <w:r>
        <w:rPr>
          <w:rFonts w:hint="eastAsia" w:cs="Times New Roman"/>
          <w:color w:val="auto"/>
          <w:szCs w:val="24"/>
          <w:highlight w:val="none"/>
          <w:lang w:eastAsia="zh-CN"/>
        </w:rPr>
        <w:t>》</w:t>
      </w:r>
      <w:r>
        <w:rPr>
          <w:rFonts w:hint="eastAsia" w:cs="Times New Roman"/>
          <w:color w:val="auto"/>
          <w:szCs w:val="24"/>
          <w:highlight w:val="none"/>
        </w:rPr>
        <w:t>（中华人民共和国农业农村部令 2022年第3号）</w:t>
      </w:r>
      <w:r>
        <w:rPr>
          <w:rFonts w:cs="Times New Roman"/>
          <w:color w:val="auto"/>
          <w:szCs w:val="24"/>
          <w:highlight w:val="none"/>
        </w:rPr>
        <w:t>。</w:t>
      </w:r>
    </w:p>
    <w:p w14:paraId="47ADC4FE">
      <w:pPr>
        <w:pStyle w:val="4"/>
        <w:spacing w:after="156"/>
        <w:rPr>
          <w:rFonts w:cs="Times New Roman"/>
          <w:color w:val="auto"/>
          <w:highlight w:val="none"/>
        </w:rPr>
      </w:pPr>
      <w:bookmarkStart w:id="40" w:name="_Toc10414"/>
      <w:r>
        <w:rPr>
          <w:rFonts w:cs="Times New Roman"/>
          <w:color w:val="auto"/>
          <w:highlight w:val="none"/>
        </w:rPr>
        <w:t>2.1.</w:t>
      </w:r>
      <w:r>
        <w:rPr>
          <w:rFonts w:hint="eastAsia" w:cs="Times New Roman"/>
          <w:color w:val="auto"/>
          <w:highlight w:val="none"/>
          <w:lang w:val="en-US" w:eastAsia="zh-CN"/>
        </w:rPr>
        <w:t>3</w:t>
      </w:r>
      <w:r>
        <w:rPr>
          <w:rFonts w:cs="Times New Roman"/>
          <w:color w:val="auto"/>
          <w:highlight w:val="none"/>
        </w:rPr>
        <w:t>建设项目有关文件</w:t>
      </w:r>
      <w:bookmarkEnd w:id="40"/>
    </w:p>
    <w:p w14:paraId="264400DA">
      <w:pPr>
        <w:spacing w:line="500" w:lineRule="exact"/>
        <w:rPr>
          <w:rFonts w:ascii="Times New Roman" w:hAnsi="Times New Roman" w:eastAsia="宋体" w:cs="Times New Roman"/>
          <w:color w:val="auto"/>
          <w:szCs w:val="24"/>
          <w:highlight w:val="none"/>
        </w:rPr>
      </w:pPr>
      <w:r>
        <w:rPr>
          <w:rFonts w:cs="Times New Roman"/>
          <w:color w:val="auto"/>
          <w:szCs w:val="24"/>
          <w:highlight w:val="none"/>
        </w:rPr>
        <w:t>（1）</w:t>
      </w:r>
      <w:r>
        <w:rPr>
          <w:rFonts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val="en-US" w:eastAsia="zh-CN"/>
        </w:rPr>
        <w:t>双鸭山市兴昌屠宰有限公司建设项目</w:t>
      </w:r>
      <w:r>
        <w:rPr>
          <w:rFonts w:ascii="Times New Roman" w:hAnsi="Times New Roman" w:eastAsia="宋体" w:cs="Times New Roman"/>
          <w:color w:val="auto"/>
          <w:szCs w:val="24"/>
          <w:highlight w:val="none"/>
        </w:rPr>
        <w:t xml:space="preserve">可行性研究报告》； </w:t>
      </w:r>
    </w:p>
    <w:p w14:paraId="10FE1D30">
      <w:pPr>
        <w:pStyle w:val="3"/>
        <w:spacing w:before="156" w:after="156"/>
        <w:rPr>
          <w:rFonts w:cs="Times New Roman"/>
          <w:color w:val="auto"/>
          <w:highlight w:val="none"/>
        </w:rPr>
      </w:pPr>
      <w:bookmarkStart w:id="41" w:name="_Toc61529192"/>
      <w:bookmarkStart w:id="42" w:name="_Toc24267"/>
      <w:r>
        <w:rPr>
          <w:rFonts w:cs="Times New Roman"/>
          <w:color w:val="auto"/>
          <w:highlight w:val="none"/>
        </w:rPr>
        <w:t>2.2 评价因子与评价标准</w:t>
      </w:r>
      <w:bookmarkEnd w:id="41"/>
      <w:bookmarkEnd w:id="42"/>
    </w:p>
    <w:p w14:paraId="0AAD4D7C">
      <w:pPr>
        <w:pStyle w:val="4"/>
        <w:spacing w:after="156"/>
        <w:rPr>
          <w:rFonts w:cs="Times New Roman"/>
          <w:color w:val="auto"/>
          <w:highlight w:val="none"/>
        </w:rPr>
      </w:pPr>
      <w:bookmarkStart w:id="43" w:name="_Toc1027"/>
      <w:r>
        <w:rPr>
          <w:rFonts w:cs="Times New Roman"/>
          <w:color w:val="auto"/>
          <w:highlight w:val="none"/>
        </w:rPr>
        <w:t>2.2.1 评价因子</w:t>
      </w:r>
      <w:bookmarkEnd w:id="43"/>
    </w:p>
    <w:p w14:paraId="643ECD96">
      <w:pPr>
        <w:pStyle w:val="5"/>
        <w:rPr>
          <w:color w:val="auto"/>
          <w:highlight w:val="none"/>
        </w:rPr>
      </w:pPr>
      <w:bookmarkStart w:id="44" w:name="_Toc14886"/>
      <w:bookmarkStart w:id="45" w:name="_Toc22265"/>
      <w:bookmarkStart w:id="46" w:name="_Toc30814"/>
      <w:r>
        <w:rPr>
          <w:color w:val="auto"/>
          <w:highlight w:val="none"/>
        </w:rPr>
        <w:t>2.2.1.1 环境影响因素识别</w:t>
      </w:r>
      <w:bookmarkEnd w:id="44"/>
      <w:bookmarkEnd w:id="45"/>
      <w:bookmarkEnd w:id="46"/>
    </w:p>
    <w:p w14:paraId="6C43336A">
      <w:pPr>
        <w:spacing w:before="156" w:beforeLines="50"/>
        <w:rPr>
          <w:rFonts w:cs="Times New Roman"/>
          <w:b/>
          <w:color w:val="auto"/>
          <w:szCs w:val="24"/>
          <w:highlight w:val="none"/>
        </w:rPr>
      </w:pPr>
      <w:r>
        <w:rPr>
          <w:rFonts w:cs="Times New Roman"/>
          <w:color w:val="auto"/>
          <w:szCs w:val="24"/>
          <w:highlight w:val="none"/>
        </w:rPr>
        <w:t>根据工程的特点和工程所在地的环境特征，以及工程环境影响的性质与影响程度，对工程的环境影响进行了识别，识别结果详见表2.2-1。</w:t>
      </w:r>
    </w:p>
    <w:p w14:paraId="1262D99C">
      <w:pPr>
        <w:spacing w:line="240" w:lineRule="auto"/>
        <w:ind w:firstLine="0" w:firstLineChars="0"/>
        <w:jc w:val="center"/>
        <w:rPr>
          <w:rFonts w:cs="Times New Roman"/>
          <w:b/>
          <w:color w:val="auto"/>
          <w:szCs w:val="24"/>
          <w:highlight w:val="none"/>
        </w:rPr>
      </w:pPr>
      <w:r>
        <w:rPr>
          <w:rFonts w:cs="Times New Roman"/>
          <w:b/>
          <w:color w:val="auto"/>
          <w:szCs w:val="24"/>
          <w:highlight w:val="none"/>
        </w:rPr>
        <w:t>表2</w:t>
      </w:r>
      <w:r>
        <w:rPr>
          <w:rFonts w:hint="eastAsia" w:cs="Times New Roman"/>
          <w:b/>
          <w:color w:val="auto"/>
          <w:szCs w:val="24"/>
          <w:highlight w:val="none"/>
          <w:lang w:val="en-US" w:eastAsia="zh-CN"/>
        </w:rPr>
        <w:t>.</w:t>
      </w:r>
      <w:r>
        <w:rPr>
          <w:rFonts w:cs="Times New Roman"/>
          <w:b/>
          <w:color w:val="auto"/>
          <w:szCs w:val="24"/>
          <w:highlight w:val="none"/>
        </w:rPr>
        <w:t>2-1  环境影响因素识别结果</w:t>
      </w:r>
    </w:p>
    <w:tbl>
      <w:tblPr>
        <w:tblStyle w:val="47"/>
        <w:tblW w:w="504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633"/>
        <w:gridCol w:w="1657"/>
        <w:gridCol w:w="920"/>
        <w:gridCol w:w="892"/>
        <w:gridCol w:w="865"/>
        <w:gridCol w:w="1032"/>
        <w:gridCol w:w="1067"/>
        <w:gridCol w:w="1311"/>
      </w:tblGrid>
      <w:tr w14:paraId="205E91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534" w:hRule="atLeast"/>
          <w:jc w:val="center"/>
        </w:trPr>
        <w:tc>
          <w:tcPr>
            <w:tcW w:w="378" w:type="pct"/>
            <w:vMerge w:val="restart"/>
            <w:tcBorders>
              <w:top w:val="single" w:color="auto" w:sz="12" w:space="0"/>
              <w:left w:val="nil"/>
              <w:bottom w:val="single" w:color="auto" w:sz="6" w:space="0"/>
              <w:right w:val="single" w:color="auto" w:sz="6" w:space="0"/>
            </w:tcBorders>
            <w:vAlign w:val="center"/>
          </w:tcPr>
          <w:p w14:paraId="71721C5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工程</w:t>
            </w:r>
          </w:p>
          <w:p w14:paraId="165D6AB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阶段</w:t>
            </w:r>
          </w:p>
        </w:tc>
        <w:tc>
          <w:tcPr>
            <w:tcW w:w="989" w:type="pct"/>
            <w:vMerge w:val="restart"/>
            <w:tcBorders>
              <w:top w:val="single" w:color="auto" w:sz="12" w:space="0"/>
              <w:left w:val="single" w:color="auto" w:sz="6" w:space="0"/>
              <w:bottom w:val="single" w:color="auto" w:sz="6" w:space="0"/>
              <w:right w:val="single" w:color="auto" w:sz="6" w:space="0"/>
            </w:tcBorders>
            <w:vAlign w:val="center"/>
          </w:tcPr>
          <w:p w14:paraId="00E22D6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工程作用因素</w:t>
            </w:r>
          </w:p>
        </w:tc>
        <w:tc>
          <w:tcPr>
            <w:tcW w:w="3632" w:type="pct"/>
            <w:gridSpan w:val="6"/>
            <w:tcBorders>
              <w:top w:val="single" w:color="auto" w:sz="12" w:space="0"/>
              <w:left w:val="single" w:color="auto" w:sz="6" w:space="0"/>
              <w:bottom w:val="single" w:color="auto" w:sz="6" w:space="0"/>
              <w:right w:val="nil"/>
            </w:tcBorders>
            <w:vAlign w:val="center"/>
          </w:tcPr>
          <w:p w14:paraId="773954C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工程引起的环境影响及影响程度</w:t>
            </w:r>
          </w:p>
        </w:tc>
      </w:tr>
      <w:tr w14:paraId="3DFC11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534" w:hRule="atLeast"/>
          <w:jc w:val="center"/>
        </w:trPr>
        <w:tc>
          <w:tcPr>
            <w:tcW w:w="378" w:type="pct"/>
            <w:vMerge w:val="continue"/>
            <w:tcBorders>
              <w:top w:val="single" w:color="auto" w:sz="12" w:space="0"/>
              <w:left w:val="nil"/>
              <w:bottom w:val="single" w:color="auto" w:sz="6" w:space="0"/>
              <w:right w:val="single" w:color="auto" w:sz="6" w:space="0"/>
            </w:tcBorders>
            <w:vAlign w:val="center"/>
          </w:tcPr>
          <w:p w14:paraId="4A356A50">
            <w:pPr>
              <w:widowControl/>
              <w:spacing w:line="360" w:lineRule="exact"/>
              <w:ind w:firstLine="0" w:firstLineChars="0"/>
              <w:jc w:val="center"/>
              <w:rPr>
                <w:rFonts w:cs="Times New Roman"/>
                <w:color w:val="auto"/>
                <w:sz w:val="21"/>
                <w:szCs w:val="21"/>
                <w:highlight w:val="none"/>
              </w:rPr>
            </w:pPr>
          </w:p>
        </w:tc>
        <w:tc>
          <w:tcPr>
            <w:tcW w:w="989" w:type="pct"/>
            <w:vMerge w:val="continue"/>
            <w:tcBorders>
              <w:top w:val="single" w:color="auto" w:sz="12" w:space="0"/>
              <w:left w:val="single" w:color="auto" w:sz="6" w:space="0"/>
              <w:bottom w:val="single" w:color="auto" w:sz="6" w:space="0"/>
              <w:right w:val="single" w:color="auto" w:sz="6" w:space="0"/>
            </w:tcBorders>
            <w:vAlign w:val="center"/>
          </w:tcPr>
          <w:p w14:paraId="12F410C8">
            <w:pPr>
              <w:widowControl/>
              <w:spacing w:line="360" w:lineRule="exact"/>
              <w:ind w:firstLine="0" w:firstLineChars="0"/>
              <w:jc w:val="center"/>
              <w:rPr>
                <w:rFonts w:cs="Times New Roman"/>
                <w:color w:val="auto"/>
                <w:sz w:val="21"/>
                <w:szCs w:val="21"/>
                <w:highlight w:val="none"/>
              </w:rPr>
            </w:pPr>
          </w:p>
        </w:tc>
        <w:tc>
          <w:tcPr>
            <w:tcW w:w="549" w:type="pct"/>
            <w:tcBorders>
              <w:top w:val="single" w:color="auto" w:sz="6" w:space="0"/>
              <w:left w:val="single" w:color="auto" w:sz="6" w:space="0"/>
              <w:bottom w:val="single" w:color="auto" w:sz="6" w:space="0"/>
              <w:right w:val="single" w:color="auto" w:sz="6" w:space="0"/>
            </w:tcBorders>
            <w:vAlign w:val="center"/>
          </w:tcPr>
          <w:p w14:paraId="2C22C2E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地下水</w:t>
            </w:r>
          </w:p>
        </w:tc>
        <w:tc>
          <w:tcPr>
            <w:tcW w:w="532" w:type="pct"/>
            <w:tcBorders>
              <w:top w:val="single" w:color="auto" w:sz="6" w:space="0"/>
              <w:left w:val="single" w:color="auto" w:sz="6" w:space="0"/>
              <w:bottom w:val="single" w:color="auto" w:sz="6" w:space="0"/>
              <w:right w:val="single" w:color="auto" w:sz="6" w:space="0"/>
            </w:tcBorders>
            <w:vAlign w:val="center"/>
          </w:tcPr>
          <w:p w14:paraId="73F2721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地表水</w:t>
            </w:r>
          </w:p>
        </w:tc>
        <w:tc>
          <w:tcPr>
            <w:tcW w:w="516" w:type="pct"/>
            <w:tcBorders>
              <w:top w:val="single" w:color="auto" w:sz="6" w:space="0"/>
              <w:left w:val="single" w:color="auto" w:sz="6" w:space="0"/>
              <w:bottom w:val="single" w:color="auto" w:sz="6" w:space="0"/>
              <w:right w:val="single" w:color="auto" w:sz="6" w:space="0"/>
            </w:tcBorders>
            <w:vAlign w:val="center"/>
          </w:tcPr>
          <w:p w14:paraId="15EA1E9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土壤</w:t>
            </w:r>
          </w:p>
        </w:tc>
        <w:tc>
          <w:tcPr>
            <w:tcW w:w="616" w:type="pct"/>
            <w:tcBorders>
              <w:top w:val="single" w:color="auto" w:sz="6" w:space="0"/>
              <w:left w:val="single" w:color="auto" w:sz="6" w:space="0"/>
              <w:bottom w:val="single" w:color="auto" w:sz="6" w:space="0"/>
              <w:right w:val="single" w:color="auto" w:sz="6" w:space="0"/>
            </w:tcBorders>
            <w:vAlign w:val="center"/>
          </w:tcPr>
          <w:p w14:paraId="222A510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声环境</w:t>
            </w:r>
          </w:p>
        </w:tc>
        <w:tc>
          <w:tcPr>
            <w:tcW w:w="637" w:type="pct"/>
            <w:tcBorders>
              <w:top w:val="single" w:color="auto" w:sz="6" w:space="0"/>
              <w:left w:val="single" w:color="auto" w:sz="6" w:space="0"/>
              <w:bottom w:val="single" w:color="auto" w:sz="6" w:space="0"/>
              <w:right w:val="nil"/>
            </w:tcBorders>
            <w:vAlign w:val="center"/>
          </w:tcPr>
          <w:p w14:paraId="1055293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空气环境</w:t>
            </w:r>
          </w:p>
        </w:tc>
        <w:tc>
          <w:tcPr>
            <w:tcW w:w="779" w:type="pct"/>
            <w:tcBorders>
              <w:top w:val="single" w:color="auto" w:sz="6" w:space="0"/>
              <w:left w:val="single" w:color="auto" w:sz="6" w:space="0"/>
              <w:bottom w:val="single" w:color="auto" w:sz="6" w:space="0"/>
              <w:right w:val="nil"/>
            </w:tcBorders>
            <w:vAlign w:val="center"/>
          </w:tcPr>
          <w:p w14:paraId="2B644A4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生态环境</w:t>
            </w:r>
          </w:p>
        </w:tc>
      </w:tr>
      <w:tr w14:paraId="7CDE11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70" w:hRule="atLeast"/>
          <w:jc w:val="center"/>
        </w:trPr>
        <w:tc>
          <w:tcPr>
            <w:tcW w:w="378" w:type="pct"/>
            <w:vMerge w:val="restart"/>
            <w:tcBorders>
              <w:top w:val="single" w:color="auto" w:sz="6" w:space="0"/>
              <w:left w:val="nil"/>
              <w:bottom w:val="single" w:color="auto" w:sz="6" w:space="0"/>
              <w:right w:val="single" w:color="auto" w:sz="6" w:space="0"/>
            </w:tcBorders>
            <w:vAlign w:val="center"/>
          </w:tcPr>
          <w:p w14:paraId="15330FA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施</w:t>
            </w:r>
          </w:p>
          <w:p w14:paraId="5ECDB6D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w:t>
            </w:r>
          </w:p>
          <w:p w14:paraId="08D261B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期</w:t>
            </w:r>
          </w:p>
        </w:tc>
        <w:tc>
          <w:tcPr>
            <w:tcW w:w="989" w:type="pct"/>
            <w:tcBorders>
              <w:top w:val="single" w:color="auto" w:sz="6" w:space="0"/>
              <w:left w:val="single" w:color="auto" w:sz="6" w:space="0"/>
              <w:bottom w:val="single" w:color="auto" w:sz="6" w:space="0"/>
              <w:right w:val="single" w:color="auto" w:sz="6" w:space="0"/>
            </w:tcBorders>
            <w:vAlign w:val="center"/>
          </w:tcPr>
          <w:p w14:paraId="4CCFB1B9">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物料堆存</w:t>
            </w:r>
          </w:p>
        </w:tc>
        <w:tc>
          <w:tcPr>
            <w:tcW w:w="549" w:type="pct"/>
            <w:tcBorders>
              <w:top w:val="single" w:color="auto" w:sz="6" w:space="0"/>
              <w:left w:val="single" w:color="auto" w:sz="6" w:space="0"/>
              <w:bottom w:val="single" w:color="auto" w:sz="6" w:space="0"/>
              <w:right w:val="single" w:color="auto" w:sz="6" w:space="0"/>
            </w:tcBorders>
            <w:vAlign w:val="center"/>
          </w:tcPr>
          <w:p w14:paraId="71AF277E">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532" w:type="pct"/>
            <w:tcBorders>
              <w:top w:val="single" w:color="auto" w:sz="6" w:space="0"/>
              <w:left w:val="single" w:color="auto" w:sz="6" w:space="0"/>
              <w:bottom w:val="single" w:color="auto" w:sz="6" w:space="0"/>
              <w:right w:val="single" w:color="auto" w:sz="6" w:space="0"/>
            </w:tcBorders>
            <w:vAlign w:val="center"/>
          </w:tcPr>
          <w:p w14:paraId="655D3EF5">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516" w:type="pct"/>
            <w:tcBorders>
              <w:top w:val="single" w:color="auto" w:sz="6" w:space="0"/>
              <w:left w:val="single" w:color="auto" w:sz="6" w:space="0"/>
              <w:bottom w:val="single" w:color="auto" w:sz="6" w:space="0"/>
              <w:right w:val="single" w:color="auto" w:sz="6" w:space="0"/>
            </w:tcBorders>
            <w:vAlign w:val="center"/>
          </w:tcPr>
          <w:p w14:paraId="7F428EAE">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616" w:type="pct"/>
            <w:tcBorders>
              <w:top w:val="single" w:color="auto" w:sz="6" w:space="0"/>
              <w:left w:val="single" w:color="auto" w:sz="6" w:space="0"/>
              <w:bottom w:val="single" w:color="auto" w:sz="6" w:space="0"/>
              <w:right w:val="single" w:color="auto" w:sz="6" w:space="0"/>
            </w:tcBorders>
            <w:vAlign w:val="center"/>
          </w:tcPr>
          <w:p w14:paraId="19595F44">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637" w:type="pct"/>
            <w:tcBorders>
              <w:top w:val="single" w:color="auto" w:sz="6" w:space="0"/>
              <w:left w:val="single" w:color="auto" w:sz="6" w:space="0"/>
              <w:bottom w:val="single" w:color="auto" w:sz="6" w:space="0"/>
              <w:right w:val="nil"/>
            </w:tcBorders>
            <w:vAlign w:val="center"/>
          </w:tcPr>
          <w:p w14:paraId="1A7CB1B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779" w:type="pct"/>
            <w:tcBorders>
              <w:top w:val="single" w:color="auto" w:sz="6" w:space="0"/>
              <w:left w:val="single" w:color="auto" w:sz="6" w:space="0"/>
              <w:bottom w:val="single" w:color="auto" w:sz="6" w:space="0"/>
              <w:right w:val="nil"/>
            </w:tcBorders>
            <w:vAlign w:val="center"/>
          </w:tcPr>
          <w:p w14:paraId="57AAFF4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3A1E44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70" w:hRule="atLeast"/>
          <w:jc w:val="center"/>
        </w:trPr>
        <w:tc>
          <w:tcPr>
            <w:tcW w:w="378" w:type="pct"/>
            <w:vMerge w:val="continue"/>
            <w:tcBorders>
              <w:top w:val="single" w:color="auto" w:sz="6" w:space="0"/>
              <w:left w:val="nil"/>
              <w:bottom w:val="single" w:color="auto" w:sz="6" w:space="0"/>
              <w:right w:val="single" w:color="auto" w:sz="6" w:space="0"/>
            </w:tcBorders>
            <w:vAlign w:val="center"/>
          </w:tcPr>
          <w:p w14:paraId="7D53F222">
            <w:pPr>
              <w:widowControl/>
              <w:spacing w:line="360" w:lineRule="exact"/>
              <w:ind w:firstLine="0" w:firstLineChars="0"/>
              <w:jc w:val="center"/>
              <w:rPr>
                <w:rFonts w:cs="Times New Roman"/>
                <w:color w:val="auto"/>
                <w:sz w:val="21"/>
                <w:szCs w:val="21"/>
                <w:highlight w:val="none"/>
              </w:rPr>
            </w:pPr>
          </w:p>
        </w:tc>
        <w:tc>
          <w:tcPr>
            <w:tcW w:w="989" w:type="pct"/>
            <w:tcBorders>
              <w:top w:val="single" w:color="auto" w:sz="6" w:space="0"/>
              <w:left w:val="single" w:color="auto" w:sz="6" w:space="0"/>
              <w:bottom w:val="single" w:color="auto" w:sz="6" w:space="0"/>
              <w:right w:val="single" w:color="auto" w:sz="6" w:space="0"/>
            </w:tcBorders>
            <w:vAlign w:val="center"/>
          </w:tcPr>
          <w:p w14:paraId="783AAE21">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材料运输</w:t>
            </w:r>
          </w:p>
        </w:tc>
        <w:tc>
          <w:tcPr>
            <w:tcW w:w="549" w:type="pct"/>
            <w:tcBorders>
              <w:top w:val="single" w:color="auto" w:sz="6" w:space="0"/>
              <w:left w:val="single" w:color="auto" w:sz="6" w:space="0"/>
              <w:bottom w:val="single" w:color="auto" w:sz="6" w:space="0"/>
              <w:right w:val="single" w:color="auto" w:sz="6" w:space="0"/>
            </w:tcBorders>
            <w:vAlign w:val="center"/>
          </w:tcPr>
          <w:p w14:paraId="5CE04EBC">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532" w:type="pct"/>
            <w:tcBorders>
              <w:top w:val="single" w:color="auto" w:sz="6" w:space="0"/>
              <w:left w:val="single" w:color="auto" w:sz="6" w:space="0"/>
              <w:bottom w:val="single" w:color="auto" w:sz="6" w:space="0"/>
              <w:right w:val="single" w:color="auto" w:sz="6" w:space="0"/>
            </w:tcBorders>
            <w:vAlign w:val="center"/>
          </w:tcPr>
          <w:p w14:paraId="09A4BE75">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516" w:type="pct"/>
            <w:tcBorders>
              <w:top w:val="single" w:color="auto" w:sz="6" w:space="0"/>
              <w:left w:val="single" w:color="auto" w:sz="6" w:space="0"/>
              <w:bottom w:val="single" w:color="auto" w:sz="6" w:space="0"/>
              <w:right w:val="single" w:color="auto" w:sz="6" w:space="0"/>
            </w:tcBorders>
            <w:vAlign w:val="center"/>
          </w:tcPr>
          <w:p w14:paraId="7C7E2769">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616" w:type="pct"/>
            <w:tcBorders>
              <w:top w:val="single" w:color="auto" w:sz="6" w:space="0"/>
              <w:left w:val="single" w:color="auto" w:sz="6" w:space="0"/>
              <w:bottom w:val="single" w:color="auto" w:sz="6" w:space="0"/>
              <w:right w:val="single" w:color="auto" w:sz="6" w:space="0"/>
            </w:tcBorders>
            <w:vAlign w:val="center"/>
          </w:tcPr>
          <w:p w14:paraId="1AADC0E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637" w:type="pct"/>
            <w:tcBorders>
              <w:top w:val="single" w:color="auto" w:sz="6" w:space="0"/>
              <w:left w:val="single" w:color="auto" w:sz="6" w:space="0"/>
              <w:bottom w:val="single" w:color="auto" w:sz="6" w:space="0"/>
              <w:right w:val="nil"/>
            </w:tcBorders>
            <w:vAlign w:val="center"/>
          </w:tcPr>
          <w:p w14:paraId="099A326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779" w:type="pct"/>
            <w:tcBorders>
              <w:top w:val="single" w:color="auto" w:sz="6" w:space="0"/>
              <w:left w:val="single" w:color="auto" w:sz="6" w:space="0"/>
              <w:bottom w:val="single" w:color="auto" w:sz="6" w:space="0"/>
              <w:right w:val="nil"/>
            </w:tcBorders>
            <w:vAlign w:val="center"/>
          </w:tcPr>
          <w:p w14:paraId="52252F4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05E609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70" w:hRule="atLeast"/>
          <w:jc w:val="center"/>
        </w:trPr>
        <w:tc>
          <w:tcPr>
            <w:tcW w:w="378" w:type="pct"/>
            <w:vMerge w:val="continue"/>
            <w:tcBorders>
              <w:top w:val="single" w:color="auto" w:sz="6" w:space="0"/>
              <w:left w:val="nil"/>
              <w:bottom w:val="single" w:color="auto" w:sz="6" w:space="0"/>
              <w:right w:val="single" w:color="auto" w:sz="6" w:space="0"/>
            </w:tcBorders>
            <w:vAlign w:val="center"/>
          </w:tcPr>
          <w:p w14:paraId="5DE22160">
            <w:pPr>
              <w:widowControl/>
              <w:spacing w:line="360" w:lineRule="exact"/>
              <w:ind w:firstLine="0" w:firstLineChars="0"/>
              <w:jc w:val="center"/>
              <w:rPr>
                <w:rFonts w:cs="Times New Roman"/>
                <w:color w:val="auto"/>
                <w:sz w:val="21"/>
                <w:szCs w:val="21"/>
                <w:highlight w:val="none"/>
              </w:rPr>
            </w:pPr>
          </w:p>
        </w:tc>
        <w:tc>
          <w:tcPr>
            <w:tcW w:w="989" w:type="pct"/>
            <w:tcBorders>
              <w:top w:val="single" w:color="auto" w:sz="6" w:space="0"/>
              <w:left w:val="single" w:color="auto" w:sz="6" w:space="0"/>
              <w:bottom w:val="single" w:color="auto" w:sz="6" w:space="0"/>
              <w:right w:val="single" w:color="auto" w:sz="6" w:space="0"/>
            </w:tcBorders>
            <w:vAlign w:val="center"/>
          </w:tcPr>
          <w:p w14:paraId="1A2C6B4A">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建筑施工</w:t>
            </w:r>
          </w:p>
        </w:tc>
        <w:tc>
          <w:tcPr>
            <w:tcW w:w="549" w:type="pct"/>
            <w:tcBorders>
              <w:top w:val="single" w:color="auto" w:sz="6" w:space="0"/>
              <w:left w:val="single" w:color="auto" w:sz="6" w:space="0"/>
              <w:bottom w:val="single" w:color="auto" w:sz="6" w:space="0"/>
              <w:right w:val="single" w:color="auto" w:sz="6" w:space="0"/>
            </w:tcBorders>
            <w:vAlign w:val="center"/>
          </w:tcPr>
          <w:p w14:paraId="753589E1">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532" w:type="pct"/>
            <w:tcBorders>
              <w:top w:val="single" w:color="auto" w:sz="6" w:space="0"/>
              <w:left w:val="single" w:color="auto" w:sz="6" w:space="0"/>
              <w:bottom w:val="single" w:color="auto" w:sz="6" w:space="0"/>
              <w:right w:val="single" w:color="auto" w:sz="6" w:space="0"/>
            </w:tcBorders>
            <w:vAlign w:val="center"/>
          </w:tcPr>
          <w:p w14:paraId="4955A1EC">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516" w:type="pct"/>
            <w:tcBorders>
              <w:top w:val="single" w:color="auto" w:sz="6" w:space="0"/>
              <w:left w:val="single" w:color="auto" w:sz="6" w:space="0"/>
              <w:bottom w:val="single" w:color="auto" w:sz="6" w:space="0"/>
              <w:right w:val="single" w:color="auto" w:sz="6" w:space="0"/>
            </w:tcBorders>
            <w:vAlign w:val="center"/>
          </w:tcPr>
          <w:p w14:paraId="04DE5BCC">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616" w:type="pct"/>
            <w:tcBorders>
              <w:top w:val="single" w:color="auto" w:sz="6" w:space="0"/>
              <w:left w:val="single" w:color="auto" w:sz="6" w:space="0"/>
              <w:bottom w:val="single" w:color="auto" w:sz="6" w:space="0"/>
              <w:right w:val="single" w:color="auto" w:sz="6" w:space="0"/>
            </w:tcBorders>
            <w:vAlign w:val="center"/>
          </w:tcPr>
          <w:p w14:paraId="6474768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637" w:type="pct"/>
            <w:tcBorders>
              <w:top w:val="single" w:color="auto" w:sz="6" w:space="0"/>
              <w:left w:val="single" w:color="auto" w:sz="6" w:space="0"/>
              <w:bottom w:val="single" w:color="auto" w:sz="6" w:space="0"/>
              <w:right w:val="nil"/>
            </w:tcBorders>
            <w:vAlign w:val="center"/>
          </w:tcPr>
          <w:p w14:paraId="1DE3C3D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779" w:type="pct"/>
            <w:tcBorders>
              <w:top w:val="single" w:color="auto" w:sz="6" w:space="0"/>
              <w:left w:val="single" w:color="auto" w:sz="6" w:space="0"/>
              <w:bottom w:val="single" w:color="auto" w:sz="6" w:space="0"/>
              <w:right w:val="nil"/>
            </w:tcBorders>
            <w:vAlign w:val="center"/>
          </w:tcPr>
          <w:p w14:paraId="1A85D14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1B66C5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70" w:hRule="atLeast"/>
          <w:jc w:val="center"/>
        </w:trPr>
        <w:tc>
          <w:tcPr>
            <w:tcW w:w="378" w:type="pct"/>
            <w:vMerge w:val="restart"/>
            <w:tcBorders>
              <w:top w:val="single" w:color="auto" w:sz="6" w:space="0"/>
              <w:left w:val="nil"/>
              <w:bottom w:val="single" w:color="auto" w:sz="6" w:space="0"/>
              <w:right w:val="single" w:color="auto" w:sz="6" w:space="0"/>
            </w:tcBorders>
            <w:vAlign w:val="center"/>
          </w:tcPr>
          <w:p w14:paraId="38C128A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营</w:t>
            </w:r>
          </w:p>
          <w:p w14:paraId="16D92D9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运</w:t>
            </w:r>
          </w:p>
          <w:p w14:paraId="65CCA93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期</w:t>
            </w:r>
          </w:p>
        </w:tc>
        <w:tc>
          <w:tcPr>
            <w:tcW w:w="989" w:type="pct"/>
            <w:tcBorders>
              <w:top w:val="single" w:color="auto" w:sz="6" w:space="0"/>
              <w:left w:val="single" w:color="auto" w:sz="6" w:space="0"/>
              <w:bottom w:val="single" w:color="auto" w:sz="6" w:space="0"/>
              <w:right w:val="single" w:color="auto" w:sz="6" w:space="0"/>
            </w:tcBorders>
            <w:vAlign w:val="center"/>
          </w:tcPr>
          <w:p w14:paraId="1ED8CAA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污（废）水排放</w:t>
            </w:r>
          </w:p>
        </w:tc>
        <w:tc>
          <w:tcPr>
            <w:tcW w:w="549" w:type="pct"/>
            <w:tcBorders>
              <w:top w:val="single" w:color="auto" w:sz="6" w:space="0"/>
              <w:left w:val="single" w:color="auto" w:sz="6" w:space="0"/>
              <w:bottom w:val="single" w:color="auto" w:sz="6" w:space="0"/>
              <w:right w:val="single" w:color="auto" w:sz="6" w:space="0"/>
            </w:tcBorders>
            <w:vAlign w:val="center"/>
          </w:tcPr>
          <w:p w14:paraId="5C45137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532" w:type="pct"/>
            <w:tcBorders>
              <w:top w:val="single" w:color="auto" w:sz="6" w:space="0"/>
              <w:left w:val="single" w:color="auto" w:sz="6" w:space="0"/>
              <w:bottom w:val="single" w:color="auto" w:sz="6" w:space="0"/>
              <w:right w:val="single" w:color="auto" w:sz="6" w:space="0"/>
            </w:tcBorders>
            <w:vAlign w:val="center"/>
          </w:tcPr>
          <w:p w14:paraId="635D285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516" w:type="pct"/>
            <w:tcBorders>
              <w:top w:val="single" w:color="auto" w:sz="6" w:space="0"/>
              <w:left w:val="single" w:color="auto" w:sz="6" w:space="0"/>
              <w:bottom w:val="single" w:color="auto" w:sz="6" w:space="0"/>
              <w:right w:val="single" w:color="auto" w:sz="6" w:space="0"/>
            </w:tcBorders>
            <w:vAlign w:val="center"/>
          </w:tcPr>
          <w:p w14:paraId="4ED5501C">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616" w:type="pct"/>
            <w:tcBorders>
              <w:top w:val="single" w:color="auto" w:sz="6" w:space="0"/>
              <w:left w:val="single" w:color="auto" w:sz="6" w:space="0"/>
              <w:bottom w:val="single" w:color="auto" w:sz="6" w:space="0"/>
              <w:right w:val="single" w:color="auto" w:sz="6" w:space="0"/>
            </w:tcBorders>
            <w:vAlign w:val="center"/>
          </w:tcPr>
          <w:p w14:paraId="4B867683">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637" w:type="pct"/>
            <w:tcBorders>
              <w:top w:val="single" w:color="auto" w:sz="6" w:space="0"/>
              <w:left w:val="single" w:color="auto" w:sz="6" w:space="0"/>
              <w:bottom w:val="single" w:color="auto" w:sz="6" w:space="0"/>
              <w:right w:val="nil"/>
            </w:tcBorders>
            <w:vAlign w:val="center"/>
          </w:tcPr>
          <w:p w14:paraId="02F7E1F8">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779" w:type="pct"/>
            <w:tcBorders>
              <w:top w:val="single" w:color="auto" w:sz="6" w:space="0"/>
              <w:left w:val="single" w:color="auto" w:sz="6" w:space="0"/>
              <w:bottom w:val="single" w:color="auto" w:sz="6" w:space="0"/>
              <w:right w:val="nil"/>
            </w:tcBorders>
            <w:vAlign w:val="center"/>
          </w:tcPr>
          <w:p w14:paraId="3BFB82DC">
            <w:pPr>
              <w:spacing w:line="360" w:lineRule="exact"/>
              <w:ind w:firstLine="0" w:firstLineChars="0"/>
              <w:jc w:val="center"/>
              <w:rPr>
                <w:rFonts w:cs="Times New Roman"/>
                <w:b/>
                <w:color w:val="auto"/>
                <w:sz w:val="21"/>
                <w:szCs w:val="21"/>
                <w:highlight w:val="none"/>
              </w:rPr>
            </w:pPr>
            <w:r>
              <w:rPr>
                <w:rFonts w:cs="Times New Roman"/>
                <w:b/>
                <w:color w:val="auto"/>
                <w:sz w:val="21"/>
                <w:szCs w:val="21"/>
                <w:highlight w:val="none"/>
              </w:rPr>
              <w:t>×</w:t>
            </w:r>
          </w:p>
        </w:tc>
      </w:tr>
      <w:tr w14:paraId="4C6DB4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70" w:hRule="atLeast"/>
          <w:jc w:val="center"/>
        </w:trPr>
        <w:tc>
          <w:tcPr>
            <w:tcW w:w="378" w:type="pct"/>
            <w:vMerge w:val="continue"/>
            <w:tcBorders>
              <w:top w:val="single" w:color="auto" w:sz="6" w:space="0"/>
              <w:left w:val="nil"/>
              <w:bottom w:val="single" w:color="auto" w:sz="6" w:space="0"/>
              <w:right w:val="single" w:color="auto" w:sz="6" w:space="0"/>
            </w:tcBorders>
            <w:vAlign w:val="center"/>
          </w:tcPr>
          <w:p w14:paraId="53DD077B">
            <w:pPr>
              <w:widowControl/>
              <w:spacing w:line="360" w:lineRule="exact"/>
              <w:ind w:firstLine="0" w:firstLineChars="0"/>
              <w:jc w:val="center"/>
              <w:rPr>
                <w:rFonts w:cs="Times New Roman"/>
                <w:color w:val="auto"/>
                <w:sz w:val="21"/>
                <w:szCs w:val="21"/>
                <w:highlight w:val="none"/>
              </w:rPr>
            </w:pPr>
          </w:p>
        </w:tc>
        <w:tc>
          <w:tcPr>
            <w:tcW w:w="989" w:type="pct"/>
            <w:tcBorders>
              <w:top w:val="single" w:color="auto" w:sz="6" w:space="0"/>
              <w:left w:val="single" w:color="auto" w:sz="6" w:space="0"/>
              <w:bottom w:val="single" w:color="auto" w:sz="6" w:space="0"/>
              <w:right w:val="single" w:color="auto" w:sz="6" w:space="0"/>
            </w:tcBorders>
            <w:vAlign w:val="center"/>
          </w:tcPr>
          <w:p w14:paraId="7A1CAC6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废气排放</w:t>
            </w:r>
          </w:p>
        </w:tc>
        <w:tc>
          <w:tcPr>
            <w:tcW w:w="549" w:type="pct"/>
            <w:tcBorders>
              <w:top w:val="single" w:color="auto" w:sz="6" w:space="0"/>
              <w:left w:val="single" w:color="auto" w:sz="6" w:space="0"/>
              <w:bottom w:val="single" w:color="auto" w:sz="6" w:space="0"/>
              <w:right w:val="single" w:color="auto" w:sz="6" w:space="0"/>
            </w:tcBorders>
            <w:vAlign w:val="center"/>
          </w:tcPr>
          <w:p w14:paraId="41CDA62D">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532" w:type="pct"/>
            <w:tcBorders>
              <w:top w:val="single" w:color="auto" w:sz="6" w:space="0"/>
              <w:left w:val="single" w:color="auto" w:sz="6" w:space="0"/>
              <w:bottom w:val="single" w:color="auto" w:sz="6" w:space="0"/>
              <w:right w:val="single" w:color="auto" w:sz="6" w:space="0"/>
            </w:tcBorders>
            <w:vAlign w:val="center"/>
          </w:tcPr>
          <w:p w14:paraId="0DF348E3">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516" w:type="pct"/>
            <w:tcBorders>
              <w:top w:val="single" w:color="auto" w:sz="6" w:space="0"/>
              <w:left w:val="single" w:color="auto" w:sz="6" w:space="0"/>
              <w:bottom w:val="single" w:color="auto" w:sz="6" w:space="0"/>
              <w:right w:val="single" w:color="auto" w:sz="6" w:space="0"/>
            </w:tcBorders>
            <w:vAlign w:val="center"/>
          </w:tcPr>
          <w:p w14:paraId="3B88C88F">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616" w:type="pct"/>
            <w:tcBorders>
              <w:top w:val="single" w:color="auto" w:sz="6" w:space="0"/>
              <w:left w:val="single" w:color="auto" w:sz="6" w:space="0"/>
              <w:bottom w:val="single" w:color="auto" w:sz="6" w:space="0"/>
              <w:right w:val="single" w:color="auto" w:sz="6" w:space="0"/>
            </w:tcBorders>
            <w:vAlign w:val="center"/>
          </w:tcPr>
          <w:p w14:paraId="192F6B47">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637" w:type="pct"/>
            <w:tcBorders>
              <w:top w:val="single" w:color="auto" w:sz="6" w:space="0"/>
              <w:left w:val="single" w:color="auto" w:sz="6" w:space="0"/>
              <w:bottom w:val="single" w:color="auto" w:sz="6" w:space="0"/>
              <w:right w:val="nil"/>
            </w:tcBorders>
            <w:vAlign w:val="center"/>
          </w:tcPr>
          <w:p w14:paraId="5BEBFC2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779" w:type="pct"/>
            <w:tcBorders>
              <w:top w:val="single" w:color="auto" w:sz="6" w:space="0"/>
              <w:left w:val="single" w:color="auto" w:sz="6" w:space="0"/>
              <w:bottom w:val="single" w:color="auto" w:sz="6" w:space="0"/>
              <w:right w:val="nil"/>
            </w:tcBorders>
            <w:vAlign w:val="center"/>
          </w:tcPr>
          <w:p w14:paraId="070948EB">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r>
      <w:tr w14:paraId="04FD3B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70" w:hRule="atLeast"/>
          <w:jc w:val="center"/>
        </w:trPr>
        <w:tc>
          <w:tcPr>
            <w:tcW w:w="378" w:type="pct"/>
            <w:vMerge w:val="continue"/>
            <w:tcBorders>
              <w:top w:val="single" w:color="auto" w:sz="6" w:space="0"/>
              <w:left w:val="nil"/>
              <w:bottom w:val="single" w:color="auto" w:sz="6" w:space="0"/>
              <w:right w:val="single" w:color="auto" w:sz="6" w:space="0"/>
            </w:tcBorders>
            <w:vAlign w:val="center"/>
          </w:tcPr>
          <w:p w14:paraId="7BE8DAFA">
            <w:pPr>
              <w:widowControl/>
              <w:spacing w:line="360" w:lineRule="exact"/>
              <w:ind w:firstLine="0" w:firstLineChars="0"/>
              <w:jc w:val="center"/>
              <w:rPr>
                <w:rFonts w:cs="Times New Roman"/>
                <w:color w:val="auto"/>
                <w:sz w:val="21"/>
                <w:szCs w:val="21"/>
                <w:highlight w:val="none"/>
              </w:rPr>
            </w:pPr>
          </w:p>
        </w:tc>
        <w:tc>
          <w:tcPr>
            <w:tcW w:w="989" w:type="pct"/>
            <w:tcBorders>
              <w:top w:val="single" w:color="auto" w:sz="6" w:space="0"/>
              <w:left w:val="single" w:color="auto" w:sz="6" w:space="0"/>
              <w:bottom w:val="single" w:color="auto" w:sz="6" w:space="0"/>
              <w:right w:val="single" w:color="auto" w:sz="6" w:space="0"/>
            </w:tcBorders>
            <w:vAlign w:val="center"/>
          </w:tcPr>
          <w:p w14:paraId="633A4EE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噪声</w:t>
            </w:r>
          </w:p>
        </w:tc>
        <w:tc>
          <w:tcPr>
            <w:tcW w:w="549" w:type="pct"/>
            <w:tcBorders>
              <w:top w:val="single" w:color="auto" w:sz="6" w:space="0"/>
              <w:left w:val="single" w:color="auto" w:sz="6" w:space="0"/>
              <w:bottom w:val="single" w:color="auto" w:sz="6" w:space="0"/>
              <w:right w:val="single" w:color="auto" w:sz="6" w:space="0"/>
            </w:tcBorders>
            <w:vAlign w:val="center"/>
          </w:tcPr>
          <w:p w14:paraId="18671A91">
            <w:pPr>
              <w:spacing w:line="360" w:lineRule="exact"/>
              <w:ind w:firstLine="0" w:firstLineChars="0"/>
              <w:jc w:val="center"/>
              <w:rPr>
                <w:rFonts w:cs="Times New Roman"/>
                <w:b/>
                <w:color w:val="auto"/>
                <w:sz w:val="21"/>
                <w:szCs w:val="21"/>
                <w:highlight w:val="none"/>
              </w:rPr>
            </w:pPr>
            <w:r>
              <w:rPr>
                <w:rFonts w:cs="Times New Roman"/>
                <w:b/>
                <w:color w:val="auto"/>
                <w:sz w:val="21"/>
                <w:szCs w:val="21"/>
                <w:highlight w:val="none"/>
              </w:rPr>
              <w:t>×</w:t>
            </w:r>
          </w:p>
        </w:tc>
        <w:tc>
          <w:tcPr>
            <w:tcW w:w="532" w:type="pct"/>
            <w:tcBorders>
              <w:top w:val="single" w:color="auto" w:sz="6" w:space="0"/>
              <w:left w:val="single" w:color="auto" w:sz="6" w:space="0"/>
              <w:bottom w:val="single" w:color="auto" w:sz="6" w:space="0"/>
              <w:right w:val="single" w:color="auto" w:sz="6" w:space="0"/>
            </w:tcBorders>
            <w:vAlign w:val="center"/>
          </w:tcPr>
          <w:p w14:paraId="12BA84D5">
            <w:pPr>
              <w:spacing w:line="360" w:lineRule="exact"/>
              <w:ind w:firstLine="0" w:firstLineChars="0"/>
              <w:jc w:val="center"/>
              <w:rPr>
                <w:rFonts w:cs="Times New Roman"/>
                <w:b/>
                <w:color w:val="auto"/>
                <w:sz w:val="21"/>
                <w:szCs w:val="21"/>
                <w:highlight w:val="none"/>
              </w:rPr>
            </w:pPr>
            <w:r>
              <w:rPr>
                <w:rFonts w:cs="Times New Roman"/>
                <w:b/>
                <w:color w:val="auto"/>
                <w:sz w:val="21"/>
                <w:szCs w:val="21"/>
                <w:highlight w:val="none"/>
              </w:rPr>
              <w:t>×</w:t>
            </w:r>
          </w:p>
        </w:tc>
        <w:tc>
          <w:tcPr>
            <w:tcW w:w="516" w:type="pct"/>
            <w:tcBorders>
              <w:top w:val="single" w:color="auto" w:sz="6" w:space="0"/>
              <w:left w:val="single" w:color="auto" w:sz="6" w:space="0"/>
              <w:bottom w:val="single" w:color="auto" w:sz="6" w:space="0"/>
              <w:right w:val="single" w:color="auto" w:sz="6" w:space="0"/>
            </w:tcBorders>
            <w:vAlign w:val="center"/>
          </w:tcPr>
          <w:p w14:paraId="0F1075FF">
            <w:pPr>
              <w:spacing w:line="360" w:lineRule="exact"/>
              <w:ind w:firstLine="0" w:firstLineChars="0"/>
              <w:jc w:val="center"/>
              <w:rPr>
                <w:rFonts w:cs="Times New Roman"/>
                <w:b/>
                <w:color w:val="auto"/>
                <w:sz w:val="21"/>
                <w:szCs w:val="21"/>
                <w:highlight w:val="none"/>
              </w:rPr>
            </w:pPr>
            <w:r>
              <w:rPr>
                <w:rFonts w:cs="Times New Roman"/>
                <w:b/>
                <w:color w:val="auto"/>
                <w:sz w:val="21"/>
                <w:szCs w:val="21"/>
                <w:highlight w:val="none"/>
              </w:rPr>
              <w:t>×</w:t>
            </w:r>
          </w:p>
        </w:tc>
        <w:tc>
          <w:tcPr>
            <w:tcW w:w="616" w:type="pct"/>
            <w:tcBorders>
              <w:top w:val="single" w:color="auto" w:sz="6" w:space="0"/>
              <w:left w:val="single" w:color="auto" w:sz="6" w:space="0"/>
              <w:bottom w:val="single" w:color="auto" w:sz="6" w:space="0"/>
              <w:right w:val="single" w:color="auto" w:sz="6" w:space="0"/>
            </w:tcBorders>
            <w:vAlign w:val="center"/>
          </w:tcPr>
          <w:p w14:paraId="1CC9E8D9">
            <w:pPr>
              <w:spacing w:line="360" w:lineRule="exact"/>
              <w:ind w:firstLine="0" w:firstLineChars="0"/>
              <w:jc w:val="center"/>
              <w:rPr>
                <w:rFonts w:cs="Times New Roman"/>
                <w:b/>
                <w:color w:val="auto"/>
                <w:sz w:val="21"/>
                <w:szCs w:val="21"/>
                <w:highlight w:val="none"/>
              </w:rPr>
            </w:pPr>
            <w:r>
              <w:rPr>
                <w:rFonts w:cs="Times New Roman"/>
                <w:color w:val="auto"/>
                <w:sz w:val="21"/>
                <w:szCs w:val="21"/>
                <w:highlight w:val="none"/>
              </w:rPr>
              <w:t>△</w:t>
            </w:r>
          </w:p>
        </w:tc>
        <w:tc>
          <w:tcPr>
            <w:tcW w:w="637" w:type="pct"/>
            <w:tcBorders>
              <w:top w:val="single" w:color="auto" w:sz="6" w:space="0"/>
              <w:left w:val="single" w:color="auto" w:sz="6" w:space="0"/>
              <w:bottom w:val="single" w:color="auto" w:sz="6" w:space="0"/>
              <w:right w:val="nil"/>
            </w:tcBorders>
            <w:vAlign w:val="center"/>
          </w:tcPr>
          <w:p w14:paraId="62899F01">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779" w:type="pct"/>
            <w:tcBorders>
              <w:top w:val="single" w:color="auto" w:sz="6" w:space="0"/>
              <w:left w:val="single" w:color="auto" w:sz="6" w:space="0"/>
              <w:bottom w:val="single" w:color="auto" w:sz="6" w:space="0"/>
              <w:right w:val="nil"/>
            </w:tcBorders>
            <w:vAlign w:val="center"/>
          </w:tcPr>
          <w:p w14:paraId="2A00A147">
            <w:pPr>
              <w:spacing w:line="360" w:lineRule="exact"/>
              <w:ind w:firstLine="0" w:firstLineChars="0"/>
              <w:jc w:val="center"/>
              <w:rPr>
                <w:rFonts w:cs="Times New Roman"/>
                <w:b/>
                <w:color w:val="auto"/>
                <w:sz w:val="21"/>
                <w:szCs w:val="21"/>
                <w:highlight w:val="none"/>
              </w:rPr>
            </w:pPr>
            <w:r>
              <w:rPr>
                <w:rFonts w:cs="Times New Roman"/>
                <w:b/>
                <w:color w:val="auto"/>
                <w:sz w:val="21"/>
                <w:szCs w:val="21"/>
                <w:highlight w:val="none"/>
              </w:rPr>
              <w:t>×</w:t>
            </w:r>
          </w:p>
        </w:tc>
      </w:tr>
      <w:tr w14:paraId="460288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70" w:hRule="atLeast"/>
          <w:jc w:val="center"/>
        </w:trPr>
        <w:tc>
          <w:tcPr>
            <w:tcW w:w="378" w:type="pct"/>
            <w:vMerge w:val="continue"/>
            <w:tcBorders>
              <w:top w:val="single" w:color="auto" w:sz="6" w:space="0"/>
              <w:left w:val="nil"/>
              <w:bottom w:val="single" w:color="auto" w:sz="6" w:space="0"/>
              <w:right w:val="single" w:color="auto" w:sz="6" w:space="0"/>
            </w:tcBorders>
            <w:vAlign w:val="center"/>
          </w:tcPr>
          <w:p w14:paraId="3959AEED">
            <w:pPr>
              <w:widowControl/>
              <w:spacing w:line="360" w:lineRule="exact"/>
              <w:ind w:firstLine="0" w:firstLineChars="0"/>
              <w:jc w:val="center"/>
              <w:rPr>
                <w:rFonts w:cs="Times New Roman"/>
                <w:color w:val="auto"/>
                <w:sz w:val="21"/>
                <w:szCs w:val="21"/>
                <w:highlight w:val="none"/>
              </w:rPr>
            </w:pPr>
          </w:p>
        </w:tc>
        <w:tc>
          <w:tcPr>
            <w:tcW w:w="989" w:type="pct"/>
            <w:tcBorders>
              <w:top w:val="single" w:color="auto" w:sz="6" w:space="0"/>
              <w:left w:val="single" w:color="auto" w:sz="6" w:space="0"/>
              <w:bottom w:val="single" w:color="auto" w:sz="6" w:space="0"/>
              <w:right w:val="single" w:color="auto" w:sz="6" w:space="0"/>
            </w:tcBorders>
            <w:vAlign w:val="center"/>
          </w:tcPr>
          <w:p w14:paraId="763382B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固体废物排放</w:t>
            </w:r>
          </w:p>
        </w:tc>
        <w:tc>
          <w:tcPr>
            <w:tcW w:w="549" w:type="pct"/>
            <w:tcBorders>
              <w:top w:val="single" w:color="auto" w:sz="6" w:space="0"/>
              <w:left w:val="single" w:color="auto" w:sz="6" w:space="0"/>
              <w:bottom w:val="single" w:color="auto" w:sz="6" w:space="0"/>
              <w:right w:val="single" w:color="auto" w:sz="6" w:space="0"/>
            </w:tcBorders>
            <w:vAlign w:val="center"/>
          </w:tcPr>
          <w:p w14:paraId="5BDD163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532" w:type="pct"/>
            <w:tcBorders>
              <w:top w:val="single" w:color="auto" w:sz="6" w:space="0"/>
              <w:left w:val="single" w:color="auto" w:sz="6" w:space="0"/>
              <w:bottom w:val="single" w:color="auto" w:sz="6" w:space="0"/>
              <w:right w:val="single" w:color="auto" w:sz="6" w:space="0"/>
            </w:tcBorders>
            <w:vAlign w:val="center"/>
          </w:tcPr>
          <w:p w14:paraId="504CFF03">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516" w:type="pct"/>
            <w:tcBorders>
              <w:top w:val="single" w:color="auto" w:sz="6" w:space="0"/>
              <w:left w:val="single" w:color="auto" w:sz="6" w:space="0"/>
              <w:bottom w:val="single" w:color="auto" w:sz="6" w:space="0"/>
              <w:right w:val="single" w:color="auto" w:sz="6" w:space="0"/>
            </w:tcBorders>
            <w:vAlign w:val="center"/>
          </w:tcPr>
          <w:p w14:paraId="736CF26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616" w:type="pct"/>
            <w:tcBorders>
              <w:top w:val="single" w:color="auto" w:sz="6" w:space="0"/>
              <w:left w:val="single" w:color="auto" w:sz="6" w:space="0"/>
              <w:bottom w:val="single" w:color="auto" w:sz="6" w:space="0"/>
              <w:right w:val="single" w:color="auto" w:sz="6" w:space="0"/>
            </w:tcBorders>
            <w:vAlign w:val="center"/>
          </w:tcPr>
          <w:p w14:paraId="46046778">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637" w:type="pct"/>
            <w:tcBorders>
              <w:top w:val="single" w:color="auto" w:sz="6" w:space="0"/>
              <w:left w:val="single" w:color="auto" w:sz="6" w:space="0"/>
              <w:bottom w:val="single" w:color="auto" w:sz="6" w:space="0"/>
              <w:right w:val="nil"/>
            </w:tcBorders>
            <w:vAlign w:val="center"/>
          </w:tcPr>
          <w:p w14:paraId="5807D054">
            <w:pPr>
              <w:spacing w:line="360" w:lineRule="exact"/>
              <w:ind w:firstLine="0" w:firstLineChars="0"/>
              <w:jc w:val="center"/>
              <w:rPr>
                <w:rFonts w:cs="Times New Roman"/>
                <w:color w:val="auto"/>
                <w:sz w:val="21"/>
                <w:szCs w:val="21"/>
                <w:highlight w:val="none"/>
              </w:rPr>
            </w:pPr>
            <w:r>
              <w:rPr>
                <w:rFonts w:cs="Times New Roman"/>
                <w:b/>
                <w:color w:val="auto"/>
                <w:sz w:val="21"/>
                <w:szCs w:val="21"/>
                <w:highlight w:val="none"/>
              </w:rPr>
              <w:t>×</w:t>
            </w:r>
          </w:p>
        </w:tc>
        <w:tc>
          <w:tcPr>
            <w:tcW w:w="779" w:type="pct"/>
            <w:tcBorders>
              <w:top w:val="single" w:color="auto" w:sz="6" w:space="0"/>
              <w:left w:val="single" w:color="auto" w:sz="6" w:space="0"/>
              <w:bottom w:val="single" w:color="auto" w:sz="6" w:space="0"/>
              <w:right w:val="nil"/>
            </w:tcBorders>
            <w:vAlign w:val="center"/>
          </w:tcPr>
          <w:p w14:paraId="7CA853D0">
            <w:pPr>
              <w:spacing w:line="360" w:lineRule="exact"/>
              <w:ind w:firstLine="0" w:firstLineChars="0"/>
              <w:jc w:val="center"/>
              <w:rPr>
                <w:rFonts w:cs="Times New Roman"/>
                <w:b/>
                <w:color w:val="auto"/>
                <w:sz w:val="21"/>
                <w:szCs w:val="21"/>
                <w:highlight w:val="none"/>
              </w:rPr>
            </w:pPr>
            <w:r>
              <w:rPr>
                <w:rFonts w:cs="Times New Roman"/>
                <w:b/>
                <w:color w:val="auto"/>
                <w:sz w:val="21"/>
                <w:szCs w:val="21"/>
                <w:highlight w:val="none"/>
              </w:rPr>
              <w:t>×</w:t>
            </w:r>
          </w:p>
        </w:tc>
      </w:tr>
      <w:tr w14:paraId="6B9F82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70" w:hRule="atLeast"/>
          <w:jc w:val="center"/>
        </w:trPr>
        <w:tc>
          <w:tcPr>
            <w:tcW w:w="378" w:type="pct"/>
            <w:vMerge w:val="continue"/>
            <w:tcBorders>
              <w:top w:val="single" w:color="auto" w:sz="6" w:space="0"/>
              <w:left w:val="nil"/>
              <w:bottom w:val="single" w:color="auto" w:sz="6" w:space="0"/>
              <w:right w:val="single" w:color="auto" w:sz="6" w:space="0"/>
            </w:tcBorders>
            <w:vAlign w:val="center"/>
          </w:tcPr>
          <w:p w14:paraId="132AAAA8">
            <w:pPr>
              <w:widowControl/>
              <w:spacing w:line="360" w:lineRule="exact"/>
              <w:ind w:firstLine="0" w:firstLineChars="0"/>
              <w:jc w:val="center"/>
              <w:rPr>
                <w:rFonts w:cs="Times New Roman"/>
                <w:color w:val="auto"/>
                <w:sz w:val="21"/>
                <w:szCs w:val="21"/>
                <w:highlight w:val="none"/>
              </w:rPr>
            </w:pPr>
          </w:p>
        </w:tc>
        <w:tc>
          <w:tcPr>
            <w:tcW w:w="989" w:type="pct"/>
            <w:tcBorders>
              <w:top w:val="single" w:color="auto" w:sz="6" w:space="0"/>
              <w:left w:val="single" w:color="auto" w:sz="6" w:space="0"/>
              <w:bottom w:val="single" w:color="auto" w:sz="6" w:space="0"/>
              <w:right w:val="single" w:color="auto" w:sz="6" w:space="0"/>
            </w:tcBorders>
            <w:vAlign w:val="center"/>
          </w:tcPr>
          <w:p w14:paraId="7FECDFB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环境风险</w:t>
            </w:r>
          </w:p>
        </w:tc>
        <w:tc>
          <w:tcPr>
            <w:tcW w:w="549" w:type="pct"/>
            <w:tcBorders>
              <w:top w:val="single" w:color="auto" w:sz="6" w:space="0"/>
              <w:left w:val="single" w:color="auto" w:sz="6" w:space="0"/>
              <w:bottom w:val="single" w:color="auto" w:sz="6" w:space="0"/>
              <w:right w:val="single" w:color="auto" w:sz="6" w:space="0"/>
            </w:tcBorders>
            <w:vAlign w:val="center"/>
          </w:tcPr>
          <w:p w14:paraId="51ECCCD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532" w:type="pct"/>
            <w:tcBorders>
              <w:top w:val="single" w:color="auto" w:sz="6" w:space="0"/>
              <w:left w:val="single" w:color="auto" w:sz="6" w:space="0"/>
              <w:bottom w:val="single" w:color="auto" w:sz="6" w:space="0"/>
              <w:right w:val="single" w:color="auto" w:sz="6" w:space="0"/>
            </w:tcBorders>
            <w:vAlign w:val="center"/>
          </w:tcPr>
          <w:p w14:paraId="158B8FAA">
            <w:pPr>
              <w:spacing w:line="360" w:lineRule="exact"/>
              <w:ind w:firstLine="0" w:firstLineChars="0"/>
              <w:jc w:val="center"/>
              <w:rPr>
                <w:rFonts w:cs="Times New Roman"/>
                <w:b/>
                <w:color w:val="auto"/>
                <w:sz w:val="21"/>
                <w:szCs w:val="21"/>
                <w:highlight w:val="none"/>
              </w:rPr>
            </w:pPr>
            <w:r>
              <w:rPr>
                <w:rFonts w:cs="Times New Roman"/>
                <w:b/>
                <w:color w:val="auto"/>
                <w:sz w:val="21"/>
                <w:szCs w:val="21"/>
                <w:highlight w:val="none"/>
              </w:rPr>
              <w:t>×</w:t>
            </w:r>
          </w:p>
        </w:tc>
        <w:tc>
          <w:tcPr>
            <w:tcW w:w="516" w:type="pct"/>
            <w:tcBorders>
              <w:top w:val="single" w:color="auto" w:sz="6" w:space="0"/>
              <w:left w:val="single" w:color="auto" w:sz="6" w:space="0"/>
              <w:bottom w:val="single" w:color="auto" w:sz="6" w:space="0"/>
              <w:right w:val="single" w:color="auto" w:sz="6" w:space="0"/>
            </w:tcBorders>
            <w:vAlign w:val="center"/>
          </w:tcPr>
          <w:p w14:paraId="4745BAB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616" w:type="pct"/>
            <w:tcBorders>
              <w:top w:val="single" w:color="auto" w:sz="6" w:space="0"/>
              <w:left w:val="single" w:color="auto" w:sz="6" w:space="0"/>
              <w:bottom w:val="single" w:color="auto" w:sz="6" w:space="0"/>
              <w:right w:val="single" w:color="auto" w:sz="6" w:space="0"/>
            </w:tcBorders>
            <w:vAlign w:val="center"/>
          </w:tcPr>
          <w:p w14:paraId="1512DF81">
            <w:pPr>
              <w:spacing w:line="360" w:lineRule="exact"/>
              <w:ind w:firstLine="0" w:firstLineChars="0"/>
              <w:jc w:val="center"/>
              <w:rPr>
                <w:rFonts w:cs="Times New Roman"/>
                <w:b/>
                <w:color w:val="auto"/>
                <w:sz w:val="21"/>
                <w:szCs w:val="21"/>
                <w:highlight w:val="none"/>
              </w:rPr>
            </w:pPr>
            <w:r>
              <w:rPr>
                <w:rFonts w:cs="Times New Roman"/>
                <w:b/>
                <w:color w:val="auto"/>
                <w:sz w:val="21"/>
                <w:szCs w:val="21"/>
                <w:highlight w:val="none"/>
              </w:rPr>
              <w:t>×</w:t>
            </w:r>
          </w:p>
        </w:tc>
        <w:tc>
          <w:tcPr>
            <w:tcW w:w="637" w:type="pct"/>
            <w:tcBorders>
              <w:top w:val="single" w:color="auto" w:sz="6" w:space="0"/>
              <w:left w:val="single" w:color="auto" w:sz="6" w:space="0"/>
              <w:bottom w:val="single" w:color="auto" w:sz="6" w:space="0"/>
              <w:right w:val="nil"/>
            </w:tcBorders>
            <w:vAlign w:val="center"/>
          </w:tcPr>
          <w:p w14:paraId="34DB29D0">
            <w:pPr>
              <w:spacing w:line="360" w:lineRule="exact"/>
              <w:ind w:firstLine="0" w:firstLineChars="0"/>
              <w:jc w:val="center"/>
              <w:rPr>
                <w:rFonts w:cs="Times New Roman"/>
                <w:b/>
                <w:color w:val="auto"/>
                <w:sz w:val="21"/>
                <w:szCs w:val="21"/>
                <w:highlight w:val="none"/>
              </w:rPr>
            </w:pPr>
            <w:r>
              <w:rPr>
                <w:rFonts w:cs="Times New Roman"/>
                <w:color w:val="auto"/>
                <w:sz w:val="21"/>
                <w:szCs w:val="21"/>
                <w:highlight w:val="none"/>
              </w:rPr>
              <w:t>△</w:t>
            </w:r>
          </w:p>
        </w:tc>
        <w:tc>
          <w:tcPr>
            <w:tcW w:w="779" w:type="pct"/>
            <w:tcBorders>
              <w:top w:val="single" w:color="auto" w:sz="6" w:space="0"/>
              <w:left w:val="single" w:color="auto" w:sz="6" w:space="0"/>
              <w:bottom w:val="single" w:color="auto" w:sz="6" w:space="0"/>
              <w:right w:val="nil"/>
            </w:tcBorders>
            <w:vAlign w:val="center"/>
          </w:tcPr>
          <w:p w14:paraId="612774F2">
            <w:pPr>
              <w:spacing w:line="360" w:lineRule="exact"/>
              <w:ind w:firstLine="0" w:firstLineChars="0"/>
              <w:jc w:val="center"/>
              <w:rPr>
                <w:rFonts w:cs="Times New Roman"/>
                <w:b/>
                <w:color w:val="auto"/>
                <w:sz w:val="21"/>
                <w:szCs w:val="21"/>
                <w:highlight w:val="none"/>
              </w:rPr>
            </w:pPr>
            <w:r>
              <w:rPr>
                <w:rFonts w:cs="Times New Roman"/>
                <w:b/>
                <w:color w:val="auto"/>
                <w:sz w:val="21"/>
                <w:szCs w:val="21"/>
                <w:highlight w:val="none"/>
              </w:rPr>
              <w:t>×</w:t>
            </w:r>
          </w:p>
        </w:tc>
      </w:tr>
      <w:tr w14:paraId="12BA12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598" w:hRule="atLeast"/>
          <w:jc w:val="center"/>
        </w:trPr>
        <w:tc>
          <w:tcPr>
            <w:tcW w:w="1367" w:type="pct"/>
            <w:gridSpan w:val="2"/>
            <w:tcBorders>
              <w:top w:val="single" w:color="auto" w:sz="6" w:space="0"/>
              <w:left w:val="nil"/>
              <w:bottom w:val="single" w:color="auto" w:sz="12" w:space="0"/>
              <w:right w:val="single" w:color="auto" w:sz="6" w:space="0"/>
            </w:tcBorders>
            <w:vAlign w:val="center"/>
          </w:tcPr>
          <w:p w14:paraId="5BA81D4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项目总体影响</w:t>
            </w:r>
          </w:p>
        </w:tc>
        <w:tc>
          <w:tcPr>
            <w:tcW w:w="549" w:type="pct"/>
            <w:tcBorders>
              <w:top w:val="single" w:color="auto" w:sz="6" w:space="0"/>
              <w:left w:val="single" w:color="auto" w:sz="6" w:space="0"/>
              <w:bottom w:val="single" w:color="auto" w:sz="12" w:space="0"/>
              <w:right w:val="single" w:color="auto" w:sz="6" w:space="0"/>
            </w:tcBorders>
            <w:vAlign w:val="center"/>
          </w:tcPr>
          <w:p w14:paraId="39B6CD0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532" w:type="pct"/>
            <w:tcBorders>
              <w:top w:val="single" w:color="auto" w:sz="6" w:space="0"/>
              <w:left w:val="single" w:color="auto" w:sz="6" w:space="0"/>
              <w:bottom w:val="single" w:color="auto" w:sz="12" w:space="0"/>
              <w:right w:val="single" w:color="auto" w:sz="6" w:space="0"/>
            </w:tcBorders>
            <w:vAlign w:val="center"/>
          </w:tcPr>
          <w:p w14:paraId="242D1B9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516" w:type="pct"/>
            <w:tcBorders>
              <w:top w:val="single" w:color="auto" w:sz="6" w:space="0"/>
              <w:left w:val="single" w:color="auto" w:sz="6" w:space="0"/>
              <w:bottom w:val="single" w:color="auto" w:sz="12" w:space="0"/>
              <w:right w:val="single" w:color="auto" w:sz="6" w:space="0"/>
            </w:tcBorders>
            <w:vAlign w:val="center"/>
          </w:tcPr>
          <w:p w14:paraId="316D850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616" w:type="pct"/>
            <w:tcBorders>
              <w:top w:val="single" w:color="auto" w:sz="6" w:space="0"/>
              <w:left w:val="single" w:color="auto" w:sz="6" w:space="0"/>
              <w:bottom w:val="single" w:color="auto" w:sz="12" w:space="0"/>
              <w:right w:val="single" w:color="auto" w:sz="6" w:space="0"/>
            </w:tcBorders>
            <w:vAlign w:val="center"/>
          </w:tcPr>
          <w:p w14:paraId="64E0016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637" w:type="pct"/>
            <w:tcBorders>
              <w:top w:val="single" w:color="auto" w:sz="6" w:space="0"/>
              <w:left w:val="single" w:color="auto" w:sz="6" w:space="0"/>
              <w:bottom w:val="single" w:color="auto" w:sz="12" w:space="0"/>
              <w:right w:val="nil"/>
            </w:tcBorders>
            <w:vAlign w:val="center"/>
          </w:tcPr>
          <w:p w14:paraId="60299E4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779" w:type="pct"/>
            <w:tcBorders>
              <w:top w:val="single" w:color="auto" w:sz="6" w:space="0"/>
              <w:left w:val="single" w:color="auto" w:sz="6" w:space="0"/>
              <w:bottom w:val="single" w:color="auto" w:sz="12" w:space="0"/>
              <w:right w:val="nil"/>
            </w:tcBorders>
            <w:vAlign w:val="center"/>
          </w:tcPr>
          <w:p w14:paraId="66F5DE7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r>
    </w:tbl>
    <w:p w14:paraId="0A213069">
      <w:pPr>
        <w:pStyle w:val="82"/>
        <w:ind w:firstLine="420"/>
        <w:rPr>
          <w:rFonts w:ascii="Times New Roman" w:hAnsi="Times New Roman" w:cs="Times New Roman"/>
          <w:snapToGrid w:val="0"/>
          <w:color w:val="auto"/>
          <w:sz w:val="21"/>
          <w:szCs w:val="21"/>
          <w:highlight w:val="none"/>
        </w:rPr>
      </w:pPr>
      <w:r>
        <w:rPr>
          <w:rFonts w:ascii="Times New Roman" w:hAnsi="Times New Roman" w:cs="Times New Roman"/>
          <w:color w:val="auto"/>
          <w:sz w:val="21"/>
          <w:szCs w:val="21"/>
          <w:highlight w:val="none"/>
        </w:rPr>
        <w:t>×无影响；△轻微影响、○较大影响、●有重大影响；★—正面影响。</w:t>
      </w:r>
    </w:p>
    <w:p w14:paraId="6F13AE20">
      <w:pPr>
        <w:pStyle w:val="452"/>
        <w:spacing w:before="0" w:beforeLines="0" w:after="0" w:afterLines="0"/>
        <w:outlineLvl w:val="3"/>
        <w:rPr>
          <w:rFonts w:eastAsia="宋体" w:cs="Times New Roman"/>
          <w:b/>
          <w:color w:val="auto"/>
          <w:highlight w:val="none"/>
        </w:rPr>
      </w:pPr>
      <w:bookmarkStart w:id="47" w:name="_Toc28590"/>
      <w:bookmarkStart w:id="48" w:name="_Toc20702"/>
      <w:bookmarkStart w:id="49" w:name="_Toc32565"/>
      <w:r>
        <w:rPr>
          <w:rFonts w:eastAsia="宋体" w:cs="Times New Roman"/>
          <w:b/>
          <w:color w:val="auto"/>
          <w:highlight w:val="none"/>
        </w:rPr>
        <w:t>2.2.1.2 评价因子的确定</w:t>
      </w:r>
      <w:bookmarkEnd w:id="47"/>
      <w:bookmarkEnd w:id="48"/>
      <w:bookmarkEnd w:id="49"/>
    </w:p>
    <w:p w14:paraId="72676A38">
      <w:pPr>
        <w:keepNext w:val="0"/>
        <w:keepLines w:val="0"/>
        <w:pageBreakBefore w:val="0"/>
        <w:widowControl w:val="0"/>
        <w:kinsoku/>
        <w:wordWrap/>
        <w:overflowPunct/>
        <w:topLinePunct w:val="0"/>
        <w:autoSpaceDE/>
        <w:autoSpaceDN/>
        <w:bidi w:val="0"/>
        <w:adjustRightInd w:val="0"/>
        <w:snapToGrid w:val="0"/>
        <w:spacing w:line="520" w:lineRule="atLeast"/>
        <w:textAlignment w:val="auto"/>
        <w:rPr>
          <w:rFonts w:cs="Times New Roman"/>
          <w:b/>
          <w:color w:val="auto"/>
          <w:szCs w:val="24"/>
          <w:highlight w:val="none"/>
        </w:rPr>
      </w:pPr>
      <w:r>
        <w:rPr>
          <w:rFonts w:cs="Times New Roman"/>
          <w:color w:val="auto"/>
          <w:szCs w:val="24"/>
          <w:highlight w:val="none"/>
        </w:rPr>
        <w:t>根据项目所在地环境特征和项目特点，考虑到建设项目可能对自然环境、社会环境、人群生活质量的影响，重点分析评价建设项目生产过程中产生的各类污染物对区域环境的影响。对本项目主要环境污染问题的分析进行筛选，根据筛选结果，确定本项目污染源，评价因子见表2-2-2</w:t>
      </w:r>
      <w:r>
        <w:rPr>
          <w:rFonts w:hint="eastAsia" w:cs="Times New Roman"/>
          <w:color w:val="auto"/>
          <w:szCs w:val="24"/>
          <w:highlight w:val="none"/>
          <w:lang w:val="en-US" w:eastAsia="zh-CN"/>
        </w:rPr>
        <w:t>和2-2-3</w:t>
      </w:r>
      <w:r>
        <w:rPr>
          <w:rFonts w:cs="Times New Roman"/>
          <w:color w:val="auto"/>
          <w:szCs w:val="24"/>
          <w:highlight w:val="none"/>
        </w:rPr>
        <w:t>。</w:t>
      </w:r>
    </w:p>
    <w:p w14:paraId="4207A1DB">
      <w:pPr>
        <w:keepNext w:val="0"/>
        <w:keepLines w:val="0"/>
        <w:pageBreakBefore w:val="0"/>
        <w:widowControl w:val="0"/>
        <w:kinsoku/>
        <w:wordWrap/>
        <w:overflowPunct/>
        <w:topLinePunct w:val="0"/>
        <w:autoSpaceDE/>
        <w:autoSpaceDN/>
        <w:bidi w:val="0"/>
        <w:adjustRightInd w:val="0"/>
        <w:snapToGrid w:val="0"/>
        <w:spacing w:line="520" w:lineRule="atLeast"/>
        <w:ind w:firstLine="0" w:firstLineChars="0"/>
        <w:jc w:val="center"/>
        <w:textAlignment w:val="auto"/>
        <w:rPr>
          <w:rFonts w:cs="Times New Roman"/>
          <w:b/>
          <w:color w:val="auto"/>
          <w:szCs w:val="24"/>
          <w:highlight w:val="none"/>
        </w:rPr>
      </w:pPr>
      <w:r>
        <w:rPr>
          <w:rFonts w:cs="Times New Roman"/>
          <w:b/>
          <w:color w:val="auto"/>
          <w:szCs w:val="24"/>
          <w:highlight w:val="none"/>
        </w:rPr>
        <w:t>表2-2-2   项目环境影响评价因子一览表</w:t>
      </w:r>
    </w:p>
    <w:tbl>
      <w:tblPr>
        <w:tblStyle w:val="47"/>
        <w:tblW w:w="85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8"/>
        <w:gridCol w:w="914"/>
        <w:gridCol w:w="1519"/>
        <w:gridCol w:w="2611"/>
        <w:gridCol w:w="2771"/>
      </w:tblGrid>
      <w:tr w14:paraId="6EE5B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698" w:type="dxa"/>
            <w:vAlign w:val="center"/>
          </w:tcPr>
          <w:p w14:paraId="0462766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评价时段</w:t>
            </w:r>
          </w:p>
        </w:tc>
        <w:tc>
          <w:tcPr>
            <w:tcW w:w="914" w:type="dxa"/>
            <w:vAlign w:val="center"/>
          </w:tcPr>
          <w:p w14:paraId="54075C8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w:t>
            </w:r>
          </w:p>
          <w:p w14:paraId="5867CEC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要素</w:t>
            </w:r>
          </w:p>
        </w:tc>
        <w:tc>
          <w:tcPr>
            <w:tcW w:w="1519" w:type="dxa"/>
            <w:vAlign w:val="center"/>
          </w:tcPr>
          <w:p w14:paraId="184E371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评价内容</w:t>
            </w:r>
          </w:p>
        </w:tc>
        <w:tc>
          <w:tcPr>
            <w:tcW w:w="2611" w:type="dxa"/>
            <w:vAlign w:val="center"/>
          </w:tcPr>
          <w:p w14:paraId="279C1C1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现状评价因子</w:t>
            </w:r>
          </w:p>
        </w:tc>
        <w:tc>
          <w:tcPr>
            <w:tcW w:w="2771" w:type="dxa"/>
            <w:vAlign w:val="center"/>
          </w:tcPr>
          <w:p w14:paraId="13C8AEA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预测评价因子</w:t>
            </w:r>
          </w:p>
        </w:tc>
      </w:tr>
      <w:tr w14:paraId="172B4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698" w:type="dxa"/>
            <w:vMerge w:val="restart"/>
            <w:vAlign w:val="center"/>
          </w:tcPr>
          <w:p w14:paraId="2D4EC99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施工期</w:t>
            </w:r>
          </w:p>
        </w:tc>
        <w:tc>
          <w:tcPr>
            <w:tcW w:w="914" w:type="dxa"/>
            <w:vAlign w:val="center"/>
          </w:tcPr>
          <w:p w14:paraId="0A60219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w:t>
            </w:r>
          </w:p>
          <w:p w14:paraId="28AD0DC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空气</w:t>
            </w:r>
          </w:p>
        </w:tc>
        <w:tc>
          <w:tcPr>
            <w:tcW w:w="1519" w:type="dxa"/>
            <w:vAlign w:val="center"/>
          </w:tcPr>
          <w:p w14:paraId="6EC604B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施工扬尘对环境空气影响</w:t>
            </w:r>
          </w:p>
        </w:tc>
        <w:tc>
          <w:tcPr>
            <w:tcW w:w="2611" w:type="dxa"/>
            <w:vAlign w:val="center"/>
          </w:tcPr>
          <w:p w14:paraId="0E463D0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TSP</w:t>
            </w:r>
          </w:p>
        </w:tc>
        <w:tc>
          <w:tcPr>
            <w:tcW w:w="2771" w:type="dxa"/>
            <w:vAlign w:val="center"/>
          </w:tcPr>
          <w:p w14:paraId="05866DC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TSP</w:t>
            </w:r>
          </w:p>
        </w:tc>
      </w:tr>
      <w:tr w14:paraId="1F4FD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98" w:type="dxa"/>
            <w:vMerge w:val="continue"/>
            <w:vAlign w:val="center"/>
          </w:tcPr>
          <w:p w14:paraId="5238287E">
            <w:pPr>
              <w:widowControl/>
              <w:spacing w:line="360" w:lineRule="exact"/>
              <w:ind w:firstLine="0" w:firstLineChars="0"/>
              <w:jc w:val="center"/>
              <w:rPr>
                <w:rFonts w:cs="Times New Roman"/>
                <w:color w:val="auto"/>
                <w:sz w:val="21"/>
                <w:szCs w:val="21"/>
                <w:highlight w:val="none"/>
              </w:rPr>
            </w:pPr>
          </w:p>
        </w:tc>
        <w:tc>
          <w:tcPr>
            <w:tcW w:w="914" w:type="dxa"/>
            <w:vAlign w:val="center"/>
          </w:tcPr>
          <w:p w14:paraId="3D7CDE4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水环境</w:t>
            </w:r>
          </w:p>
        </w:tc>
        <w:tc>
          <w:tcPr>
            <w:tcW w:w="1519" w:type="dxa"/>
            <w:vAlign w:val="center"/>
          </w:tcPr>
          <w:p w14:paraId="673ED58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施工废水对水环境影响</w:t>
            </w:r>
          </w:p>
        </w:tc>
        <w:tc>
          <w:tcPr>
            <w:tcW w:w="2611" w:type="dxa"/>
            <w:vAlign w:val="center"/>
          </w:tcPr>
          <w:p w14:paraId="0C2CFF6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COD、氨氮、SS</w:t>
            </w:r>
          </w:p>
        </w:tc>
        <w:tc>
          <w:tcPr>
            <w:tcW w:w="2771" w:type="dxa"/>
            <w:vAlign w:val="center"/>
          </w:tcPr>
          <w:p w14:paraId="78B9312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COD、氨氮、SS</w:t>
            </w:r>
          </w:p>
        </w:tc>
      </w:tr>
      <w:tr w14:paraId="2AA5C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8" w:type="dxa"/>
            <w:vMerge w:val="continue"/>
            <w:vAlign w:val="center"/>
          </w:tcPr>
          <w:p w14:paraId="1F64E66C">
            <w:pPr>
              <w:widowControl/>
              <w:spacing w:line="360" w:lineRule="exact"/>
              <w:ind w:firstLine="0" w:firstLineChars="0"/>
              <w:jc w:val="center"/>
              <w:rPr>
                <w:rFonts w:cs="Times New Roman"/>
                <w:color w:val="auto"/>
                <w:sz w:val="21"/>
                <w:szCs w:val="21"/>
                <w:highlight w:val="none"/>
              </w:rPr>
            </w:pPr>
          </w:p>
        </w:tc>
        <w:tc>
          <w:tcPr>
            <w:tcW w:w="914" w:type="dxa"/>
            <w:vAlign w:val="center"/>
          </w:tcPr>
          <w:p w14:paraId="52441C7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声环境</w:t>
            </w:r>
          </w:p>
        </w:tc>
        <w:tc>
          <w:tcPr>
            <w:tcW w:w="1519" w:type="dxa"/>
            <w:vAlign w:val="center"/>
          </w:tcPr>
          <w:p w14:paraId="1114767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施工噪声对声环境的影响</w:t>
            </w:r>
          </w:p>
        </w:tc>
        <w:tc>
          <w:tcPr>
            <w:tcW w:w="2611" w:type="dxa"/>
            <w:vAlign w:val="center"/>
          </w:tcPr>
          <w:p w14:paraId="17B34BA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L</w:t>
            </w:r>
            <w:r>
              <w:rPr>
                <w:rFonts w:cs="Times New Roman"/>
                <w:color w:val="auto"/>
                <w:sz w:val="21"/>
                <w:szCs w:val="21"/>
                <w:highlight w:val="none"/>
                <w:vertAlign w:val="subscript"/>
              </w:rPr>
              <w:t>Aeq</w:t>
            </w:r>
          </w:p>
        </w:tc>
        <w:tc>
          <w:tcPr>
            <w:tcW w:w="2771" w:type="dxa"/>
            <w:vAlign w:val="center"/>
          </w:tcPr>
          <w:p w14:paraId="5ACADE7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L</w:t>
            </w:r>
            <w:r>
              <w:rPr>
                <w:rFonts w:cs="Times New Roman"/>
                <w:color w:val="auto"/>
                <w:sz w:val="21"/>
                <w:szCs w:val="21"/>
                <w:highlight w:val="none"/>
                <w:vertAlign w:val="subscript"/>
              </w:rPr>
              <w:t>Aeq</w:t>
            </w:r>
          </w:p>
        </w:tc>
      </w:tr>
      <w:tr w14:paraId="167488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8" w:type="dxa"/>
            <w:vMerge w:val="continue"/>
            <w:vAlign w:val="center"/>
          </w:tcPr>
          <w:p w14:paraId="138FDB4C">
            <w:pPr>
              <w:widowControl/>
              <w:spacing w:line="360" w:lineRule="exact"/>
              <w:ind w:firstLine="0" w:firstLineChars="0"/>
              <w:jc w:val="center"/>
              <w:rPr>
                <w:rFonts w:cs="Times New Roman"/>
                <w:color w:val="auto"/>
                <w:sz w:val="21"/>
                <w:szCs w:val="21"/>
                <w:highlight w:val="none"/>
              </w:rPr>
            </w:pPr>
          </w:p>
        </w:tc>
        <w:tc>
          <w:tcPr>
            <w:tcW w:w="914" w:type="dxa"/>
            <w:vAlign w:val="center"/>
          </w:tcPr>
          <w:p w14:paraId="08CA74B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固体废物</w:t>
            </w:r>
          </w:p>
        </w:tc>
        <w:tc>
          <w:tcPr>
            <w:tcW w:w="1519" w:type="dxa"/>
            <w:vAlign w:val="center"/>
          </w:tcPr>
          <w:p w14:paraId="40056BB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施工固体废物的处置</w:t>
            </w:r>
          </w:p>
        </w:tc>
        <w:tc>
          <w:tcPr>
            <w:tcW w:w="2611" w:type="dxa"/>
            <w:vAlign w:val="center"/>
          </w:tcPr>
          <w:p w14:paraId="0AF51FE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771" w:type="dxa"/>
            <w:vAlign w:val="center"/>
          </w:tcPr>
          <w:p w14:paraId="776DDCE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生活垃圾和建筑垃圾</w:t>
            </w:r>
          </w:p>
        </w:tc>
      </w:tr>
      <w:tr w14:paraId="1EFEF0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8" w:type="dxa"/>
            <w:vMerge w:val="restart"/>
            <w:vAlign w:val="center"/>
          </w:tcPr>
          <w:p w14:paraId="28AD291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营运期</w:t>
            </w:r>
          </w:p>
        </w:tc>
        <w:tc>
          <w:tcPr>
            <w:tcW w:w="914" w:type="dxa"/>
            <w:vAlign w:val="center"/>
          </w:tcPr>
          <w:p w14:paraId="78D6ADB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空气环境</w:t>
            </w:r>
          </w:p>
        </w:tc>
        <w:tc>
          <w:tcPr>
            <w:tcW w:w="1519" w:type="dxa"/>
            <w:vAlign w:val="center"/>
          </w:tcPr>
          <w:p w14:paraId="1916BB2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废气对空气环境的影响</w:t>
            </w:r>
          </w:p>
        </w:tc>
        <w:tc>
          <w:tcPr>
            <w:tcW w:w="2611" w:type="dxa"/>
            <w:vAlign w:val="center"/>
          </w:tcPr>
          <w:p w14:paraId="6C52023A">
            <w:pPr>
              <w:spacing w:line="360" w:lineRule="exac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SO</w:t>
            </w:r>
            <w:r>
              <w:rPr>
                <w:rFonts w:cs="Times New Roman"/>
                <w:color w:val="auto"/>
                <w:sz w:val="21"/>
                <w:szCs w:val="21"/>
                <w:highlight w:val="none"/>
                <w:vertAlign w:val="subscript"/>
              </w:rPr>
              <w:t>2</w:t>
            </w:r>
            <w:r>
              <w:rPr>
                <w:rFonts w:cs="Times New Roman"/>
                <w:color w:val="auto"/>
                <w:sz w:val="21"/>
                <w:szCs w:val="21"/>
                <w:highlight w:val="none"/>
              </w:rPr>
              <w:t>、NO</w:t>
            </w:r>
            <w:r>
              <w:rPr>
                <w:rFonts w:cs="Times New Roman"/>
                <w:color w:val="auto"/>
                <w:sz w:val="21"/>
                <w:szCs w:val="21"/>
                <w:highlight w:val="none"/>
                <w:vertAlign w:val="subscript"/>
              </w:rPr>
              <w:t>2</w:t>
            </w:r>
            <w:r>
              <w:rPr>
                <w:rFonts w:cs="Times New Roman"/>
                <w:color w:val="auto"/>
                <w:sz w:val="21"/>
                <w:szCs w:val="21"/>
                <w:highlight w:val="none"/>
              </w:rPr>
              <w:t>、PM</w:t>
            </w:r>
            <w:r>
              <w:rPr>
                <w:rFonts w:cs="Times New Roman"/>
                <w:color w:val="auto"/>
                <w:sz w:val="21"/>
                <w:szCs w:val="21"/>
                <w:highlight w:val="none"/>
                <w:vertAlign w:val="subscript"/>
              </w:rPr>
              <w:t>10</w:t>
            </w:r>
            <w:r>
              <w:rPr>
                <w:rFonts w:cs="Times New Roman"/>
                <w:color w:val="auto"/>
                <w:sz w:val="21"/>
                <w:szCs w:val="21"/>
                <w:highlight w:val="none"/>
              </w:rPr>
              <w:t>、PM</w:t>
            </w:r>
            <w:r>
              <w:rPr>
                <w:rFonts w:cs="Times New Roman"/>
                <w:color w:val="auto"/>
                <w:sz w:val="21"/>
                <w:szCs w:val="21"/>
                <w:highlight w:val="none"/>
                <w:vertAlign w:val="subscript"/>
              </w:rPr>
              <w:t>2.5</w:t>
            </w:r>
            <w:r>
              <w:rPr>
                <w:rFonts w:cs="Times New Roman"/>
                <w:color w:val="auto"/>
                <w:sz w:val="21"/>
                <w:szCs w:val="21"/>
                <w:highlight w:val="none"/>
              </w:rPr>
              <w:t>、CO、O</w:t>
            </w:r>
            <w:r>
              <w:rPr>
                <w:rFonts w:cs="Times New Roman"/>
                <w:color w:val="auto"/>
                <w:sz w:val="21"/>
                <w:szCs w:val="21"/>
                <w:highlight w:val="none"/>
                <w:vertAlign w:val="subscript"/>
              </w:rPr>
              <w:t>3</w:t>
            </w:r>
            <w:r>
              <w:rPr>
                <w:rFonts w:cs="Times New Roman"/>
                <w:color w:val="auto"/>
                <w:sz w:val="21"/>
                <w:szCs w:val="21"/>
                <w:highlight w:val="none"/>
              </w:rPr>
              <w:t>、氨、硫化氢</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臭气浓度、TSP</w:t>
            </w:r>
          </w:p>
        </w:tc>
        <w:tc>
          <w:tcPr>
            <w:tcW w:w="2771" w:type="dxa"/>
            <w:vAlign w:val="center"/>
          </w:tcPr>
          <w:p w14:paraId="737D099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氨、硫化氢、</w:t>
            </w:r>
            <w:r>
              <w:rPr>
                <w:rFonts w:hint="eastAsia" w:cs="Times New Roman"/>
                <w:color w:val="auto"/>
                <w:sz w:val="21"/>
                <w:szCs w:val="21"/>
                <w:highlight w:val="none"/>
                <w:lang w:val="en-US" w:eastAsia="zh-CN"/>
              </w:rPr>
              <w:t>臭气浓度</w:t>
            </w:r>
          </w:p>
        </w:tc>
      </w:tr>
      <w:tr w14:paraId="6EBC2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8" w:type="dxa"/>
            <w:vMerge w:val="continue"/>
            <w:vAlign w:val="center"/>
          </w:tcPr>
          <w:p w14:paraId="0BE6AED5">
            <w:pPr>
              <w:widowControl/>
              <w:spacing w:line="360" w:lineRule="exact"/>
              <w:ind w:firstLine="0" w:firstLineChars="0"/>
              <w:jc w:val="center"/>
              <w:rPr>
                <w:rFonts w:cs="Times New Roman"/>
                <w:color w:val="auto"/>
                <w:sz w:val="21"/>
                <w:szCs w:val="21"/>
                <w:highlight w:val="none"/>
              </w:rPr>
            </w:pPr>
          </w:p>
        </w:tc>
        <w:tc>
          <w:tcPr>
            <w:tcW w:w="914" w:type="dxa"/>
            <w:vMerge w:val="restart"/>
            <w:vAlign w:val="center"/>
          </w:tcPr>
          <w:p w14:paraId="0C3137F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水环境</w:t>
            </w:r>
          </w:p>
        </w:tc>
        <w:tc>
          <w:tcPr>
            <w:tcW w:w="1519" w:type="dxa"/>
            <w:vAlign w:val="center"/>
          </w:tcPr>
          <w:p w14:paraId="66F9494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废水对地表水环境的影响</w:t>
            </w:r>
          </w:p>
        </w:tc>
        <w:tc>
          <w:tcPr>
            <w:tcW w:w="2611" w:type="dxa"/>
            <w:vAlign w:val="center"/>
          </w:tcPr>
          <w:p w14:paraId="1C72DA91">
            <w:pPr>
              <w:spacing w:line="360" w:lineRule="exact"/>
              <w:ind w:firstLine="0" w:firstLineChars="0"/>
              <w:jc w:val="center"/>
              <w:rPr>
                <w:rFonts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根据《环境影响评价技术导则 地表水环境》（HJ 2.3- 2018）应优先采用国务院生态环境主管部门同意发布的水环境状况信息</w:t>
            </w:r>
          </w:p>
        </w:tc>
        <w:tc>
          <w:tcPr>
            <w:tcW w:w="2771" w:type="dxa"/>
            <w:vAlign w:val="center"/>
          </w:tcPr>
          <w:p w14:paraId="5B550040">
            <w:pPr>
              <w:spacing w:line="360" w:lineRule="exact"/>
              <w:ind w:firstLine="0" w:firstLineChars="0"/>
              <w:jc w:val="center"/>
              <w:rPr>
                <w:rFonts w:cs="Times New Roman"/>
                <w:color w:val="auto"/>
                <w:sz w:val="21"/>
                <w:szCs w:val="21"/>
                <w:highlight w:val="none"/>
              </w:rPr>
            </w:pPr>
            <w:r>
              <w:rPr>
                <w:rFonts w:cs="Times New Roman"/>
                <w:snapToGrid w:val="0"/>
                <w:color w:val="auto"/>
                <w:kern w:val="0"/>
                <w:sz w:val="21"/>
                <w:szCs w:val="21"/>
                <w:highlight w:val="none"/>
              </w:rPr>
              <w:t>根据《环境影响评价技术导则—地表水环境》（HJ2.3-2018），本项目地表水环境影响评价等级为三级B，可不进行水环境影响预测，仅需分析污水处理厂依托可行性</w:t>
            </w:r>
          </w:p>
        </w:tc>
      </w:tr>
      <w:tr w14:paraId="7090E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8" w:type="dxa"/>
            <w:vMerge w:val="continue"/>
            <w:vAlign w:val="center"/>
          </w:tcPr>
          <w:p w14:paraId="0409FBD9">
            <w:pPr>
              <w:widowControl/>
              <w:spacing w:line="360" w:lineRule="exact"/>
              <w:ind w:firstLine="0" w:firstLineChars="0"/>
              <w:jc w:val="center"/>
              <w:rPr>
                <w:rFonts w:cs="Times New Roman"/>
                <w:color w:val="auto"/>
                <w:sz w:val="21"/>
                <w:szCs w:val="21"/>
                <w:highlight w:val="none"/>
              </w:rPr>
            </w:pPr>
          </w:p>
        </w:tc>
        <w:tc>
          <w:tcPr>
            <w:tcW w:w="914" w:type="dxa"/>
            <w:vMerge w:val="continue"/>
            <w:vAlign w:val="center"/>
          </w:tcPr>
          <w:p w14:paraId="2DE76962">
            <w:pPr>
              <w:widowControl/>
              <w:spacing w:line="360" w:lineRule="exact"/>
              <w:ind w:firstLine="0" w:firstLineChars="0"/>
              <w:jc w:val="center"/>
              <w:rPr>
                <w:rFonts w:cs="Times New Roman"/>
                <w:color w:val="auto"/>
                <w:sz w:val="21"/>
                <w:szCs w:val="21"/>
                <w:highlight w:val="none"/>
              </w:rPr>
            </w:pPr>
          </w:p>
        </w:tc>
        <w:tc>
          <w:tcPr>
            <w:tcW w:w="1519" w:type="dxa"/>
            <w:vAlign w:val="center"/>
          </w:tcPr>
          <w:p w14:paraId="2FF969C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废水对地下水体的影响</w:t>
            </w:r>
          </w:p>
        </w:tc>
        <w:tc>
          <w:tcPr>
            <w:tcW w:w="2611" w:type="dxa"/>
            <w:vAlign w:val="center"/>
          </w:tcPr>
          <w:p w14:paraId="39416188">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pH、氨氮、硝酸盐、亚硝酸盐氮、挥发酚、氰化物、砷、汞、铬（六价）、总硬度、铅、氟化物、镉、铁、锰、溶解性总固体、总大肠菌群、菌落总数、耗氧量（COD</w:t>
            </w:r>
            <w:r>
              <w:rPr>
                <w:rFonts w:cs="Times New Roman"/>
                <w:color w:val="auto"/>
                <w:kern w:val="0"/>
                <w:sz w:val="21"/>
                <w:szCs w:val="21"/>
                <w:highlight w:val="none"/>
                <w:vertAlign w:val="subscript"/>
              </w:rPr>
              <w:t>Mn</w:t>
            </w:r>
            <w:r>
              <w:rPr>
                <w:rFonts w:cs="Times New Roman"/>
                <w:color w:val="auto"/>
                <w:kern w:val="0"/>
                <w:sz w:val="21"/>
                <w:szCs w:val="21"/>
                <w:highlight w:val="none"/>
              </w:rPr>
              <w:t>法，以O</w:t>
            </w:r>
            <w:r>
              <w:rPr>
                <w:rFonts w:cs="Times New Roman"/>
                <w:color w:val="auto"/>
                <w:kern w:val="0"/>
                <w:sz w:val="21"/>
                <w:szCs w:val="21"/>
                <w:highlight w:val="none"/>
                <w:vertAlign w:val="subscript"/>
              </w:rPr>
              <w:t>2</w:t>
            </w:r>
            <w:r>
              <w:rPr>
                <w:rFonts w:cs="Times New Roman"/>
                <w:color w:val="auto"/>
                <w:kern w:val="0"/>
                <w:sz w:val="21"/>
                <w:szCs w:val="21"/>
                <w:highlight w:val="none"/>
              </w:rPr>
              <w:t>计）、K</w:t>
            </w:r>
            <w:r>
              <w:rPr>
                <w:rFonts w:cs="Times New Roman"/>
                <w:color w:val="auto"/>
                <w:kern w:val="0"/>
                <w:sz w:val="21"/>
                <w:szCs w:val="21"/>
                <w:highlight w:val="none"/>
                <w:vertAlign w:val="superscript"/>
              </w:rPr>
              <w:t>+</w:t>
            </w:r>
            <w:r>
              <w:rPr>
                <w:rFonts w:cs="Times New Roman"/>
                <w:color w:val="auto"/>
                <w:kern w:val="0"/>
                <w:sz w:val="21"/>
                <w:szCs w:val="21"/>
                <w:highlight w:val="none"/>
              </w:rPr>
              <w:t>、Na</w:t>
            </w:r>
            <w:r>
              <w:rPr>
                <w:rFonts w:cs="Times New Roman"/>
                <w:color w:val="auto"/>
                <w:kern w:val="0"/>
                <w:sz w:val="21"/>
                <w:szCs w:val="21"/>
                <w:highlight w:val="none"/>
                <w:vertAlign w:val="superscript"/>
              </w:rPr>
              <w:t>+</w:t>
            </w:r>
            <w:r>
              <w:rPr>
                <w:rFonts w:cs="Times New Roman"/>
                <w:color w:val="auto"/>
                <w:kern w:val="0"/>
                <w:sz w:val="21"/>
                <w:szCs w:val="21"/>
                <w:highlight w:val="none"/>
              </w:rPr>
              <w:t>、Ca</w:t>
            </w:r>
            <w:r>
              <w:rPr>
                <w:rFonts w:cs="Times New Roman"/>
                <w:color w:val="auto"/>
                <w:kern w:val="0"/>
                <w:sz w:val="21"/>
                <w:szCs w:val="21"/>
                <w:highlight w:val="none"/>
                <w:vertAlign w:val="superscript"/>
              </w:rPr>
              <w:t>+</w:t>
            </w:r>
            <w:r>
              <w:rPr>
                <w:rFonts w:cs="Times New Roman"/>
                <w:color w:val="auto"/>
                <w:kern w:val="0"/>
                <w:sz w:val="21"/>
                <w:szCs w:val="21"/>
                <w:highlight w:val="none"/>
              </w:rPr>
              <w:t>、Mg</w:t>
            </w:r>
            <w:r>
              <w:rPr>
                <w:rFonts w:cs="Times New Roman"/>
                <w:color w:val="auto"/>
                <w:kern w:val="0"/>
                <w:sz w:val="21"/>
                <w:szCs w:val="21"/>
                <w:highlight w:val="none"/>
                <w:vertAlign w:val="superscript"/>
              </w:rPr>
              <w:t>2+</w:t>
            </w:r>
            <w:r>
              <w:rPr>
                <w:rFonts w:cs="Times New Roman"/>
                <w:color w:val="auto"/>
                <w:kern w:val="0"/>
                <w:sz w:val="21"/>
                <w:szCs w:val="21"/>
                <w:highlight w:val="none"/>
              </w:rPr>
              <w:t>、CO</w:t>
            </w:r>
            <w:r>
              <w:rPr>
                <w:rFonts w:cs="Times New Roman"/>
                <w:color w:val="auto"/>
                <w:kern w:val="0"/>
                <w:sz w:val="21"/>
                <w:szCs w:val="21"/>
                <w:highlight w:val="none"/>
                <w:vertAlign w:val="subscript"/>
              </w:rPr>
              <w:t>3</w:t>
            </w:r>
            <w:r>
              <w:rPr>
                <w:rFonts w:cs="Times New Roman"/>
                <w:color w:val="auto"/>
                <w:kern w:val="0"/>
                <w:sz w:val="21"/>
                <w:szCs w:val="21"/>
                <w:highlight w:val="none"/>
                <w:vertAlign w:val="superscript"/>
              </w:rPr>
              <w:t>2-</w:t>
            </w:r>
            <w:r>
              <w:rPr>
                <w:rFonts w:cs="Times New Roman"/>
                <w:color w:val="auto"/>
                <w:kern w:val="0"/>
                <w:sz w:val="21"/>
                <w:szCs w:val="21"/>
                <w:highlight w:val="none"/>
              </w:rPr>
              <w:t>、HCO</w:t>
            </w:r>
            <w:r>
              <w:rPr>
                <w:rFonts w:cs="Times New Roman"/>
                <w:color w:val="auto"/>
                <w:kern w:val="0"/>
                <w:sz w:val="21"/>
                <w:szCs w:val="21"/>
                <w:highlight w:val="none"/>
                <w:vertAlign w:val="subscript"/>
              </w:rPr>
              <w:t>3</w:t>
            </w:r>
            <w:r>
              <w:rPr>
                <w:rFonts w:cs="Times New Roman"/>
                <w:color w:val="auto"/>
                <w:kern w:val="0"/>
                <w:sz w:val="21"/>
                <w:szCs w:val="21"/>
                <w:highlight w:val="none"/>
                <w:vertAlign w:val="superscript"/>
              </w:rPr>
              <w:t>-</w:t>
            </w:r>
            <w:r>
              <w:rPr>
                <w:rFonts w:cs="Times New Roman"/>
                <w:color w:val="auto"/>
                <w:kern w:val="0"/>
                <w:sz w:val="21"/>
                <w:szCs w:val="21"/>
                <w:highlight w:val="none"/>
              </w:rPr>
              <w:t>、Cl</w:t>
            </w:r>
            <w:r>
              <w:rPr>
                <w:rFonts w:cs="Times New Roman"/>
                <w:color w:val="auto"/>
                <w:kern w:val="0"/>
                <w:sz w:val="21"/>
                <w:szCs w:val="21"/>
                <w:highlight w:val="none"/>
                <w:vertAlign w:val="superscript"/>
              </w:rPr>
              <w:t>-</w:t>
            </w:r>
            <w:r>
              <w:rPr>
                <w:rFonts w:cs="Times New Roman"/>
                <w:color w:val="auto"/>
                <w:kern w:val="0"/>
                <w:sz w:val="21"/>
                <w:szCs w:val="21"/>
                <w:highlight w:val="none"/>
              </w:rPr>
              <w:t>、SO</w:t>
            </w:r>
            <w:r>
              <w:rPr>
                <w:rFonts w:cs="Times New Roman"/>
                <w:color w:val="auto"/>
                <w:kern w:val="0"/>
                <w:sz w:val="21"/>
                <w:szCs w:val="21"/>
                <w:highlight w:val="none"/>
                <w:vertAlign w:val="subscript"/>
              </w:rPr>
              <w:t>4</w:t>
            </w:r>
            <w:r>
              <w:rPr>
                <w:rFonts w:cs="Times New Roman"/>
                <w:color w:val="auto"/>
                <w:kern w:val="0"/>
                <w:sz w:val="21"/>
                <w:szCs w:val="21"/>
                <w:highlight w:val="none"/>
                <w:vertAlign w:val="superscript"/>
              </w:rPr>
              <w:t>2-</w:t>
            </w:r>
          </w:p>
        </w:tc>
        <w:tc>
          <w:tcPr>
            <w:tcW w:w="2771" w:type="dxa"/>
            <w:vAlign w:val="center"/>
          </w:tcPr>
          <w:p w14:paraId="6AFC2AF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COD、氨氮</w:t>
            </w:r>
          </w:p>
        </w:tc>
      </w:tr>
      <w:tr w14:paraId="2BEDA4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8" w:type="dxa"/>
            <w:vMerge w:val="continue"/>
            <w:vAlign w:val="center"/>
          </w:tcPr>
          <w:p w14:paraId="58E0DB6D">
            <w:pPr>
              <w:widowControl/>
              <w:spacing w:line="360" w:lineRule="exact"/>
              <w:ind w:firstLine="0" w:firstLineChars="0"/>
              <w:jc w:val="center"/>
              <w:rPr>
                <w:rFonts w:cs="Times New Roman"/>
                <w:color w:val="auto"/>
                <w:sz w:val="21"/>
                <w:szCs w:val="21"/>
                <w:highlight w:val="none"/>
              </w:rPr>
            </w:pPr>
          </w:p>
        </w:tc>
        <w:tc>
          <w:tcPr>
            <w:tcW w:w="914" w:type="dxa"/>
            <w:vAlign w:val="center"/>
          </w:tcPr>
          <w:p w14:paraId="565A557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声环境</w:t>
            </w:r>
          </w:p>
        </w:tc>
        <w:tc>
          <w:tcPr>
            <w:tcW w:w="1519" w:type="dxa"/>
            <w:vAlign w:val="center"/>
          </w:tcPr>
          <w:p w14:paraId="1621A26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噪声对厂区四周影响</w:t>
            </w:r>
          </w:p>
        </w:tc>
        <w:tc>
          <w:tcPr>
            <w:tcW w:w="2611" w:type="dxa"/>
            <w:vAlign w:val="center"/>
          </w:tcPr>
          <w:p w14:paraId="773EAB1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LeqdB（A）</w:t>
            </w:r>
          </w:p>
        </w:tc>
        <w:tc>
          <w:tcPr>
            <w:tcW w:w="2771" w:type="dxa"/>
            <w:vAlign w:val="center"/>
          </w:tcPr>
          <w:p w14:paraId="2748192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LeqdB（A）</w:t>
            </w:r>
          </w:p>
        </w:tc>
      </w:tr>
      <w:tr w14:paraId="2722F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8" w:type="dxa"/>
            <w:vMerge w:val="continue"/>
            <w:vAlign w:val="center"/>
          </w:tcPr>
          <w:p w14:paraId="7A512D47">
            <w:pPr>
              <w:widowControl/>
              <w:spacing w:line="360" w:lineRule="exact"/>
              <w:ind w:firstLine="0" w:firstLineChars="0"/>
              <w:jc w:val="center"/>
              <w:rPr>
                <w:rFonts w:cs="Times New Roman"/>
                <w:color w:val="auto"/>
                <w:sz w:val="21"/>
                <w:szCs w:val="21"/>
                <w:highlight w:val="none"/>
              </w:rPr>
            </w:pPr>
          </w:p>
        </w:tc>
        <w:tc>
          <w:tcPr>
            <w:tcW w:w="914" w:type="dxa"/>
            <w:vAlign w:val="center"/>
          </w:tcPr>
          <w:p w14:paraId="4F3CCE1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固体废物</w:t>
            </w:r>
          </w:p>
        </w:tc>
        <w:tc>
          <w:tcPr>
            <w:tcW w:w="1519" w:type="dxa"/>
            <w:vAlign w:val="center"/>
          </w:tcPr>
          <w:p w14:paraId="5D2B863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固废对周围环境的影响</w:t>
            </w:r>
          </w:p>
        </w:tc>
        <w:tc>
          <w:tcPr>
            <w:tcW w:w="2611" w:type="dxa"/>
            <w:vAlign w:val="center"/>
          </w:tcPr>
          <w:p w14:paraId="169EAA8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771" w:type="dxa"/>
            <w:vAlign w:val="center"/>
          </w:tcPr>
          <w:p w14:paraId="425373D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一般固废、危险废物</w:t>
            </w:r>
          </w:p>
        </w:tc>
      </w:tr>
      <w:tr w14:paraId="4BA79C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8" w:type="dxa"/>
            <w:vMerge w:val="continue"/>
            <w:vAlign w:val="center"/>
          </w:tcPr>
          <w:p w14:paraId="63883735">
            <w:pPr>
              <w:widowControl/>
              <w:spacing w:line="360" w:lineRule="exact"/>
              <w:ind w:firstLine="0" w:firstLineChars="0"/>
              <w:jc w:val="center"/>
              <w:rPr>
                <w:rFonts w:cs="Times New Roman"/>
                <w:color w:val="auto"/>
                <w:sz w:val="21"/>
                <w:szCs w:val="21"/>
                <w:highlight w:val="none"/>
              </w:rPr>
            </w:pPr>
          </w:p>
        </w:tc>
        <w:tc>
          <w:tcPr>
            <w:tcW w:w="914" w:type="dxa"/>
            <w:vAlign w:val="center"/>
          </w:tcPr>
          <w:p w14:paraId="2D7F88E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环境风险</w:t>
            </w:r>
          </w:p>
        </w:tc>
        <w:tc>
          <w:tcPr>
            <w:tcW w:w="1519" w:type="dxa"/>
            <w:vAlign w:val="center"/>
          </w:tcPr>
          <w:p w14:paraId="222D2E1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环境风险对周围环境的影响</w:t>
            </w:r>
          </w:p>
        </w:tc>
        <w:tc>
          <w:tcPr>
            <w:tcW w:w="2611" w:type="dxa"/>
            <w:vAlign w:val="center"/>
          </w:tcPr>
          <w:p w14:paraId="045055A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771" w:type="dxa"/>
            <w:vAlign w:val="center"/>
          </w:tcPr>
          <w:p w14:paraId="215A2433">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次氯酸钠</w:t>
            </w:r>
          </w:p>
        </w:tc>
      </w:tr>
    </w:tbl>
    <w:p w14:paraId="1D77E989">
      <w:pPr>
        <w:spacing w:line="240" w:lineRule="auto"/>
        <w:ind w:firstLine="0" w:firstLineChars="0"/>
        <w:jc w:val="center"/>
        <w:rPr>
          <w:rFonts w:hint="default" w:eastAsia="宋体" w:cs="Times New Roman"/>
          <w:color w:val="auto"/>
          <w:highlight w:val="none"/>
          <w:lang w:val="en-US" w:eastAsia="zh-CN"/>
        </w:rPr>
      </w:pPr>
      <w:bookmarkStart w:id="50" w:name="_Toc20268"/>
      <w:r>
        <w:rPr>
          <w:rFonts w:cs="Times New Roman"/>
          <w:b/>
          <w:color w:val="auto"/>
          <w:szCs w:val="24"/>
          <w:highlight w:val="none"/>
        </w:rPr>
        <w:t>表2-2-</w:t>
      </w:r>
      <w:r>
        <w:rPr>
          <w:rFonts w:hint="eastAsia" w:cs="Times New Roman"/>
          <w:b/>
          <w:color w:val="auto"/>
          <w:szCs w:val="24"/>
          <w:highlight w:val="none"/>
          <w:lang w:val="en-US" w:eastAsia="zh-CN"/>
        </w:rPr>
        <w:t>3</w:t>
      </w:r>
      <w:r>
        <w:rPr>
          <w:rFonts w:cs="Times New Roman"/>
          <w:b/>
          <w:color w:val="auto"/>
          <w:szCs w:val="24"/>
          <w:highlight w:val="none"/>
        </w:rPr>
        <w:t xml:space="preserve">   </w:t>
      </w:r>
      <w:r>
        <w:rPr>
          <w:rFonts w:hint="eastAsia" w:cs="Times New Roman"/>
          <w:b/>
          <w:color w:val="auto"/>
          <w:szCs w:val="24"/>
          <w:highlight w:val="none"/>
          <w:lang w:val="en-US" w:eastAsia="zh-CN"/>
        </w:rPr>
        <w:t>生态影响评价因子筛选表</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6"/>
        <w:gridCol w:w="2312"/>
        <w:gridCol w:w="2618"/>
        <w:gridCol w:w="1144"/>
        <w:gridCol w:w="1152"/>
      </w:tblGrid>
      <w:tr w14:paraId="0B938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6" w:type="dxa"/>
            <w:tcBorders>
              <w:tl2br w:val="nil"/>
              <w:tr2bl w:val="nil"/>
            </w:tcBorders>
            <w:vAlign w:val="center"/>
          </w:tcPr>
          <w:p w14:paraId="510B377F">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受影响对象</w:t>
            </w:r>
          </w:p>
        </w:tc>
        <w:tc>
          <w:tcPr>
            <w:tcW w:w="2312" w:type="dxa"/>
            <w:tcBorders>
              <w:tl2br w:val="nil"/>
              <w:tr2bl w:val="nil"/>
            </w:tcBorders>
            <w:vAlign w:val="center"/>
          </w:tcPr>
          <w:p w14:paraId="0CBBC8AE">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评价因子</w:t>
            </w:r>
          </w:p>
        </w:tc>
        <w:tc>
          <w:tcPr>
            <w:tcW w:w="2618" w:type="dxa"/>
            <w:tcBorders>
              <w:tl2br w:val="nil"/>
              <w:tr2bl w:val="nil"/>
            </w:tcBorders>
            <w:vAlign w:val="center"/>
          </w:tcPr>
          <w:p w14:paraId="7F4A80BF">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工程内容及影响方式</w:t>
            </w:r>
          </w:p>
        </w:tc>
        <w:tc>
          <w:tcPr>
            <w:tcW w:w="1144" w:type="dxa"/>
            <w:tcBorders>
              <w:tl2br w:val="nil"/>
              <w:tr2bl w:val="nil"/>
            </w:tcBorders>
            <w:vAlign w:val="center"/>
          </w:tcPr>
          <w:p w14:paraId="503D4D7F">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影响性质</w:t>
            </w:r>
          </w:p>
        </w:tc>
        <w:tc>
          <w:tcPr>
            <w:tcW w:w="1152" w:type="dxa"/>
            <w:tcBorders>
              <w:tl2br w:val="nil"/>
              <w:tr2bl w:val="nil"/>
            </w:tcBorders>
            <w:vAlign w:val="center"/>
          </w:tcPr>
          <w:p w14:paraId="541C1249">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影响程度</w:t>
            </w:r>
          </w:p>
        </w:tc>
      </w:tr>
      <w:tr w14:paraId="2A363B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6" w:type="dxa"/>
            <w:tcBorders>
              <w:tl2br w:val="nil"/>
              <w:tr2bl w:val="nil"/>
            </w:tcBorders>
            <w:vAlign w:val="center"/>
          </w:tcPr>
          <w:p w14:paraId="084C3470">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物种</w:t>
            </w:r>
          </w:p>
        </w:tc>
        <w:tc>
          <w:tcPr>
            <w:tcW w:w="2312" w:type="dxa"/>
            <w:tcBorders>
              <w:tl2br w:val="nil"/>
              <w:tr2bl w:val="nil"/>
            </w:tcBorders>
            <w:vAlign w:val="center"/>
          </w:tcPr>
          <w:p w14:paraId="1464AE7C">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分布范围、种群数量、种群结构、行为等</w:t>
            </w:r>
          </w:p>
        </w:tc>
        <w:tc>
          <w:tcPr>
            <w:tcW w:w="2618" w:type="dxa"/>
            <w:tcBorders>
              <w:tl2br w:val="nil"/>
              <w:tr2bl w:val="nil"/>
            </w:tcBorders>
            <w:vAlign w:val="center"/>
          </w:tcPr>
          <w:p w14:paraId="4B8A135C">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间接生态影响：施工期、运行期</w:t>
            </w:r>
            <w:r>
              <w:rPr>
                <w:rFonts w:hint="eastAsia"/>
                <w:color w:val="auto"/>
                <w:sz w:val="21"/>
                <w:szCs w:val="21"/>
                <w:highlight w:val="none"/>
                <w:lang w:val="en-US" w:eastAsia="zh-CN"/>
              </w:rPr>
              <w:t>种群数量下降或种群生存能力降低，资源减少及分布变化导致种群结构或种群动态发生变化</w:t>
            </w:r>
          </w:p>
        </w:tc>
        <w:tc>
          <w:tcPr>
            <w:tcW w:w="1144" w:type="dxa"/>
            <w:tcBorders>
              <w:tl2br w:val="nil"/>
              <w:tr2bl w:val="nil"/>
            </w:tcBorders>
            <w:vAlign w:val="center"/>
          </w:tcPr>
          <w:p w14:paraId="0CCA3F28">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cs="Times New Roman"/>
                <w:snapToGrid w:val="0"/>
                <w:color w:val="auto"/>
                <w:kern w:val="0"/>
                <w:sz w:val="21"/>
                <w:szCs w:val="21"/>
                <w:highlight w:val="none"/>
                <w:lang w:val="en-US" w:eastAsia="zh-CN"/>
              </w:rPr>
              <w:t>短期、长期</w:t>
            </w:r>
          </w:p>
        </w:tc>
        <w:tc>
          <w:tcPr>
            <w:tcW w:w="1152" w:type="dxa"/>
            <w:tcBorders>
              <w:tl2br w:val="nil"/>
              <w:tr2bl w:val="nil"/>
            </w:tcBorders>
            <w:vAlign w:val="center"/>
          </w:tcPr>
          <w:p w14:paraId="53B6564E">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中</w:t>
            </w:r>
          </w:p>
        </w:tc>
      </w:tr>
      <w:tr w14:paraId="0783E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6" w:type="dxa"/>
            <w:tcBorders>
              <w:tl2br w:val="nil"/>
              <w:tr2bl w:val="nil"/>
            </w:tcBorders>
            <w:vAlign w:val="center"/>
          </w:tcPr>
          <w:p w14:paraId="10C96DDE">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生境</w:t>
            </w:r>
          </w:p>
        </w:tc>
        <w:tc>
          <w:tcPr>
            <w:tcW w:w="2312" w:type="dxa"/>
            <w:tcBorders>
              <w:tl2br w:val="nil"/>
              <w:tr2bl w:val="nil"/>
            </w:tcBorders>
            <w:vAlign w:val="center"/>
          </w:tcPr>
          <w:p w14:paraId="3F0533D0">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生境面积、质量、连通性等</w:t>
            </w:r>
          </w:p>
        </w:tc>
        <w:tc>
          <w:tcPr>
            <w:tcW w:w="2618" w:type="dxa"/>
            <w:tcBorders>
              <w:tl2br w:val="nil"/>
              <w:tr2bl w:val="nil"/>
            </w:tcBorders>
            <w:vAlign w:val="center"/>
          </w:tcPr>
          <w:p w14:paraId="0FB59361">
            <w:pPr>
              <w:keepNext w:val="0"/>
              <w:keepLines w:val="0"/>
              <w:pageBreakBefore w:val="0"/>
              <w:widowControl w:val="0"/>
              <w:kinsoku/>
              <w:wordWrap/>
              <w:overflowPunct/>
              <w:topLinePunct w:val="0"/>
              <w:autoSpaceDE/>
              <w:autoSpaceDN/>
              <w:bidi w:val="0"/>
              <w:spacing w:line="360" w:lineRule="exact"/>
              <w:ind w:firstLine="0" w:firstLineChars="0"/>
              <w:jc w:val="left"/>
              <w:textAlignment w:val="auto"/>
              <w:rPr>
                <w:rFonts w:hint="eastAsia"/>
                <w:color w:val="auto"/>
                <w:sz w:val="21"/>
                <w:szCs w:val="21"/>
                <w:highlight w:val="none"/>
                <w:lang w:val="en-US" w:eastAsia="zh-CN"/>
              </w:rPr>
            </w:pPr>
            <w:r>
              <w:rPr>
                <w:rFonts w:hint="eastAsia"/>
                <w:color w:val="auto"/>
                <w:sz w:val="21"/>
                <w:szCs w:val="21"/>
                <w:highlight w:val="none"/>
                <w:lang w:val="en-US" w:eastAsia="zh-CN"/>
              </w:rPr>
              <w:t>直接生态影响：施工永久占地导致生境直接破坏或丧失；施工活动以及运行期噪声、振动、灯光等对野生动物行为产生干扰；</w:t>
            </w:r>
          </w:p>
          <w:p w14:paraId="1AE676EE">
            <w:pPr>
              <w:keepNext w:val="0"/>
              <w:keepLines w:val="0"/>
              <w:pageBreakBefore w:val="0"/>
              <w:widowControl w:val="0"/>
              <w:kinsoku/>
              <w:wordWrap/>
              <w:overflowPunct/>
              <w:topLinePunct w:val="0"/>
              <w:autoSpaceDE/>
              <w:autoSpaceDN/>
              <w:bidi w:val="0"/>
              <w:spacing w:line="360" w:lineRule="exact"/>
              <w:ind w:firstLine="0" w:firstLineChars="0"/>
              <w:jc w:val="left"/>
              <w:textAlignment w:val="auto"/>
              <w:rPr>
                <w:rFonts w:hint="default"/>
                <w:color w:val="auto"/>
                <w:sz w:val="21"/>
                <w:szCs w:val="21"/>
                <w:highlight w:val="none"/>
                <w:lang w:val="en-US" w:eastAsia="zh-CN"/>
              </w:rPr>
            </w:pPr>
            <w:r>
              <w:rPr>
                <w:rFonts w:hint="eastAsia"/>
                <w:color w:val="auto"/>
                <w:sz w:val="21"/>
                <w:szCs w:val="21"/>
                <w:highlight w:val="none"/>
                <w:lang w:val="en-US" w:eastAsia="zh-CN"/>
              </w:rPr>
              <w:t>间接生态影响：生境面积和质量下降导致个体亡、</w:t>
            </w:r>
          </w:p>
        </w:tc>
        <w:tc>
          <w:tcPr>
            <w:tcW w:w="1144" w:type="dxa"/>
            <w:tcBorders>
              <w:tl2br w:val="nil"/>
              <w:tr2bl w:val="nil"/>
            </w:tcBorders>
            <w:vAlign w:val="center"/>
          </w:tcPr>
          <w:p w14:paraId="6CBAC5C1">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短期、长期</w:t>
            </w:r>
          </w:p>
        </w:tc>
        <w:tc>
          <w:tcPr>
            <w:tcW w:w="1152" w:type="dxa"/>
            <w:tcBorders>
              <w:tl2br w:val="nil"/>
              <w:tr2bl w:val="nil"/>
            </w:tcBorders>
            <w:vAlign w:val="center"/>
          </w:tcPr>
          <w:p w14:paraId="75852D61">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中</w:t>
            </w:r>
          </w:p>
        </w:tc>
      </w:tr>
      <w:tr w14:paraId="0787C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6" w:type="dxa"/>
            <w:tcBorders>
              <w:tl2br w:val="nil"/>
              <w:tr2bl w:val="nil"/>
            </w:tcBorders>
            <w:vAlign w:val="center"/>
          </w:tcPr>
          <w:p w14:paraId="2C5F4330">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生物群落</w:t>
            </w:r>
          </w:p>
        </w:tc>
        <w:tc>
          <w:tcPr>
            <w:tcW w:w="2312" w:type="dxa"/>
            <w:tcBorders>
              <w:tl2br w:val="nil"/>
              <w:tr2bl w:val="nil"/>
            </w:tcBorders>
            <w:vAlign w:val="center"/>
          </w:tcPr>
          <w:p w14:paraId="6FC426BA">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物种组成、群落结构等</w:t>
            </w:r>
          </w:p>
        </w:tc>
        <w:tc>
          <w:tcPr>
            <w:tcW w:w="2618" w:type="dxa"/>
            <w:tcBorders>
              <w:tl2br w:val="nil"/>
              <w:tr2bl w:val="nil"/>
            </w:tcBorders>
            <w:vAlign w:val="center"/>
          </w:tcPr>
          <w:p w14:paraId="5FA91392">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w:t>
            </w:r>
          </w:p>
        </w:tc>
        <w:tc>
          <w:tcPr>
            <w:tcW w:w="1144" w:type="dxa"/>
            <w:tcBorders>
              <w:tl2br w:val="nil"/>
              <w:tr2bl w:val="nil"/>
            </w:tcBorders>
            <w:vAlign w:val="center"/>
          </w:tcPr>
          <w:p w14:paraId="5D3854C2">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w:t>
            </w:r>
          </w:p>
        </w:tc>
        <w:tc>
          <w:tcPr>
            <w:tcW w:w="1152" w:type="dxa"/>
            <w:tcBorders>
              <w:tl2br w:val="nil"/>
              <w:tr2bl w:val="nil"/>
            </w:tcBorders>
            <w:vAlign w:val="center"/>
          </w:tcPr>
          <w:p w14:paraId="7C1062BF">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w:t>
            </w:r>
          </w:p>
        </w:tc>
      </w:tr>
      <w:tr w14:paraId="419DB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6" w:type="dxa"/>
            <w:tcBorders>
              <w:tl2br w:val="nil"/>
              <w:tr2bl w:val="nil"/>
            </w:tcBorders>
            <w:vAlign w:val="center"/>
          </w:tcPr>
          <w:p w14:paraId="5BDEDA5D">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生态系统</w:t>
            </w:r>
          </w:p>
        </w:tc>
        <w:tc>
          <w:tcPr>
            <w:tcW w:w="2312" w:type="dxa"/>
            <w:tcBorders>
              <w:tl2br w:val="nil"/>
              <w:tr2bl w:val="nil"/>
            </w:tcBorders>
            <w:vAlign w:val="center"/>
          </w:tcPr>
          <w:p w14:paraId="7E9C35F8">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植被覆盖度、生产力、生物量、生态系统功能等</w:t>
            </w:r>
          </w:p>
        </w:tc>
        <w:tc>
          <w:tcPr>
            <w:tcW w:w="2618" w:type="dxa"/>
            <w:tcBorders>
              <w:tl2br w:val="nil"/>
              <w:tr2bl w:val="nil"/>
            </w:tcBorders>
            <w:vAlign w:val="center"/>
          </w:tcPr>
          <w:p w14:paraId="6784DD7F">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直接生态影响：施工期占地范围内植被被破坏，</w:t>
            </w:r>
            <w:r>
              <w:rPr>
                <w:rFonts w:hint="default" w:ascii="Times New Roman" w:hAnsi="Times New Roman" w:eastAsia="宋体" w:cs="Times New Roman"/>
                <w:snapToGrid w:val="0"/>
                <w:color w:val="auto"/>
                <w:kern w:val="0"/>
                <w:sz w:val="21"/>
                <w:szCs w:val="21"/>
                <w:highlight w:val="none"/>
              </w:rPr>
              <w:t>植被覆盖度</w:t>
            </w:r>
            <w:r>
              <w:rPr>
                <w:rFonts w:hint="eastAsia" w:cs="Times New Roman"/>
                <w:snapToGrid w:val="0"/>
                <w:color w:val="auto"/>
                <w:kern w:val="0"/>
                <w:sz w:val="21"/>
                <w:szCs w:val="21"/>
                <w:highlight w:val="none"/>
                <w:lang w:val="en-US" w:eastAsia="zh-CN"/>
              </w:rPr>
              <w:t>降低</w:t>
            </w:r>
          </w:p>
        </w:tc>
        <w:tc>
          <w:tcPr>
            <w:tcW w:w="1144" w:type="dxa"/>
            <w:tcBorders>
              <w:tl2br w:val="nil"/>
              <w:tr2bl w:val="nil"/>
            </w:tcBorders>
            <w:vAlign w:val="center"/>
          </w:tcPr>
          <w:p w14:paraId="7711A5A9">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短期</w:t>
            </w:r>
          </w:p>
        </w:tc>
        <w:tc>
          <w:tcPr>
            <w:tcW w:w="1152" w:type="dxa"/>
            <w:tcBorders>
              <w:tl2br w:val="nil"/>
              <w:tr2bl w:val="nil"/>
            </w:tcBorders>
            <w:vAlign w:val="center"/>
          </w:tcPr>
          <w:p w14:paraId="51577BEA">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中</w:t>
            </w:r>
          </w:p>
        </w:tc>
      </w:tr>
      <w:tr w14:paraId="68381C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6" w:type="dxa"/>
            <w:tcBorders>
              <w:tl2br w:val="nil"/>
              <w:tr2bl w:val="nil"/>
            </w:tcBorders>
            <w:vAlign w:val="center"/>
          </w:tcPr>
          <w:p w14:paraId="1373114A">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生物多样性</w:t>
            </w:r>
          </w:p>
        </w:tc>
        <w:tc>
          <w:tcPr>
            <w:tcW w:w="2312" w:type="dxa"/>
            <w:tcBorders>
              <w:tl2br w:val="nil"/>
              <w:tr2bl w:val="nil"/>
            </w:tcBorders>
            <w:vAlign w:val="center"/>
          </w:tcPr>
          <w:p w14:paraId="77223762">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物种丰富度、均匀度、优势度等</w:t>
            </w:r>
          </w:p>
        </w:tc>
        <w:tc>
          <w:tcPr>
            <w:tcW w:w="2618" w:type="dxa"/>
            <w:tcBorders>
              <w:tl2br w:val="nil"/>
              <w:tr2bl w:val="nil"/>
            </w:tcBorders>
            <w:vAlign w:val="center"/>
          </w:tcPr>
          <w:p w14:paraId="4AFBA4CA">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olor w:val="auto"/>
                <w:sz w:val="21"/>
                <w:szCs w:val="21"/>
                <w:highlight w:val="none"/>
                <w:lang w:val="en-US" w:eastAsia="zh-CN"/>
              </w:rPr>
              <w:t>间接生态影响：</w:t>
            </w:r>
            <w:r>
              <w:rPr>
                <w:rFonts w:hint="eastAsia" w:cs="Times New Roman"/>
                <w:snapToGrid w:val="0"/>
                <w:color w:val="auto"/>
                <w:kern w:val="0"/>
                <w:sz w:val="21"/>
                <w:szCs w:val="21"/>
                <w:highlight w:val="none"/>
                <w:lang w:val="en-US" w:eastAsia="zh-CN"/>
              </w:rPr>
              <w:t>施工期、运营期生物多样性有所下降</w:t>
            </w:r>
          </w:p>
        </w:tc>
        <w:tc>
          <w:tcPr>
            <w:tcW w:w="1144" w:type="dxa"/>
            <w:tcBorders>
              <w:tl2br w:val="nil"/>
              <w:tr2bl w:val="nil"/>
            </w:tcBorders>
            <w:vAlign w:val="center"/>
          </w:tcPr>
          <w:p w14:paraId="3FA5D59E">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长期</w:t>
            </w:r>
          </w:p>
        </w:tc>
        <w:tc>
          <w:tcPr>
            <w:tcW w:w="1152" w:type="dxa"/>
            <w:tcBorders>
              <w:tl2br w:val="nil"/>
              <w:tr2bl w:val="nil"/>
            </w:tcBorders>
            <w:vAlign w:val="center"/>
          </w:tcPr>
          <w:p w14:paraId="211CB018">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中</w:t>
            </w:r>
          </w:p>
        </w:tc>
      </w:tr>
      <w:tr w14:paraId="6E1093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6" w:type="dxa"/>
            <w:tcBorders>
              <w:tl2br w:val="nil"/>
              <w:tr2bl w:val="nil"/>
            </w:tcBorders>
            <w:vAlign w:val="center"/>
          </w:tcPr>
          <w:p w14:paraId="43A0674B">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生态敏感区</w:t>
            </w:r>
          </w:p>
        </w:tc>
        <w:tc>
          <w:tcPr>
            <w:tcW w:w="2312" w:type="dxa"/>
            <w:tcBorders>
              <w:tl2br w:val="nil"/>
              <w:tr2bl w:val="nil"/>
            </w:tcBorders>
            <w:vAlign w:val="center"/>
          </w:tcPr>
          <w:p w14:paraId="486E840D">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主要保护对象、生态功能等</w:t>
            </w:r>
          </w:p>
        </w:tc>
        <w:tc>
          <w:tcPr>
            <w:tcW w:w="2618" w:type="dxa"/>
            <w:tcBorders>
              <w:tl2br w:val="nil"/>
              <w:tr2bl w:val="nil"/>
            </w:tcBorders>
            <w:vAlign w:val="center"/>
          </w:tcPr>
          <w:p w14:paraId="4E3E7D1E">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w:t>
            </w:r>
          </w:p>
        </w:tc>
        <w:tc>
          <w:tcPr>
            <w:tcW w:w="1144" w:type="dxa"/>
            <w:tcBorders>
              <w:tl2br w:val="nil"/>
              <w:tr2bl w:val="nil"/>
            </w:tcBorders>
            <w:vAlign w:val="center"/>
          </w:tcPr>
          <w:p w14:paraId="5C2D8333">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w:t>
            </w:r>
          </w:p>
        </w:tc>
        <w:tc>
          <w:tcPr>
            <w:tcW w:w="1152" w:type="dxa"/>
            <w:tcBorders>
              <w:tl2br w:val="nil"/>
              <w:tr2bl w:val="nil"/>
            </w:tcBorders>
            <w:vAlign w:val="center"/>
          </w:tcPr>
          <w:p w14:paraId="1AF14E5E">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无</w:t>
            </w:r>
          </w:p>
        </w:tc>
      </w:tr>
      <w:tr w14:paraId="3E332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6" w:type="dxa"/>
            <w:tcBorders>
              <w:tl2br w:val="nil"/>
              <w:tr2bl w:val="nil"/>
            </w:tcBorders>
            <w:vAlign w:val="center"/>
          </w:tcPr>
          <w:p w14:paraId="7207ABB7">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自然景观</w:t>
            </w:r>
          </w:p>
        </w:tc>
        <w:tc>
          <w:tcPr>
            <w:tcW w:w="2312" w:type="dxa"/>
            <w:tcBorders>
              <w:tl2br w:val="nil"/>
              <w:tr2bl w:val="nil"/>
            </w:tcBorders>
            <w:vAlign w:val="center"/>
          </w:tcPr>
          <w:p w14:paraId="05AC34EF">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景观多样性、完整性等</w:t>
            </w:r>
          </w:p>
        </w:tc>
        <w:tc>
          <w:tcPr>
            <w:tcW w:w="2618" w:type="dxa"/>
            <w:tcBorders>
              <w:tl2br w:val="nil"/>
              <w:tr2bl w:val="nil"/>
            </w:tcBorders>
            <w:vAlign w:val="center"/>
          </w:tcPr>
          <w:p w14:paraId="459CB558">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w:t>
            </w:r>
          </w:p>
        </w:tc>
        <w:tc>
          <w:tcPr>
            <w:tcW w:w="1144" w:type="dxa"/>
            <w:tcBorders>
              <w:tl2br w:val="nil"/>
              <w:tr2bl w:val="nil"/>
            </w:tcBorders>
            <w:vAlign w:val="center"/>
          </w:tcPr>
          <w:p w14:paraId="72E6603B">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w:t>
            </w:r>
          </w:p>
        </w:tc>
        <w:tc>
          <w:tcPr>
            <w:tcW w:w="1152" w:type="dxa"/>
            <w:tcBorders>
              <w:tl2br w:val="nil"/>
              <w:tr2bl w:val="nil"/>
            </w:tcBorders>
            <w:vAlign w:val="center"/>
          </w:tcPr>
          <w:p w14:paraId="6B2A0716">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无</w:t>
            </w:r>
          </w:p>
        </w:tc>
      </w:tr>
      <w:tr w14:paraId="45DE4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6" w:type="dxa"/>
            <w:tcBorders>
              <w:tl2br w:val="nil"/>
              <w:tr2bl w:val="nil"/>
            </w:tcBorders>
            <w:vAlign w:val="center"/>
          </w:tcPr>
          <w:p w14:paraId="70749E51">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自然遗迹</w:t>
            </w:r>
          </w:p>
        </w:tc>
        <w:tc>
          <w:tcPr>
            <w:tcW w:w="2312" w:type="dxa"/>
            <w:tcBorders>
              <w:tl2br w:val="nil"/>
              <w:tr2bl w:val="nil"/>
            </w:tcBorders>
            <w:vAlign w:val="center"/>
          </w:tcPr>
          <w:p w14:paraId="54F4BD8F">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遗迹多样性、完整性等</w:t>
            </w:r>
          </w:p>
        </w:tc>
        <w:tc>
          <w:tcPr>
            <w:tcW w:w="2618" w:type="dxa"/>
            <w:tcBorders>
              <w:tl2br w:val="nil"/>
              <w:tr2bl w:val="nil"/>
            </w:tcBorders>
            <w:vAlign w:val="center"/>
          </w:tcPr>
          <w:p w14:paraId="2C3CD063">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cs="Times New Roman"/>
                <w:snapToGrid w:val="0"/>
                <w:color w:val="auto"/>
                <w:kern w:val="0"/>
                <w:sz w:val="21"/>
                <w:szCs w:val="21"/>
                <w:highlight w:val="none"/>
                <w:lang w:val="en-US" w:eastAsia="zh-CN"/>
              </w:rPr>
              <w:t>/</w:t>
            </w:r>
          </w:p>
        </w:tc>
        <w:tc>
          <w:tcPr>
            <w:tcW w:w="1144" w:type="dxa"/>
            <w:tcBorders>
              <w:tl2br w:val="nil"/>
              <w:tr2bl w:val="nil"/>
            </w:tcBorders>
            <w:vAlign w:val="center"/>
          </w:tcPr>
          <w:p w14:paraId="33810048">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eastAsia" w:cs="Times New Roman"/>
                <w:snapToGrid w:val="0"/>
                <w:color w:val="auto"/>
                <w:kern w:val="0"/>
                <w:sz w:val="21"/>
                <w:szCs w:val="21"/>
                <w:highlight w:val="none"/>
                <w:lang w:val="en-US" w:eastAsia="zh-CN"/>
              </w:rPr>
              <w:t>/</w:t>
            </w:r>
          </w:p>
        </w:tc>
        <w:tc>
          <w:tcPr>
            <w:tcW w:w="1152" w:type="dxa"/>
            <w:tcBorders>
              <w:tl2br w:val="nil"/>
              <w:tr2bl w:val="nil"/>
            </w:tcBorders>
            <w:vAlign w:val="center"/>
          </w:tcPr>
          <w:p w14:paraId="6A5B5BB9">
            <w:pPr>
              <w:keepNext w:val="0"/>
              <w:keepLines w:val="0"/>
              <w:pageBreakBefore w:val="0"/>
              <w:widowControl w:val="0"/>
              <w:kinsoku/>
              <w:wordWrap/>
              <w:overflowPunct/>
              <w:topLinePunct w:val="0"/>
              <w:autoSpaceDE/>
              <w:autoSpaceDN/>
              <w:bidi w:val="0"/>
              <w:spacing w:line="360" w:lineRule="exact"/>
              <w:ind w:firstLine="0" w:firstLineChars="0"/>
              <w:jc w:val="center"/>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无</w:t>
            </w:r>
          </w:p>
        </w:tc>
      </w:tr>
      <w:tr w14:paraId="06016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5"/>
            <w:tcBorders>
              <w:tl2br w:val="nil"/>
              <w:tr2bl w:val="nil"/>
            </w:tcBorders>
            <w:vAlign w:val="center"/>
          </w:tcPr>
          <w:p w14:paraId="52499B7E">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注 1：应按施工期、运行期以及服务期满后（可根据项目情况选择）等不同阶段进行工程分析和评价因子筛选。</w:t>
            </w:r>
          </w:p>
          <w:p w14:paraId="3B8C6278">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注 2：影响性质主要包括长期与短期、可逆与不可逆生态影响。</w:t>
            </w:r>
          </w:p>
          <w:p w14:paraId="6D661AF9">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注 3：影响方式可分为直接、间接、累积生态影响，可依据以下内容进行判断：</w:t>
            </w:r>
          </w:p>
          <w:p w14:paraId="04E28D3A">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a） 直接生态影响：临时、永久占地导致生境直接破坏或丧失；工程施工、运行导致个体直接死亡；物种迁徙（或洄游）、扩散、种群交流受到阻隔；施工活动以及运行期噪声、振动、灯光等对野生动物行为产生干扰；工程建设改变河流、湖泊等水体天然状态等；</w:t>
            </w:r>
          </w:p>
          <w:p w14:paraId="13754072">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b） 间接生态影响：水文情势变化导致生境条件、水生生态系统发生变化；地下水水位、土壤理化特性变化导致动植物群落发生变化；生境面积和质量下降导致个体死亡、种群数量下降或种群生存能力降低；资源减少及分布变化导致种群结构或种群动态发生变化；因阻隔影响造成种群间基因交流减少，导致小种群灭绝风险增加；滞后效应（例如，由于关键种的消失使捕食者和被捕食者的关系发生变化）等；</w:t>
            </w:r>
          </w:p>
          <w:p w14:paraId="673EDC1C">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c） 累积生态影响：整个区域生境的逐渐丧失和破碎化；在景观尺度上生境的多样性减少；不可逆转的生物多样性下降；生态系统持续退化等。</w:t>
            </w:r>
          </w:p>
          <w:p w14:paraId="76B3265B">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注 4：影响程度可分为强、中、弱、无四个等级，可依据以下原则进行初步判断：</w:t>
            </w:r>
          </w:p>
          <w:p w14:paraId="7EE68966">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a） 强：生境受到严重破坏，水系开放连通性受到显著影响；野生动植物难以栖息繁衍（或生长繁殖），物种种类明显减少，种群数量显著下降，种群结构明显改变；生物多样性显著下降，生态系统结构和功能受到严重损害，生态系统稳定性难以维持；自然景观、自然遗迹受到永久性破坏；生态修复难度较大；</w:t>
            </w:r>
          </w:p>
          <w:p w14:paraId="1E532B7E">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b） 中：生境受到一定程度破坏，水系开放连通性受到一定程度影响；野生动植物栖息繁衍（或生长繁殖）受到一定程度干扰，物种种类减少，种群数量下降，种群结构改变；生物多样性有所下降，生态系统结构和功能受到一定程度破坏，生态系统稳定性受到一定程度干扰；自然景观、自然遗迹受到暂时性影响；通过采取一定措施上述不利影响可以得到减缓和控制，生态修复难度一般；</w:t>
            </w:r>
          </w:p>
          <w:p w14:paraId="3EDB8846">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rFonts w:hint="eastAsia"/>
                <w:color w:val="auto"/>
                <w:sz w:val="21"/>
                <w:szCs w:val="21"/>
                <w:highlight w:val="none"/>
              </w:rPr>
            </w:pPr>
            <w:r>
              <w:rPr>
                <w:rFonts w:hint="eastAsia"/>
                <w:color w:val="auto"/>
                <w:sz w:val="21"/>
                <w:szCs w:val="21"/>
                <w:highlight w:val="none"/>
              </w:rPr>
              <w:t>c） 弱：生境受到暂时性破坏，水系开放连通性变化不大；野生动植物栖息繁衍（或生长繁殖）受到暂时性干扰，物种种类、种群数量、种群结构变化不大；生物多样性、生态系统结构、功能以及生态系统稳定性基本维持现状；自然景观、自然遗迹基本未受到破坏；在干扰消失后可以修复或自然恢复；</w:t>
            </w:r>
          </w:p>
          <w:p w14:paraId="18E8FFDC">
            <w:pPr>
              <w:pStyle w:val="36"/>
              <w:keepNext w:val="0"/>
              <w:keepLines w:val="0"/>
              <w:pageBreakBefore w:val="0"/>
              <w:widowControl w:val="0"/>
              <w:kinsoku/>
              <w:wordWrap/>
              <w:overflowPunct/>
              <w:topLinePunct w:val="0"/>
              <w:autoSpaceDE/>
              <w:autoSpaceDN/>
              <w:bidi w:val="0"/>
              <w:spacing w:line="360" w:lineRule="exact"/>
              <w:ind w:left="0" w:leftChars="0" w:firstLine="0" w:firstLineChars="0"/>
              <w:textAlignment w:val="auto"/>
              <w:rPr>
                <w:color w:val="auto"/>
                <w:sz w:val="21"/>
                <w:szCs w:val="21"/>
                <w:highlight w:val="none"/>
              </w:rPr>
            </w:pPr>
            <w:r>
              <w:rPr>
                <w:rFonts w:hint="eastAsia"/>
                <w:color w:val="auto"/>
                <w:sz w:val="21"/>
                <w:szCs w:val="21"/>
                <w:highlight w:val="none"/>
              </w:rPr>
              <w:t>d） 无：生境未受到破坏，水系开放连通性未受到影响；野生动植物栖息繁衍（或生长繁殖）未受到影响；生物多样性、生态系统结构、功能以及生态系统稳定性维持现状；自然景观、自然遗迹未受到破坏。</w:t>
            </w:r>
          </w:p>
        </w:tc>
      </w:tr>
    </w:tbl>
    <w:p w14:paraId="6AF2284C">
      <w:pPr>
        <w:pStyle w:val="4"/>
        <w:spacing w:after="156"/>
        <w:rPr>
          <w:rFonts w:cs="Times New Roman"/>
          <w:color w:val="auto"/>
          <w:highlight w:val="none"/>
        </w:rPr>
      </w:pPr>
      <w:r>
        <w:rPr>
          <w:rFonts w:cs="Times New Roman"/>
          <w:color w:val="auto"/>
          <w:highlight w:val="none"/>
        </w:rPr>
        <w:t>2.2.2 评价标准</w:t>
      </w:r>
      <w:bookmarkEnd w:id="50"/>
    </w:p>
    <w:p w14:paraId="2C6E87EF">
      <w:pPr>
        <w:rPr>
          <w:rFonts w:cs="Times New Roman"/>
          <w:color w:val="auto"/>
          <w:szCs w:val="24"/>
          <w:highlight w:val="none"/>
        </w:rPr>
      </w:pPr>
      <w:r>
        <w:rPr>
          <w:rFonts w:cs="Times New Roman"/>
          <w:color w:val="auto"/>
          <w:szCs w:val="24"/>
          <w:highlight w:val="none"/>
        </w:rPr>
        <w:t>根据项目性质和特点，所在地区环境功能、环境特征，确定本评价采用的标准如下：</w:t>
      </w:r>
    </w:p>
    <w:p w14:paraId="62298A12">
      <w:pPr>
        <w:pStyle w:val="452"/>
        <w:spacing w:before="0" w:beforeLines="0" w:after="0" w:afterLines="0"/>
        <w:outlineLvl w:val="3"/>
        <w:rPr>
          <w:rFonts w:eastAsia="宋体" w:cs="Times New Roman"/>
          <w:b/>
          <w:color w:val="auto"/>
          <w:highlight w:val="none"/>
        </w:rPr>
      </w:pPr>
      <w:bookmarkStart w:id="51" w:name="_Toc16704"/>
      <w:bookmarkStart w:id="52" w:name="_Toc16033"/>
      <w:bookmarkStart w:id="53" w:name="_Toc12405"/>
      <w:r>
        <w:rPr>
          <w:rFonts w:eastAsia="宋体" w:cs="Times New Roman"/>
          <w:b/>
          <w:color w:val="auto"/>
          <w:highlight w:val="none"/>
        </w:rPr>
        <w:t>2.2.2.1 环境质量标准</w:t>
      </w:r>
      <w:bookmarkEnd w:id="51"/>
      <w:bookmarkEnd w:id="52"/>
      <w:bookmarkEnd w:id="53"/>
    </w:p>
    <w:p w14:paraId="7007B662">
      <w:pPr>
        <w:ind w:firstLine="482"/>
        <w:rPr>
          <w:rFonts w:cs="Times New Roman"/>
          <w:color w:val="auto"/>
          <w:szCs w:val="24"/>
          <w:highlight w:val="none"/>
        </w:rPr>
      </w:pPr>
      <w:r>
        <w:rPr>
          <w:rFonts w:cs="Times New Roman"/>
          <w:b/>
          <w:bCs/>
          <w:color w:val="auto"/>
          <w:szCs w:val="24"/>
          <w:highlight w:val="none"/>
        </w:rPr>
        <w:t>1、环境空气质量标准</w:t>
      </w:r>
    </w:p>
    <w:p w14:paraId="3B592D51">
      <w:pPr>
        <w:pStyle w:val="82"/>
        <w:ind w:firstLine="480"/>
        <w:rPr>
          <w:rFonts w:ascii="Times New Roman" w:hAnsi="Times New Roman" w:cs="Times New Roman"/>
          <w:snapToGrid w:val="0"/>
          <w:color w:val="auto"/>
          <w:sz w:val="24"/>
          <w:szCs w:val="24"/>
          <w:highlight w:val="none"/>
        </w:rPr>
      </w:pPr>
      <w:r>
        <w:rPr>
          <w:rFonts w:ascii="Times New Roman" w:hAnsi="Times New Roman" w:cs="Times New Roman"/>
          <w:color w:val="auto"/>
          <w:sz w:val="24"/>
          <w:szCs w:val="24"/>
          <w:highlight w:val="none"/>
        </w:rPr>
        <w:t>本项目所在区域属于《环境空气质量标准》（GB3095-2012）及2018年修改单中二类区，基本污染物执行《环境空气质量标准》（GB3095-2012）及2018年修改单中二级标准。其他污染物氨、H</w:t>
      </w:r>
      <w:r>
        <w:rPr>
          <w:rFonts w:ascii="Times New Roman" w:hAnsi="Times New Roman" w:cs="Times New Roman"/>
          <w:color w:val="auto"/>
          <w:sz w:val="24"/>
          <w:szCs w:val="24"/>
          <w:highlight w:val="none"/>
          <w:vertAlign w:val="subscript"/>
        </w:rPr>
        <w:t>2</w:t>
      </w:r>
      <w:r>
        <w:rPr>
          <w:rFonts w:ascii="Times New Roman" w:hAnsi="Times New Roman" w:cs="Times New Roman"/>
          <w:color w:val="auto"/>
          <w:sz w:val="24"/>
          <w:szCs w:val="24"/>
          <w:highlight w:val="none"/>
        </w:rPr>
        <w:t>S执行《环境影响评价技术导则 大气环境》（HJ2.2-2018）中</w:t>
      </w:r>
      <w:r>
        <w:rPr>
          <w:rFonts w:ascii="Times New Roman" w:hAnsi="Times New Roman" w:cs="Times New Roman"/>
          <w:color w:val="auto"/>
          <w:kern w:val="0"/>
          <w:sz w:val="24"/>
          <w:szCs w:val="24"/>
          <w:highlight w:val="none"/>
        </w:rPr>
        <w:t>附录D中其他污染物空气质量浓度参考限值</w:t>
      </w:r>
      <w:r>
        <w:rPr>
          <w:rFonts w:ascii="Times New Roman" w:hAnsi="Times New Roman" w:cs="Times New Roman"/>
          <w:color w:val="auto"/>
          <w:sz w:val="24"/>
          <w:szCs w:val="24"/>
          <w:highlight w:val="none"/>
        </w:rPr>
        <w:t>，TSP执行《环境空气质量标准》（GB3095-2012）及2018年修改单中二级标准，标准值见表2-2-</w:t>
      </w:r>
      <w:r>
        <w:rPr>
          <w:rFonts w:hint="eastAsia" w:ascii="Times New Roman" w:hAnsi="Times New Roman" w:cs="Times New Roman"/>
          <w:color w:val="auto"/>
          <w:sz w:val="24"/>
          <w:szCs w:val="24"/>
          <w:highlight w:val="none"/>
          <w:lang w:val="en-US" w:eastAsia="zh-CN"/>
        </w:rPr>
        <w:t>4</w:t>
      </w:r>
      <w:r>
        <w:rPr>
          <w:rFonts w:ascii="Times New Roman" w:hAnsi="Times New Roman" w:cs="Times New Roman"/>
          <w:color w:val="auto"/>
          <w:sz w:val="24"/>
          <w:szCs w:val="24"/>
          <w:highlight w:val="none"/>
        </w:rPr>
        <w:t>。</w:t>
      </w:r>
    </w:p>
    <w:p w14:paraId="6DBE4F0E">
      <w:pPr>
        <w:spacing w:line="240" w:lineRule="auto"/>
        <w:ind w:firstLine="482"/>
        <w:jc w:val="right"/>
        <w:rPr>
          <w:rFonts w:cs="Times New Roman"/>
          <w:b/>
          <w:color w:val="auto"/>
          <w:szCs w:val="24"/>
          <w:highlight w:val="none"/>
        </w:rPr>
      </w:pPr>
      <w:r>
        <w:rPr>
          <w:rFonts w:cs="Times New Roman"/>
          <w:b/>
          <w:color w:val="auto"/>
          <w:szCs w:val="24"/>
          <w:highlight w:val="none"/>
        </w:rPr>
        <w:t>2-2-</w:t>
      </w:r>
      <w:r>
        <w:rPr>
          <w:rFonts w:hint="eastAsia" w:cs="Times New Roman"/>
          <w:b/>
          <w:color w:val="auto"/>
          <w:szCs w:val="24"/>
          <w:highlight w:val="none"/>
          <w:lang w:val="en-US" w:eastAsia="zh-CN"/>
        </w:rPr>
        <w:t>4</w:t>
      </w:r>
      <w:r>
        <w:rPr>
          <w:rFonts w:cs="Times New Roman"/>
          <w:b/>
          <w:color w:val="auto"/>
          <w:szCs w:val="24"/>
          <w:highlight w:val="none"/>
        </w:rPr>
        <w:t xml:space="preserve">  环境空气质量标准                 单位：μg/m</w:t>
      </w:r>
      <w:r>
        <w:rPr>
          <w:rFonts w:cs="Times New Roman"/>
          <w:b/>
          <w:color w:val="auto"/>
          <w:szCs w:val="24"/>
          <w:highlight w:val="none"/>
          <w:vertAlign w:val="superscript"/>
        </w:rPr>
        <w:t>3</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802"/>
        <w:gridCol w:w="1387"/>
        <w:gridCol w:w="2114"/>
        <w:gridCol w:w="2014"/>
      </w:tblGrid>
      <w:tr w14:paraId="5A2A1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38" w:hRule="atLeast"/>
          <w:tblHeader/>
          <w:jc w:val="center"/>
        </w:trPr>
        <w:tc>
          <w:tcPr>
            <w:tcW w:w="2802" w:type="dxa"/>
            <w:vAlign w:val="center"/>
          </w:tcPr>
          <w:p w14:paraId="6701B61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标准来源</w:t>
            </w:r>
          </w:p>
        </w:tc>
        <w:tc>
          <w:tcPr>
            <w:tcW w:w="1387" w:type="dxa"/>
            <w:vAlign w:val="center"/>
          </w:tcPr>
          <w:p w14:paraId="0EF397E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污染物名称</w:t>
            </w:r>
          </w:p>
        </w:tc>
        <w:tc>
          <w:tcPr>
            <w:tcW w:w="2114" w:type="dxa"/>
            <w:vAlign w:val="center"/>
          </w:tcPr>
          <w:p w14:paraId="0353340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取样时间</w:t>
            </w:r>
          </w:p>
        </w:tc>
        <w:tc>
          <w:tcPr>
            <w:tcW w:w="2014" w:type="dxa"/>
            <w:vAlign w:val="center"/>
          </w:tcPr>
          <w:p w14:paraId="65A7FDC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二级标准值</w:t>
            </w:r>
          </w:p>
        </w:tc>
      </w:tr>
      <w:tr w14:paraId="055003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restart"/>
            <w:vAlign w:val="center"/>
          </w:tcPr>
          <w:p w14:paraId="44A77D7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《环境空气质量标准》</w:t>
            </w:r>
          </w:p>
          <w:p w14:paraId="2CD05F7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（GB3095-2012）及2018年修改单二级标准</w:t>
            </w:r>
          </w:p>
        </w:tc>
        <w:tc>
          <w:tcPr>
            <w:tcW w:w="1387" w:type="dxa"/>
            <w:vMerge w:val="restart"/>
            <w:vAlign w:val="center"/>
          </w:tcPr>
          <w:p w14:paraId="1E14286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PM</w:t>
            </w:r>
            <w:r>
              <w:rPr>
                <w:rFonts w:cs="Times New Roman"/>
                <w:color w:val="auto"/>
                <w:sz w:val="21"/>
                <w:szCs w:val="21"/>
                <w:highlight w:val="none"/>
                <w:vertAlign w:val="subscript"/>
              </w:rPr>
              <w:t>10</w:t>
            </w:r>
          </w:p>
        </w:tc>
        <w:tc>
          <w:tcPr>
            <w:tcW w:w="2114" w:type="dxa"/>
            <w:vAlign w:val="center"/>
          </w:tcPr>
          <w:p w14:paraId="22AC4F8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24小时平均</w:t>
            </w:r>
          </w:p>
        </w:tc>
        <w:tc>
          <w:tcPr>
            <w:tcW w:w="2014" w:type="dxa"/>
            <w:vAlign w:val="center"/>
          </w:tcPr>
          <w:p w14:paraId="6E05D49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150</w:t>
            </w:r>
          </w:p>
        </w:tc>
      </w:tr>
      <w:tr w14:paraId="10A74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6DAD0526">
            <w:pPr>
              <w:widowControl/>
              <w:spacing w:line="360" w:lineRule="exact"/>
              <w:ind w:firstLine="0" w:firstLineChars="0"/>
              <w:jc w:val="center"/>
              <w:rPr>
                <w:rFonts w:cs="Times New Roman"/>
                <w:color w:val="auto"/>
                <w:sz w:val="21"/>
                <w:szCs w:val="21"/>
                <w:highlight w:val="none"/>
              </w:rPr>
            </w:pPr>
          </w:p>
        </w:tc>
        <w:tc>
          <w:tcPr>
            <w:tcW w:w="1387" w:type="dxa"/>
            <w:vMerge w:val="continue"/>
            <w:vAlign w:val="center"/>
          </w:tcPr>
          <w:p w14:paraId="2A2D0327">
            <w:pPr>
              <w:widowControl/>
              <w:spacing w:line="360" w:lineRule="exact"/>
              <w:ind w:firstLine="0" w:firstLineChars="0"/>
              <w:jc w:val="center"/>
              <w:rPr>
                <w:rFonts w:cs="Times New Roman"/>
                <w:color w:val="auto"/>
                <w:sz w:val="21"/>
                <w:szCs w:val="21"/>
                <w:highlight w:val="none"/>
              </w:rPr>
            </w:pPr>
          </w:p>
        </w:tc>
        <w:tc>
          <w:tcPr>
            <w:tcW w:w="2114" w:type="dxa"/>
            <w:vAlign w:val="center"/>
          </w:tcPr>
          <w:p w14:paraId="4723C74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年平均</w:t>
            </w:r>
          </w:p>
        </w:tc>
        <w:tc>
          <w:tcPr>
            <w:tcW w:w="2014" w:type="dxa"/>
            <w:vAlign w:val="center"/>
          </w:tcPr>
          <w:p w14:paraId="729CF26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70</w:t>
            </w:r>
          </w:p>
        </w:tc>
      </w:tr>
      <w:tr w14:paraId="1D7ED2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5B544F2D">
            <w:pPr>
              <w:spacing w:line="360" w:lineRule="exact"/>
              <w:ind w:firstLine="0" w:firstLineChars="0"/>
              <w:jc w:val="center"/>
              <w:rPr>
                <w:rFonts w:cs="Times New Roman"/>
                <w:color w:val="auto"/>
                <w:sz w:val="21"/>
                <w:szCs w:val="21"/>
                <w:highlight w:val="none"/>
              </w:rPr>
            </w:pPr>
          </w:p>
        </w:tc>
        <w:tc>
          <w:tcPr>
            <w:tcW w:w="1387" w:type="dxa"/>
            <w:vMerge w:val="restart"/>
            <w:vAlign w:val="center"/>
          </w:tcPr>
          <w:p w14:paraId="2C5156A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PM</w:t>
            </w:r>
            <w:r>
              <w:rPr>
                <w:rFonts w:cs="Times New Roman"/>
                <w:color w:val="auto"/>
                <w:sz w:val="21"/>
                <w:szCs w:val="21"/>
                <w:highlight w:val="none"/>
                <w:vertAlign w:val="subscript"/>
              </w:rPr>
              <w:t>2.5</w:t>
            </w:r>
          </w:p>
        </w:tc>
        <w:tc>
          <w:tcPr>
            <w:tcW w:w="2114" w:type="dxa"/>
            <w:vAlign w:val="center"/>
          </w:tcPr>
          <w:p w14:paraId="396C49E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24小时平均</w:t>
            </w:r>
          </w:p>
        </w:tc>
        <w:tc>
          <w:tcPr>
            <w:tcW w:w="2014" w:type="dxa"/>
            <w:vAlign w:val="center"/>
          </w:tcPr>
          <w:p w14:paraId="1099C4B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75</w:t>
            </w:r>
          </w:p>
        </w:tc>
      </w:tr>
      <w:tr w14:paraId="249D5C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22D256AA">
            <w:pPr>
              <w:widowControl/>
              <w:spacing w:line="360" w:lineRule="exact"/>
              <w:ind w:firstLine="0" w:firstLineChars="0"/>
              <w:jc w:val="center"/>
              <w:rPr>
                <w:rFonts w:cs="Times New Roman"/>
                <w:color w:val="auto"/>
                <w:sz w:val="21"/>
                <w:szCs w:val="21"/>
                <w:highlight w:val="none"/>
              </w:rPr>
            </w:pPr>
          </w:p>
        </w:tc>
        <w:tc>
          <w:tcPr>
            <w:tcW w:w="1387" w:type="dxa"/>
            <w:vMerge w:val="continue"/>
            <w:vAlign w:val="center"/>
          </w:tcPr>
          <w:p w14:paraId="7A5E8320">
            <w:pPr>
              <w:widowControl/>
              <w:spacing w:line="360" w:lineRule="exact"/>
              <w:ind w:firstLine="0" w:firstLineChars="0"/>
              <w:jc w:val="center"/>
              <w:rPr>
                <w:rFonts w:cs="Times New Roman"/>
                <w:color w:val="auto"/>
                <w:sz w:val="21"/>
                <w:szCs w:val="21"/>
                <w:highlight w:val="none"/>
              </w:rPr>
            </w:pPr>
          </w:p>
        </w:tc>
        <w:tc>
          <w:tcPr>
            <w:tcW w:w="2114" w:type="dxa"/>
            <w:vAlign w:val="center"/>
          </w:tcPr>
          <w:p w14:paraId="3FAE103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年平均</w:t>
            </w:r>
          </w:p>
        </w:tc>
        <w:tc>
          <w:tcPr>
            <w:tcW w:w="2014" w:type="dxa"/>
            <w:vAlign w:val="center"/>
          </w:tcPr>
          <w:p w14:paraId="28F43E8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35</w:t>
            </w:r>
          </w:p>
        </w:tc>
      </w:tr>
      <w:tr w14:paraId="7F363C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761F3EE1">
            <w:pPr>
              <w:spacing w:line="360" w:lineRule="exact"/>
              <w:ind w:firstLine="0" w:firstLineChars="0"/>
              <w:jc w:val="center"/>
              <w:rPr>
                <w:rFonts w:cs="Times New Roman"/>
                <w:color w:val="auto"/>
                <w:sz w:val="21"/>
                <w:szCs w:val="21"/>
                <w:highlight w:val="none"/>
              </w:rPr>
            </w:pPr>
          </w:p>
        </w:tc>
        <w:tc>
          <w:tcPr>
            <w:tcW w:w="1387" w:type="dxa"/>
            <w:vMerge w:val="restart"/>
            <w:vAlign w:val="center"/>
          </w:tcPr>
          <w:p w14:paraId="62395CE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SO</w:t>
            </w:r>
            <w:r>
              <w:rPr>
                <w:rFonts w:cs="Times New Roman"/>
                <w:color w:val="auto"/>
                <w:sz w:val="21"/>
                <w:szCs w:val="21"/>
                <w:highlight w:val="none"/>
                <w:vertAlign w:val="subscript"/>
              </w:rPr>
              <w:t>2</w:t>
            </w:r>
          </w:p>
        </w:tc>
        <w:tc>
          <w:tcPr>
            <w:tcW w:w="2114" w:type="dxa"/>
            <w:vAlign w:val="center"/>
          </w:tcPr>
          <w:p w14:paraId="4F11EF1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24小时平均</w:t>
            </w:r>
          </w:p>
        </w:tc>
        <w:tc>
          <w:tcPr>
            <w:tcW w:w="2014" w:type="dxa"/>
            <w:vAlign w:val="center"/>
          </w:tcPr>
          <w:p w14:paraId="0AA9ABC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150</w:t>
            </w:r>
          </w:p>
        </w:tc>
      </w:tr>
      <w:tr w14:paraId="71415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1804621D">
            <w:pPr>
              <w:widowControl/>
              <w:spacing w:line="360" w:lineRule="exact"/>
              <w:ind w:firstLine="0" w:firstLineChars="0"/>
              <w:jc w:val="center"/>
              <w:rPr>
                <w:rFonts w:cs="Times New Roman"/>
                <w:color w:val="auto"/>
                <w:sz w:val="21"/>
                <w:szCs w:val="21"/>
                <w:highlight w:val="none"/>
              </w:rPr>
            </w:pPr>
          </w:p>
        </w:tc>
        <w:tc>
          <w:tcPr>
            <w:tcW w:w="1387" w:type="dxa"/>
            <w:vMerge w:val="continue"/>
            <w:vAlign w:val="center"/>
          </w:tcPr>
          <w:p w14:paraId="492A9008">
            <w:pPr>
              <w:widowControl/>
              <w:spacing w:line="360" w:lineRule="exact"/>
              <w:ind w:firstLine="0" w:firstLineChars="0"/>
              <w:jc w:val="center"/>
              <w:rPr>
                <w:rFonts w:cs="Times New Roman"/>
                <w:color w:val="auto"/>
                <w:sz w:val="21"/>
                <w:szCs w:val="21"/>
                <w:highlight w:val="none"/>
              </w:rPr>
            </w:pPr>
          </w:p>
        </w:tc>
        <w:tc>
          <w:tcPr>
            <w:tcW w:w="2114" w:type="dxa"/>
            <w:vAlign w:val="center"/>
          </w:tcPr>
          <w:p w14:paraId="14A0B5E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1小时平均</w:t>
            </w:r>
          </w:p>
        </w:tc>
        <w:tc>
          <w:tcPr>
            <w:tcW w:w="2014" w:type="dxa"/>
            <w:vAlign w:val="center"/>
          </w:tcPr>
          <w:p w14:paraId="46EED41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500</w:t>
            </w:r>
          </w:p>
        </w:tc>
      </w:tr>
      <w:tr w14:paraId="783F9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69A86870">
            <w:pPr>
              <w:spacing w:line="360" w:lineRule="exact"/>
              <w:ind w:firstLine="0" w:firstLineChars="0"/>
              <w:jc w:val="center"/>
              <w:rPr>
                <w:rFonts w:cs="Times New Roman"/>
                <w:color w:val="auto"/>
                <w:sz w:val="21"/>
                <w:szCs w:val="21"/>
                <w:highlight w:val="none"/>
              </w:rPr>
            </w:pPr>
          </w:p>
        </w:tc>
        <w:tc>
          <w:tcPr>
            <w:tcW w:w="1387" w:type="dxa"/>
            <w:vMerge w:val="restart"/>
            <w:vAlign w:val="center"/>
          </w:tcPr>
          <w:p w14:paraId="27B9A52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NO</w:t>
            </w:r>
            <w:r>
              <w:rPr>
                <w:rFonts w:cs="Times New Roman"/>
                <w:color w:val="auto"/>
                <w:sz w:val="21"/>
                <w:szCs w:val="21"/>
                <w:highlight w:val="none"/>
                <w:vertAlign w:val="subscript"/>
              </w:rPr>
              <w:t>2</w:t>
            </w:r>
          </w:p>
        </w:tc>
        <w:tc>
          <w:tcPr>
            <w:tcW w:w="2114" w:type="dxa"/>
            <w:vAlign w:val="center"/>
          </w:tcPr>
          <w:p w14:paraId="1F934E4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24小时平均</w:t>
            </w:r>
          </w:p>
        </w:tc>
        <w:tc>
          <w:tcPr>
            <w:tcW w:w="2014" w:type="dxa"/>
            <w:vAlign w:val="center"/>
          </w:tcPr>
          <w:p w14:paraId="0DC4889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80</w:t>
            </w:r>
          </w:p>
        </w:tc>
      </w:tr>
      <w:tr w14:paraId="4DC0F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797A332C">
            <w:pPr>
              <w:widowControl/>
              <w:spacing w:line="360" w:lineRule="exact"/>
              <w:ind w:firstLine="0" w:firstLineChars="0"/>
              <w:jc w:val="center"/>
              <w:rPr>
                <w:rFonts w:cs="Times New Roman"/>
                <w:color w:val="auto"/>
                <w:sz w:val="21"/>
                <w:szCs w:val="21"/>
                <w:highlight w:val="none"/>
              </w:rPr>
            </w:pPr>
          </w:p>
        </w:tc>
        <w:tc>
          <w:tcPr>
            <w:tcW w:w="1387" w:type="dxa"/>
            <w:vMerge w:val="continue"/>
            <w:vAlign w:val="center"/>
          </w:tcPr>
          <w:p w14:paraId="73EFCBAF">
            <w:pPr>
              <w:widowControl/>
              <w:spacing w:line="360" w:lineRule="exact"/>
              <w:ind w:firstLine="0" w:firstLineChars="0"/>
              <w:jc w:val="center"/>
              <w:rPr>
                <w:rFonts w:cs="Times New Roman"/>
                <w:color w:val="auto"/>
                <w:sz w:val="21"/>
                <w:szCs w:val="21"/>
                <w:highlight w:val="none"/>
              </w:rPr>
            </w:pPr>
          </w:p>
        </w:tc>
        <w:tc>
          <w:tcPr>
            <w:tcW w:w="2114" w:type="dxa"/>
            <w:vAlign w:val="center"/>
          </w:tcPr>
          <w:p w14:paraId="79731A5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1小时平均</w:t>
            </w:r>
          </w:p>
        </w:tc>
        <w:tc>
          <w:tcPr>
            <w:tcW w:w="2014" w:type="dxa"/>
            <w:vAlign w:val="center"/>
          </w:tcPr>
          <w:p w14:paraId="03BDFEE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200</w:t>
            </w:r>
          </w:p>
        </w:tc>
      </w:tr>
      <w:tr w14:paraId="3A11DF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76D8054F">
            <w:pPr>
              <w:spacing w:line="360" w:lineRule="exact"/>
              <w:ind w:firstLine="0" w:firstLineChars="0"/>
              <w:jc w:val="center"/>
              <w:rPr>
                <w:rFonts w:cs="Times New Roman"/>
                <w:color w:val="auto"/>
                <w:sz w:val="21"/>
                <w:szCs w:val="21"/>
                <w:highlight w:val="none"/>
              </w:rPr>
            </w:pPr>
          </w:p>
        </w:tc>
        <w:tc>
          <w:tcPr>
            <w:tcW w:w="1387" w:type="dxa"/>
            <w:vMerge w:val="restart"/>
            <w:vAlign w:val="center"/>
          </w:tcPr>
          <w:p w14:paraId="2E91C73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w:t>
            </w:r>
          </w:p>
        </w:tc>
        <w:tc>
          <w:tcPr>
            <w:tcW w:w="2114" w:type="dxa"/>
            <w:vAlign w:val="center"/>
          </w:tcPr>
          <w:p w14:paraId="2F9BE9B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24小时平均</w:t>
            </w:r>
          </w:p>
        </w:tc>
        <w:tc>
          <w:tcPr>
            <w:tcW w:w="2014" w:type="dxa"/>
            <w:vAlign w:val="center"/>
          </w:tcPr>
          <w:p w14:paraId="24AEDAC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4mg/m</w:t>
            </w:r>
            <w:r>
              <w:rPr>
                <w:rFonts w:cs="Times New Roman"/>
                <w:color w:val="auto"/>
                <w:sz w:val="21"/>
                <w:szCs w:val="21"/>
                <w:highlight w:val="none"/>
                <w:vertAlign w:val="superscript"/>
              </w:rPr>
              <w:t>3</w:t>
            </w:r>
          </w:p>
        </w:tc>
      </w:tr>
      <w:tr w14:paraId="2BA901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4DB54556">
            <w:pPr>
              <w:widowControl/>
              <w:spacing w:line="360" w:lineRule="exact"/>
              <w:ind w:firstLine="0" w:firstLineChars="0"/>
              <w:jc w:val="center"/>
              <w:rPr>
                <w:rFonts w:cs="Times New Roman"/>
                <w:color w:val="auto"/>
                <w:sz w:val="21"/>
                <w:szCs w:val="21"/>
                <w:highlight w:val="none"/>
              </w:rPr>
            </w:pPr>
          </w:p>
        </w:tc>
        <w:tc>
          <w:tcPr>
            <w:tcW w:w="1387" w:type="dxa"/>
            <w:vMerge w:val="continue"/>
            <w:vAlign w:val="center"/>
          </w:tcPr>
          <w:p w14:paraId="467BE271">
            <w:pPr>
              <w:widowControl/>
              <w:spacing w:line="360" w:lineRule="exact"/>
              <w:ind w:firstLine="0" w:firstLineChars="0"/>
              <w:jc w:val="center"/>
              <w:rPr>
                <w:rFonts w:cs="Times New Roman"/>
                <w:color w:val="auto"/>
                <w:sz w:val="21"/>
                <w:szCs w:val="21"/>
                <w:highlight w:val="none"/>
              </w:rPr>
            </w:pPr>
          </w:p>
        </w:tc>
        <w:tc>
          <w:tcPr>
            <w:tcW w:w="2114" w:type="dxa"/>
            <w:vAlign w:val="center"/>
          </w:tcPr>
          <w:p w14:paraId="030B4AF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1小时平均</w:t>
            </w:r>
          </w:p>
        </w:tc>
        <w:tc>
          <w:tcPr>
            <w:tcW w:w="2014" w:type="dxa"/>
            <w:vAlign w:val="center"/>
          </w:tcPr>
          <w:p w14:paraId="5D8E48E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10mg/m</w:t>
            </w:r>
            <w:r>
              <w:rPr>
                <w:rFonts w:cs="Times New Roman"/>
                <w:color w:val="auto"/>
                <w:sz w:val="21"/>
                <w:szCs w:val="21"/>
                <w:highlight w:val="none"/>
                <w:vertAlign w:val="superscript"/>
              </w:rPr>
              <w:t>3</w:t>
            </w:r>
          </w:p>
        </w:tc>
      </w:tr>
      <w:tr w14:paraId="2CA6D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210799C5">
            <w:pPr>
              <w:spacing w:line="360" w:lineRule="exact"/>
              <w:ind w:firstLine="0" w:firstLineChars="0"/>
              <w:jc w:val="center"/>
              <w:rPr>
                <w:rFonts w:cs="Times New Roman"/>
                <w:color w:val="auto"/>
                <w:sz w:val="21"/>
                <w:szCs w:val="21"/>
                <w:highlight w:val="none"/>
              </w:rPr>
            </w:pPr>
          </w:p>
        </w:tc>
        <w:tc>
          <w:tcPr>
            <w:tcW w:w="1387" w:type="dxa"/>
            <w:vMerge w:val="restart"/>
            <w:vAlign w:val="center"/>
          </w:tcPr>
          <w:p w14:paraId="72759B8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臭氧</w:t>
            </w:r>
          </w:p>
        </w:tc>
        <w:tc>
          <w:tcPr>
            <w:tcW w:w="2114" w:type="dxa"/>
            <w:vAlign w:val="center"/>
          </w:tcPr>
          <w:p w14:paraId="54C8CFF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日最大8h平均</w:t>
            </w:r>
          </w:p>
        </w:tc>
        <w:tc>
          <w:tcPr>
            <w:tcW w:w="2014" w:type="dxa"/>
            <w:vAlign w:val="center"/>
          </w:tcPr>
          <w:p w14:paraId="59DD891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160</w:t>
            </w:r>
          </w:p>
        </w:tc>
      </w:tr>
      <w:tr w14:paraId="47517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36CCBF7B">
            <w:pPr>
              <w:widowControl/>
              <w:spacing w:line="360" w:lineRule="exact"/>
              <w:ind w:firstLine="0" w:firstLineChars="0"/>
              <w:jc w:val="center"/>
              <w:rPr>
                <w:rFonts w:cs="Times New Roman"/>
                <w:color w:val="auto"/>
                <w:sz w:val="21"/>
                <w:szCs w:val="21"/>
                <w:highlight w:val="none"/>
              </w:rPr>
            </w:pPr>
          </w:p>
        </w:tc>
        <w:tc>
          <w:tcPr>
            <w:tcW w:w="1387" w:type="dxa"/>
            <w:vMerge w:val="continue"/>
            <w:vAlign w:val="center"/>
          </w:tcPr>
          <w:p w14:paraId="7D00A87B">
            <w:pPr>
              <w:widowControl/>
              <w:spacing w:line="360" w:lineRule="exact"/>
              <w:ind w:firstLine="0" w:firstLineChars="0"/>
              <w:jc w:val="center"/>
              <w:rPr>
                <w:rFonts w:cs="Times New Roman"/>
                <w:color w:val="auto"/>
                <w:sz w:val="21"/>
                <w:szCs w:val="21"/>
                <w:highlight w:val="none"/>
              </w:rPr>
            </w:pPr>
          </w:p>
        </w:tc>
        <w:tc>
          <w:tcPr>
            <w:tcW w:w="2114" w:type="dxa"/>
            <w:vAlign w:val="center"/>
          </w:tcPr>
          <w:p w14:paraId="1F03069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1小时平均</w:t>
            </w:r>
          </w:p>
        </w:tc>
        <w:tc>
          <w:tcPr>
            <w:tcW w:w="2014" w:type="dxa"/>
            <w:vAlign w:val="center"/>
          </w:tcPr>
          <w:p w14:paraId="23A20FA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200</w:t>
            </w:r>
          </w:p>
        </w:tc>
      </w:tr>
      <w:tr w14:paraId="13BF10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41F58E67">
            <w:pPr>
              <w:widowControl/>
              <w:spacing w:line="360" w:lineRule="exact"/>
              <w:ind w:firstLine="0" w:firstLineChars="0"/>
              <w:jc w:val="center"/>
              <w:rPr>
                <w:rFonts w:cs="Times New Roman"/>
                <w:color w:val="auto"/>
                <w:sz w:val="21"/>
                <w:szCs w:val="21"/>
                <w:highlight w:val="none"/>
              </w:rPr>
            </w:pPr>
          </w:p>
        </w:tc>
        <w:tc>
          <w:tcPr>
            <w:tcW w:w="1387" w:type="dxa"/>
            <w:vMerge w:val="restart"/>
            <w:vAlign w:val="center"/>
          </w:tcPr>
          <w:p w14:paraId="43BFC46E">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TSP</w:t>
            </w:r>
          </w:p>
        </w:tc>
        <w:tc>
          <w:tcPr>
            <w:tcW w:w="2114" w:type="dxa"/>
            <w:vAlign w:val="center"/>
          </w:tcPr>
          <w:p w14:paraId="7EF49A4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24小时平均</w:t>
            </w:r>
          </w:p>
        </w:tc>
        <w:tc>
          <w:tcPr>
            <w:tcW w:w="2014" w:type="dxa"/>
            <w:vAlign w:val="center"/>
          </w:tcPr>
          <w:p w14:paraId="788B82E4">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r>
      <w:tr w14:paraId="1959D1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6" w:hRule="atLeast"/>
          <w:jc w:val="center"/>
        </w:trPr>
        <w:tc>
          <w:tcPr>
            <w:tcW w:w="2802" w:type="dxa"/>
            <w:vMerge w:val="continue"/>
            <w:vAlign w:val="center"/>
          </w:tcPr>
          <w:p w14:paraId="236253F2">
            <w:pPr>
              <w:widowControl/>
              <w:spacing w:line="360" w:lineRule="exact"/>
              <w:ind w:firstLine="0" w:firstLineChars="0"/>
              <w:jc w:val="center"/>
              <w:rPr>
                <w:rFonts w:cs="Times New Roman"/>
                <w:color w:val="auto"/>
                <w:sz w:val="21"/>
                <w:szCs w:val="21"/>
                <w:highlight w:val="none"/>
              </w:rPr>
            </w:pPr>
          </w:p>
        </w:tc>
        <w:tc>
          <w:tcPr>
            <w:tcW w:w="1387" w:type="dxa"/>
            <w:vMerge w:val="continue"/>
            <w:vAlign w:val="center"/>
          </w:tcPr>
          <w:p w14:paraId="7A32BED8">
            <w:pPr>
              <w:widowControl/>
              <w:spacing w:line="360" w:lineRule="exact"/>
              <w:ind w:firstLine="0" w:firstLineChars="0"/>
              <w:jc w:val="center"/>
              <w:rPr>
                <w:rFonts w:hint="default" w:eastAsia="宋体" w:cs="Times New Roman"/>
                <w:color w:val="auto"/>
                <w:sz w:val="21"/>
                <w:szCs w:val="21"/>
                <w:highlight w:val="none"/>
                <w:lang w:val="en-US" w:eastAsia="zh-CN"/>
              </w:rPr>
            </w:pPr>
          </w:p>
        </w:tc>
        <w:tc>
          <w:tcPr>
            <w:tcW w:w="2114" w:type="dxa"/>
            <w:vAlign w:val="center"/>
          </w:tcPr>
          <w:p w14:paraId="0C1EBC1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年平均</w:t>
            </w:r>
          </w:p>
        </w:tc>
        <w:tc>
          <w:tcPr>
            <w:tcW w:w="2014" w:type="dxa"/>
            <w:vAlign w:val="center"/>
          </w:tcPr>
          <w:p w14:paraId="12D7F8CB">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r>
      <w:tr w14:paraId="534C6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39" w:hRule="atLeast"/>
          <w:jc w:val="center"/>
        </w:trPr>
        <w:tc>
          <w:tcPr>
            <w:tcW w:w="2802" w:type="dxa"/>
            <w:vMerge w:val="restart"/>
            <w:vAlign w:val="center"/>
          </w:tcPr>
          <w:p w14:paraId="05E35878">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《环境影响评价技术导则 大气环境》（HJ2.2-2018）附录D</w:t>
            </w:r>
          </w:p>
        </w:tc>
        <w:tc>
          <w:tcPr>
            <w:tcW w:w="1387" w:type="dxa"/>
            <w:vAlign w:val="center"/>
          </w:tcPr>
          <w:p w14:paraId="5CBEB79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2114" w:type="dxa"/>
            <w:vAlign w:val="center"/>
          </w:tcPr>
          <w:p w14:paraId="0C92C72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1小时平均</w:t>
            </w:r>
          </w:p>
        </w:tc>
        <w:tc>
          <w:tcPr>
            <w:tcW w:w="2014" w:type="dxa"/>
            <w:vAlign w:val="center"/>
          </w:tcPr>
          <w:p w14:paraId="0EC6107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200</w:t>
            </w:r>
          </w:p>
        </w:tc>
      </w:tr>
      <w:tr w14:paraId="3DB2E7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95" w:hRule="atLeast"/>
          <w:jc w:val="center"/>
        </w:trPr>
        <w:tc>
          <w:tcPr>
            <w:tcW w:w="2802" w:type="dxa"/>
            <w:vMerge w:val="continue"/>
            <w:vAlign w:val="center"/>
          </w:tcPr>
          <w:p w14:paraId="682F456C">
            <w:pPr>
              <w:widowControl/>
              <w:spacing w:line="360" w:lineRule="exact"/>
              <w:ind w:firstLine="0" w:firstLineChars="0"/>
              <w:jc w:val="center"/>
              <w:rPr>
                <w:rFonts w:cs="Times New Roman"/>
                <w:color w:val="auto"/>
                <w:sz w:val="21"/>
                <w:szCs w:val="21"/>
                <w:highlight w:val="none"/>
              </w:rPr>
            </w:pPr>
          </w:p>
        </w:tc>
        <w:tc>
          <w:tcPr>
            <w:tcW w:w="1387" w:type="dxa"/>
            <w:vAlign w:val="center"/>
          </w:tcPr>
          <w:p w14:paraId="04CF215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H</w:t>
            </w:r>
            <w:r>
              <w:rPr>
                <w:rFonts w:cs="Times New Roman"/>
                <w:color w:val="auto"/>
                <w:sz w:val="21"/>
                <w:szCs w:val="21"/>
                <w:highlight w:val="none"/>
                <w:vertAlign w:val="subscript"/>
              </w:rPr>
              <w:t>2</w:t>
            </w:r>
            <w:r>
              <w:rPr>
                <w:rFonts w:cs="Times New Roman"/>
                <w:color w:val="auto"/>
                <w:sz w:val="21"/>
                <w:szCs w:val="21"/>
                <w:highlight w:val="none"/>
              </w:rPr>
              <w:t>S</w:t>
            </w:r>
          </w:p>
        </w:tc>
        <w:tc>
          <w:tcPr>
            <w:tcW w:w="2114" w:type="dxa"/>
            <w:vAlign w:val="center"/>
          </w:tcPr>
          <w:p w14:paraId="6D9481F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1小时平均</w:t>
            </w:r>
          </w:p>
        </w:tc>
        <w:tc>
          <w:tcPr>
            <w:tcW w:w="2014" w:type="dxa"/>
            <w:vAlign w:val="center"/>
          </w:tcPr>
          <w:p w14:paraId="44F4B5B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w:t>
            </w:r>
          </w:p>
        </w:tc>
      </w:tr>
    </w:tbl>
    <w:p w14:paraId="2E877794">
      <w:pPr>
        <w:autoSpaceDE w:val="0"/>
        <w:autoSpaceDN w:val="0"/>
        <w:spacing w:line="500" w:lineRule="exact"/>
        <w:ind w:firstLine="482"/>
        <w:rPr>
          <w:rFonts w:cs="Times New Roman"/>
          <w:b/>
          <w:bCs/>
          <w:color w:val="auto"/>
          <w:szCs w:val="24"/>
          <w:highlight w:val="none"/>
        </w:rPr>
      </w:pPr>
      <w:r>
        <w:rPr>
          <w:rFonts w:cs="Times New Roman"/>
          <w:b/>
          <w:bCs/>
          <w:color w:val="auto"/>
          <w:szCs w:val="24"/>
          <w:highlight w:val="none"/>
        </w:rPr>
        <w:t>2、地表水环境质量标准</w:t>
      </w:r>
    </w:p>
    <w:p w14:paraId="7A0C2F97">
      <w:pPr>
        <w:autoSpaceDE w:val="0"/>
        <w:autoSpaceDN w:val="0"/>
        <w:spacing w:line="500" w:lineRule="exact"/>
        <w:rPr>
          <w:rFonts w:cs="Times New Roman"/>
          <w:b/>
          <w:color w:val="auto"/>
          <w:szCs w:val="24"/>
          <w:highlight w:val="none"/>
        </w:rPr>
      </w:pPr>
      <w:r>
        <w:rPr>
          <w:rFonts w:cs="Times New Roman"/>
          <w:color w:val="auto"/>
          <w:szCs w:val="24"/>
          <w:highlight w:val="none"/>
        </w:rPr>
        <w:t>在本评价区域内的地表水体为</w:t>
      </w:r>
      <w:r>
        <w:rPr>
          <w:rFonts w:hint="eastAsia" w:cs="Times New Roman"/>
          <w:color w:val="auto"/>
          <w:szCs w:val="24"/>
          <w:highlight w:val="none"/>
          <w:lang w:val="en-US" w:eastAsia="zh-CN"/>
        </w:rPr>
        <w:t>安邦河</w:t>
      </w:r>
      <w:r>
        <w:rPr>
          <w:rFonts w:cs="Times New Roman"/>
          <w:color w:val="auto"/>
          <w:szCs w:val="24"/>
          <w:highlight w:val="none"/>
        </w:rPr>
        <w:t>，</w:t>
      </w:r>
      <w:r>
        <w:rPr>
          <w:rFonts w:cs="Times New Roman"/>
          <w:color w:val="auto"/>
          <w:highlight w:val="none"/>
        </w:rPr>
        <w:t>根据《全国重要江河湖泊水功能区划》（2011-2030），项目所在水功能区为</w:t>
      </w:r>
      <w:r>
        <w:rPr>
          <w:rFonts w:hint="eastAsia" w:cs="Times New Roman"/>
          <w:color w:val="auto"/>
          <w:highlight w:val="none"/>
        </w:rPr>
        <w:t>寒葱沟水库库尾</w:t>
      </w:r>
      <w:r>
        <w:rPr>
          <w:rFonts w:hint="eastAsia" w:cs="Times New Roman"/>
          <w:color w:val="auto"/>
          <w:highlight w:val="none"/>
          <w:lang w:eastAsia="zh-CN"/>
        </w:rPr>
        <w:t>—</w:t>
      </w:r>
      <w:r>
        <w:rPr>
          <w:rFonts w:hint="eastAsia" w:cs="Times New Roman"/>
          <w:color w:val="auto"/>
          <w:highlight w:val="none"/>
        </w:rPr>
        <w:t>窑地村</w:t>
      </w:r>
      <w:r>
        <w:rPr>
          <w:rFonts w:cs="Times New Roman"/>
          <w:color w:val="auto"/>
          <w:highlight w:val="none"/>
        </w:rPr>
        <w:t>，水质执行《地表水环境质量标准》（GB3838-2002）Ⅲ</w:t>
      </w:r>
      <w:r>
        <w:rPr>
          <w:rFonts w:hint="eastAsia" w:cs="Times New Roman"/>
          <w:color w:val="auto"/>
          <w:highlight w:val="none"/>
          <w:lang w:val="en-US" w:eastAsia="zh-CN"/>
        </w:rPr>
        <w:t>类</w:t>
      </w:r>
      <w:r>
        <w:rPr>
          <w:rFonts w:cs="Times New Roman"/>
          <w:color w:val="auto"/>
          <w:highlight w:val="none"/>
        </w:rPr>
        <w:t>标准。标准值见</w:t>
      </w:r>
      <w:r>
        <w:rPr>
          <w:rFonts w:hint="eastAsia" w:cs="Times New Roman"/>
          <w:color w:val="auto"/>
          <w:highlight w:val="none"/>
          <w:lang w:val="en-US" w:eastAsia="zh-CN"/>
        </w:rPr>
        <w:t>下表</w:t>
      </w:r>
      <w:r>
        <w:rPr>
          <w:rFonts w:cs="Times New Roman"/>
          <w:color w:val="auto"/>
          <w:highlight w:val="none"/>
        </w:rPr>
        <w:t>。</w:t>
      </w:r>
      <w:bookmarkStart w:id="54" w:name="_Ref236373486"/>
    </w:p>
    <w:p w14:paraId="6D5967B7">
      <w:pPr>
        <w:spacing w:line="360" w:lineRule="exact"/>
        <w:ind w:firstLine="0" w:firstLineChars="0"/>
        <w:jc w:val="right"/>
        <w:rPr>
          <w:rFonts w:cs="Times New Roman"/>
          <w:b/>
          <w:color w:val="auto"/>
          <w:szCs w:val="24"/>
          <w:highlight w:val="none"/>
        </w:rPr>
      </w:pPr>
      <w:r>
        <w:rPr>
          <w:rFonts w:cs="Times New Roman"/>
          <w:b/>
          <w:color w:val="auto"/>
          <w:szCs w:val="24"/>
          <w:highlight w:val="none"/>
        </w:rPr>
        <w:t>表</w:t>
      </w:r>
      <w:bookmarkEnd w:id="54"/>
      <w:r>
        <w:rPr>
          <w:rFonts w:cs="Times New Roman"/>
          <w:b/>
          <w:color w:val="auto"/>
          <w:szCs w:val="24"/>
          <w:highlight w:val="none"/>
        </w:rPr>
        <w:t>2-2-</w:t>
      </w:r>
      <w:r>
        <w:rPr>
          <w:rFonts w:hint="eastAsia" w:cs="Times New Roman"/>
          <w:b/>
          <w:color w:val="auto"/>
          <w:szCs w:val="24"/>
          <w:highlight w:val="none"/>
          <w:lang w:val="en-US" w:eastAsia="zh-CN"/>
        </w:rPr>
        <w:t>5</w:t>
      </w:r>
      <w:r>
        <w:rPr>
          <w:rFonts w:cs="Times New Roman"/>
          <w:b/>
          <w:color w:val="auto"/>
          <w:szCs w:val="24"/>
          <w:highlight w:val="none"/>
        </w:rPr>
        <w:t xml:space="preserve">  地表水环境质量标准（摘录）    单位：mg/L（pH除外）</w:t>
      </w:r>
    </w:p>
    <w:tbl>
      <w:tblPr>
        <w:tblStyle w:val="4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23"/>
        <w:gridCol w:w="754"/>
        <w:gridCol w:w="756"/>
        <w:gridCol w:w="960"/>
        <w:gridCol w:w="823"/>
        <w:gridCol w:w="824"/>
        <w:gridCol w:w="745"/>
        <w:gridCol w:w="902"/>
        <w:gridCol w:w="743"/>
        <w:gridCol w:w="904"/>
      </w:tblGrid>
      <w:tr w14:paraId="2C1738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8" w:hRule="atLeast"/>
          <w:jc w:val="center"/>
        </w:trPr>
        <w:tc>
          <w:tcPr>
            <w:tcW w:w="823" w:type="dxa"/>
            <w:tcBorders>
              <w:top w:val="single" w:color="auto" w:sz="12" w:space="0"/>
              <w:left w:val="nil"/>
              <w:bottom w:val="single" w:color="auto" w:sz="4" w:space="0"/>
            </w:tcBorders>
            <w:vAlign w:val="center"/>
          </w:tcPr>
          <w:p w14:paraId="2D3C4F18">
            <w:pPr>
              <w:spacing w:line="360" w:lineRule="exact"/>
              <w:ind w:firstLine="0" w:firstLineChars="0"/>
              <w:jc w:val="center"/>
              <w:textAlignment w:val="baseline"/>
              <w:rPr>
                <w:rFonts w:cs="Times New Roman"/>
                <w:bCs/>
                <w:color w:val="auto"/>
                <w:sz w:val="21"/>
                <w:szCs w:val="21"/>
                <w:highlight w:val="none"/>
              </w:rPr>
            </w:pPr>
            <w:r>
              <w:rPr>
                <w:rFonts w:cs="Times New Roman"/>
                <w:bCs/>
                <w:color w:val="auto"/>
                <w:sz w:val="21"/>
                <w:szCs w:val="21"/>
                <w:highlight w:val="none"/>
              </w:rPr>
              <w:t>类别</w:t>
            </w:r>
          </w:p>
        </w:tc>
        <w:tc>
          <w:tcPr>
            <w:tcW w:w="754" w:type="dxa"/>
            <w:tcBorders>
              <w:top w:val="single" w:color="auto" w:sz="12" w:space="0"/>
              <w:bottom w:val="single" w:color="auto" w:sz="4" w:space="0"/>
            </w:tcBorders>
            <w:vAlign w:val="center"/>
          </w:tcPr>
          <w:p w14:paraId="25DE7508">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pH</w:t>
            </w:r>
          </w:p>
        </w:tc>
        <w:tc>
          <w:tcPr>
            <w:tcW w:w="756" w:type="dxa"/>
            <w:tcBorders>
              <w:top w:val="single" w:color="auto" w:sz="12" w:space="0"/>
              <w:bottom w:val="single" w:color="auto" w:sz="4" w:space="0"/>
              <w:right w:val="single" w:color="auto" w:sz="4" w:space="0"/>
            </w:tcBorders>
            <w:vAlign w:val="center"/>
          </w:tcPr>
          <w:p w14:paraId="07C5A945">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DO</w:t>
            </w:r>
          </w:p>
        </w:tc>
        <w:tc>
          <w:tcPr>
            <w:tcW w:w="960" w:type="dxa"/>
            <w:tcBorders>
              <w:top w:val="single" w:color="auto" w:sz="12" w:space="0"/>
              <w:left w:val="single" w:color="auto" w:sz="4" w:space="0"/>
              <w:bottom w:val="single" w:color="auto" w:sz="4" w:space="0"/>
            </w:tcBorders>
            <w:vAlign w:val="center"/>
          </w:tcPr>
          <w:p w14:paraId="1518A6EA">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高锰酸盐指数</w:t>
            </w:r>
          </w:p>
        </w:tc>
        <w:tc>
          <w:tcPr>
            <w:tcW w:w="823" w:type="dxa"/>
            <w:tcBorders>
              <w:top w:val="single" w:color="auto" w:sz="12" w:space="0"/>
              <w:bottom w:val="single" w:color="auto" w:sz="4" w:space="0"/>
            </w:tcBorders>
            <w:vAlign w:val="center"/>
          </w:tcPr>
          <w:p w14:paraId="32AC28D9">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COD</w:t>
            </w:r>
            <w:r>
              <w:rPr>
                <w:rFonts w:cs="Times New Roman"/>
                <w:bCs/>
                <w:color w:val="auto"/>
                <w:sz w:val="21"/>
                <w:szCs w:val="21"/>
                <w:highlight w:val="none"/>
                <w:vertAlign w:val="subscript"/>
              </w:rPr>
              <w:t>Cr</w:t>
            </w:r>
          </w:p>
        </w:tc>
        <w:tc>
          <w:tcPr>
            <w:tcW w:w="824" w:type="dxa"/>
            <w:tcBorders>
              <w:top w:val="single" w:color="auto" w:sz="12" w:space="0"/>
              <w:bottom w:val="single" w:color="auto" w:sz="4" w:space="0"/>
              <w:right w:val="single" w:color="auto" w:sz="4" w:space="0"/>
            </w:tcBorders>
            <w:vAlign w:val="center"/>
          </w:tcPr>
          <w:p w14:paraId="3BA7BA57">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BOD</w:t>
            </w:r>
            <w:r>
              <w:rPr>
                <w:rFonts w:cs="Times New Roman"/>
                <w:bCs/>
                <w:color w:val="auto"/>
                <w:sz w:val="21"/>
                <w:szCs w:val="21"/>
                <w:highlight w:val="none"/>
                <w:vertAlign w:val="subscript"/>
              </w:rPr>
              <w:t>5</w:t>
            </w:r>
          </w:p>
        </w:tc>
        <w:tc>
          <w:tcPr>
            <w:tcW w:w="745" w:type="dxa"/>
            <w:tcBorders>
              <w:top w:val="single" w:color="auto" w:sz="12" w:space="0"/>
              <w:bottom w:val="single" w:color="auto" w:sz="4" w:space="0"/>
              <w:right w:val="single" w:color="auto" w:sz="4" w:space="0"/>
            </w:tcBorders>
            <w:vAlign w:val="center"/>
          </w:tcPr>
          <w:p w14:paraId="42243F25">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氨氮</w:t>
            </w:r>
          </w:p>
        </w:tc>
        <w:tc>
          <w:tcPr>
            <w:tcW w:w="902" w:type="dxa"/>
            <w:tcBorders>
              <w:top w:val="single" w:color="auto" w:sz="12" w:space="0"/>
              <w:left w:val="single" w:color="auto" w:sz="4" w:space="0"/>
              <w:bottom w:val="single" w:color="auto" w:sz="4" w:space="0"/>
            </w:tcBorders>
            <w:vAlign w:val="center"/>
          </w:tcPr>
          <w:p w14:paraId="14D14369">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石油类</w:t>
            </w:r>
          </w:p>
        </w:tc>
        <w:tc>
          <w:tcPr>
            <w:tcW w:w="743" w:type="dxa"/>
            <w:tcBorders>
              <w:top w:val="single" w:color="auto" w:sz="12" w:space="0"/>
              <w:bottom w:val="single" w:color="auto" w:sz="4" w:space="0"/>
              <w:right w:val="single" w:color="auto" w:sz="4" w:space="0"/>
            </w:tcBorders>
            <w:vAlign w:val="center"/>
          </w:tcPr>
          <w:p w14:paraId="2A80487C">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TP</w:t>
            </w:r>
          </w:p>
        </w:tc>
        <w:tc>
          <w:tcPr>
            <w:tcW w:w="904" w:type="dxa"/>
            <w:tcBorders>
              <w:top w:val="single" w:color="auto" w:sz="12" w:space="0"/>
              <w:left w:val="single" w:color="auto" w:sz="4" w:space="0"/>
              <w:bottom w:val="single" w:color="auto" w:sz="4" w:space="0"/>
              <w:right w:val="nil"/>
            </w:tcBorders>
            <w:vAlign w:val="center"/>
          </w:tcPr>
          <w:p w14:paraId="64E98346">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氟化物</w:t>
            </w:r>
          </w:p>
        </w:tc>
      </w:tr>
      <w:tr w14:paraId="6B2A1A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9" w:hRule="atLeast"/>
          <w:jc w:val="center"/>
        </w:trPr>
        <w:tc>
          <w:tcPr>
            <w:tcW w:w="823" w:type="dxa"/>
            <w:tcBorders>
              <w:top w:val="single" w:color="auto" w:sz="4" w:space="0"/>
              <w:left w:val="nil"/>
              <w:bottom w:val="single" w:color="auto" w:sz="12" w:space="0"/>
            </w:tcBorders>
            <w:vAlign w:val="center"/>
          </w:tcPr>
          <w:p w14:paraId="7A75F4FE">
            <w:pPr>
              <w:spacing w:line="360" w:lineRule="exact"/>
              <w:ind w:firstLine="0" w:firstLineChars="0"/>
              <w:jc w:val="center"/>
              <w:textAlignment w:val="baseline"/>
              <w:rPr>
                <w:rFonts w:cs="Times New Roman"/>
                <w:bCs/>
                <w:color w:val="auto"/>
                <w:sz w:val="21"/>
                <w:szCs w:val="21"/>
                <w:highlight w:val="none"/>
              </w:rPr>
            </w:pPr>
            <w:r>
              <w:rPr>
                <w:rFonts w:cs="Times New Roman"/>
                <w:bCs/>
                <w:color w:val="auto"/>
                <w:sz w:val="21"/>
                <w:szCs w:val="21"/>
                <w:highlight w:val="none"/>
              </w:rPr>
              <w:fldChar w:fldCharType="begin"/>
            </w:r>
            <w:r>
              <w:rPr>
                <w:rFonts w:cs="Times New Roman"/>
                <w:bCs/>
                <w:color w:val="auto"/>
                <w:sz w:val="21"/>
                <w:szCs w:val="21"/>
                <w:highlight w:val="none"/>
              </w:rPr>
              <w:instrText xml:space="preserve"> = 3 \* ROMAN \* MERGEFORMAT </w:instrText>
            </w:r>
            <w:r>
              <w:rPr>
                <w:rFonts w:cs="Times New Roman"/>
                <w:bCs/>
                <w:color w:val="auto"/>
                <w:sz w:val="21"/>
                <w:szCs w:val="21"/>
                <w:highlight w:val="none"/>
              </w:rPr>
              <w:fldChar w:fldCharType="separate"/>
            </w:r>
            <w:r>
              <w:rPr>
                <w:rFonts w:cs="Times New Roman"/>
                <w:bCs/>
                <w:color w:val="auto"/>
                <w:sz w:val="21"/>
                <w:szCs w:val="21"/>
                <w:highlight w:val="none"/>
              </w:rPr>
              <w:t>III</w:t>
            </w:r>
            <w:r>
              <w:rPr>
                <w:rFonts w:cs="Times New Roman"/>
                <w:bCs/>
                <w:color w:val="auto"/>
                <w:sz w:val="21"/>
                <w:szCs w:val="21"/>
                <w:highlight w:val="none"/>
              </w:rPr>
              <w:fldChar w:fldCharType="end"/>
            </w:r>
            <w:r>
              <w:rPr>
                <w:rFonts w:cs="Times New Roman"/>
                <w:bCs/>
                <w:color w:val="auto"/>
                <w:sz w:val="21"/>
                <w:szCs w:val="21"/>
                <w:highlight w:val="none"/>
              </w:rPr>
              <w:t>类</w:t>
            </w:r>
          </w:p>
        </w:tc>
        <w:tc>
          <w:tcPr>
            <w:tcW w:w="754" w:type="dxa"/>
            <w:tcBorders>
              <w:top w:val="single" w:color="auto" w:sz="4" w:space="0"/>
              <w:bottom w:val="single" w:color="auto" w:sz="12" w:space="0"/>
            </w:tcBorders>
            <w:vAlign w:val="center"/>
          </w:tcPr>
          <w:p w14:paraId="0CEBAB9B">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6~9</w:t>
            </w:r>
          </w:p>
        </w:tc>
        <w:tc>
          <w:tcPr>
            <w:tcW w:w="756" w:type="dxa"/>
            <w:tcBorders>
              <w:top w:val="single" w:color="auto" w:sz="4" w:space="0"/>
              <w:bottom w:val="single" w:color="auto" w:sz="12" w:space="0"/>
              <w:right w:val="single" w:color="auto" w:sz="4" w:space="0"/>
            </w:tcBorders>
            <w:vAlign w:val="center"/>
          </w:tcPr>
          <w:p w14:paraId="4E9548D4">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≥5</w:t>
            </w:r>
          </w:p>
        </w:tc>
        <w:tc>
          <w:tcPr>
            <w:tcW w:w="960" w:type="dxa"/>
            <w:tcBorders>
              <w:top w:val="single" w:color="auto" w:sz="4" w:space="0"/>
              <w:left w:val="single" w:color="auto" w:sz="4" w:space="0"/>
              <w:bottom w:val="single" w:color="auto" w:sz="12" w:space="0"/>
            </w:tcBorders>
            <w:vAlign w:val="center"/>
          </w:tcPr>
          <w:p w14:paraId="038EF29D">
            <w:pPr>
              <w:spacing w:line="360" w:lineRule="exact"/>
              <w:ind w:firstLine="0" w:firstLineChars="0"/>
              <w:jc w:val="center"/>
              <w:rPr>
                <w:rFonts w:cs="Times New Roman"/>
                <w:bCs/>
                <w:color w:val="auto"/>
                <w:sz w:val="21"/>
                <w:szCs w:val="21"/>
                <w:highlight w:val="none"/>
              </w:rPr>
            </w:pPr>
            <w:r>
              <w:rPr>
                <w:rFonts w:cs="Times New Roman"/>
                <w:color w:val="auto"/>
                <w:sz w:val="21"/>
                <w:szCs w:val="21"/>
                <w:highlight w:val="none"/>
              </w:rPr>
              <w:t>≤</w:t>
            </w:r>
            <w:r>
              <w:rPr>
                <w:rFonts w:cs="Times New Roman"/>
                <w:bCs/>
                <w:color w:val="auto"/>
                <w:sz w:val="21"/>
                <w:szCs w:val="21"/>
                <w:highlight w:val="none"/>
              </w:rPr>
              <w:t>6</w:t>
            </w:r>
          </w:p>
        </w:tc>
        <w:tc>
          <w:tcPr>
            <w:tcW w:w="823" w:type="dxa"/>
            <w:tcBorders>
              <w:top w:val="single" w:color="auto" w:sz="4" w:space="0"/>
              <w:bottom w:val="single" w:color="auto" w:sz="12" w:space="0"/>
            </w:tcBorders>
            <w:vAlign w:val="center"/>
          </w:tcPr>
          <w:p w14:paraId="6FD7AB3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≤20</w:t>
            </w:r>
          </w:p>
        </w:tc>
        <w:tc>
          <w:tcPr>
            <w:tcW w:w="824" w:type="dxa"/>
            <w:tcBorders>
              <w:top w:val="single" w:color="auto" w:sz="4" w:space="0"/>
              <w:bottom w:val="single" w:color="auto" w:sz="12" w:space="0"/>
              <w:right w:val="single" w:color="auto" w:sz="4" w:space="0"/>
            </w:tcBorders>
            <w:vAlign w:val="center"/>
          </w:tcPr>
          <w:p w14:paraId="710425F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≤4</w:t>
            </w:r>
          </w:p>
        </w:tc>
        <w:tc>
          <w:tcPr>
            <w:tcW w:w="745" w:type="dxa"/>
            <w:tcBorders>
              <w:top w:val="single" w:color="auto" w:sz="4" w:space="0"/>
              <w:bottom w:val="single" w:color="auto" w:sz="12" w:space="0"/>
              <w:right w:val="single" w:color="auto" w:sz="4" w:space="0"/>
            </w:tcBorders>
            <w:vAlign w:val="center"/>
          </w:tcPr>
          <w:p w14:paraId="1569D54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w:t>
            </w:r>
          </w:p>
        </w:tc>
        <w:tc>
          <w:tcPr>
            <w:tcW w:w="902" w:type="dxa"/>
            <w:tcBorders>
              <w:top w:val="single" w:color="auto" w:sz="4" w:space="0"/>
              <w:left w:val="single" w:color="auto" w:sz="4" w:space="0"/>
              <w:bottom w:val="single" w:color="auto" w:sz="12" w:space="0"/>
            </w:tcBorders>
            <w:vAlign w:val="center"/>
          </w:tcPr>
          <w:p w14:paraId="4FEA197F">
            <w:pPr>
              <w:spacing w:line="360" w:lineRule="exact"/>
              <w:ind w:firstLine="0" w:firstLineChars="0"/>
              <w:jc w:val="center"/>
              <w:rPr>
                <w:rFonts w:cs="Times New Roman"/>
                <w:bCs/>
                <w:color w:val="auto"/>
                <w:sz w:val="21"/>
                <w:szCs w:val="21"/>
                <w:highlight w:val="none"/>
              </w:rPr>
            </w:pPr>
            <w:r>
              <w:rPr>
                <w:rFonts w:cs="Times New Roman"/>
                <w:color w:val="auto"/>
                <w:sz w:val="21"/>
                <w:szCs w:val="21"/>
                <w:highlight w:val="none"/>
              </w:rPr>
              <w:t>≤</w:t>
            </w:r>
            <w:r>
              <w:rPr>
                <w:rFonts w:cs="Times New Roman"/>
                <w:bCs/>
                <w:color w:val="auto"/>
                <w:sz w:val="21"/>
                <w:szCs w:val="21"/>
                <w:highlight w:val="none"/>
              </w:rPr>
              <w:t>0.05</w:t>
            </w:r>
          </w:p>
        </w:tc>
        <w:tc>
          <w:tcPr>
            <w:tcW w:w="743" w:type="dxa"/>
            <w:tcBorders>
              <w:top w:val="single" w:color="auto" w:sz="4" w:space="0"/>
              <w:bottom w:val="single" w:color="auto" w:sz="12" w:space="0"/>
              <w:right w:val="single" w:color="auto" w:sz="4" w:space="0"/>
            </w:tcBorders>
            <w:vAlign w:val="center"/>
          </w:tcPr>
          <w:p w14:paraId="671794D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≤0.2</w:t>
            </w:r>
          </w:p>
        </w:tc>
        <w:tc>
          <w:tcPr>
            <w:tcW w:w="904" w:type="dxa"/>
            <w:tcBorders>
              <w:top w:val="single" w:color="auto" w:sz="4" w:space="0"/>
              <w:left w:val="single" w:color="auto" w:sz="4" w:space="0"/>
              <w:bottom w:val="single" w:color="auto" w:sz="12" w:space="0"/>
              <w:right w:val="nil"/>
            </w:tcBorders>
            <w:vAlign w:val="center"/>
          </w:tcPr>
          <w:p w14:paraId="05958B86">
            <w:pPr>
              <w:spacing w:line="360" w:lineRule="exact"/>
              <w:ind w:firstLine="0" w:firstLineChars="0"/>
              <w:jc w:val="center"/>
              <w:rPr>
                <w:rFonts w:cs="Times New Roman"/>
                <w:bCs/>
                <w:color w:val="auto"/>
                <w:sz w:val="21"/>
                <w:szCs w:val="21"/>
                <w:highlight w:val="none"/>
              </w:rPr>
            </w:pPr>
            <w:r>
              <w:rPr>
                <w:rFonts w:cs="Times New Roman"/>
                <w:color w:val="auto"/>
                <w:sz w:val="21"/>
                <w:szCs w:val="21"/>
                <w:highlight w:val="none"/>
              </w:rPr>
              <w:t>≤</w:t>
            </w:r>
            <w:r>
              <w:rPr>
                <w:rFonts w:cs="Times New Roman"/>
                <w:bCs/>
                <w:color w:val="auto"/>
                <w:sz w:val="21"/>
                <w:szCs w:val="21"/>
                <w:highlight w:val="none"/>
              </w:rPr>
              <w:t>1.0</w:t>
            </w:r>
          </w:p>
        </w:tc>
      </w:tr>
    </w:tbl>
    <w:p w14:paraId="09CCC47E">
      <w:pPr>
        <w:autoSpaceDE w:val="0"/>
        <w:autoSpaceDN w:val="0"/>
        <w:spacing w:line="500" w:lineRule="exact"/>
        <w:ind w:firstLine="482"/>
        <w:rPr>
          <w:rFonts w:cs="Times New Roman"/>
          <w:b/>
          <w:bCs/>
          <w:color w:val="auto"/>
          <w:highlight w:val="none"/>
        </w:rPr>
      </w:pPr>
      <w:r>
        <w:rPr>
          <w:rFonts w:cs="Times New Roman"/>
          <w:b/>
          <w:bCs/>
          <w:color w:val="auto"/>
          <w:highlight w:val="none"/>
        </w:rPr>
        <w:t>3、地下水环境质量标准</w:t>
      </w:r>
    </w:p>
    <w:p w14:paraId="73536E04">
      <w:pPr>
        <w:autoSpaceDE w:val="0"/>
        <w:autoSpaceDN w:val="0"/>
        <w:spacing w:line="500" w:lineRule="exact"/>
        <w:rPr>
          <w:rFonts w:cs="Times New Roman"/>
          <w:color w:val="auto"/>
          <w:highlight w:val="none"/>
        </w:rPr>
      </w:pPr>
      <w:r>
        <w:rPr>
          <w:rFonts w:cs="Times New Roman"/>
          <w:color w:val="auto"/>
          <w:highlight w:val="none"/>
        </w:rPr>
        <w:t>项目所在区地下水水质执行《地下水质量标准》（GB/T14848-2017）中Ⅲ类标准要求。标准值详见</w:t>
      </w:r>
      <w:r>
        <w:rPr>
          <w:rFonts w:hint="eastAsia" w:cs="Times New Roman"/>
          <w:color w:val="auto"/>
          <w:highlight w:val="none"/>
          <w:lang w:val="en-US" w:eastAsia="zh-CN"/>
        </w:rPr>
        <w:t>下表</w:t>
      </w:r>
      <w:r>
        <w:rPr>
          <w:rFonts w:cs="Times New Roman"/>
          <w:color w:val="auto"/>
          <w:highlight w:val="none"/>
        </w:rPr>
        <w:t>。</w:t>
      </w:r>
    </w:p>
    <w:p w14:paraId="3EE9B7C3">
      <w:pPr>
        <w:spacing w:line="240" w:lineRule="auto"/>
        <w:ind w:firstLine="482"/>
        <w:jc w:val="center"/>
        <w:rPr>
          <w:rFonts w:cs="Times New Roman"/>
          <w:b/>
          <w:color w:val="auto"/>
          <w:szCs w:val="24"/>
          <w:highlight w:val="none"/>
        </w:rPr>
      </w:pPr>
      <w:r>
        <w:rPr>
          <w:rFonts w:cs="Times New Roman"/>
          <w:b/>
          <w:color w:val="auto"/>
          <w:szCs w:val="24"/>
          <w:highlight w:val="none"/>
        </w:rPr>
        <w:t>表2-2-</w:t>
      </w:r>
      <w:r>
        <w:rPr>
          <w:rFonts w:hint="eastAsia" w:cs="Times New Roman"/>
          <w:b/>
          <w:color w:val="auto"/>
          <w:szCs w:val="24"/>
          <w:highlight w:val="none"/>
          <w:lang w:val="en-US" w:eastAsia="zh-CN"/>
        </w:rPr>
        <w:t>6</w:t>
      </w:r>
      <w:r>
        <w:rPr>
          <w:rFonts w:cs="Times New Roman"/>
          <w:b/>
          <w:color w:val="auto"/>
          <w:szCs w:val="24"/>
          <w:highlight w:val="none"/>
        </w:rPr>
        <w:t xml:space="preserve">  地下水质量标准  单位：mg/L</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866"/>
        <w:gridCol w:w="1182"/>
        <w:gridCol w:w="1363"/>
        <w:gridCol w:w="1510"/>
        <w:gridCol w:w="1215"/>
      </w:tblGrid>
      <w:tr w14:paraId="32CDD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8380" w:type="dxa"/>
            <w:gridSpan w:val="6"/>
            <w:tcBorders>
              <w:top w:val="single" w:color="auto" w:sz="12" w:space="0"/>
              <w:left w:val="nil"/>
              <w:bottom w:val="single" w:color="auto" w:sz="4" w:space="0"/>
              <w:right w:val="nil"/>
            </w:tcBorders>
            <w:vAlign w:val="center"/>
          </w:tcPr>
          <w:p w14:paraId="46654A7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评价因子及标准限值</w:t>
            </w:r>
          </w:p>
        </w:tc>
      </w:tr>
      <w:tr w14:paraId="6C16C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244" w:type="dxa"/>
            <w:tcBorders>
              <w:top w:val="single" w:color="auto" w:sz="4" w:space="0"/>
              <w:left w:val="nil"/>
              <w:bottom w:val="single" w:color="auto" w:sz="4" w:space="0"/>
              <w:right w:val="single" w:color="auto" w:sz="4" w:space="0"/>
            </w:tcBorders>
            <w:vAlign w:val="center"/>
          </w:tcPr>
          <w:p w14:paraId="5F1FE25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pH</w:t>
            </w:r>
          </w:p>
        </w:tc>
        <w:tc>
          <w:tcPr>
            <w:tcW w:w="1866" w:type="dxa"/>
            <w:tcBorders>
              <w:top w:val="single" w:color="auto" w:sz="4" w:space="0"/>
              <w:left w:val="single" w:color="auto" w:sz="4" w:space="0"/>
              <w:bottom w:val="single" w:color="auto" w:sz="4" w:space="0"/>
              <w:right w:val="single" w:color="auto" w:sz="4" w:space="0"/>
            </w:tcBorders>
            <w:vAlign w:val="center"/>
          </w:tcPr>
          <w:p w14:paraId="3270B13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氨氮</w:t>
            </w:r>
          </w:p>
        </w:tc>
        <w:tc>
          <w:tcPr>
            <w:tcW w:w="1182" w:type="dxa"/>
            <w:tcBorders>
              <w:top w:val="single" w:color="auto" w:sz="4" w:space="0"/>
              <w:left w:val="single" w:color="auto" w:sz="4" w:space="0"/>
              <w:bottom w:val="single" w:color="auto" w:sz="4" w:space="0"/>
              <w:right w:val="single" w:color="auto" w:sz="4" w:space="0"/>
            </w:tcBorders>
            <w:vAlign w:val="center"/>
          </w:tcPr>
          <w:p w14:paraId="61F349A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硝酸盐</w:t>
            </w:r>
          </w:p>
        </w:tc>
        <w:tc>
          <w:tcPr>
            <w:tcW w:w="1363" w:type="dxa"/>
            <w:tcBorders>
              <w:top w:val="single" w:color="auto" w:sz="4" w:space="0"/>
              <w:left w:val="single" w:color="auto" w:sz="4" w:space="0"/>
              <w:bottom w:val="single" w:color="auto" w:sz="4" w:space="0"/>
              <w:right w:val="single" w:color="auto" w:sz="4" w:space="0"/>
            </w:tcBorders>
            <w:vAlign w:val="center"/>
          </w:tcPr>
          <w:p w14:paraId="7124D92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亚硝酸盐</w:t>
            </w:r>
          </w:p>
        </w:tc>
        <w:tc>
          <w:tcPr>
            <w:tcW w:w="1510" w:type="dxa"/>
            <w:tcBorders>
              <w:top w:val="single" w:color="auto" w:sz="4" w:space="0"/>
              <w:left w:val="single" w:color="auto" w:sz="4" w:space="0"/>
              <w:bottom w:val="single" w:color="auto" w:sz="4" w:space="0"/>
              <w:right w:val="single" w:color="auto" w:sz="4" w:space="0"/>
            </w:tcBorders>
            <w:vAlign w:val="center"/>
          </w:tcPr>
          <w:p w14:paraId="7B1F143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挥发性酚类</w:t>
            </w:r>
          </w:p>
        </w:tc>
        <w:tc>
          <w:tcPr>
            <w:tcW w:w="1215" w:type="dxa"/>
            <w:tcBorders>
              <w:top w:val="single" w:color="auto" w:sz="4" w:space="0"/>
              <w:left w:val="single" w:color="auto" w:sz="4" w:space="0"/>
              <w:bottom w:val="single" w:color="auto" w:sz="4" w:space="0"/>
              <w:right w:val="nil"/>
            </w:tcBorders>
            <w:vAlign w:val="center"/>
          </w:tcPr>
          <w:p w14:paraId="21F99E8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氰化物</w:t>
            </w:r>
          </w:p>
        </w:tc>
      </w:tr>
      <w:tr w14:paraId="3619A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244" w:type="dxa"/>
            <w:tcBorders>
              <w:top w:val="single" w:color="auto" w:sz="4" w:space="0"/>
              <w:left w:val="nil"/>
              <w:bottom w:val="single" w:color="auto" w:sz="4" w:space="0"/>
              <w:right w:val="single" w:color="auto" w:sz="4" w:space="0"/>
            </w:tcBorders>
            <w:vAlign w:val="center"/>
          </w:tcPr>
          <w:p w14:paraId="6A7F68A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6.5~8.5</w:t>
            </w:r>
          </w:p>
        </w:tc>
        <w:tc>
          <w:tcPr>
            <w:tcW w:w="1866" w:type="dxa"/>
            <w:tcBorders>
              <w:top w:val="single" w:color="auto" w:sz="4" w:space="0"/>
              <w:left w:val="single" w:color="auto" w:sz="4" w:space="0"/>
              <w:bottom w:val="single" w:color="auto" w:sz="4" w:space="0"/>
              <w:right w:val="single" w:color="auto" w:sz="4" w:space="0"/>
            </w:tcBorders>
            <w:vAlign w:val="center"/>
          </w:tcPr>
          <w:p w14:paraId="22372B7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≤0.50</w:t>
            </w:r>
          </w:p>
        </w:tc>
        <w:tc>
          <w:tcPr>
            <w:tcW w:w="1182" w:type="dxa"/>
            <w:tcBorders>
              <w:top w:val="single" w:color="auto" w:sz="4" w:space="0"/>
              <w:left w:val="single" w:color="auto" w:sz="4" w:space="0"/>
              <w:bottom w:val="single" w:color="auto" w:sz="4" w:space="0"/>
              <w:right w:val="single" w:color="auto" w:sz="4" w:space="0"/>
            </w:tcBorders>
            <w:vAlign w:val="center"/>
          </w:tcPr>
          <w:p w14:paraId="3F0085B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≤20.0</w:t>
            </w:r>
          </w:p>
        </w:tc>
        <w:tc>
          <w:tcPr>
            <w:tcW w:w="1363" w:type="dxa"/>
            <w:tcBorders>
              <w:top w:val="single" w:color="auto" w:sz="4" w:space="0"/>
              <w:left w:val="single" w:color="auto" w:sz="4" w:space="0"/>
              <w:bottom w:val="single" w:color="auto" w:sz="4" w:space="0"/>
              <w:right w:val="single" w:color="auto" w:sz="4" w:space="0"/>
            </w:tcBorders>
            <w:vAlign w:val="center"/>
          </w:tcPr>
          <w:p w14:paraId="734DE84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≤1.00</w:t>
            </w:r>
          </w:p>
        </w:tc>
        <w:tc>
          <w:tcPr>
            <w:tcW w:w="1510" w:type="dxa"/>
            <w:tcBorders>
              <w:top w:val="single" w:color="auto" w:sz="4" w:space="0"/>
              <w:left w:val="single" w:color="auto" w:sz="4" w:space="0"/>
              <w:bottom w:val="single" w:color="auto" w:sz="4" w:space="0"/>
              <w:right w:val="single" w:color="auto" w:sz="4" w:space="0"/>
            </w:tcBorders>
            <w:vAlign w:val="center"/>
          </w:tcPr>
          <w:p w14:paraId="4726EED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≤0.002</w:t>
            </w:r>
          </w:p>
        </w:tc>
        <w:tc>
          <w:tcPr>
            <w:tcW w:w="1215" w:type="dxa"/>
            <w:tcBorders>
              <w:top w:val="single" w:color="auto" w:sz="4" w:space="0"/>
              <w:left w:val="single" w:color="auto" w:sz="4" w:space="0"/>
              <w:bottom w:val="single" w:color="auto" w:sz="4" w:space="0"/>
              <w:right w:val="nil"/>
            </w:tcBorders>
            <w:vAlign w:val="center"/>
          </w:tcPr>
          <w:p w14:paraId="5BD3E16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≤0.05</w:t>
            </w:r>
          </w:p>
        </w:tc>
      </w:tr>
      <w:tr w14:paraId="32088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244" w:type="dxa"/>
            <w:tcBorders>
              <w:top w:val="single" w:color="auto" w:sz="4" w:space="0"/>
              <w:left w:val="nil"/>
              <w:bottom w:val="single" w:color="auto" w:sz="4" w:space="0"/>
              <w:right w:val="single" w:color="auto" w:sz="4" w:space="0"/>
            </w:tcBorders>
            <w:vAlign w:val="center"/>
          </w:tcPr>
          <w:p w14:paraId="5EBD942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砷</w:t>
            </w:r>
          </w:p>
        </w:tc>
        <w:tc>
          <w:tcPr>
            <w:tcW w:w="1866" w:type="dxa"/>
            <w:tcBorders>
              <w:top w:val="single" w:color="auto" w:sz="4" w:space="0"/>
              <w:left w:val="single" w:color="auto" w:sz="4" w:space="0"/>
              <w:bottom w:val="single" w:color="auto" w:sz="4" w:space="0"/>
              <w:right w:val="single" w:color="auto" w:sz="4" w:space="0"/>
            </w:tcBorders>
            <w:vAlign w:val="center"/>
          </w:tcPr>
          <w:p w14:paraId="5FDB09D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汞</w:t>
            </w:r>
          </w:p>
        </w:tc>
        <w:tc>
          <w:tcPr>
            <w:tcW w:w="1182" w:type="dxa"/>
            <w:tcBorders>
              <w:top w:val="single" w:color="auto" w:sz="4" w:space="0"/>
              <w:left w:val="single" w:color="auto" w:sz="4" w:space="0"/>
              <w:bottom w:val="single" w:color="auto" w:sz="4" w:space="0"/>
              <w:right w:val="single" w:color="auto" w:sz="4" w:space="0"/>
            </w:tcBorders>
            <w:vAlign w:val="center"/>
          </w:tcPr>
          <w:p w14:paraId="6058A28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铬（六价）</w:t>
            </w:r>
          </w:p>
        </w:tc>
        <w:tc>
          <w:tcPr>
            <w:tcW w:w="1363" w:type="dxa"/>
            <w:tcBorders>
              <w:top w:val="single" w:color="auto" w:sz="4" w:space="0"/>
              <w:left w:val="single" w:color="auto" w:sz="4" w:space="0"/>
              <w:bottom w:val="single" w:color="auto" w:sz="4" w:space="0"/>
              <w:right w:val="single" w:color="auto" w:sz="4" w:space="0"/>
            </w:tcBorders>
            <w:vAlign w:val="center"/>
          </w:tcPr>
          <w:p w14:paraId="5F1ABB5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总硬度</w:t>
            </w:r>
          </w:p>
        </w:tc>
        <w:tc>
          <w:tcPr>
            <w:tcW w:w="1510" w:type="dxa"/>
            <w:tcBorders>
              <w:top w:val="single" w:color="auto" w:sz="4" w:space="0"/>
              <w:left w:val="single" w:color="auto" w:sz="4" w:space="0"/>
              <w:bottom w:val="single" w:color="auto" w:sz="4" w:space="0"/>
              <w:right w:val="single" w:color="auto" w:sz="4" w:space="0"/>
            </w:tcBorders>
            <w:vAlign w:val="center"/>
          </w:tcPr>
          <w:p w14:paraId="4746BAC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铅</w:t>
            </w:r>
          </w:p>
        </w:tc>
        <w:tc>
          <w:tcPr>
            <w:tcW w:w="1215" w:type="dxa"/>
            <w:tcBorders>
              <w:top w:val="single" w:color="auto" w:sz="4" w:space="0"/>
              <w:left w:val="single" w:color="auto" w:sz="4" w:space="0"/>
              <w:bottom w:val="single" w:color="auto" w:sz="4" w:space="0"/>
              <w:right w:val="nil"/>
            </w:tcBorders>
            <w:vAlign w:val="center"/>
          </w:tcPr>
          <w:p w14:paraId="462C8B4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氟化物</w:t>
            </w:r>
          </w:p>
        </w:tc>
      </w:tr>
      <w:tr w14:paraId="4FFB6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244" w:type="dxa"/>
            <w:tcBorders>
              <w:top w:val="single" w:color="auto" w:sz="4" w:space="0"/>
              <w:left w:val="nil"/>
              <w:bottom w:val="single" w:color="auto" w:sz="4" w:space="0"/>
              <w:right w:val="single" w:color="auto" w:sz="4" w:space="0"/>
            </w:tcBorders>
            <w:vAlign w:val="center"/>
          </w:tcPr>
          <w:p w14:paraId="4040C87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≤0.01</w:t>
            </w:r>
          </w:p>
        </w:tc>
        <w:tc>
          <w:tcPr>
            <w:tcW w:w="1866" w:type="dxa"/>
            <w:tcBorders>
              <w:top w:val="single" w:color="auto" w:sz="4" w:space="0"/>
              <w:left w:val="single" w:color="auto" w:sz="4" w:space="0"/>
              <w:bottom w:val="single" w:color="auto" w:sz="4" w:space="0"/>
              <w:right w:val="single" w:color="auto" w:sz="4" w:space="0"/>
            </w:tcBorders>
            <w:vAlign w:val="center"/>
          </w:tcPr>
          <w:p w14:paraId="610A692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≤0.001</w:t>
            </w:r>
          </w:p>
        </w:tc>
        <w:tc>
          <w:tcPr>
            <w:tcW w:w="1182" w:type="dxa"/>
            <w:tcBorders>
              <w:top w:val="single" w:color="auto" w:sz="4" w:space="0"/>
              <w:left w:val="single" w:color="auto" w:sz="4" w:space="0"/>
              <w:bottom w:val="single" w:color="auto" w:sz="4" w:space="0"/>
              <w:right w:val="single" w:color="auto" w:sz="4" w:space="0"/>
            </w:tcBorders>
            <w:vAlign w:val="center"/>
          </w:tcPr>
          <w:p w14:paraId="2F2F065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≤0.05</w:t>
            </w:r>
          </w:p>
        </w:tc>
        <w:tc>
          <w:tcPr>
            <w:tcW w:w="1363" w:type="dxa"/>
            <w:tcBorders>
              <w:top w:val="single" w:color="auto" w:sz="4" w:space="0"/>
              <w:left w:val="single" w:color="auto" w:sz="4" w:space="0"/>
              <w:bottom w:val="single" w:color="auto" w:sz="4" w:space="0"/>
              <w:right w:val="single" w:color="auto" w:sz="4" w:space="0"/>
            </w:tcBorders>
            <w:vAlign w:val="center"/>
          </w:tcPr>
          <w:p w14:paraId="77A4F3F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≤450</w:t>
            </w:r>
          </w:p>
        </w:tc>
        <w:tc>
          <w:tcPr>
            <w:tcW w:w="1510" w:type="dxa"/>
            <w:tcBorders>
              <w:top w:val="single" w:color="auto" w:sz="4" w:space="0"/>
              <w:left w:val="single" w:color="auto" w:sz="4" w:space="0"/>
              <w:bottom w:val="single" w:color="auto" w:sz="4" w:space="0"/>
              <w:right w:val="single" w:color="auto" w:sz="4" w:space="0"/>
            </w:tcBorders>
            <w:vAlign w:val="center"/>
          </w:tcPr>
          <w:p w14:paraId="74D8481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≤0.01</w:t>
            </w:r>
          </w:p>
        </w:tc>
        <w:tc>
          <w:tcPr>
            <w:tcW w:w="1215" w:type="dxa"/>
            <w:tcBorders>
              <w:top w:val="single" w:color="auto" w:sz="4" w:space="0"/>
              <w:left w:val="single" w:color="auto" w:sz="4" w:space="0"/>
              <w:bottom w:val="single" w:color="auto" w:sz="4" w:space="0"/>
              <w:right w:val="nil"/>
            </w:tcBorders>
            <w:vAlign w:val="center"/>
          </w:tcPr>
          <w:p w14:paraId="17335AD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w:t>
            </w:r>
          </w:p>
        </w:tc>
      </w:tr>
      <w:tr w14:paraId="2E62E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244" w:type="dxa"/>
            <w:tcBorders>
              <w:top w:val="single" w:color="auto" w:sz="4" w:space="0"/>
              <w:left w:val="nil"/>
              <w:bottom w:val="single" w:color="auto" w:sz="4" w:space="0"/>
              <w:right w:val="single" w:color="auto" w:sz="4" w:space="0"/>
            </w:tcBorders>
            <w:vAlign w:val="center"/>
          </w:tcPr>
          <w:p w14:paraId="2EDB4F9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镉</w:t>
            </w:r>
          </w:p>
        </w:tc>
        <w:tc>
          <w:tcPr>
            <w:tcW w:w="1866" w:type="dxa"/>
            <w:tcBorders>
              <w:top w:val="single" w:color="auto" w:sz="4" w:space="0"/>
              <w:left w:val="single" w:color="auto" w:sz="4" w:space="0"/>
              <w:bottom w:val="single" w:color="auto" w:sz="4" w:space="0"/>
              <w:right w:val="single" w:color="auto" w:sz="4" w:space="0"/>
            </w:tcBorders>
            <w:vAlign w:val="center"/>
          </w:tcPr>
          <w:p w14:paraId="495A563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铁</w:t>
            </w:r>
          </w:p>
        </w:tc>
        <w:tc>
          <w:tcPr>
            <w:tcW w:w="1182" w:type="dxa"/>
            <w:tcBorders>
              <w:top w:val="single" w:color="auto" w:sz="4" w:space="0"/>
              <w:left w:val="single" w:color="auto" w:sz="4" w:space="0"/>
              <w:bottom w:val="single" w:color="auto" w:sz="4" w:space="0"/>
              <w:right w:val="single" w:color="auto" w:sz="4" w:space="0"/>
            </w:tcBorders>
            <w:vAlign w:val="center"/>
          </w:tcPr>
          <w:p w14:paraId="45ACA35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锰</w:t>
            </w:r>
          </w:p>
        </w:tc>
        <w:tc>
          <w:tcPr>
            <w:tcW w:w="1363" w:type="dxa"/>
            <w:tcBorders>
              <w:top w:val="single" w:color="auto" w:sz="4" w:space="0"/>
              <w:left w:val="single" w:color="auto" w:sz="4" w:space="0"/>
              <w:bottom w:val="single" w:color="auto" w:sz="4" w:space="0"/>
              <w:right w:val="single" w:color="auto" w:sz="4" w:space="0"/>
            </w:tcBorders>
            <w:vAlign w:val="center"/>
          </w:tcPr>
          <w:p w14:paraId="69F0B19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耗氧量</w:t>
            </w:r>
          </w:p>
        </w:tc>
        <w:tc>
          <w:tcPr>
            <w:tcW w:w="1510" w:type="dxa"/>
            <w:tcBorders>
              <w:top w:val="single" w:color="auto" w:sz="4" w:space="0"/>
              <w:left w:val="single" w:color="auto" w:sz="4" w:space="0"/>
              <w:bottom w:val="single" w:color="auto" w:sz="4" w:space="0"/>
              <w:right w:val="single" w:color="auto" w:sz="4" w:space="0"/>
            </w:tcBorders>
            <w:vAlign w:val="center"/>
          </w:tcPr>
          <w:p w14:paraId="28E4FFC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溶解性总固体</w:t>
            </w:r>
          </w:p>
        </w:tc>
        <w:tc>
          <w:tcPr>
            <w:tcW w:w="1215" w:type="dxa"/>
            <w:tcBorders>
              <w:top w:val="single" w:color="auto" w:sz="4" w:space="0"/>
              <w:left w:val="single" w:color="auto" w:sz="4" w:space="0"/>
              <w:bottom w:val="single" w:color="auto" w:sz="4" w:space="0"/>
              <w:right w:val="nil"/>
            </w:tcBorders>
            <w:vAlign w:val="center"/>
          </w:tcPr>
          <w:p w14:paraId="3A215B5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硫酸盐</w:t>
            </w:r>
          </w:p>
        </w:tc>
      </w:tr>
      <w:tr w14:paraId="62F6DC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244" w:type="dxa"/>
            <w:tcBorders>
              <w:top w:val="single" w:color="auto" w:sz="4" w:space="0"/>
              <w:left w:val="nil"/>
              <w:bottom w:val="single" w:color="auto" w:sz="4" w:space="0"/>
              <w:right w:val="single" w:color="auto" w:sz="4" w:space="0"/>
            </w:tcBorders>
            <w:vAlign w:val="center"/>
          </w:tcPr>
          <w:p w14:paraId="088BC80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≤0.005</w:t>
            </w:r>
          </w:p>
        </w:tc>
        <w:tc>
          <w:tcPr>
            <w:tcW w:w="1866" w:type="dxa"/>
            <w:tcBorders>
              <w:top w:val="single" w:color="auto" w:sz="4" w:space="0"/>
              <w:left w:val="single" w:color="auto" w:sz="4" w:space="0"/>
              <w:bottom w:val="single" w:color="auto" w:sz="4" w:space="0"/>
              <w:right w:val="single" w:color="auto" w:sz="4" w:space="0"/>
            </w:tcBorders>
            <w:vAlign w:val="center"/>
          </w:tcPr>
          <w:p w14:paraId="228C67E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≤0.3</w:t>
            </w:r>
          </w:p>
        </w:tc>
        <w:tc>
          <w:tcPr>
            <w:tcW w:w="1182" w:type="dxa"/>
            <w:tcBorders>
              <w:top w:val="single" w:color="auto" w:sz="4" w:space="0"/>
              <w:left w:val="single" w:color="auto" w:sz="4" w:space="0"/>
              <w:bottom w:val="single" w:color="auto" w:sz="4" w:space="0"/>
              <w:right w:val="single" w:color="auto" w:sz="4" w:space="0"/>
            </w:tcBorders>
            <w:vAlign w:val="center"/>
          </w:tcPr>
          <w:p w14:paraId="67B0D27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≤0.10</w:t>
            </w:r>
          </w:p>
        </w:tc>
        <w:tc>
          <w:tcPr>
            <w:tcW w:w="1363" w:type="dxa"/>
            <w:tcBorders>
              <w:top w:val="single" w:color="auto" w:sz="4" w:space="0"/>
              <w:left w:val="single" w:color="auto" w:sz="4" w:space="0"/>
              <w:bottom w:val="single" w:color="auto" w:sz="4" w:space="0"/>
              <w:right w:val="single" w:color="auto" w:sz="4" w:space="0"/>
            </w:tcBorders>
            <w:vAlign w:val="center"/>
          </w:tcPr>
          <w:p w14:paraId="303E2CE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≤3.0</w:t>
            </w:r>
          </w:p>
        </w:tc>
        <w:tc>
          <w:tcPr>
            <w:tcW w:w="1510" w:type="dxa"/>
            <w:tcBorders>
              <w:top w:val="single" w:color="auto" w:sz="4" w:space="0"/>
              <w:left w:val="single" w:color="auto" w:sz="4" w:space="0"/>
              <w:bottom w:val="single" w:color="auto" w:sz="4" w:space="0"/>
              <w:right w:val="single" w:color="auto" w:sz="4" w:space="0"/>
            </w:tcBorders>
            <w:vAlign w:val="center"/>
          </w:tcPr>
          <w:p w14:paraId="50221EF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≤1000</w:t>
            </w:r>
          </w:p>
        </w:tc>
        <w:tc>
          <w:tcPr>
            <w:tcW w:w="1215" w:type="dxa"/>
            <w:tcBorders>
              <w:top w:val="single" w:color="auto" w:sz="4" w:space="0"/>
              <w:left w:val="single" w:color="auto" w:sz="4" w:space="0"/>
              <w:bottom w:val="single" w:color="auto" w:sz="4" w:space="0"/>
              <w:right w:val="nil"/>
            </w:tcBorders>
            <w:vAlign w:val="center"/>
          </w:tcPr>
          <w:p w14:paraId="362C1E2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≤250</w:t>
            </w:r>
          </w:p>
        </w:tc>
      </w:tr>
      <w:tr w14:paraId="251F4A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244" w:type="dxa"/>
            <w:tcBorders>
              <w:top w:val="single" w:color="auto" w:sz="4" w:space="0"/>
              <w:left w:val="nil"/>
              <w:bottom w:val="single" w:color="auto" w:sz="4" w:space="0"/>
              <w:right w:val="single" w:color="auto" w:sz="4" w:space="0"/>
            </w:tcBorders>
            <w:vAlign w:val="center"/>
          </w:tcPr>
          <w:p w14:paraId="770692C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氯化物</w:t>
            </w:r>
          </w:p>
        </w:tc>
        <w:tc>
          <w:tcPr>
            <w:tcW w:w="1866" w:type="dxa"/>
            <w:tcBorders>
              <w:top w:val="single" w:color="auto" w:sz="4" w:space="0"/>
              <w:left w:val="single" w:color="auto" w:sz="4" w:space="0"/>
              <w:bottom w:val="single" w:color="auto" w:sz="4" w:space="0"/>
              <w:right w:val="single" w:color="auto" w:sz="4" w:space="0"/>
            </w:tcBorders>
            <w:vAlign w:val="center"/>
          </w:tcPr>
          <w:p w14:paraId="04A02EE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总大肠菌群</w:t>
            </w:r>
          </w:p>
        </w:tc>
        <w:tc>
          <w:tcPr>
            <w:tcW w:w="5270" w:type="dxa"/>
            <w:gridSpan w:val="4"/>
            <w:tcBorders>
              <w:top w:val="single" w:color="auto" w:sz="4" w:space="0"/>
              <w:left w:val="single" w:color="auto" w:sz="4" w:space="0"/>
              <w:bottom w:val="single" w:color="auto" w:sz="4" w:space="0"/>
              <w:right w:val="nil"/>
            </w:tcBorders>
            <w:vAlign w:val="center"/>
          </w:tcPr>
          <w:p w14:paraId="6F152CA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细菌总数</w:t>
            </w:r>
          </w:p>
        </w:tc>
      </w:tr>
      <w:tr w14:paraId="72DE39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244" w:type="dxa"/>
            <w:tcBorders>
              <w:top w:val="single" w:color="auto" w:sz="4" w:space="0"/>
              <w:left w:val="nil"/>
              <w:bottom w:val="single" w:color="auto" w:sz="12" w:space="0"/>
              <w:right w:val="single" w:color="auto" w:sz="4" w:space="0"/>
            </w:tcBorders>
            <w:vAlign w:val="center"/>
          </w:tcPr>
          <w:p w14:paraId="2BD48F1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≤250</w:t>
            </w:r>
          </w:p>
        </w:tc>
        <w:tc>
          <w:tcPr>
            <w:tcW w:w="1866" w:type="dxa"/>
            <w:tcBorders>
              <w:top w:val="single" w:color="auto" w:sz="4" w:space="0"/>
              <w:left w:val="single" w:color="auto" w:sz="4" w:space="0"/>
              <w:bottom w:val="single" w:color="auto" w:sz="12" w:space="0"/>
              <w:right w:val="single" w:color="auto" w:sz="4" w:space="0"/>
            </w:tcBorders>
            <w:vAlign w:val="center"/>
          </w:tcPr>
          <w:p w14:paraId="13539C4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≤3.0MPN</w:t>
            </w:r>
            <w:r>
              <w:rPr>
                <w:rFonts w:cs="Times New Roman"/>
                <w:color w:val="auto"/>
                <w:sz w:val="21"/>
                <w:szCs w:val="21"/>
                <w:highlight w:val="none"/>
                <w:vertAlign w:val="superscript"/>
              </w:rPr>
              <w:t>b</w:t>
            </w:r>
            <w:r>
              <w:rPr>
                <w:rFonts w:cs="Times New Roman"/>
                <w:color w:val="auto"/>
                <w:sz w:val="21"/>
                <w:szCs w:val="21"/>
                <w:highlight w:val="none"/>
              </w:rPr>
              <w:t>/100mL</w:t>
            </w:r>
          </w:p>
        </w:tc>
        <w:tc>
          <w:tcPr>
            <w:tcW w:w="5270" w:type="dxa"/>
            <w:gridSpan w:val="4"/>
            <w:tcBorders>
              <w:top w:val="single" w:color="auto" w:sz="4" w:space="0"/>
              <w:left w:val="single" w:color="auto" w:sz="4" w:space="0"/>
              <w:bottom w:val="single" w:color="auto" w:sz="12" w:space="0"/>
              <w:right w:val="nil"/>
            </w:tcBorders>
            <w:vAlign w:val="center"/>
          </w:tcPr>
          <w:p w14:paraId="26AA93B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≤100CFU/mL</w:t>
            </w:r>
          </w:p>
        </w:tc>
      </w:tr>
    </w:tbl>
    <w:p w14:paraId="684968EB">
      <w:pPr>
        <w:autoSpaceDE w:val="0"/>
        <w:autoSpaceDN w:val="0"/>
        <w:spacing w:line="500" w:lineRule="exact"/>
        <w:ind w:firstLine="482"/>
        <w:rPr>
          <w:rFonts w:cs="Times New Roman"/>
          <w:b/>
          <w:bCs/>
          <w:color w:val="auto"/>
          <w:highlight w:val="none"/>
        </w:rPr>
      </w:pPr>
      <w:r>
        <w:rPr>
          <w:rFonts w:cs="Times New Roman"/>
          <w:b/>
          <w:bCs/>
          <w:color w:val="auto"/>
          <w:highlight w:val="none"/>
        </w:rPr>
        <w:t>4、声环境质量标准</w:t>
      </w:r>
    </w:p>
    <w:p w14:paraId="54F95885">
      <w:pPr>
        <w:autoSpaceDE w:val="0"/>
        <w:autoSpaceDN w:val="0"/>
        <w:spacing w:line="500" w:lineRule="exact"/>
        <w:rPr>
          <w:rFonts w:cs="Times New Roman"/>
          <w:color w:val="auto"/>
          <w:highlight w:val="none"/>
        </w:rPr>
      </w:pPr>
      <w:r>
        <w:rPr>
          <w:rFonts w:cs="Times New Roman"/>
          <w:color w:val="auto"/>
          <w:highlight w:val="none"/>
        </w:rPr>
        <w:t>本项目位于</w:t>
      </w:r>
      <w:r>
        <w:rPr>
          <w:rFonts w:hint="eastAsia" w:cs="Times New Roman"/>
          <w:color w:val="auto"/>
          <w:highlight w:val="none"/>
          <w:lang w:val="en-US" w:eastAsia="zh-CN"/>
        </w:rPr>
        <w:t>黑龙江省双鸭山市岭东区长胜乡东兴村</w:t>
      </w:r>
      <w:r>
        <w:rPr>
          <w:rFonts w:cs="Times New Roman"/>
          <w:color w:val="auto"/>
          <w:highlight w:val="none"/>
        </w:rPr>
        <w:t>，根据《</w:t>
      </w:r>
      <w:r>
        <w:rPr>
          <w:rFonts w:hint="eastAsia" w:cs="Times New Roman"/>
          <w:color w:val="auto"/>
          <w:highlight w:val="none"/>
        </w:rPr>
        <w:t>双鸭山市人民政府办公室关于印发双鸭山市中心城区声环境功能区划分方案的通知</w:t>
      </w:r>
      <w:r>
        <w:rPr>
          <w:rFonts w:cs="Times New Roman"/>
          <w:color w:val="auto"/>
          <w:highlight w:val="none"/>
        </w:rPr>
        <w:t>》（</w:t>
      </w:r>
      <w:r>
        <w:rPr>
          <w:rFonts w:hint="eastAsia" w:cs="Times New Roman"/>
          <w:color w:val="auto"/>
          <w:highlight w:val="none"/>
        </w:rPr>
        <w:t>双政办发〔2024〕47号</w:t>
      </w:r>
      <w:r>
        <w:rPr>
          <w:rFonts w:cs="Times New Roman"/>
          <w:color w:val="auto"/>
          <w:highlight w:val="none"/>
        </w:rPr>
        <w:t>），项目所在区域属于</w:t>
      </w:r>
      <w:r>
        <w:rPr>
          <w:rFonts w:hint="eastAsia" w:cs="Times New Roman"/>
          <w:color w:val="auto"/>
          <w:highlight w:val="none"/>
          <w:lang w:val="en-US" w:eastAsia="zh-CN"/>
        </w:rPr>
        <w:t>2</w:t>
      </w:r>
      <w:r>
        <w:rPr>
          <w:rFonts w:cs="Times New Roman"/>
          <w:color w:val="auto"/>
          <w:highlight w:val="none"/>
        </w:rPr>
        <w:t>类声功能区，执行国家《声环境质量标准》（GB3096-2008）中相应的</w:t>
      </w:r>
      <w:r>
        <w:rPr>
          <w:rFonts w:hint="eastAsia" w:cs="Times New Roman"/>
          <w:color w:val="auto"/>
          <w:highlight w:val="none"/>
          <w:lang w:val="en-US" w:eastAsia="zh-CN"/>
        </w:rPr>
        <w:t>2</w:t>
      </w:r>
      <w:r>
        <w:rPr>
          <w:rFonts w:cs="Times New Roman"/>
          <w:color w:val="auto"/>
          <w:highlight w:val="none"/>
        </w:rPr>
        <w:t>类标准，具体见</w:t>
      </w:r>
      <w:r>
        <w:rPr>
          <w:rFonts w:hint="eastAsia" w:cs="Times New Roman"/>
          <w:color w:val="auto"/>
          <w:highlight w:val="none"/>
          <w:lang w:val="en-US" w:eastAsia="zh-CN"/>
        </w:rPr>
        <w:t>下表</w:t>
      </w:r>
      <w:r>
        <w:rPr>
          <w:rFonts w:cs="Times New Roman"/>
          <w:color w:val="auto"/>
          <w:highlight w:val="none"/>
        </w:rPr>
        <w:t>。</w:t>
      </w:r>
    </w:p>
    <w:p w14:paraId="501DBE65">
      <w:pPr>
        <w:spacing w:line="240" w:lineRule="auto"/>
        <w:ind w:firstLine="422"/>
        <w:jc w:val="center"/>
        <w:rPr>
          <w:rFonts w:cs="Times New Roman"/>
          <w:b/>
          <w:color w:val="auto"/>
          <w:sz w:val="21"/>
          <w:szCs w:val="21"/>
          <w:highlight w:val="none"/>
        </w:rPr>
      </w:pPr>
    </w:p>
    <w:p w14:paraId="4750CEE0">
      <w:pPr>
        <w:spacing w:line="240" w:lineRule="auto"/>
        <w:ind w:firstLine="482"/>
        <w:jc w:val="center"/>
        <w:rPr>
          <w:rFonts w:cs="Times New Roman"/>
          <w:b/>
          <w:color w:val="auto"/>
          <w:szCs w:val="24"/>
          <w:highlight w:val="none"/>
        </w:rPr>
      </w:pPr>
      <w:r>
        <w:rPr>
          <w:rFonts w:cs="Times New Roman"/>
          <w:b/>
          <w:color w:val="auto"/>
          <w:szCs w:val="24"/>
          <w:highlight w:val="none"/>
        </w:rPr>
        <w:t>表2-2-</w:t>
      </w:r>
      <w:r>
        <w:rPr>
          <w:rFonts w:hint="eastAsia" w:cs="Times New Roman"/>
          <w:b/>
          <w:color w:val="auto"/>
          <w:szCs w:val="24"/>
          <w:highlight w:val="none"/>
          <w:lang w:val="en-US" w:eastAsia="zh-CN"/>
        </w:rPr>
        <w:t>7</w:t>
      </w:r>
      <w:r>
        <w:rPr>
          <w:rFonts w:cs="Times New Roman"/>
          <w:b/>
          <w:color w:val="auto"/>
          <w:szCs w:val="24"/>
          <w:highlight w:val="none"/>
        </w:rPr>
        <w:t xml:space="preserve">  声环境质量标准  单位：dB（A）</w:t>
      </w:r>
    </w:p>
    <w:tbl>
      <w:tblPr>
        <w:tblStyle w:val="47"/>
        <w:tblW w:w="83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4"/>
        <w:gridCol w:w="2044"/>
        <w:gridCol w:w="1852"/>
        <w:gridCol w:w="2818"/>
      </w:tblGrid>
      <w:tr w14:paraId="2474C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684" w:type="dxa"/>
            <w:vMerge w:val="restart"/>
            <w:tcBorders>
              <w:top w:val="single" w:color="auto" w:sz="12" w:space="0"/>
              <w:left w:val="nil"/>
              <w:bottom w:val="single" w:color="auto" w:sz="4" w:space="0"/>
              <w:right w:val="single" w:color="auto" w:sz="4" w:space="0"/>
            </w:tcBorders>
            <w:tcMar>
              <w:top w:w="28" w:type="dxa"/>
              <w:left w:w="28" w:type="dxa"/>
              <w:bottom w:w="28" w:type="dxa"/>
              <w:right w:w="28" w:type="dxa"/>
            </w:tcMar>
            <w:vAlign w:val="center"/>
          </w:tcPr>
          <w:p w14:paraId="3A8F5EC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类别</w:t>
            </w:r>
          </w:p>
        </w:tc>
        <w:tc>
          <w:tcPr>
            <w:tcW w:w="3896" w:type="dxa"/>
            <w:gridSpan w:val="2"/>
            <w:tcBorders>
              <w:top w:val="single" w:color="auto" w:sz="12" w:space="0"/>
              <w:left w:val="single" w:color="auto" w:sz="4" w:space="0"/>
              <w:bottom w:val="single" w:color="auto" w:sz="4" w:space="0"/>
              <w:right w:val="single" w:color="auto" w:sz="4" w:space="0"/>
            </w:tcBorders>
            <w:tcMar>
              <w:top w:w="28" w:type="dxa"/>
              <w:left w:w="28" w:type="dxa"/>
              <w:bottom w:w="28" w:type="dxa"/>
              <w:right w:w="28" w:type="dxa"/>
            </w:tcMar>
            <w:vAlign w:val="center"/>
          </w:tcPr>
          <w:p w14:paraId="3F312E3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标准值</w:t>
            </w:r>
          </w:p>
        </w:tc>
        <w:tc>
          <w:tcPr>
            <w:tcW w:w="2818" w:type="dxa"/>
            <w:vMerge w:val="restart"/>
            <w:tcBorders>
              <w:top w:val="single" w:color="auto" w:sz="12" w:space="0"/>
              <w:left w:val="single" w:color="auto" w:sz="4" w:space="0"/>
              <w:bottom w:val="single" w:color="auto" w:sz="4" w:space="0"/>
              <w:right w:val="nil"/>
            </w:tcBorders>
            <w:tcMar>
              <w:top w:w="28" w:type="dxa"/>
              <w:left w:w="28" w:type="dxa"/>
              <w:bottom w:w="28" w:type="dxa"/>
              <w:right w:w="28" w:type="dxa"/>
            </w:tcMar>
            <w:vAlign w:val="center"/>
          </w:tcPr>
          <w:p w14:paraId="47BCB5F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标准来源</w:t>
            </w:r>
          </w:p>
        </w:tc>
      </w:tr>
      <w:tr w14:paraId="1658AC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684" w:type="dxa"/>
            <w:vMerge w:val="continue"/>
            <w:tcBorders>
              <w:top w:val="single" w:color="auto" w:sz="12" w:space="0"/>
              <w:left w:val="nil"/>
              <w:bottom w:val="single" w:color="auto" w:sz="4" w:space="0"/>
              <w:right w:val="single" w:color="auto" w:sz="4" w:space="0"/>
            </w:tcBorders>
            <w:vAlign w:val="center"/>
          </w:tcPr>
          <w:p w14:paraId="20D5C6F3">
            <w:pPr>
              <w:widowControl/>
              <w:spacing w:line="240" w:lineRule="auto"/>
              <w:ind w:firstLine="0" w:firstLineChars="0"/>
              <w:jc w:val="center"/>
              <w:rPr>
                <w:rFonts w:cs="Times New Roman"/>
                <w:color w:val="auto"/>
                <w:sz w:val="21"/>
                <w:szCs w:val="21"/>
                <w:highlight w:val="none"/>
              </w:rPr>
            </w:pPr>
          </w:p>
        </w:tc>
        <w:tc>
          <w:tcPr>
            <w:tcW w:w="2044"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14:paraId="5C56B157">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昼间</w:t>
            </w:r>
          </w:p>
        </w:tc>
        <w:tc>
          <w:tcPr>
            <w:tcW w:w="1852" w:type="dxa"/>
            <w:tcBorders>
              <w:top w:val="single" w:color="auto" w:sz="4" w:space="0"/>
              <w:left w:val="single" w:color="auto" w:sz="4" w:space="0"/>
              <w:bottom w:val="single" w:color="auto" w:sz="4" w:space="0"/>
              <w:right w:val="single" w:color="auto" w:sz="4" w:space="0"/>
            </w:tcBorders>
            <w:tcMar>
              <w:top w:w="28" w:type="dxa"/>
              <w:left w:w="28" w:type="dxa"/>
              <w:bottom w:w="28" w:type="dxa"/>
              <w:right w:w="28" w:type="dxa"/>
            </w:tcMar>
            <w:vAlign w:val="center"/>
          </w:tcPr>
          <w:p w14:paraId="7365505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夜间</w:t>
            </w:r>
          </w:p>
        </w:tc>
        <w:tc>
          <w:tcPr>
            <w:tcW w:w="2818" w:type="dxa"/>
            <w:vMerge w:val="continue"/>
            <w:tcBorders>
              <w:top w:val="single" w:color="auto" w:sz="12" w:space="0"/>
              <w:left w:val="single" w:color="auto" w:sz="4" w:space="0"/>
              <w:bottom w:val="single" w:color="auto" w:sz="4" w:space="0"/>
              <w:right w:val="nil"/>
            </w:tcBorders>
            <w:vAlign w:val="center"/>
          </w:tcPr>
          <w:p w14:paraId="65560297">
            <w:pPr>
              <w:widowControl/>
              <w:spacing w:line="240" w:lineRule="auto"/>
              <w:ind w:firstLine="0" w:firstLineChars="0"/>
              <w:jc w:val="center"/>
              <w:rPr>
                <w:rFonts w:cs="Times New Roman"/>
                <w:color w:val="auto"/>
                <w:sz w:val="21"/>
                <w:szCs w:val="21"/>
                <w:highlight w:val="none"/>
              </w:rPr>
            </w:pPr>
          </w:p>
        </w:tc>
      </w:tr>
      <w:tr w14:paraId="685E6B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684" w:type="dxa"/>
            <w:tcBorders>
              <w:top w:val="single" w:color="auto" w:sz="4" w:space="0"/>
              <w:left w:val="nil"/>
              <w:bottom w:val="single" w:color="auto" w:sz="12" w:space="0"/>
              <w:right w:val="single" w:color="auto" w:sz="4" w:space="0"/>
            </w:tcBorders>
            <w:tcMar>
              <w:top w:w="28" w:type="dxa"/>
              <w:left w:w="28" w:type="dxa"/>
              <w:bottom w:w="28" w:type="dxa"/>
              <w:right w:w="28" w:type="dxa"/>
            </w:tcMar>
            <w:vAlign w:val="center"/>
          </w:tcPr>
          <w:p w14:paraId="6B7BABA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声环境</w:t>
            </w:r>
          </w:p>
        </w:tc>
        <w:tc>
          <w:tcPr>
            <w:tcW w:w="2044" w:type="dxa"/>
            <w:tcBorders>
              <w:top w:val="single" w:color="auto" w:sz="4" w:space="0"/>
              <w:left w:val="single" w:color="auto" w:sz="4" w:space="0"/>
              <w:bottom w:val="single" w:color="auto" w:sz="12" w:space="0"/>
              <w:right w:val="single" w:color="auto" w:sz="4" w:space="0"/>
            </w:tcBorders>
            <w:tcMar>
              <w:top w:w="28" w:type="dxa"/>
              <w:left w:w="28" w:type="dxa"/>
              <w:bottom w:w="28" w:type="dxa"/>
              <w:right w:w="28" w:type="dxa"/>
            </w:tcMar>
            <w:vAlign w:val="center"/>
          </w:tcPr>
          <w:p w14:paraId="5229B05D">
            <w:pPr>
              <w:spacing w:line="240" w:lineRule="auto"/>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6</w:t>
            </w:r>
            <w:r>
              <w:rPr>
                <w:rFonts w:hint="eastAsia" w:cs="Times New Roman"/>
                <w:color w:val="auto"/>
                <w:sz w:val="21"/>
                <w:szCs w:val="21"/>
                <w:highlight w:val="none"/>
                <w:lang w:val="en-US" w:eastAsia="zh-CN"/>
              </w:rPr>
              <w:t>0</w:t>
            </w:r>
          </w:p>
        </w:tc>
        <w:tc>
          <w:tcPr>
            <w:tcW w:w="1852" w:type="dxa"/>
            <w:tcBorders>
              <w:top w:val="single" w:color="auto" w:sz="4" w:space="0"/>
              <w:left w:val="single" w:color="auto" w:sz="4" w:space="0"/>
              <w:bottom w:val="single" w:color="auto" w:sz="12" w:space="0"/>
              <w:right w:val="single" w:color="auto" w:sz="4" w:space="0"/>
            </w:tcBorders>
            <w:tcMar>
              <w:top w:w="28" w:type="dxa"/>
              <w:left w:w="28" w:type="dxa"/>
              <w:bottom w:w="28" w:type="dxa"/>
              <w:right w:w="28" w:type="dxa"/>
            </w:tcMar>
            <w:vAlign w:val="center"/>
          </w:tcPr>
          <w:p w14:paraId="4EE63951">
            <w:pPr>
              <w:spacing w:line="240" w:lineRule="auto"/>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5</w:t>
            </w:r>
            <w:r>
              <w:rPr>
                <w:rFonts w:hint="eastAsia" w:cs="Times New Roman"/>
                <w:color w:val="auto"/>
                <w:sz w:val="21"/>
                <w:szCs w:val="21"/>
                <w:highlight w:val="none"/>
                <w:lang w:val="en-US" w:eastAsia="zh-CN"/>
              </w:rPr>
              <w:t>0</w:t>
            </w:r>
          </w:p>
        </w:tc>
        <w:tc>
          <w:tcPr>
            <w:tcW w:w="2818" w:type="dxa"/>
            <w:tcBorders>
              <w:top w:val="single" w:color="auto" w:sz="4" w:space="0"/>
              <w:left w:val="single" w:color="auto" w:sz="4" w:space="0"/>
              <w:bottom w:val="single" w:color="auto" w:sz="12" w:space="0"/>
              <w:right w:val="nil"/>
            </w:tcBorders>
            <w:tcMar>
              <w:top w:w="28" w:type="dxa"/>
              <w:left w:w="28" w:type="dxa"/>
              <w:bottom w:w="28" w:type="dxa"/>
              <w:right w:w="28" w:type="dxa"/>
            </w:tcMar>
            <w:vAlign w:val="center"/>
          </w:tcPr>
          <w:p w14:paraId="1E0304A6">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GB3096-2008中</w:t>
            </w:r>
            <w:r>
              <w:rPr>
                <w:rFonts w:hint="eastAsia" w:cs="Times New Roman"/>
                <w:color w:val="auto"/>
                <w:sz w:val="21"/>
                <w:szCs w:val="21"/>
                <w:highlight w:val="none"/>
                <w:lang w:val="en-US" w:eastAsia="zh-CN"/>
              </w:rPr>
              <w:t>2</w:t>
            </w:r>
            <w:r>
              <w:rPr>
                <w:rFonts w:cs="Times New Roman"/>
                <w:color w:val="auto"/>
                <w:sz w:val="21"/>
                <w:szCs w:val="21"/>
                <w:highlight w:val="none"/>
              </w:rPr>
              <w:t>类</w:t>
            </w:r>
          </w:p>
        </w:tc>
      </w:tr>
    </w:tbl>
    <w:p w14:paraId="022EE8E4">
      <w:pPr>
        <w:pStyle w:val="5"/>
        <w:rPr>
          <w:color w:val="auto"/>
          <w:highlight w:val="none"/>
        </w:rPr>
      </w:pPr>
      <w:bookmarkStart w:id="55" w:name="_Toc17763"/>
      <w:bookmarkStart w:id="56" w:name="_Toc22218"/>
      <w:bookmarkStart w:id="57" w:name="_Toc3936"/>
      <w:r>
        <w:rPr>
          <w:color w:val="auto"/>
          <w:highlight w:val="none"/>
        </w:rPr>
        <w:drawing>
          <wp:anchor distT="0" distB="0" distL="114300" distR="114300" simplePos="0" relativeHeight="251747328" behindDoc="0" locked="0" layoutInCell="1" allowOverlap="1">
            <wp:simplePos x="0" y="0"/>
            <wp:positionH relativeFrom="column">
              <wp:posOffset>554990</wp:posOffset>
            </wp:positionH>
            <wp:positionV relativeFrom="paragraph">
              <wp:posOffset>21590</wp:posOffset>
            </wp:positionV>
            <wp:extent cx="4152900" cy="4756150"/>
            <wp:effectExtent l="0" t="0" r="0" b="6350"/>
            <wp:wrapNone/>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9"/>
                    <a:stretch>
                      <a:fillRect/>
                    </a:stretch>
                  </pic:blipFill>
                  <pic:spPr>
                    <a:xfrm>
                      <a:off x="0" y="0"/>
                      <a:ext cx="4152900" cy="4756150"/>
                    </a:xfrm>
                    <a:prstGeom prst="rect">
                      <a:avLst/>
                    </a:prstGeom>
                    <a:noFill/>
                    <a:ln>
                      <a:noFill/>
                    </a:ln>
                  </pic:spPr>
                </pic:pic>
              </a:graphicData>
            </a:graphic>
          </wp:anchor>
        </w:drawing>
      </w:r>
    </w:p>
    <w:p w14:paraId="0F0A2FDE">
      <w:pPr>
        <w:pStyle w:val="5"/>
        <w:rPr>
          <w:color w:val="auto"/>
          <w:highlight w:val="none"/>
        </w:rPr>
      </w:pPr>
    </w:p>
    <w:p w14:paraId="0B952B58">
      <w:pPr>
        <w:pStyle w:val="5"/>
        <w:rPr>
          <w:color w:val="auto"/>
          <w:highlight w:val="none"/>
        </w:rPr>
      </w:pPr>
    </w:p>
    <w:p w14:paraId="1534F685">
      <w:pPr>
        <w:rPr>
          <w:color w:val="auto"/>
          <w:highlight w:val="none"/>
        </w:rPr>
      </w:pPr>
    </w:p>
    <w:p w14:paraId="4DC077C0">
      <w:pPr>
        <w:pStyle w:val="45"/>
        <w:rPr>
          <w:color w:val="auto"/>
          <w:highlight w:val="none"/>
        </w:rPr>
      </w:pPr>
    </w:p>
    <w:p w14:paraId="3A64FA3E">
      <w:pPr>
        <w:pStyle w:val="45"/>
        <w:rPr>
          <w:color w:val="auto"/>
          <w:highlight w:val="none"/>
        </w:rPr>
      </w:pPr>
    </w:p>
    <w:p w14:paraId="5C2C2A14">
      <w:pPr>
        <w:pStyle w:val="45"/>
        <w:rPr>
          <w:color w:val="auto"/>
          <w:highlight w:val="none"/>
        </w:rPr>
      </w:pPr>
    </w:p>
    <w:p w14:paraId="2E97DBF9">
      <w:pPr>
        <w:pStyle w:val="45"/>
        <w:rPr>
          <w:color w:val="auto"/>
          <w:highlight w:val="none"/>
        </w:rPr>
      </w:pPr>
    </w:p>
    <w:p w14:paraId="6D9A121F">
      <w:pPr>
        <w:pStyle w:val="45"/>
        <w:rPr>
          <w:color w:val="auto"/>
          <w:highlight w:val="none"/>
        </w:rPr>
      </w:pPr>
    </w:p>
    <w:p w14:paraId="4FE5F118">
      <w:pPr>
        <w:pStyle w:val="45"/>
        <w:rPr>
          <w:color w:val="auto"/>
          <w:highlight w:val="none"/>
        </w:rPr>
      </w:pPr>
    </w:p>
    <w:p w14:paraId="27DF1506">
      <w:pPr>
        <w:pStyle w:val="45"/>
        <w:rPr>
          <w:color w:val="auto"/>
          <w:highlight w:val="none"/>
        </w:rPr>
      </w:pPr>
    </w:p>
    <w:p w14:paraId="0BC09852">
      <w:pPr>
        <w:pStyle w:val="45"/>
        <w:rPr>
          <w:color w:val="auto"/>
          <w:highlight w:val="none"/>
        </w:rPr>
      </w:pPr>
    </w:p>
    <w:p w14:paraId="26DB9733">
      <w:pPr>
        <w:pStyle w:val="45"/>
        <w:rPr>
          <w:color w:val="auto"/>
          <w:highlight w:val="none"/>
        </w:rPr>
      </w:pPr>
    </w:p>
    <w:p w14:paraId="7A8899CC">
      <w:pPr>
        <w:pStyle w:val="45"/>
        <w:rPr>
          <w:color w:val="auto"/>
          <w:highlight w:val="none"/>
        </w:rPr>
      </w:pPr>
    </w:p>
    <w:p w14:paraId="099FA9DC">
      <w:pPr>
        <w:pStyle w:val="45"/>
        <w:rPr>
          <w:color w:val="auto"/>
          <w:highlight w:val="none"/>
        </w:rPr>
      </w:pPr>
    </w:p>
    <w:p w14:paraId="77067EAE">
      <w:pPr>
        <w:pStyle w:val="45"/>
        <w:rPr>
          <w:color w:val="auto"/>
          <w:highlight w:val="none"/>
        </w:rPr>
      </w:pPr>
    </w:p>
    <w:p w14:paraId="38BEEC2C">
      <w:pPr>
        <w:pStyle w:val="45"/>
        <w:rPr>
          <w:color w:val="auto"/>
          <w:highlight w:val="none"/>
        </w:rPr>
      </w:pPr>
    </w:p>
    <w:p w14:paraId="4BB9B587">
      <w:pPr>
        <w:pStyle w:val="45"/>
        <w:rPr>
          <w:color w:val="auto"/>
          <w:highlight w:val="none"/>
        </w:rPr>
      </w:pPr>
    </w:p>
    <w:p w14:paraId="1EE8FD33">
      <w:pPr>
        <w:pStyle w:val="45"/>
        <w:jc w:val="center"/>
        <w:rPr>
          <w:rFonts w:hint="default" w:eastAsiaTheme="minorEastAsia"/>
          <w:b/>
          <w:bCs/>
          <w:color w:val="auto"/>
          <w:sz w:val="24"/>
          <w:szCs w:val="28"/>
          <w:highlight w:val="none"/>
          <w:lang w:val="en-US" w:eastAsia="zh-CN"/>
        </w:rPr>
      </w:pPr>
      <w:r>
        <w:rPr>
          <w:rFonts w:hint="eastAsia"/>
          <w:b/>
          <w:bCs/>
          <w:color w:val="auto"/>
          <w:sz w:val="24"/>
          <w:szCs w:val="28"/>
          <w:highlight w:val="none"/>
          <w:lang w:val="en-US" w:eastAsia="zh-CN"/>
        </w:rPr>
        <w:t>图2.2-1  声环境功能区划分示意图</w:t>
      </w:r>
    </w:p>
    <w:p w14:paraId="2F74E223">
      <w:pPr>
        <w:pStyle w:val="5"/>
        <w:rPr>
          <w:color w:val="auto"/>
          <w:highlight w:val="none"/>
        </w:rPr>
      </w:pPr>
      <w:r>
        <w:rPr>
          <w:color w:val="auto"/>
          <w:highlight w:val="none"/>
        </w:rPr>
        <w:t>2.2.2.2 污染物排放标准</w:t>
      </w:r>
      <w:bookmarkEnd w:id="55"/>
      <w:bookmarkEnd w:id="56"/>
      <w:bookmarkEnd w:id="57"/>
    </w:p>
    <w:p w14:paraId="0BE5117E">
      <w:pPr>
        <w:spacing w:line="500" w:lineRule="exact"/>
        <w:ind w:firstLine="482"/>
        <w:rPr>
          <w:rFonts w:cs="Times New Roman"/>
          <w:color w:val="auto"/>
          <w:szCs w:val="24"/>
          <w:highlight w:val="none"/>
        </w:rPr>
      </w:pPr>
      <w:r>
        <w:rPr>
          <w:rFonts w:cs="Times New Roman"/>
          <w:b/>
          <w:bCs/>
          <w:color w:val="auto"/>
          <w:szCs w:val="24"/>
          <w:highlight w:val="none"/>
        </w:rPr>
        <w:t>1、大气污染物排放标准</w:t>
      </w:r>
    </w:p>
    <w:p w14:paraId="1E842B6E">
      <w:pPr>
        <w:spacing w:line="500" w:lineRule="exact"/>
        <w:rPr>
          <w:rFonts w:cs="Times New Roman"/>
          <w:color w:val="auto"/>
          <w:szCs w:val="24"/>
          <w:highlight w:val="none"/>
        </w:rPr>
      </w:pPr>
      <w:r>
        <w:rPr>
          <w:rFonts w:cs="Times New Roman"/>
          <w:color w:val="auto"/>
          <w:szCs w:val="24"/>
          <w:highlight w:val="none"/>
        </w:rPr>
        <w:t>施工期产生无组织颗粒物执行《大气污染物综合排放标准》（GB16297-1996）表2中无组织排放监控浓度限值，标准值见</w:t>
      </w:r>
      <w:r>
        <w:rPr>
          <w:rFonts w:hint="eastAsia" w:cs="Times New Roman"/>
          <w:color w:val="auto"/>
          <w:szCs w:val="24"/>
          <w:highlight w:val="none"/>
          <w:lang w:val="en-US" w:eastAsia="zh-CN"/>
        </w:rPr>
        <w:t>下表</w:t>
      </w:r>
      <w:r>
        <w:rPr>
          <w:rFonts w:cs="Times New Roman"/>
          <w:color w:val="auto"/>
          <w:szCs w:val="24"/>
          <w:highlight w:val="none"/>
        </w:rPr>
        <w:t>。</w:t>
      </w:r>
    </w:p>
    <w:p w14:paraId="19D40068">
      <w:pPr>
        <w:spacing w:line="240" w:lineRule="auto"/>
        <w:ind w:firstLine="482"/>
        <w:jc w:val="center"/>
        <w:rPr>
          <w:rFonts w:cs="Times New Roman"/>
          <w:b/>
          <w:color w:val="auto"/>
          <w:szCs w:val="24"/>
          <w:highlight w:val="none"/>
        </w:rPr>
      </w:pPr>
      <w:r>
        <w:rPr>
          <w:rFonts w:cs="Times New Roman"/>
          <w:b/>
          <w:color w:val="auto"/>
          <w:szCs w:val="24"/>
          <w:highlight w:val="none"/>
        </w:rPr>
        <w:t>表2-2-</w:t>
      </w:r>
      <w:r>
        <w:rPr>
          <w:rFonts w:hint="eastAsia" w:cs="Times New Roman"/>
          <w:b/>
          <w:color w:val="auto"/>
          <w:szCs w:val="24"/>
          <w:highlight w:val="none"/>
          <w:lang w:val="en-US" w:eastAsia="zh-CN"/>
        </w:rPr>
        <w:t>8</w:t>
      </w:r>
      <w:r>
        <w:rPr>
          <w:rFonts w:cs="Times New Roman"/>
          <w:b/>
          <w:color w:val="auto"/>
          <w:szCs w:val="24"/>
          <w:highlight w:val="none"/>
        </w:rPr>
        <w:t xml:space="preserve">   大气污染物综合排放标准</w:t>
      </w:r>
    </w:p>
    <w:tbl>
      <w:tblPr>
        <w:tblStyle w:val="47"/>
        <w:tblW w:w="83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76"/>
        <w:gridCol w:w="3878"/>
        <w:gridCol w:w="2805"/>
      </w:tblGrid>
      <w:tr w14:paraId="710C3D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676" w:type="dxa"/>
            <w:tcBorders>
              <w:top w:val="single" w:color="auto" w:sz="12" w:space="0"/>
              <w:left w:val="nil"/>
              <w:bottom w:val="single" w:color="auto" w:sz="4" w:space="0"/>
              <w:right w:val="single" w:color="auto" w:sz="4" w:space="0"/>
            </w:tcBorders>
            <w:tcMar>
              <w:top w:w="28" w:type="dxa"/>
              <w:left w:w="28" w:type="dxa"/>
              <w:bottom w:w="28" w:type="dxa"/>
              <w:right w:w="28" w:type="dxa"/>
            </w:tcMar>
            <w:vAlign w:val="center"/>
          </w:tcPr>
          <w:p w14:paraId="631B48D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6683" w:type="dxa"/>
            <w:gridSpan w:val="2"/>
            <w:tcBorders>
              <w:top w:val="single" w:color="auto" w:sz="12" w:space="0"/>
              <w:left w:val="single" w:color="auto" w:sz="4" w:space="0"/>
              <w:right w:val="nil"/>
            </w:tcBorders>
            <w:tcMar>
              <w:top w:w="28" w:type="dxa"/>
              <w:left w:w="28" w:type="dxa"/>
              <w:bottom w:w="28" w:type="dxa"/>
              <w:right w:w="28" w:type="dxa"/>
            </w:tcMar>
            <w:vAlign w:val="center"/>
          </w:tcPr>
          <w:p w14:paraId="7A8DD71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无组织排放监控浓度限值（mg/m</w:t>
            </w:r>
            <w:r>
              <w:rPr>
                <w:rFonts w:cs="Times New Roman"/>
                <w:color w:val="auto"/>
                <w:sz w:val="21"/>
                <w:szCs w:val="21"/>
                <w:highlight w:val="none"/>
                <w:vertAlign w:val="superscript"/>
              </w:rPr>
              <w:t>3</w:t>
            </w:r>
            <w:r>
              <w:rPr>
                <w:rFonts w:cs="Times New Roman"/>
                <w:color w:val="auto"/>
                <w:sz w:val="21"/>
                <w:szCs w:val="21"/>
                <w:highlight w:val="none"/>
              </w:rPr>
              <w:t>）</w:t>
            </w:r>
          </w:p>
        </w:tc>
      </w:tr>
      <w:tr w14:paraId="7BAE23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676" w:type="dxa"/>
            <w:tcBorders>
              <w:top w:val="single" w:color="auto" w:sz="4" w:space="0"/>
              <w:left w:val="nil"/>
              <w:bottom w:val="single" w:color="auto" w:sz="12" w:space="0"/>
              <w:right w:val="single" w:color="auto" w:sz="4" w:space="0"/>
            </w:tcBorders>
            <w:tcMar>
              <w:top w:w="28" w:type="dxa"/>
              <w:left w:w="28" w:type="dxa"/>
              <w:bottom w:w="28" w:type="dxa"/>
              <w:right w:w="28" w:type="dxa"/>
            </w:tcMar>
            <w:vAlign w:val="center"/>
          </w:tcPr>
          <w:p w14:paraId="21EF2292">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颗粒物</w:t>
            </w:r>
          </w:p>
        </w:tc>
        <w:tc>
          <w:tcPr>
            <w:tcW w:w="3878" w:type="dxa"/>
            <w:tcBorders>
              <w:top w:val="single" w:color="auto" w:sz="4" w:space="0"/>
              <w:left w:val="single" w:color="auto" w:sz="4" w:space="0"/>
              <w:bottom w:val="single" w:color="auto" w:sz="12" w:space="0"/>
              <w:right w:val="single" w:color="auto" w:sz="4" w:space="0"/>
            </w:tcBorders>
            <w:tcMar>
              <w:top w:w="28" w:type="dxa"/>
              <w:left w:w="28" w:type="dxa"/>
              <w:bottom w:w="28" w:type="dxa"/>
              <w:right w:w="28" w:type="dxa"/>
            </w:tcMar>
            <w:vAlign w:val="center"/>
          </w:tcPr>
          <w:p w14:paraId="346CA333">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周界外浓度最高点</w:t>
            </w:r>
          </w:p>
        </w:tc>
        <w:tc>
          <w:tcPr>
            <w:tcW w:w="2805" w:type="dxa"/>
            <w:tcBorders>
              <w:top w:val="single" w:color="auto" w:sz="4" w:space="0"/>
              <w:left w:val="single" w:color="auto" w:sz="4" w:space="0"/>
              <w:bottom w:val="single" w:color="auto" w:sz="12" w:space="0"/>
              <w:right w:val="nil"/>
            </w:tcBorders>
            <w:tcMar>
              <w:top w:w="28" w:type="dxa"/>
              <w:left w:w="28" w:type="dxa"/>
              <w:bottom w:w="28" w:type="dxa"/>
              <w:right w:w="28" w:type="dxa"/>
            </w:tcMar>
            <w:vAlign w:val="center"/>
          </w:tcPr>
          <w:p w14:paraId="4EB2C3C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1.0</w:t>
            </w:r>
          </w:p>
        </w:tc>
      </w:tr>
    </w:tbl>
    <w:p w14:paraId="035EE9FA">
      <w:pPr>
        <w:spacing w:line="500" w:lineRule="exact"/>
        <w:rPr>
          <w:rFonts w:cs="Times New Roman"/>
          <w:color w:val="auto"/>
          <w:szCs w:val="24"/>
          <w:highlight w:val="none"/>
        </w:rPr>
      </w:pPr>
      <w:r>
        <w:rPr>
          <w:rFonts w:cs="Times New Roman"/>
          <w:color w:val="auto"/>
          <w:szCs w:val="24"/>
          <w:highlight w:val="none"/>
        </w:rPr>
        <w:t>运营期有组织恶臭污染物排放执行《恶臭污染物排放标准》（GB14554-93）表2标准，无组织排放的NH</w:t>
      </w:r>
      <w:r>
        <w:rPr>
          <w:rFonts w:cs="Times New Roman"/>
          <w:color w:val="auto"/>
          <w:szCs w:val="24"/>
          <w:highlight w:val="none"/>
          <w:vertAlign w:val="subscript"/>
        </w:rPr>
        <w:t>3</w:t>
      </w:r>
      <w:r>
        <w:rPr>
          <w:rFonts w:cs="Times New Roman"/>
          <w:color w:val="auto"/>
          <w:szCs w:val="24"/>
          <w:highlight w:val="none"/>
        </w:rPr>
        <w:t>、H</w:t>
      </w:r>
      <w:r>
        <w:rPr>
          <w:rFonts w:cs="Times New Roman"/>
          <w:color w:val="auto"/>
          <w:szCs w:val="24"/>
          <w:highlight w:val="none"/>
          <w:vertAlign w:val="subscript"/>
        </w:rPr>
        <w:t>2</w:t>
      </w:r>
      <w:r>
        <w:rPr>
          <w:rFonts w:cs="Times New Roman"/>
          <w:color w:val="auto"/>
          <w:szCs w:val="24"/>
          <w:highlight w:val="none"/>
        </w:rPr>
        <w:t>S、臭气浓度执行《恶臭污染物排放标准》（GB14554-93）中表1中二级标准。</w:t>
      </w:r>
    </w:p>
    <w:p w14:paraId="4CE9B78D">
      <w:pPr>
        <w:spacing w:line="240" w:lineRule="auto"/>
        <w:ind w:firstLine="482"/>
        <w:jc w:val="center"/>
        <w:rPr>
          <w:rFonts w:cs="Times New Roman"/>
          <w:b/>
          <w:color w:val="auto"/>
          <w:szCs w:val="24"/>
          <w:highlight w:val="none"/>
        </w:rPr>
      </w:pPr>
      <w:r>
        <w:rPr>
          <w:rFonts w:cs="Times New Roman"/>
          <w:b/>
          <w:color w:val="auto"/>
          <w:szCs w:val="24"/>
          <w:highlight w:val="none"/>
        </w:rPr>
        <w:t>表2-2-</w:t>
      </w:r>
      <w:r>
        <w:rPr>
          <w:rFonts w:hint="eastAsia" w:cs="Times New Roman"/>
          <w:b/>
          <w:color w:val="auto"/>
          <w:szCs w:val="24"/>
          <w:highlight w:val="none"/>
          <w:lang w:val="en-US" w:eastAsia="zh-CN"/>
        </w:rPr>
        <w:t>9</w:t>
      </w:r>
      <w:r>
        <w:rPr>
          <w:rFonts w:cs="Times New Roman"/>
          <w:b/>
          <w:color w:val="auto"/>
          <w:szCs w:val="24"/>
          <w:highlight w:val="none"/>
        </w:rPr>
        <w:t xml:space="preserve">   恶臭污染物排放标准</w:t>
      </w:r>
    </w:p>
    <w:tbl>
      <w:tblPr>
        <w:tblStyle w:val="47"/>
        <w:tblW w:w="83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80"/>
        <w:gridCol w:w="3119"/>
        <w:gridCol w:w="3119"/>
      </w:tblGrid>
      <w:tr w14:paraId="3F70C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80" w:type="dxa"/>
            <w:vMerge w:val="restart"/>
            <w:vAlign w:val="center"/>
          </w:tcPr>
          <w:p w14:paraId="3B4F864A">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3119" w:type="dxa"/>
            <w:vAlign w:val="center"/>
          </w:tcPr>
          <w:p w14:paraId="73EA6753">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有组织排放限值</w:t>
            </w:r>
          </w:p>
        </w:tc>
        <w:tc>
          <w:tcPr>
            <w:tcW w:w="3119" w:type="dxa"/>
            <w:vMerge w:val="restart"/>
            <w:vAlign w:val="center"/>
          </w:tcPr>
          <w:p w14:paraId="7287FFF0">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厂界无组织排放监控浓度限值</w:t>
            </w:r>
          </w:p>
        </w:tc>
      </w:tr>
      <w:tr w14:paraId="4C747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2080" w:type="dxa"/>
            <w:vMerge w:val="continue"/>
            <w:vAlign w:val="center"/>
          </w:tcPr>
          <w:p w14:paraId="75DBAE72">
            <w:pPr>
              <w:spacing w:line="240" w:lineRule="auto"/>
              <w:ind w:firstLine="0" w:firstLineChars="0"/>
              <w:jc w:val="center"/>
              <w:rPr>
                <w:rFonts w:cs="Times New Roman"/>
                <w:color w:val="auto"/>
                <w:sz w:val="21"/>
                <w:szCs w:val="21"/>
                <w:highlight w:val="none"/>
              </w:rPr>
            </w:pPr>
          </w:p>
        </w:tc>
        <w:tc>
          <w:tcPr>
            <w:tcW w:w="3119" w:type="dxa"/>
            <w:vAlign w:val="center"/>
          </w:tcPr>
          <w:p w14:paraId="17622D6A">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15m排气筒</w:t>
            </w:r>
          </w:p>
        </w:tc>
        <w:tc>
          <w:tcPr>
            <w:tcW w:w="3119" w:type="dxa"/>
            <w:vMerge w:val="continue"/>
            <w:vAlign w:val="center"/>
          </w:tcPr>
          <w:p w14:paraId="69CDB659">
            <w:pPr>
              <w:spacing w:line="240" w:lineRule="auto"/>
              <w:ind w:firstLine="0" w:firstLineChars="0"/>
              <w:jc w:val="center"/>
              <w:rPr>
                <w:rFonts w:cs="Times New Roman"/>
                <w:color w:val="auto"/>
                <w:sz w:val="21"/>
                <w:szCs w:val="21"/>
                <w:highlight w:val="none"/>
              </w:rPr>
            </w:pPr>
          </w:p>
        </w:tc>
      </w:tr>
      <w:tr w14:paraId="1C1DA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2080" w:type="dxa"/>
            <w:vAlign w:val="center"/>
          </w:tcPr>
          <w:p w14:paraId="1242D19F">
            <w:pPr>
              <w:spacing w:line="240" w:lineRule="auto"/>
              <w:ind w:firstLine="0" w:firstLineChars="0"/>
              <w:jc w:val="center"/>
              <w:rPr>
                <w:rFonts w:cs="Times New Roman"/>
                <w:color w:val="auto"/>
                <w:sz w:val="21"/>
                <w:szCs w:val="21"/>
                <w:highlight w:val="none"/>
              </w:rPr>
            </w:pPr>
            <w:r>
              <w:rPr>
                <w:rFonts w:cs="Times New Roman"/>
                <w:snapToGrid w:val="0"/>
                <w:color w:val="auto"/>
                <w:kern w:val="0"/>
                <w:sz w:val="21"/>
                <w:szCs w:val="21"/>
                <w:highlight w:val="none"/>
              </w:rPr>
              <w:t>NH</w:t>
            </w:r>
            <w:r>
              <w:rPr>
                <w:rFonts w:cs="Times New Roman"/>
                <w:snapToGrid w:val="0"/>
                <w:color w:val="auto"/>
                <w:kern w:val="0"/>
                <w:sz w:val="21"/>
                <w:szCs w:val="21"/>
                <w:highlight w:val="none"/>
                <w:vertAlign w:val="subscript"/>
              </w:rPr>
              <w:t>3</w:t>
            </w:r>
          </w:p>
        </w:tc>
        <w:tc>
          <w:tcPr>
            <w:tcW w:w="3119" w:type="dxa"/>
            <w:vAlign w:val="center"/>
          </w:tcPr>
          <w:p w14:paraId="76C19DE9">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4.9kg/h</w:t>
            </w:r>
          </w:p>
        </w:tc>
        <w:tc>
          <w:tcPr>
            <w:tcW w:w="3119" w:type="dxa"/>
            <w:vAlign w:val="center"/>
          </w:tcPr>
          <w:p w14:paraId="4AC6D60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1.5</w:t>
            </w:r>
            <w:r>
              <w:rPr>
                <w:rFonts w:cs="Times New Roman"/>
                <w:snapToGrid w:val="0"/>
                <w:color w:val="auto"/>
                <w:kern w:val="0"/>
                <w:sz w:val="21"/>
                <w:szCs w:val="21"/>
                <w:highlight w:val="none"/>
              </w:rPr>
              <w:t>mg/m</w:t>
            </w:r>
            <w:r>
              <w:rPr>
                <w:rFonts w:cs="Times New Roman"/>
                <w:snapToGrid w:val="0"/>
                <w:color w:val="auto"/>
                <w:kern w:val="0"/>
                <w:sz w:val="21"/>
                <w:szCs w:val="21"/>
                <w:highlight w:val="none"/>
                <w:vertAlign w:val="superscript"/>
              </w:rPr>
              <w:t>3</w:t>
            </w:r>
          </w:p>
        </w:tc>
      </w:tr>
      <w:tr w14:paraId="2011E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2080" w:type="dxa"/>
            <w:vAlign w:val="center"/>
          </w:tcPr>
          <w:p w14:paraId="609EB896">
            <w:pPr>
              <w:spacing w:line="240" w:lineRule="auto"/>
              <w:ind w:firstLine="0" w:firstLineChars="0"/>
              <w:jc w:val="center"/>
              <w:rPr>
                <w:rFonts w:cs="Times New Roman"/>
                <w:color w:val="auto"/>
                <w:sz w:val="21"/>
                <w:szCs w:val="21"/>
                <w:highlight w:val="none"/>
              </w:rPr>
            </w:pPr>
            <w:r>
              <w:rPr>
                <w:rFonts w:cs="Times New Roman"/>
                <w:snapToGrid w:val="0"/>
                <w:color w:val="auto"/>
                <w:kern w:val="0"/>
                <w:sz w:val="21"/>
                <w:szCs w:val="21"/>
                <w:highlight w:val="none"/>
              </w:rPr>
              <w:t>H</w:t>
            </w:r>
            <w:r>
              <w:rPr>
                <w:rFonts w:cs="Times New Roman"/>
                <w:snapToGrid w:val="0"/>
                <w:color w:val="auto"/>
                <w:kern w:val="0"/>
                <w:sz w:val="21"/>
                <w:szCs w:val="21"/>
                <w:highlight w:val="none"/>
                <w:vertAlign w:val="subscript"/>
              </w:rPr>
              <w:t>2</w:t>
            </w:r>
            <w:r>
              <w:rPr>
                <w:rFonts w:cs="Times New Roman"/>
                <w:snapToGrid w:val="0"/>
                <w:color w:val="auto"/>
                <w:kern w:val="0"/>
                <w:sz w:val="21"/>
                <w:szCs w:val="21"/>
                <w:highlight w:val="none"/>
              </w:rPr>
              <w:t>S</w:t>
            </w:r>
          </w:p>
        </w:tc>
        <w:tc>
          <w:tcPr>
            <w:tcW w:w="3119" w:type="dxa"/>
            <w:vAlign w:val="center"/>
          </w:tcPr>
          <w:p w14:paraId="1E5F163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0.33kg/h</w:t>
            </w:r>
          </w:p>
        </w:tc>
        <w:tc>
          <w:tcPr>
            <w:tcW w:w="3119" w:type="dxa"/>
            <w:vAlign w:val="center"/>
          </w:tcPr>
          <w:p w14:paraId="103EA21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0.06</w:t>
            </w:r>
            <w:r>
              <w:rPr>
                <w:rFonts w:cs="Times New Roman"/>
                <w:snapToGrid w:val="0"/>
                <w:color w:val="auto"/>
                <w:kern w:val="0"/>
                <w:sz w:val="21"/>
                <w:szCs w:val="21"/>
                <w:highlight w:val="none"/>
              </w:rPr>
              <w:t>mg/m</w:t>
            </w:r>
            <w:r>
              <w:rPr>
                <w:rFonts w:cs="Times New Roman"/>
                <w:snapToGrid w:val="0"/>
                <w:color w:val="auto"/>
                <w:kern w:val="0"/>
                <w:sz w:val="21"/>
                <w:szCs w:val="21"/>
                <w:highlight w:val="none"/>
                <w:vertAlign w:val="superscript"/>
              </w:rPr>
              <w:t>3</w:t>
            </w:r>
          </w:p>
        </w:tc>
      </w:tr>
      <w:tr w14:paraId="3AD88D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2080" w:type="dxa"/>
            <w:vAlign w:val="center"/>
          </w:tcPr>
          <w:p w14:paraId="0C15464A">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臭气浓度</w:t>
            </w:r>
          </w:p>
        </w:tc>
        <w:tc>
          <w:tcPr>
            <w:tcW w:w="3119" w:type="dxa"/>
            <w:vAlign w:val="center"/>
          </w:tcPr>
          <w:p w14:paraId="1B12661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2000（无量纲）</w:t>
            </w:r>
          </w:p>
        </w:tc>
        <w:tc>
          <w:tcPr>
            <w:tcW w:w="3119" w:type="dxa"/>
            <w:vAlign w:val="center"/>
          </w:tcPr>
          <w:p w14:paraId="179BECA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20（无量纲）</w:t>
            </w:r>
          </w:p>
        </w:tc>
      </w:tr>
    </w:tbl>
    <w:p w14:paraId="659F736F">
      <w:pPr>
        <w:spacing w:before="156" w:beforeLines="50"/>
        <w:ind w:firstLine="482"/>
        <w:rPr>
          <w:rFonts w:cs="Times New Roman"/>
          <w:b/>
          <w:bCs/>
          <w:color w:val="auto"/>
          <w:szCs w:val="24"/>
          <w:highlight w:val="none"/>
        </w:rPr>
      </w:pPr>
      <w:r>
        <w:rPr>
          <w:rFonts w:cs="Times New Roman"/>
          <w:b/>
          <w:bCs/>
          <w:color w:val="auto"/>
          <w:szCs w:val="24"/>
          <w:highlight w:val="none"/>
        </w:rPr>
        <w:t>2、废水排放标准</w:t>
      </w:r>
    </w:p>
    <w:p w14:paraId="47282301">
      <w:pPr>
        <w:rPr>
          <w:rFonts w:cs="Times New Roman"/>
          <w:b/>
          <w:bCs/>
          <w:color w:val="auto"/>
          <w:szCs w:val="24"/>
          <w:highlight w:val="none"/>
        </w:rPr>
      </w:pPr>
      <w:r>
        <w:rPr>
          <w:rFonts w:cs="Times New Roman"/>
          <w:color w:val="auto"/>
          <w:szCs w:val="24"/>
          <w:highlight w:val="none"/>
        </w:rPr>
        <w:t>本项目废水排放应同时满足《肉类加工工业水污染物排放标准》（GB13457-1992）表3中的畜类屠宰加工三级标准、</w:t>
      </w:r>
      <w:r>
        <w:rPr>
          <w:rFonts w:hint="eastAsia" w:cs="Times New Roman"/>
          <w:snapToGrid w:val="0"/>
          <w:color w:val="auto"/>
          <w:highlight w:val="none"/>
          <w:lang w:val="en-GB" w:eastAsia="zh-CN"/>
        </w:rPr>
        <w:t>双鸭山市畅源排水有限公司</w:t>
      </w:r>
      <w:r>
        <w:rPr>
          <w:rFonts w:cs="Times New Roman"/>
          <w:color w:val="auto"/>
          <w:szCs w:val="24"/>
          <w:highlight w:val="none"/>
        </w:rPr>
        <w:t>设计进水水质指标，具体标准限值从严执行，详见下表。</w:t>
      </w:r>
    </w:p>
    <w:p w14:paraId="11B9946B">
      <w:pPr>
        <w:spacing w:line="240" w:lineRule="auto"/>
        <w:ind w:firstLine="482"/>
        <w:jc w:val="center"/>
        <w:rPr>
          <w:rFonts w:cs="Times New Roman"/>
          <w:b/>
          <w:bCs/>
          <w:color w:val="auto"/>
          <w:szCs w:val="24"/>
          <w:highlight w:val="none"/>
        </w:rPr>
      </w:pPr>
    </w:p>
    <w:p w14:paraId="797594E4">
      <w:pPr>
        <w:spacing w:line="240" w:lineRule="auto"/>
        <w:ind w:firstLine="482"/>
        <w:jc w:val="center"/>
        <w:rPr>
          <w:rFonts w:cs="Times New Roman"/>
          <w:b/>
          <w:bCs/>
          <w:color w:val="auto"/>
          <w:sz w:val="21"/>
          <w:szCs w:val="21"/>
          <w:highlight w:val="none"/>
        </w:rPr>
      </w:pPr>
      <w:r>
        <w:rPr>
          <w:rFonts w:cs="Times New Roman"/>
          <w:b/>
          <w:bCs/>
          <w:color w:val="auto"/>
          <w:szCs w:val="24"/>
          <w:highlight w:val="none"/>
        </w:rPr>
        <w:t>表2-2-1</w:t>
      </w:r>
      <w:r>
        <w:rPr>
          <w:rFonts w:hint="eastAsia" w:cs="Times New Roman"/>
          <w:b/>
          <w:bCs/>
          <w:color w:val="auto"/>
          <w:szCs w:val="24"/>
          <w:highlight w:val="none"/>
          <w:lang w:val="en-US" w:eastAsia="zh-CN"/>
        </w:rPr>
        <w:t>1</w:t>
      </w:r>
      <w:r>
        <w:rPr>
          <w:rFonts w:cs="Times New Roman"/>
          <w:b/>
          <w:bCs/>
          <w:color w:val="auto"/>
          <w:szCs w:val="24"/>
          <w:highlight w:val="none"/>
        </w:rPr>
        <w:t xml:space="preserve">  废水排放水质标准 </w:t>
      </w:r>
      <w:r>
        <w:rPr>
          <w:rFonts w:cs="Times New Roman"/>
          <w:b/>
          <w:bCs/>
          <w:color w:val="auto"/>
          <w:kern w:val="0"/>
          <w:sz w:val="21"/>
          <w:szCs w:val="21"/>
          <w:highlight w:val="none"/>
        </w:rPr>
        <w:t xml:space="preserve"> </w:t>
      </w:r>
    </w:p>
    <w:tbl>
      <w:tblPr>
        <w:tblStyle w:val="47"/>
        <w:tblW w:w="517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63"/>
        <w:gridCol w:w="1440"/>
        <w:gridCol w:w="1533"/>
        <w:gridCol w:w="1520"/>
        <w:gridCol w:w="1517"/>
        <w:gridCol w:w="1524"/>
      </w:tblGrid>
      <w:tr w14:paraId="3ADC1E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66" w:hRule="atLeast"/>
          <w:jc w:val="center"/>
        </w:trPr>
        <w:tc>
          <w:tcPr>
            <w:tcW w:w="618" w:type="pct"/>
            <w:vMerge w:val="restart"/>
            <w:vAlign w:val="center"/>
          </w:tcPr>
          <w:p w14:paraId="36758102">
            <w:pPr>
              <w:pStyle w:val="413"/>
              <w:snapToGrid w:val="0"/>
              <w:spacing w:line="360" w:lineRule="exact"/>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rPr>
              <w:t>污染</w:t>
            </w:r>
            <w:r>
              <w:rPr>
                <w:rFonts w:ascii="Times New Roman" w:hAnsi="Times New Roman"/>
                <w:color w:val="auto"/>
                <w:sz w:val="21"/>
                <w:szCs w:val="21"/>
                <w:highlight w:val="none"/>
                <w:lang w:eastAsia="zh-CN"/>
              </w:rPr>
              <w:t>因子</w:t>
            </w:r>
          </w:p>
        </w:tc>
        <w:tc>
          <w:tcPr>
            <w:tcW w:w="837" w:type="pct"/>
            <w:vAlign w:val="center"/>
          </w:tcPr>
          <w:p w14:paraId="64C8CF3B">
            <w:pPr>
              <w:pStyle w:val="413"/>
              <w:snapToGrid w:val="0"/>
              <w:spacing w:line="360" w:lineRule="exact"/>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val="en-GB" w:eastAsia="zh-CN"/>
              </w:rPr>
              <w:t>双鸭山市畅源排水有限公司</w:t>
            </w:r>
            <w:r>
              <w:rPr>
                <w:rFonts w:ascii="Times New Roman" w:hAnsi="Times New Roman"/>
                <w:color w:val="auto"/>
                <w:sz w:val="21"/>
                <w:szCs w:val="21"/>
                <w:highlight w:val="none"/>
                <w:lang w:val="en-GB" w:eastAsia="zh-CN"/>
              </w:rPr>
              <w:t>进水水质指标</w:t>
            </w:r>
          </w:p>
        </w:tc>
        <w:tc>
          <w:tcPr>
            <w:tcW w:w="1775" w:type="pct"/>
            <w:gridSpan w:val="2"/>
            <w:vAlign w:val="center"/>
          </w:tcPr>
          <w:p w14:paraId="04546345">
            <w:pPr>
              <w:pStyle w:val="413"/>
              <w:snapToGrid w:val="0"/>
              <w:spacing w:line="360" w:lineRule="exact"/>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GB13457-1992表3中畜类屠宰加工三级标准</w:t>
            </w:r>
          </w:p>
        </w:tc>
        <w:tc>
          <w:tcPr>
            <w:tcW w:w="1768" w:type="pct"/>
            <w:gridSpan w:val="2"/>
            <w:vAlign w:val="center"/>
          </w:tcPr>
          <w:p w14:paraId="3296945F">
            <w:pPr>
              <w:pStyle w:val="413"/>
              <w:snapToGrid w:val="0"/>
              <w:spacing w:line="360" w:lineRule="exact"/>
              <w:jc w:val="center"/>
              <w:rPr>
                <w:rFonts w:hint="eastAsia"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本项目执行标准</w:t>
            </w:r>
          </w:p>
        </w:tc>
      </w:tr>
      <w:tr w14:paraId="0B3724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85" w:hRule="atLeast"/>
          <w:jc w:val="center"/>
        </w:trPr>
        <w:tc>
          <w:tcPr>
            <w:tcW w:w="618" w:type="pct"/>
            <w:vMerge w:val="continue"/>
            <w:vAlign w:val="center"/>
          </w:tcPr>
          <w:p w14:paraId="6E334A4A">
            <w:pPr>
              <w:pStyle w:val="413"/>
              <w:snapToGrid w:val="0"/>
              <w:spacing w:line="360" w:lineRule="exact"/>
              <w:jc w:val="center"/>
              <w:rPr>
                <w:rFonts w:ascii="Times New Roman" w:hAnsi="Times New Roman"/>
                <w:color w:val="auto"/>
                <w:sz w:val="21"/>
                <w:szCs w:val="21"/>
                <w:highlight w:val="none"/>
              </w:rPr>
            </w:pPr>
          </w:p>
        </w:tc>
        <w:tc>
          <w:tcPr>
            <w:tcW w:w="837" w:type="pct"/>
            <w:vAlign w:val="center"/>
          </w:tcPr>
          <w:p w14:paraId="4F4E7636">
            <w:pPr>
              <w:pStyle w:val="413"/>
              <w:snapToGrid w:val="0"/>
              <w:spacing w:line="360" w:lineRule="exact"/>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排放浓度（mg/L）</w:t>
            </w:r>
          </w:p>
        </w:tc>
        <w:tc>
          <w:tcPr>
            <w:tcW w:w="891" w:type="pct"/>
            <w:vAlign w:val="center"/>
          </w:tcPr>
          <w:p w14:paraId="6E9A85A1">
            <w:pPr>
              <w:pStyle w:val="413"/>
              <w:snapToGrid w:val="0"/>
              <w:spacing w:line="360" w:lineRule="exact"/>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排放浓度（mg/L）</w:t>
            </w:r>
          </w:p>
        </w:tc>
        <w:tc>
          <w:tcPr>
            <w:tcW w:w="884" w:type="pct"/>
            <w:vAlign w:val="center"/>
          </w:tcPr>
          <w:p w14:paraId="6F2AE744">
            <w:pPr>
              <w:pStyle w:val="413"/>
              <w:snapToGrid w:val="0"/>
              <w:spacing w:line="360" w:lineRule="exact"/>
              <w:jc w:val="center"/>
              <w:rPr>
                <w:rFonts w:hint="eastAsia"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排放总量</w:t>
            </w:r>
          </w:p>
          <w:p w14:paraId="15C259D6">
            <w:pPr>
              <w:pStyle w:val="413"/>
              <w:snapToGrid w:val="0"/>
              <w:spacing w:line="360" w:lineRule="exact"/>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kg/t（活屠重）</w:t>
            </w:r>
          </w:p>
        </w:tc>
        <w:tc>
          <w:tcPr>
            <w:tcW w:w="882" w:type="pct"/>
            <w:vAlign w:val="center"/>
          </w:tcPr>
          <w:p w14:paraId="138ED5A0">
            <w:pPr>
              <w:pStyle w:val="413"/>
              <w:snapToGrid w:val="0"/>
              <w:spacing w:line="360" w:lineRule="exact"/>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排放浓度（mg/L）</w:t>
            </w:r>
          </w:p>
        </w:tc>
        <w:tc>
          <w:tcPr>
            <w:tcW w:w="885" w:type="pct"/>
            <w:vAlign w:val="center"/>
          </w:tcPr>
          <w:p w14:paraId="63CF8361">
            <w:pPr>
              <w:pStyle w:val="413"/>
              <w:snapToGrid w:val="0"/>
              <w:spacing w:line="360" w:lineRule="exact"/>
              <w:jc w:val="center"/>
              <w:rPr>
                <w:rFonts w:hint="eastAsia"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排放总量</w:t>
            </w:r>
          </w:p>
          <w:p w14:paraId="742E786F">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val="en-US" w:eastAsia="zh-CN"/>
              </w:rPr>
              <w:t>kg/t（活屠重）</w:t>
            </w:r>
          </w:p>
        </w:tc>
      </w:tr>
      <w:tr w14:paraId="4B5CE1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618" w:type="pct"/>
            <w:vAlign w:val="center"/>
          </w:tcPr>
          <w:p w14:paraId="747A8ADA">
            <w:pPr>
              <w:pStyle w:val="413"/>
              <w:snapToGrid w:val="0"/>
              <w:spacing w:line="36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COD</w:t>
            </w:r>
          </w:p>
        </w:tc>
        <w:tc>
          <w:tcPr>
            <w:tcW w:w="837" w:type="pct"/>
            <w:vAlign w:val="center"/>
          </w:tcPr>
          <w:p w14:paraId="3327A497">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500</w:t>
            </w:r>
          </w:p>
        </w:tc>
        <w:tc>
          <w:tcPr>
            <w:tcW w:w="891" w:type="pct"/>
            <w:vAlign w:val="center"/>
          </w:tcPr>
          <w:p w14:paraId="791673AE">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ascii="Times New Roman" w:hAnsi="Times New Roman"/>
                <w:color w:val="auto"/>
                <w:sz w:val="21"/>
                <w:szCs w:val="21"/>
                <w:highlight w:val="none"/>
                <w:lang w:eastAsia="zh-CN"/>
              </w:rPr>
              <w:t>500</w:t>
            </w:r>
          </w:p>
        </w:tc>
        <w:tc>
          <w:tcPr>
            <w:tcW w:w="884" w:type="pct"/>
            <w:vAlign w:val="center"/>
          </w:tcPr>
          <w:p w14:paraId="6FED936E">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3.3</w:t>
            </w:r>
          </w:p>
        </w:tc>
        <w:tc>
          <w:tcPr>
            <w:tcW w:w="882" w:type="pct"/>
            <w:vAlign w:val="center"/>
          </w:tcPr>
          <w:p w14:paraId="67227BED">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500</w:t>
            </w:r>
          </w:p>
        </w:tc>
        <w:tc>
          <w:tcPr>
            <w:tcW w:w="885" w:type="pct"/>
            <w:vAlign w:val="center"/>
          </w:tcPr>
          <w:p w14:paraId="2380BC10">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val="en-US" w:eastAsia="zh-CN"/>
              </w:rPr>
              <w:t>3.3</w:t>
            </w:r>
          </w:p>
        </w:tc>
      </w:tr>
      <w:tr w14:paraId="3794A4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618" w:type="pct"/>
            <w:vAlign w:val="center"/>
          </w:tcPr>
          <w:p w14:paraId="2CF9F9FD">
            <w:pPr>
              <w:pStyle w:val="413"/>
              <w:snapToGrid w:val="0"/>
              <w:spacing w:line="36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BOD</w:t>
            </w:r>
            <w:r>
              <w:rPr>
                <w:rFonts w:ascii="Times New Roman" w:hAnsi="Times New Roman"/>
                <w:color w:val="auto"/>
                <w:sz w:val="21"/>
                <w:szCs w:val="21"/>
                <w:highlight w:val="none"/>
                <w:vertAlign w:val="subscript"/>
              </w:rPr>
              <w:t>5</w:t>
            </w:r>
          </w:p>
        </w:tc>
        <w:tc>
          <w:tcPr>
            <w:tcW w:w="837" w:type="pct"/>
            <w:vAlign w:val="center"/>
          </w:tcPr>
          <w:p w14:paraId="3157FFFD">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300</w:t>
            </w:r>
          </w:p>
        </w:tc>
        <w:tc>
          <w:tcPr>
            <w:tcW w:w="891" w:type="pct"/>
            <w:vAlign w:val="center"/>
          </w:tcPr>
          <w:p w14:paraId="1E96436E">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ascii="Times New Roman" w:hAnsi="Times New Roman"/>
                <w:color w:val="auto"/>
                <w:sz w:val="21"/>
                <w:szCs w:val="21"/>
                <w:highlight w:val="none"/>
                <w:lang w:eastAsia="zh-CN"/>
              </w:rPr>
              <w:t>300</w:t>
            </w:r>
          </w:p>
        </w:tc>
        <w:tc>
          <w:tcPr>
            <w:tcW w:w="884" w:type="pct"/>
            <w:vAlign w:val="center"/>
          </w:tcPr>
          <w:p w14:paraId="38EAECF3">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2.0</w:t>
            </w:r>
          </w:p>
        </w:tc>
        <w:tc>
          <w:tcPr>
            <w:tcW w:w="882" w:type="pct"/>
            <w:vAlign w:val="center"/>
          </w:tcPr>
          <w:p w14:paraId="253A8A3C">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300</w:t>
            </w:r>
          </w:p>
        </w:tc>
        <w:tc>
          <w:tcPr>
            <w:tcW w:w="885" w:type="pct"/>
            <w:vAlign w:val="center"/>
          </w:tcPr>
          <w:p w14:paraId="7C3F8AFC">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val="en-US" w:eastAsia="zh-CN"/>
              </w:rPr>
              <w:t>2.0</w:t>
            </w:r>
          </w:p>
        </w:tc>
      </w:tr>
      <w:tr w14:paraId="538622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618" w:type="pct"/>
            <w:vAlign w:val="center"/>
          </w:tcPr>
          <w:p w14:paraId="60BC39B3">
            <w:pPr>
              <w:pStyle w:val="413"/>
              <w:snapToGrid w:val="0"/>
              <w:spacing w:line="36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SS</w:t>
            </w:r>
          </w:p>
        </w:tc>
        <w:tc>
          <w:tcPr>
            <w:tcW w:w="837" w:type="pct"/>
            <w:vAlign w:val="center"/>
          </w:tcPr>
          <w:p w14:paraId="70167B18">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400</w:t>
            </w:r>
          </w:p>
        </w:tc>
        <w:tc>
          <w:tcPr>
            <w:tcW w:w="891" w:type="pct"/>
            <w:vAlign w:val="center"/>
          </w:tcPr>
          <w:p w14:paraId="03BC9555">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400</w:t>
            </w:r>
          </w:p>
        </w:tc>
        <w:tc>
          <w:tcPr>
            <w:tcW w:w="884" w:type="pct"/>
            <w:vAlign w:val="center"/>
          </w:tcPr>
          <w:p w14:paraId="28F3E23A">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2.6</w:t>
            </w:r>
          </w:p>
        </w:tc>
        <w:tc>
          <w:tcPr>
            <w:tcW w:w="882" w:type="pct"/>
            <w:vAlign w:val="center"/>
          </w:tcPr>
          <w:p w14:paraId="6CC0576B">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400</w:t>
            </w:r>
          </w:p>
        </w:tc>
        <w:tc>
          <w:tcPr>
            <w:tcW w:w="885" w:type="pct"/>
            <w:vAlign w:val="center"/>
          </w:tcPr>
          <w:p w14:paraId="12392403">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val="en-US" w:eastAsia="zh-CN"/>
              </w:rPr>
              <w:t>2.6</w:t>
            </w:r>
          </w:p>
        </w:tc>
      </w:tr>
      <w:tr w14:paraId="3A2F5C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618" w:type="pct"/>
            <w:vAlign w:val="center"/>
          </w:tcPr>
          <w:p w14:paraId="7DF8BA6C">
            <w:pPr>
              <w:pStyle w:val="413"/>
              <w:snapToGrid w:val="0"/>
              <w:spacing w:line="36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氨氮</w:t>
            </w:r>
          </w:p>
        </w:tc>
        <w:tc>
          <w:tcPr>
            <w:tcW w:w="837" w:type="pct"/>
            <w:vAlign w:val="center"/>
          </w:tcPr>
          <w:p w14:paraId="43DCAD6F">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45</w:t>
            </w:r>
          </w:p>
        </w:tc>
        <w:tc>
          <w:tcPr>
            <w:tcW w:w="891" w:type="pct"/>
            <w:vAlign w:val="center"/>
          </w:tcPr>
          <w:p w14:paraId="5FCE1822">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84" w:type="pct"/>
            <w:vAlign w:val="center"/>
          </w:tcPr>
          <w:p w14:paraId="20D5677B">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82" w:type="pct"/>
            <w:vAlign w:val="center"/>
          </w:tcPr>
          <w:p w14:paraId="61884C23">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45</w:t>
            </w:r>
          </w:p>
        </w:tc>
        <w:tc>
          <w:tcPr>
            <w:tcW w:w="885" w:type="pct"/>
            <w:vAlign w:val="center"/>
          </w:tcPr>
          <w:p w14:paraId="2535570D">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val="en-US" w:eastAsia="zh-CN"/>
              </w:rPr>
              <w:t>/</w:t>
            </w:r>
          </w:p>
        </w:tc>
      </w:tr>
      <w:tr w14:paraId="289659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618" w:type="pct"/>
            <w:vAlign w:val="center"/>
          </w:tcPr>
          <w:p w14:paraId="5C91A556">
            <w:pPr>
              <w:pStyle w:val="413"/>
              <w:snapToGrid w:val="0"/>
              <w:spacing w:line="36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总氮</w:t>
            </w:r>
          </w:p>
        </w:tc>
        <w:tc>
          <w:tcPr>
            <w:tcW w:w="837" w:type="pct"/>
            <w:vAlign w:val="center"/>
          </w:tcPr>
          <w:p w14:paraId="140DADF9">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70</w:t>
            </w:r>
          </w:p>
        </w:tc>
        <w:tc>
          <w:tcPr>
            <w:tcW w:w="891" w:type="pct"/>
            <w:vAlign w:val="center"/>
          </w:tcPr>
          <w:p w14:paraId="519C8F5F">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84" w:type="pct"/>
            <w:vAlign w:val="center"/>
          </w:tcPr>
          <w:p w14:paraId="079C2FB6">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82" w:type="pct"/>
            <w:vAlign w:val="center"/>
          </w:tcPr>
          <w:p w14:paraId="173E48F2">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70</w:t>
            </w:r>
          </w:p>
        </w:tc>
        <w:tc>
          <w:tcPr>
            <w:tcW w:w="885" w:type="pct"/>
            <w:vAlign w:val="center"/>
          </w:tcPr>
          <w:p w14:paraId="05778781">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val="en-US" w:eastAsia="zh-CN"/>
              </w:rPr>
              <w:t>/</w:t>
            </w:r>
          </w:p>
        </w:tc>
      </w:tr>
      <w:tr w14:paraId="2416C4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618" w:type="pct"/>
            <w:vAlign w:val="center"/>
          </w:tcPr>
          <w:p w14:paraId="045C1CC7">
            <w:pPr>
              <w:pStyle w:val="413"/>
              <w:snapToGrid w:val="0"/>
              <w:spacing w:line="36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总磷</w:t>
            </w:r>
          </w:p>
        </w:tc>
        <w:tc>
          <w:tcPr>
            <w:tcW w:w="837" w:type="pct"/>
            <w:vAlign w:val="center"/>
          </w:tcPr>
          <w:p w14:paraId="6E4EAD47">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8</w:t>
            </w:r>
          </w:p>
        </w:tc>
        <w:tc>
          <w:tcPr>
            <w:tcW w:w="891" w:type="pct"/>
            <w:vAlign w:val="center"/>
          </w:tcPr>
          <w:p w14:paraId="109E8E60">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84" w:type="pct"/>
            <w:vAlign w:val="center"/>
          </w:tcPr>
          <w:p w14:paraId="7B96D8BA">
            <w:pPr>
              <w:pStyle w:val="413"/>
              <w:snapToGrid w:val="0"/>
              <w:spacing w:line="360" w:lineRule="exact"/>
              <w:ind w:firstLine="0" w:firstLineChars="0"/>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82" w:type="pct"/>
            <w:vAlign w:val="center"/>
          </w:tcPr>
          <w:p w14:paraId="1571473B">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8</w:t>
            </w:r>
          </w:p>
        </w:tc>
        <w:tc>
          <w:tcPr>
            <w:tcW w:w="885" w:type="pct"/>
            <w:vAlign w:val="center"/>
          </w:tcPr>
          <w:p w14:paraId="522D975C">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val="en-US" w:eastAsia="zh-CN"/>
              </w:rPr>
              <w:t>/</w:t>
            </w:r>
          </w:p>
        </w:tc>
      </w:tr>
      <w:tr w14:paraId="07ECD5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618" w:type="pct"/>
            <w:vAlign w:val="center"/>
          </w:tcPr>
          <w:p w14:paraId="3A58C162">
            <w:pPr>
              <w:pStyle w:val="413"/>
              <w:snapToGrid w:val="0"/>
              <w:spacing w:line="360" w:lineRule="exact"/>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pH</w:t>
            </w:r>
          </w:p>
        </w:tc>
        <w:tc>
          <w:tcPr>
            <w:tcW w:w="837" w:type="pct"/>
            <w:vAlign w:val="center"/>
          </w:tcPr>
          <w:p w14:paraId="38232268">
            <w:pPr>
              <w:pStyle w:val="413"/>
              <w:snapToGrid w:val="0"/>
              <w:spacing w:line="360" w:lineRule="exact"/>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91" w:type="pct"/>
            <w:vAlign w:val="center"/>
          </w:tcPr>
          <w:p w14:paraId="571DE366">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ascii="Times New Roman" w:hAnsi="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6.0-8.5（无量纲）</w:t>
            </w:r>
          </w:p>
        </w:tc>
        <w:tc>
          <w:tcPr>
            <w:tcW w:w="884" w:type="pct"/>
            <w:vAlign w:val="center"/>
          </w:tcPr>
          <w:p w14:paraId="7EEACBE7">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82" w:type="pct"/>
            <w:vAlign w:val="center"/>
          </w:tcPr>
          <w:p w14:paraId="68FCF674">
            <w:pPr>
              <w:pStyle w:val="413"/>
              <w:snapToGrid w:val="0"/>
              <w:spacing w:line="360" w:lineRule="exact"/>
              <w:ind w:firstLine="0" w:firstLineChars="0"/>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6.0-8.5（无量纲）</w:t>
            </w:r>
          </w:p>
        </w:tc>
        <w:tc>
          <w:tcPr>
            <w:tcW w:w="885" w:type="pct"/>
            <w:vAlign w:val="center"/>
          </w:tcPr>
          <w:p w14:paraId="12558E3B">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ascii="Times New Roman" w:hAnsi="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w:t>
            </w:r>
          </w:p>
        </w:tc>
      </w:tr>
      <w:tr w14:paraId="6411DE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618" w:type="pct"/>
            <w:vAlign w:val="center"/>
          </w:tcPr>
          <w:p w14:paraId="2C02B1D6">
            <w:pPr>
              <w:pStyle w:val="413"/>
              <w:snapToGrid w:val="0"/>
              <w:spacing w:line="36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动植物油</w:t>
            </w:r>
          </w:p>
        </w:tc>
        <w:tc>
          <w:tcPr>
            <w:tcW w:w="837" w:type="pct"/>
            <w:vAlign w:val="center"/>
          </w:tcPr>
          <w:p w14:paraId="1372BD15">
            <w:pPr>
              <w:pStyle w:val="413"/>
              <w:snapToGrid w:val="0"/>
              <w:spacing w:line="360" w:lineRule="exact"/>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91" w:type="pct"/>
            <w:vAlign w:val="center"/>
          </w:tcPr>
          <w:p w14:paraId="4DEE209F">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ascii="Times New Roman" w:hAnsi="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60</w:t>
            </w:r>
          </w:p>
        </w:tc>
        <w:tc>
          <w:tcPr>
            <w:tcW w:w="884" w:type="pct"/>
            <w:vAlign w:val="center"/>
          </w:tcPr>
          <w:p w14:paraId="13E3D618">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0.4</w:t>
            </w:r>
          </w:p>
        </w:tc>
        <w:tc>
          <w:tcPr>
            <w:tcW w:w="882" w:type="pct"/>
            <w:vAlign w:val="center"/>
          </w:tcPr>
          <w:p w14:paraId="147C95F2">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60</w:t>
            </w:r>
          </w:p>
        </w:tc>
        <w:tc>
          <w:tcPr>
            <w:tcW w:w="885" w:type="pct"/>
            <w:vAlign w:val="center"/>
          </w:tcPr>
          <w:p w14:paraId="119A0D44">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ascii="Times New Roman" w:hAnsi="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0.4</w:t>
            </w:r>
          </w:p>
        </w:tc>
      </w:tr>
      <w:tr w14:paraId="258C86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618" w:type="pct"/>
            <w:vAlign w:val="center"/>
          </w:tcPr>
          <w:p w14:paraId="61D9EA64">
            <w:pPr>
              <w:pStyle w:val="413"/>
              <w:snapToGrid w:val="0"/>
              <w:spacing w:line="36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大肠菌群数</w:t>
            </w:r>
          </w:p>
        </w:tc>
        <w:tc>
          <w:tcPr>
            <w:tcW w:w="837" w:type="pct"/>
            <w:vAlign w:val="center"/>
          </w:tcPr>
          <w:p w14:paraId="1B2B67D6">
            <w:pPr>
              <w:pStyle w:val="413"/>
              <w:snapToGrid w:val="0"/>
              <w:spacing w:line="360" w:lineRule="exact"/>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91" w:type="pct"/>
            <w:vAlign w:val="center"/>
          </w:tcPr>
          <w:p w14:paraId="2DDC7A05">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ascii="Times New Roman" w:hAnsi="Times New Roman"/>
                <w:color w:val="auto"/>
                <w:sz w:val="21"/>
                <w:szCs w:val="21"/>
                <w:highlight w:val="none"/>
                <w:lang w:eastAsia="zh-CN"/>
              </w:rPr>
            </w:pPr>
            <w:r>
              <w:rPr>
                <w:rFonts w:hint="default" w:ascii="Times New Roman" w:hAnsi="Times New Roman" w:cs="Times New Roman"/>
                <w:color w:val="auto"/>
                <w:kern w:val="0"/>
                <w:sz w:val="21"/>
                <w:szCs w:val="21"/>
                <w:highlight w:val="none"/>
                <w:lang w:val="en-US" w:eastAsia="zh-CN" w:bidi="ar-SA"/>
              </w:rPr>
              <w:t>/</w:t>
            </w:r>
          </w:p>
        </w:tc>
        <w:tc>
          <w:tcPr>
            <w:tcW w:w="884" w:type="pct"/>
            <w:vAlign w:val="center"/>
          </w:tcPr>
          <w:p w14:paraId="4F00EAA3">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w:t>
            </w:r>
          </w:p>
        </w:tc>
        <w:tc>
          <w:tcPr>
            <w:tcW w:w="882" w:type="pct"/>
            <w:vAlign w:val="center"/>
          </w:tcPr>
          <w:p w14:paraId="23506DDB">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w:t>
            </w:r>
          </w:p>
        </w:tc>
        <w:tc>
          <w:tcPr>
            <w:tcW w:w="885" w:type="pct"/>
            <w:vAlign w:val="center"/>
          </w:tcPr>
          <w:p w14:paraId="3A3ABB72">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hint="default" w:ascii="Times New Roman" w:hAnsi="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w:t>
            </w:r>
          </w:p>
        </w:tc>
      </w:tr>
      <w:tr w14:paraId="30B064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21" w:hRule="atLeast"/>
          <w:jc w:val="center"/>
        </w:trPr>
        <w:tc>
          <w:tcPr>
            <w:tcW w:w="618" w:type="pct"/>
            <w:vAlign w:val="center"/>
          </w:tcPr>
          <w:p w14:paraId="562B1F8B">
            <w:pPr>
              <w:pStyle w:val="413"/>
              <w:snapToGrid w:val="0"/>
              <w:spacing w:line="360" w:lineRule="exact"/>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排水量（活屠重）</w:t>
            </w:r>
          </w:p>
        </w:tc>
        <w:tc>
          <w:tcPr>
            <w:tcW w:w="837" w:type="pct"/>
            <w:vAlign w:val="center"/>
          </w:tcPr>
          <w:p w14:paraId="7ABE1C7C">
            <w:pPr>
              <w:pStyle w:val="413"/>
              <w:snapToGrid w:val="0"/>
              <w:spacing w:line="360" w:lineRule="exact"/>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891" w:type="pct"/>
            <w:vAlign w:val="center"/>
          </w:tcPr>
          <w:p w14:paraId="2E56A95F">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ascii="Times New Roman" w:hAnsi="Times New Roman"/>
                <w:color w:val="auto"/>
                <w:sz w:val="21"/>
                <w:szCs w:val="21"/>
                <w:highlight w:val="none"/>
                <w:lang w:eastAsia="zh-CN"/>
              </w:rPr>
            </w:pPr>
            <w:r>
              <w:rPr>
                <w:rFonts w:hint="default" w:ascii="Times New Roman" w:hAnsi="Times New Roman" w:cs="Times New Roman"/>
                <w:color w:val="auto"/>
                <w:kern w:val="0"/>
                <w:sz w:val="21"/>
                <w:szCs w:val="21"/>
                <w:highlight w:val="none"/>
                <w:lang w:val="en-US" w:eastAsia="zh-CN" w:bidi="ar-SA"/>
              </w:rPr>
              <w:t>6.5m</w:t>
            </w:r>
            <w:r>
              <w:rPr>
                <w:rFonts w:hint="default" w:ascii="Times New Roman" w:hAnsi="Times New Roman" w:cs="Times New Roman"/>
                <w:color w:val="auto"/>
                <w:kern w:val="0"/>
                <w:sz w:val="21"/>
                <w:szCs w:val="21"/>
                <w:highlight w:val="none"/>
                <w:vertAlign w:val="superscript"/>
                <w:lang w:val="en-US" w:eastAsia="zh-CN" w:bidi="ar-SA"/>
              </w:rPr>
              <w:t>3</w:t>
            </w:r>
            <w:r>
              <w:rPr>
                <w:rFonts w:hint="default" w:ascii="Times New Roman" w:hAnsi="Times New Roman" w:cs="Times New Roman"/>
                <w:color w:val="auto"/>
                <w:kern w:val="0"/>
                <w:sz w:val="21"/>
                <w:szCs w:val="21"/>
                <w:highlight w:val="none"/>
                <w:lang w:val="en-US" w:eastAsia="zh-CN" w:bidi="ar-SA"/>
              </w:rPr>
              <w:t>/t</w:t>
            </w:r>
          </w:p>
        </w:tc>
        <w:tc>
          <w:tcPr>
            <w:tcW w:w="884" w:type="pct"/>
            <w:vAlign w:val="center"/>
          </w:tcPr>
          <w:p w14:paraId="7AD87205">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w:t>
            </w:r>
          </w:p>
        </w:tc>
        <w:tc>
          <w:tcPr>
            <w:tcW w:w="882" w:type="pct"/>
            <w:vAlign w:val="center"/>
          </w:tcPr>
          <w:p w14:paraId="555329F3">
            <w:pPr>
              <w:pStyle w:val="413"/>
              <w:snapToGrid w:val="0"/>
              <w:spacing w:line="360" w:lineRule="exact"/>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lang w:eastAsia="zh-CN"/>
              </w:rPr>
              <w:t>6.5m</w:t>
            </w:r>
            <w:r>
              <w:rPr>
                <w:rFonts w:ascii="Times New Roman" w:hAnsi="Times New Roman"/>
                <w:color w:val="auto"/>
                <w:sz w:val="21"/>
                <w:szCs w:val="21"/>
                <w:highlight w:val="none"/>
                <w:vertAlign w:val="superscript"/>
                <w:lang w:eastAsia="zh-CN"/>
              </w:rPr>
              <w:t>3</w:t>
            </w:r>
            <w:r>
              <w:rPr>
                <w:rFonts w:ascii="Times New Roman" w:hAnsi="Times New Roman"/>
                <w:color w:val="auto"/>
                <w:sz w:val="21"/>
                <w:szCs w:val="21"/>
                <w:highlight w:val="none"/>
                <w:lang w:eastAsia="zh-CN"/>
              </w:rPr>
              <w:t>/t</w:t>
            </w:r>
          </w:p>
        </w:tc>
        <w:tc>
          <w:tcPr>
            <w:tcW w:w="885" w:type="pct"/>
            <w:vAlign w:val="center"/>
          </w:tcPr>
          <w:p w14:paraId="36E7AE59">
            <w:pPr>
              <w:pStyle w:val="413"/>
              <w:keepNext w:val="0"/>
              <w:keepLines w:val="0"/>
              <w:pageBreakBefore w:val="0"/>
              <w:widowControl w:val="0"/>
              <w:kinsoku/>
              <w:wordWrap/>
              <w:overflowPunct/>
              <w:topLinePunct w:val="0"/>
              <w:autoSpaceDE/>
              <w:autoSpaceDN/>
              <w:bidi w:val="0"/>
              <w:adjustRightInd/>
              <w:snapToGrid w:val="0"/>
              <w:spacing w:line="360" w:lineRule="exact"/>
              <w:ind w:firstLine="0" w:firstLineChars="0"/>
              <w:jc w:val="center"/>
              <w:textAlignment w:val="auto"/>
              <w:rPr>
                <w:rFonts w:hint="default" w:ascii="Times New Roman" w:hAnsi="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w:t>
            </w:r>
          </w:p>
        </w:tc>
      </w:tr>
    </w:tbl>
    <w:p w14:paraId="7565A2F2">
      <w:pPr>
        <w:spacing w:before="156" w:beforeLines="50" w:line="500" w:lineRule="exact"/>
        <w:ind w:firstLine="482"/>
        <w:rPr>
          <w:rFonts w:cs="Times New Roman"/>
          <w:b/>
          <w:bCs/>
          <w:color w:val="auto"/>
          <w:szCs w:val="24"/>
          <w:highlight w:val="none"/>
        </w:rPr>
      </w:pPr>
      <w:r>
        <w:rPr>
          <w:rFonts w:cs="Times New Roman"/>
          <w:b/>
          <w:bCs/>
          <w:color w:val="auto"/>
          <w:szCs w:val="24"/>
          <w:highlight w:val="none"/>
        </w:rPr>
        <w:t>3、噪声排放标准</w:t>
      </w:r>
    </w:p>
    <w:p w14:paraId="582B276A">
      <w:pPr>
        <w:spacing w:line="500" w:lineRule="exact"/>
        <w:rPr>
          <w:rFonts w:cs="Times New Roman"/>
          <w:color w:val="auto"/>
          <w:szCs w:val="24"/>
          <w:highlight w:val="none"/>
        </w:rPr>
      </w:pPr>
      <w:r>
        <w:rPr>
          <w:rFonts w:cs="Times New Roman"/>
          <w:color w:val="auto"/>
          <w:szCs w:val="24"/>
          <w:highlight w:val="none"/>
        </w:rPr>
        <w:t>施工期噪声执行《建筑施工场界环境噪声排放标准》（GB12523-2011）中的场界排放限值。营运期</w:t>
      </w:r>
      <w:r>
        <w:rPr>
          <w:rFonts w:hint="eastAsia" w:cs="Times New Roman"/>
          <w:color w:val="auto"/>
          <w:szCs w:val="24"/>
          <w:highlight w:val="none"/>
          <w:lang w:val="en-US" w:eastAsia="zh-CN"/>
        </w:rPr>
        <w:t>厂界</w:t>
      </w:r>
      <w:r>
        <w:rPr>
          <w:rFonts w:cs="Times New Roman"/>
          <w:color w:val="auto"/>
          <w:szCs w:val="24"/>
          <w:highlight w:val="none"/>
        </w:rPr>
        <w:t>噪声执行《工业企业厂界环境噪声排放标准》（GB12348-2008）中</w:t>
      </w:r>
      <w:r>
        <w:rPr>
          <w:rFonts w:hint="eastAsia" w:cs="Times New Roman"/>
          <w:color w:val="auto"/>
          <w:szCs w:val="24"/>
          <w:highlight w:val="none"/>
          <w:lang w:val="en-US" w:eastAsia="zh-CN"/>
        </w:rPr>
        <w:t>2</w:t>
      </w:r>
      <w:r>
        <w:rPr>
          <w:rFonts w:cs="Times New Roman"/>
          <w:color w:val="auto"/>
          <w:szCs w:val="24"/>
          <w:highlight w:val="none"/>
        </w:rPr>
        <w:t>类标准，</w:t>
      </w:r>
      <w:r>
        <w:rPr>
          <w:rFonts w:hint="eastAsia" w:cs="Times New Roman"/>
          <w:color w:val="auto"/>
          <w:szCs w:val="24"/>
          <w:highlight w:val="none"/>
          <w:lang w:val="en-US" w:eastAsia="zh-CN"/>
        </w:rPr>
        <w:t>厂区西侧敏感点噪声执行《声环境质量标准》（GB3096-2008）中2类标准，</w:t>
      </w:r>
      <w:r>
        <w:rPr>
          <w:rFonts w:cs="Times New Roman"/>
          <w:color w:val="auto"/>
          <w:szCs w:val="24"/>
          <w:highlight w:val="none"/>
        </w:rPr>
        <w:t>详见</w:t>
      </w:r>
      <w:r>
        <w:rPr>
          <w:rFonts w:hint="eastAsia" w:cs="Times New Roman"/>
          <w:color w:val="auto"/>
          <w:szCs w:val="24"/>
          <w:highlight w:val="none"/>
          <w:lang w:val="en-US" w:eastAsia="zh-CN"/>
        </w:rPr>
        <w:t>下表</w:t>
      </w:r>
      <w:r>
        <w:rPr>
          <w:rFonts w:cs="Times New Roman"/>
          <w:color w:val="auto"/>
          <w:szCs w:val="24"/>
          <w:highlight w:val="none"/>
        </w:rPr>
        <w:t>。</w:t>
      </w:r>
    </w:p>
    <w:p w14:paraId="7BB5FE4E">
      <w:pPr>
        <w:spacing w:line="240" w:lineRule="auto"/>
        <w:ind w:firstLine="482"/>
        <w:jc w:val="center"/>
        <w:rPr>
          <w:rFonts w:cs="Times New Roman"/>
          <w:b/>
          <w:bCs/>
          <w:color w:val="auto"/>
          <w:szCs w:val="24"/>
          <w:highlight w:val="none"/>
        </w:rPr>
      </w:pPr>
      <w:r>
        <w:rPr>
          <w:rFonts w:cs="Times New Roman"/>
          <w:b/>
          <w:bCs/>
          <w:color w:val="auto"/>
          <w:szCs w:val="24"/>
          <w:highlight w:val="none"/>
        </w:rPr>
        <w:t>表2-2-1</w:t>
      </w:r>
      <w:r>
        <w:rPr>
          <w:rFonts w:hint="eastAsia" w:cs="Times New Roman"/>
          <w:b/>
          <w:bCs/>
          <w:color w:val="auto"/>
          <w:szCs w:val="24"/>
          <w:highlight w:val="none"/>
          <w:lang w:val="en-US" w:eastAsia="zh-CN"/>
        </w:rPr>
        <w:t>2</w:t>
      </w:r>
      <w:r>
        <w:rPr>
          <w:rFonts w:cs="Times New Roman"/>
          <w:b/>
          <w:bCs/>
          <w:color w:val="auto"/>
          <w:szCs w:val="24"/>
          <w:highlight w:val="none"/>
        </w:rPr>
        <w:t xml:space="preserve">  噪声评价执行标准    单位：dB（A）</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08"/>
        <w:gridCol w:w="2805"/>
        <w:gridCol w:w="2805"/>
      </w:tblGrid>
      <w:tr w14:paraId="72EFCA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0" w:hRule="atLeast"/>
          <w:jc w:val="center"/>
        </w:trPr>
        <w:tc>
          <w:tcPr>
            <w:tcW w:w="2808" w:type="dxa"/>
            <w:tcBorders>
              <w:top w:val="single" w:color="auto" w:sz="12" w:space="0"/>
              <w:left w:val="nil"/>
              <w:bottom w:val="single" w:color="auto" w:sz="6" w:space="0"/>
              <w:right w:val="single" w:color="auto" w:sz="6" w:space="0"/>
            </w:tcBorders>
            <w:vAlign w:val="center"/>
          </w:tcPr>
          <w:p w14:paraId="74422187">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标准来源</w:t>
            </w:r>
          </w:p>
        </w:tc>
        <w:tc>
          <w:tcPr>
            <w:tcW w:w="2805" w:type="dxa"/>
            <w:tcBorders>
              <w:top w:val="single" w:color="auto" w:sz="12" w:space="0"/>
              <w:left w:val="single" w:color="auto" w:sz="6" w:space="0"/>
              <w:bottom w:val="single" w:color="auto" w:sz="6" w:space="0"/>
              <w:right w:val="single" w:color="auto" w:sz="6" w:space="0"/>
            </w:tcBorders>
            <w:vAlign w:val="center"/>
          </w:tcPr>
          <w:p w14:paraId="3038568E">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昼间</w:t>
            </w:r>
          </w:p>
        </w:tc>
        <w:tc>
          <w:tcPr>
            <w:tcW w:w="2805" w:type="dxa"/>
            <w:tcBorders>
              <w:top w:val="single" w:color="auto" w:sz="12" w:space="0"/>
              <w:left w:val="single" w:color="auto" w:sz="6" w:space="0"/>
              <w:bottom w:val="single" w:color="auto" w:sz="6" w:space="0"/>
              <w:right w:val="nil"/>
            </w:tcBorders>
            <w:vAlign w:val="center"/>
          </w:tcPr>
          <w:p w14:paraId="336CDDC0">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夜间</w:t>
            </w:r>
          </w:p>
        </w:tc>
      </w:tr>
      <w:tr w14:paraId="01420D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9" w:hRule="atLeast"/>
          <w:jc w:val="center"/>
        </w:trPr>
        <w:tc>
          <w:tcPr>
            <w:tcW w:w="2808" w:type="dxa"/>
            <w:tcBorders>
              <w:top w:val="single" w:color="auto" w:sz="6" w:space="0"/>
              <w:left w:val="nil"/>
              <w:bottom w:val="single" w:color="auto" w:sz="6" w:space="0"/>
              <w:right w:val="single" w:color="auto" w:sz="6" w:space="0"/>
            </w:tcBorders>
            <w:vAlign w:val="center"/>
          </w:tcPr>
          <w:p w14:paraId="3639A686">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GB12523-2011</w:t>
            </w:r>
          </w:p>
        </w:tc>
        <w:tc>
          <w:tcPr>
            <w:tcW w:w="2805" w:type="dxa"/>
            <w:tcBorders>
              <w:top w:val="single" w:color="auto" w:sz="6" w:space="0"/>
              <w:left w:val="single" w:color="auto" w:sz="6" w:space="0"/>
              <w:bottom w:val="single" w:color="auto" w:sz="6" w:space="0"/>
              <w:right w:val="single" w:color="auto" w:sz="6" w:space="0"/>
            </w:tcBorders>
            <w:vAlign w:val="center"/>
          </w:tcPr>
          <w:p w14:paraId="61B908F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70</w:t>
            </w:r>
          </w:p>
        </w:tc>
        <w:tc>
          <w:tcPr>
            <w:tcW w:w="2805" w:type="dxa"/>
            <w:tcBorders>
              <w:top w:val="single" w:color="auto" w:sz="6" w:space="0"/>
              <w:left w:val="single" w:color="auto" w:sz="6" w:space="0"/>
              <w:bottom w:val="single" w:color="auto" w:sz="6" w:space="0"/>
              <w:right w:val="nil"/>
            </w:tcBorders>
            <w:vAlign w:val="center"/>
          </w:tcPr>
          <w:p w14:paraId="16331A0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55</w:t>
            </w:r>
          </w:p>
        </w:tc>
      </w:tr>
      <w:tr w14:paraId="600FB2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2808" w:type="dxa"/>
            <w:tcBorders>
              <w:top w:val="single" w:color="auto" w:sz="6" w:space="0"/>
              <w:left w:val="nil"/>
              <w:bottom w:val="single" w:color="auto" w:sz="6" w:space="0"/>
              <w:right w:val="single" w:color="auto" w:sz="6" w:space="0"/>
            </w:tcBorders>
            <w:vAlign w:val="center"/>
          </w:tcPr>
          <w:p w14:paraId="2E2A986B">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GB12348-2008中</w:t>
            </w:r>
            <w:r>
              <w:rPr>
                <w:rFonts w:hint="eastAsia" w:cs="Times New Roman"/>
                <w:color w:val="auto"/>
                <w:sz w:val="21"/>
                <w:szCs w:val="21"/>
                <w:highlight w:val="none"/>
                <w:lang w:val="en-US" w:eastAsia="zh-CN"/>
              </w:rPr>
              <w:t>2</w:t>
            </w:r>
            <w:r>
              <w:rPr>
                <w:rFonts w:cs="Times New Roman"/>
                <w:color w:val="auto"/>
                <w:sz w:val="21"/>
                <w:szCs w:val="21"/>
                <w:highlight w:val="none"/>
              </w:rPr>
              <w:t>类标准</w:t>
            </w:r>
          </w:p>
        </w:tc>
        <w:tc>
          <w:tcPr>
            <w:tcW w:w="2805" w:type="dxa"/>
            <w:tcBorders>
              <w:top w:val="single" w:color="auto" w:sz="6" w:space="0"/>
              <w:left w:val="single" w:color="auto" w:sz="6" w:space="0"/>
              <w:bottom w:val="single" w:color="auto" w:sz="6" w:space="0"/>
              <w:right w:val="single" w:color="auto" w:sz="6" w:space="0"/>
            </w:tcBorders>
            <w:vAlign w:val="center"/>
          </w:tcPr>
          <w:p w14:paraId="2F9AD402">
            <w:pPr>
              <w:spacing w:line="240" w:lineRule="auto"/>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6</w:t>
            </w:r>
            <w:r>
              <w:rPr>
                <w:rFonts w:hint="eastAsia" w:cs="Times New Roman"/>
                <w:color w:val="auto"/>
                <w:sz w:val="21"/>
                <w:szCs w:val="21"/>
                <w:highlight w:val="none"/>
                <w:lang w:val="en-US" w:eastAsia="zh-CN"/>
              </w:rPr>
              <w:t>0</w:t>
            </w:r>
          </w:p>
        </w:tc>
        <w:tc>
          <w:tcPr>
            <w:tcW w:w="2805" w:type="dxa"/>
            <w:tcBorders>
              <w:top w:val="single" w:color="auto" w:sz="6" w:space="0"/>
              <w:left w:val="single" w:color="auto" w:sz="6" w:space="0"/>
              <w:bottom w:val="single" w:color="auto" w:sz="6" w:space="0"/>
              <w:right w:val="nil"/>
            </w:tcBorders>
            <w:vAlign w:val="center"/>
          </w:tcPr>
          <w:p w14:paraId="4D781A11">
            <w:pPr>
              <w:spacing w:line="240" w:lineRule="auto"/>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5</w:t>
            </w:r>
            <w:r>
              <w:rPr>
                <w:rFonts w:hint="eastAsia" w:cs="Times New Roman"/>
                <w:color w:val="auto"/>
                <w:sz w:val="21"/>
                <w:szCs w:val="21"/>
                <w:highlight w:val="none"/>
                <w:lang w:val="en-US" w:eastAsia="zh-CN"/>
              </w:rPr>
              <w:t>0</w:t>
            </w:r>
          </w:p>
        </w:tc>
      </w:tr>
      <w:tr w14:paraId="16EA3E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2808" w:type="dxa"/>
            <w:tcBorders>
              <w:top w:val="single" w:color="auto" w:sz="6" w:space="0"/>
              <w:left w:val="nil"/>
              <w:bottom w:val="single" w:color="auto" w:sz="12" w:space="0"/>
              <w:right w:val="single" w:color="auto" w:sz="6" w:space="0"/>
            </w:tcBorders>
            <w:vAlign w:val="center"/>
          </w:tcPr>
          <w:p w14:paraId="2C40AC3F">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GB3096-2008中2类标准</w:t>
            </w:r>
          </w:p>
        </w:tc>
        <w:tc>
          <w:tcPr>
            <w:tcW w:w="2805" w:type="dxa"/>
            <w:tcBorders>
              <w:top w:val="single" w:color="auto" w:sz="6" w:space="0"/>
              <w:left w:val="single" w:color="auto" w:sz="6" w:space="0"/>
              <w:bottom w:val="single" w:color="auto" w:sz="12" w:space="0"/>
              <w:right w:val="single" w:color="auto" w:sz="6" w:space="0"/>
            </w:tcBorders>
            <w:shd w:val="clear" w:color="auto" w:fill="auto"/>
            <w:vAlign w:val="center"/>
          </w:tcPr>
          <w:p w14:paraId="44FC440C">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cs="Times New Roman"/>
                <w:color w:val="auto"/>
                <w:sz w:val="21"/>
                <w:szCs w:val="21"/>
                <w:highlight w:val="none"/>
              </w:rPr>
              <w:t>6</w:t>
            </w:r>
            <w:r>
              <w:rPr>
                <w:rFonts w:hint="eastAsia" w:cs="Times New Roman"/>
                <w:color w:val="auto"/>
                <w:sz w:val="21"/>
                <w:szCs w:val="21"/>
                <w:highlight w:val="none"/>
                <w:lang w:val="en-US" w:eastAsia="zh-CN"/>
              </w:rPr>
              <w:t>0</w:t>
            </w:r>
          </w:p>
        </w:tc>
        <w:tc>
          <w:tcPr>
            <w:tcW w:w="2805" w:type="dxa"/>
            <w:tcBorders>
              <w:top w:val="single" w:color="auto" w:sz="6" w:space="0"/>
              <w:left w:val="single" w:color="auto" w:sz="6" w:space="0"/>
              <w:bottom w:val="single" w:color="auto" w:sz="12" w:space="0"/>
              <w:right w:val="nil"/>
            </w:tcBorders>
            <w:shd w:val="clear" w:color="auto" w:fill="auto"/>
            <w:vAlign w:val="center"/>
          </w:tcPr>
          <w:p w14:paraId="1EA6F4B5">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cs="Times New Roman"/>
                <w:color w:val="auto"/>
                <w:sz w:val="21"/>
                <w:szCs w:val="21"/>
                <w:highlight w:val="none"/>
              </w:rPr>
              <w:t>5</w:t>
            </w:r>
            <w:r>
              <w:rPr>
                <w:rFonts w:hint="eastAsia" w:cs="Times New Roman"/>
                <w:color w:val="auto"/>
                <w:sz w:val="21"/>
                <w:szCs w:val="21"/>
                <w:highlight w:val="none"/>
                <w:lang w:val="en-US" w:eastAsia="zh-CN"/>
              </w:rPr>
              <w:t>0</w:t>
            </w:r>
          </w:p>
        </w:tc>
      </w:tr>
    </w:tbl>
    <w:p w14:paraId="5642E58B">
      <w:pPr>
        <w:spacing w:before="156" w:beforeLines="50" w:line="500" w:lineRule="exact"/>
        <w:ind w:firstLine="482"/>
        <w:rPr>
          <w:rFonts w:cs="Times New Roman"/>
          <w:b/>
          <w:bCs/>
          <w:color w:val="auto"/>
          <w:szCs w:val="24"/>
          <w:highlight w:val="none"/>
        </w:rPr>
      </w:pPr>
      <w:r>
        <w:rPr>
          <w:rFonts w:cs="Times New Roman"/>
          <w:b/>
          <w:bCs/>
          <w:color w:val="auto"/>
          <w:szCs w:val="24"/>
          <w:highlight w:val="none"/>
        </w:rPr>
        <w:t>4、固体废物排放标准</w:t>
      </w:r>
    </w:p>
    <w:p w14:paraId="08396265">
      <w:pPr>
        <w:spacing w:line="500" w:lineRule="exact"/>
        <w:rPr>
          <w:rFonts w:cs="Times New Roman"/>
          <w:color w:val="auto"/>
          <w:highlight w:val="none"/>
        </w:rPr>
      </w:pPr>
      <w:r>
        <w:rPr>
          <w:rFonts w:cs="Times New Roman"/>
          <w:color w:val="auto"/>
          <w:szCs w:val="24"/>
          <w:highlight w:val="none"/>
        </w:rPr>
        <w:t>固体废物排放执行《一般工业固体废物贮存和填埋污染控制标准》(GB18599-2020</w:t>
      </w:r>
      <w:r>
        <w:rPr>
          <w:rFonts w:cs="Times New Roman"/>
          <w:color w:val="auto"/>
          <w:highlight w:val="none"/>
        </w:rPr>
        <w:t>)及《固体废物分类与代码目录》（</w:t>
      </w:r>
      <w:r>
        <w:rPr>
          <w:rFonts w:hint="eastAsia" w:cs="Times New Roman"/>
          <w:color w:val="auto"/>
          <w:highlight w:val="none"/>
          <w:lang w:val="en-US" w:eastAsia="zh-CN"/>
        </w:rPr>
        <w:t>2024版</w:t>
      </w:r>
      <w:r>
        <w:rPr>
          <w:rFonts w:cs="Times New Roman"/>
          <w:color w:val="auto"/>
          <w:highlight w:val="none"/>
        </w:rPr>
        <w:t>）。</w:t>
      </w:r>
    </w:p>
    <w:p w14:paraId="068CDB0A">
      <w:pPr>
        <w:spacing w:line="500" w:lineRule="exact"/>
        <w:rPr>
          <w:rFonts w:cs="Times New Roman"/>
          <w:color w:val="auto"/>
          <w:highlight w:val="none"/>
        </w:rPr>
      </w:pPr>
      <w:r>
        <w:rPr>
          <w:rFonts w:cs="Times New Roman"/>
          <w:snapToGrid w:val="0"/>
          <w:color w:val="auto"/>
          <w:kern w:val="0"/>
          <w:szCs w:val="24"/>
          <w:highlight w:val="none"/>
        </w:rPr>
        <w:t>危险废物执行</w:t>
      </w:r>
      <w:r>
        <w:rPr>
          <w:rFonts w:cs="Times New Roman"/>
          <w:color w:val="auto"/>
          <w:highlight w:val="none"/>
        </w:rPr>
        <w:t>《危险废物贮存污染控制标准》（GB18597-20</w:t>
      </w:r>
      <w:r>
        <w:rPr>
          <w:rFonts w:hint="eastAsia" w:cs="Times New Roman"/>
          <w:color w:val="auto"/>
          <w:highlight w:val="none"/>
          <w:lang w:val="en-US" w:eastAsia="zh-CN"/>
        </w:rPr>
        <w:t>23</w:t>
      </w:r>
      <w:r>
        <w:rPr>
          <w:rFonts w:cs="Times New Roman"/>
          <w:color w:val="auto"/>
          <w:highlight w:val="none"/>
        </w:rPr>
        <w:t>）。</w:t>
      </w:r>
    </w:p>
    <w:p w14:paraId="2F20D051">
      <w:pPr>
        <w:pStyle w:val="3"/>
        <w:spacing w:before="156" w:after="156"/>
        <w:rPr>
          <w:rFonts w:cs="Times New Roman"/>
          <w:color w:val="auto"/>
          <w:highlight w:val="none"/>
        </w:rPr>
      </w:pPr>
      <w:bookmarkStart w:id="58" w:name="_Toc24009"/>
      <w:r>
        <w:rPr>
          <w:rFonts w:cs="Times New Roman"/>
          <w:color w:val="auto"/>
          <w:highlight w:val="none"/>
        </w:rPr>
        <w:t>2.3评价工作等级</w:t>
      </w:r>
      <w:bookmarkEnd w:id="58"/>
    </w:p>
    <w:p w14:paraId="130B16E7">
      <w:pPr>
        <w:pStyle w:val="4"/>
        <w:spacing w:after="156"/>
        <w:rPr>
          <w:rFonts w:cs="Times New Roman"/>
          <w:color w:val="auto"/>
          <w:highlight w:val="none"/>
        </w:rPr>
      </w:pPr>
      <w:bookmarkStart w:id="59" w:name="_Toc4386"/>
      <w:r>
        <w:rPr>
          <w:rFonts w:cs="Times New Roman"/>
          <w:color w:val="auto"/>
          <w:highlight w:val="none"/>
        </w:rPr>
        <w:t>2.3.1大气环境影响评价工作等级</w:t>
      </w:r>
      <w:bookmarkEnd w:id="59"/>
    </w:p>
    <w:p w14:paraId="066CE98C">
      <w:pPr>
        <w:pStyle w:val="117"/>
        <w:adjustRightInd w:val="0"/>
        <w:snapToGrid w:val="0"/>
        <w:rPr>
          <w:rFonts w:cs="Times New Roman"/>
          <w:color w:val="auto"/>
          <w:szCs w:val="24"/>
          <w:highlight w:val="none"/>
        </w:rPr>
      </w:pPr>
      <w:r>
        <w:rPr>
          <w:rFonts w:cs="Times New Roman"/>
          <w:color w:val="auto"/>
          <w:szCs w:val="24"/>
          <w:highlight w:val="none"/>
        </w:rPr>
        <w:t>根据《环境影响评价技术导则  大气环境》（HJ2.2-2018）的要求，大气环境影响评价等级由主要污染物的最大地面空气质量浓度占标率P</w:t>
      </w:r>
      <w:r>
        <w:rPr>
          <w:rFonts w:cs="Times New Roman"/>
          <w:color w:val="auto"/>
          <w:szCs w:val="24"/>
          <w:highlight w:val="none"/>
          <w:vertAlign w:val="subscript"/>
        </w:rPr>
        <w:t>i</w:t>
      </w:r>
      <w:r>
        <w:rPr>
          <w:rFonts w:cs="Times New Roman"/>
          <w:color w:val="auto"/>
          <w:szCs w:val="24"/>
          <w:highlight w:val="none"/>
        </w:rPr>
        <w:t>（第i个污染物，简称“最大浓度占标率”），及第i个污染物的地面空气质量浓度达标准限值10%时所对应的最远距离D</w:t>
      </w:r>
      <w:r>
        <w:rPr>
          <w:rFonts w:cs="Times New Roman"/>
          <w:color w:val="auto"/>
          <w:szCs w:val="24"/>
          <w:highlight w:val="none"/>
          <w:vertAlign w:val="subscript"/>
        </w:rPr>
        <w:t>10%</w:t>
      </w:r>
      <w:r>
        <w:rPr>
          <w:rFonts w:cs="Times New Roman"/>
          <w:color w:val="auto"/>
          <w:szCs w:val="24"/>
          <w:highlight w:val="none"/>
        </w:rPr>
        <w:t>确定。其中Pi定义为：</w:t>
      </w:r>
    </w:p>
    <w:p w14:paraId="349AF717">
      <w:pPr>
        <w:spacing w:line="500" w:lineRule="exact"/>
        <w:jc w:val="center"/>
        <w:rPr>
          <w:rFonts w:cs="Times New Roman"/>
          <w:color w:val="auto"/>
          <w:szCs w:val="24"/>
          <w:highlight w:val="none"/>
        </w:rPr>
      </w:pPr>
      <w:r>
        <w:rPr>
          <w:rFonts w:cs="Times New Roman"/>
          <w:color w:val="auto"/>
          <w:szCs w:val="24"/>
          <w:highlight w:val="none"/>
        </w:rPr>
        <w:t>P</w:t>
      </w:r>
      <w:r>
        <w:rPr>
          <w:rFonts w:cs="Times New Roman"/>
          <w:color w:val="auto"/>
          <w:szCs w:val="24"/>
          <w:highlight w:val="none"/>
          <w:vertAlign w:val="subscript"/>
        </w:rPr>
        <w:t>i</w:t>
      </w:r>
      <w:r>
        <w:rPr>
          <w:rFonts w:cs="Times New Roman"/>
          <w:color w:val="auto"/>
          <w:szCs w:val="24"/>
          <w:highlight w:val="none"/>
        </w:rPr>
        <w:t>=C</w:t>
      </w:r>
      <w:r>
        <w:rPr>
          <w:rFonts w:cs="Times New Roman"/>
          <w:color w:val="auto"/>
          <w:szCs w:val="24"/>
          <w:highlight w:val="none"/>
          <w:vertAlign w:val="subscript"/>
        </w:rPr>
        <w:t>i</w:t>
      </w:r>
      <w:r>
        <w:rPr>
          <w:rFonts w:cs="Times New Roman"/>
          <w:color w:val="auto"/>
          <w:szCs w:val="24"/>
          <w:highlight w:val="none"/>
        </w:rPr>
        <w:t>/C</w:t>
      </w:r>
      <w:r>
        <w:rPr>
          <w:rFonts w:cs="Times New Roman"/>
          <w:color w:val="auto"/>
          <w:szCs w:val="24"/>
          <w:highlight w:val="none"/>
          <w:vertAlign w:val="subscript"/>
        </w:rPr>
        <w:t>oi</w:t>
      </w:r>
      <w:r>
        <w:rPr>
          <w:rFonts w:cs="Times New Roman"/>
          <w:color w:val="auto"/>
          <w:szCs w:val="24"/>
          <w:highlight w:val="none"/>
        </w:rPr>
        <w:t>×100%</w:t>
      </w:r>
    </w:p>
    <w:p w14:paraId="3ED3AACF">
      <w:pPr>
        <w:spacing w:line="500" w:lineRule="exact"/>
        <w:rPr>
          <w:rFonts w:cs="Times New Roman"/>
          <w:color w:val="auto"/>
          <w:szCs w:val="24"/>
          <w:highlight w:val="none"/>
        </w:rPr>
      </w:pPr>
      <w:r>
        <w:rPr>
          <w:rFonts w:cs="Times New Roman"/>
          <w:color w:val="auto"/>
          <w:szCs w:val="24"/>
          <w:highlight w:val="none"/>
        </w:rPr>
        <w:t>式中：P</w:t>
      </w:r>
      <w:r>
        <w:rPr>
          <w:rFonts w:cs="Times New Roman"/>
          <w:color w:val="auto"/>
          <w:szCs w:val="24"/>
          <w:highlight w:val="none"/>
          <w:vertAlign w:val="subscript"/>
        </w:rPr>
        <w:t>i</w:t>
      </w:r>
      <w:r>
        <w:rPr>
          <w:rFonts w:cs="Times New Roman"/>
          <w:color w:val="auto"/>
          <w:szCs w:val="24"/>
          <w:highlight w:val="none"/>
        </w:rPr>
        <w:t>－第i个污染物的最大地面空气质量浓度占标率，%；</w:t>
      </w:r>
    </w:p>
    <w:p w14:paraId="79B96A53">
      <w:pPr>
        <w:spacing w:line="500" w:lineRule="exact"/>
        <w:rPr>
          <w:rFonts w:cs="Times New Roman"/>
          <w:color w:val="auto"/>
          <w:szCs w:val="24"/>
          <w:highlight w:val="none"/>
        </w:rPr>
      </w:pPr>
      <w:r>
        <w:rPr>
          <w:rFonts w:cs="Times New Roman"/>
          <w:color w:val="auto"/>
          <w:szCs w:val="24"/>
          <w:highlight w:val="none"/>
        </w:rPr>
        <w:t>C</w:t>
      </w:r>
      <w:r>
        <w:rPr>
          <w:rFonts w:cs="Times New Roman"/>
          <w:color w:val="auto"/>
          <w:szCs w:val="24"/>
          <w:highlight w:val="none"/>
          <w:vertAlign w:val="subscript"/>
        </w:rPr>
        <w:t>i</w:t>
      </w:r>
      <w:r>
        <w:rPr>
          <w:rFonts w:cs="Times New Roman"/>
          <w:color w:val="auto"/>
          <w:szCs w:val="24"/>
          <w:highlight w:val="none"/>
        </w:rPr>
        <w:t>－采用估算模型计算出的第i个污染物的最大1h地面空气质量浓度，μg/m</w:t>
      </w:r>
      <w:r>
        <w:rPr>
          <w:rFonts w:cs="Times New Roman"/>
          <w:color w:val="auto"/>
          <w:szCs w:val="24"/>
          <w:highlight w:val="none"/>
          <w:vertAlign w:val="superscript"/>
        </w:rPr>
        <w:t>3</w:t>
      </w:r>
      <w:r>
        <w:rPr>
          <w:rFonts w:cs="Times New Roman"/>
          <w:color w:val="auto"/>
          <w:szCs w:val="24"/>
          <w:highlight w:val="none"/>
        </w:rPr>
        <w:t>；</w:t>
      </w:r>
    </w:p>
    <w:p w14:paraId="19983AEC">
      <w:pPr>
        <w:pStyle w:val="117"/>
        <w:adjustRightInd w:val="0"/>
        <w:snapToGrid w:val="0"/>
        <w:rPr>
          <w:rFonts w:cs="Times New Roman"/>
          <w:color w:val="auto"/>
          <w:szCs w:val="24"/>
          <w:highlight w:val="none"/>
        </w:rPr>
      </w:pPr>
      <w:r>
        <w:rPr>
          <w:rFonts w:cs="Times New Roman"/>
          <w:color w:val="auto"/>
          <w:szCs w:val="24"/>
          <w:highlight w:val="none"/>
        </w:rPr>
        <w:t>C</w:t>
      </w:r>
      <w:r>
        <w:rPr>
          <w:rFonts w:cs="Times New Roman"/>
          <w:color w:val="auto"/>
          <w:szCs w:val="24"/>
          <w:highlight w:val="none"/>
          <w:vertAlign w:val="subscript"/>
        </w:rPr>
        <w:t>oi</w:t>
      </w:r>
      <w:r>
        <w:rPr>
          <w:rFonts w:cs="Times New Roman"/>
          <w:color w:val="auto"/>
          <w:szCs w:val="24"/>
          <w:highlight w:val="none"/>
        </w:rPr>
        <w:t>－第i个污染物的环境空气质量标准，μg/m</w:t>
      </w:r>
      <w:r>
        <w:rPr>
          <w:rFonts w:cs="Times New Roman"/>
          <w:color w:val="auto"/>
          <w:szCs w:val="24"/>
          <w:highlight w:val="none"/>
          <w:vertAlign w:val="superscript"/>
        </w:rPr>
        <w:t>3</w:t>
      </w:r>
      <w:r>
        <w:rPr>
          <w:rFonts w:cs="Times New Roman"/>
          <w:color w:val="auto"/>
          <w:szCs w:val="24"/>
          <w:highlight w:val="none"/>
        </w:rPr>
        <w:t>。一般选用GB3095中1小时平均取样时间的二级浓度限值，如项目位于一类环境空气功能区，应选择相应的一级浓度限值；对该标准中未包含的污染物，使用5.2确定的各评价因子1h平均质量浓度限值。对仅有8 h平均质量浓度限值、日平均质量浓度限值或年平均质量浓度限值的，可分别按2倍、3倍、6倍折算为1h平均质量浓度限值。</w:t>
      </w:r>
    </w:p>
    <w:p w14:paraId="48E05A26">
      <w:pPr>
        <w:pStyle w:val="117"/>
        <w:adjustRightInd w:val="0"/>
        <w:snapToGrid w:val="0"/>
        <w:rPr>
          <w:rFonts w:eastAsia="宋体" w:cs="Times New Roman"/>
          <w:b/>
          <w:bCs/>
          <w:snapToGrid w:val="0"/>
          <w:color w:val="auto"/>
          <w:szCs w:val="24"/>
          <w:highlight w:val="none"/>
        </w:rPr>
      </w:pPr>
      <w:r>
        <w:rPr>
          <w:rFonts w:cs="Times New Roman"/>
          <w:snapToGrid w:val="0"/>
          <w:color w:val="auto"/>
          <w:kern w:val="0"/>
          <w:highlight w:val="none"/>
        </w:rPr>
        <w:t>大气环境影响评价工作等级分为一、二、三级，划分依据见表2-3-1。</w:t>
      </w:r>
    </w:p>
    <w:p w14:paraId="25393E1A">
      <w:pPr>
        <w:pStyle w:val="66"/>
        <w:spacing w:before="156" w:beforeLines="50" w:line="240" w:lineRule="auto"/>
        <w:rPr>
          <w:rFonts w:eastAsia="宋体" w:cs="Times New Roman"/>
          <w:b/>
          <w:bCs/>
          <w:snapToGrid w:val="0"/>
          <w:color w:val="auto"/>
          <w:sz w:val="21"/>
          <w:szCs w:val="21"/>
          <w:highlight w:val="none"/>
        </w:rPr>
      </w:pPr>
      <w:r>
        <w:rPr>
          <w:rFonts w:eastAsia="宋体" w:cs="Times New Roman"/>
          <w:b/>
          <w:bCs/>
          <w:snapToGrid w:val="0"/>
          <w:color w:val="auto"/>
          <w:szCs w:val="24"/>
          <w:highlight w:val="none"/>
        </w:rPr>
        <w:t>表2-</w:t>
      </w:r>
      <w:r>
        <w:rPr>
          <w:rFonts w:eastAsia="宋体" w:cs="Times New Roman"/>
          <w:b/>
          <w:bCs/>
          <w:snapToGrid w:val="0"/>
          <w:color w:val="auto"/>
          <w:szCs w:val="24"/>
          <w:highlight w:val="none"/>
          <w:lang w:val="en-US"/>
        </w:rPr>
        <w:t>3</w:t>
      </w:r>
      <w:r>
        <w:rPr>
          <w:rFonts w:eastAsia="宋体" w:cs="Times New Roman"/>
          <w:b/>
          <w:bCs/>
          <w:snapToGrid w:val="0"/>
          <w:color w:val="auto"/>
          <w:szCs w:val="24"/>
          <w:highlight w:val="none"/>
        </w:rPr>
        <w:t>-1</w:t>
      </w:r>
      <w:r>
        <w:rPr>
          <w:rFonts w:eastAsia="宋体" w:cs="Times New Roman"/>
          <w:b/>
          <w:bCs/>
          <w:snapToGrid w:val="0"/>
          <w:color w:val="auto"/>
          <w:szCs w:val="24"/>
          <w:highlight w:val="none"/>
          <w:lang w:val="en-US"/>
        </w:rPr>
        <w:t xml:space="preserve">  </w:t>
      </w:r>
      <w:r>
        <w:rPr>
          <w:rFonts w:eastAsia="宋体" w:cs="Times New Roman"/>
          <w:b/>
          <w:bCs/>
          <w:snapToGrid w:val="0"/>
          <w:color w:val="auto"/>
          <w:szCs w:val="24"/>
          <w:highlight w:val="none"/>
        </w:rPr>
        <w:t>大气评价等级确定表</w:t>
      </w:r>
    </w:p>
    <w:tbl>
      <w:tblPr>
        <w:tblStyle w:val="47"/>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689"/>
        <w:gridCol w:w="2650"/>
      </w:tblGrid>
      <w:tr w14:paraId="4E7F45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604" w:hRule="atLeast"/>
          <w:jc w:val="center"/>
        </w:trPr>
        <w:tc>
          <w:tcPr>
            <w:tcW w:w="5689" w:type="dxa"/>
            <w:vAlign w:val="center"/>
          </w:tcPr>
          <w:p w14:paraId="0D402447">
            <w:pPr>
              <w:pStyle w:val="73"/>
              <w:adjustRightInd w:val="0"/>
              <w:snapToGrid w:val="0"/>
              <w:rPr>
                <w:rFonts w:cs="Times New Roman"/>
                <w:snapToGrid w:val="0"/>
                <w:color w:val="auto"/>
                <w:kern w:val="0"/>
                <w:highlight w:val="none"/>
              </w:rPr>
            </w:pPr>
            <w:r>
              <w:rPr>
                <w:rFonts w:cs="Times New Roman"/>
                <w:snapToGrid w:val="0"/>
                <w:color w:val="auto"/>
                <w:kern w:val="0"/>
                <w:highlight w:val="none"/>
              </w:rPr>
              <w:t>评价工作等级判据</w:t>
            </w:r>
          </w:p>
        </w:tc>
        <w:tc>
          <w:tcPr>
            <w:tcW w:w="2650" w:type="dxa"/>
            <w:vAlign w:val="center"/>
          </w:tcPr>
          <w:p w14:paraId="147A5628">
            <w:pPr>
              <w:pStyle w:val="73"/>
              <w:adjustRightInd w:val="0"/>
              <w:snapToGrid w:val="0"/>
              <w:rPr>
                <w:rFonts w:cs="Times New Roman"/>
                <w:snapToGrid w:val="0"/>
                <w:color w:val="auto"/>
                <w:kern w:val="0"/>
                <w:highlight w:val="none"/>
              </w:rPr>
            </w:pPr>
            <w:r>
              <w:rPr>
                <w:rFonts w:cs="Times New Roman"/>
                <w:snapToGrid w:val="0"/>
                <w:color w:val="auto"/>
                <w:kern w:val="0"/>
                <w:highlight w:val="none"/>
              </w:rPr>
              <w:t>评价工作等级</w:t>
            </w:r>
          </w:p>
        </w:tc>
      </w:tr>
      <w:tr w14:paraId="0FC0CB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9" w:hRule="atLeast"/>
          <w:jc w:val="center"/>
        </w:trPr>
        <w:tc>
          <w:tcPr>
            <w:tcW w:w="5689" w:type="dxa"/>
            <w:vAlign w:val="center"/>
          </w:tcPr>
          <w:p w14:paraId="705B7E75">
            <w:pPr>
              <w:pStyle w:val="73"/>
              <w:adjustRightInd w:val="0"/>
              <w:snapToGrid w:val="0"/>
              <w:rPr>
                <w:rFonts w:cs="Times New Roman"/>
                <w:snapToGrid w:val="0"/>
                <w:color w:val="auto"/>
                <w:kern w:val="0"/>
                <w:highlight w:val="none"/>
              </w:rPr>
            </w:pPr>
            <w:r>
              <w:rPr>
                <w:rFonts w:cs="Times New Roman"/>
                <w:snapToGrid w:val="0"/>
                <w:color w:val="auto"/>
                <w:kern w:val="0"/>
                <w:highlight w:val="none"/>
              </w:rPr>
              <w:t>P</w:t>
            </w:r>
            <w:r>
              <w:rPr>
                <w:rFonts w:cs="Times New Roman"/>
                <w:snapToGrid w:val="0"/>
                <w:color w:val="auto"/>
                <w:kern w:val="0"/>
                <w:highlight w:val="none"/>
                <w:vertAlign w:val="subscript"/>
              </w:rPr>
              <w:t>max</w:t>
            </w:r>
            <w:r>
              <w:rPr>
                <w:rFonts w:cs="Times New Roman"/>
                <w:snapToGrid w:val="0"/>
                <w:color w:val="auto"/>
                <w:kern w:val="0"/>
                <w:highlight w:val="none"/>
              </w:rPr>
              <w:t>≥10%</w:t>
            </w:r>
          </w:p>
        </w:tc>
        <w:tc>
          <w:tcPr>
            <w:tcW w:w="2650" w:type="dxa"/>
            <w:vAlign w:val="center"/>
          </w:tcPr>
          <w:p w14:paraId="636D766B">
            <w:pPr>
              <w:pStyle w:val="73"/>
              <w:adjustRightInd w:val="0"/>
              <w:snapToGrid w:val="0"/>
              <w:rPr>
                <w:rFonts w:cs="Times New Roman"/>
                <w:snapToGrid w:val="0"/>
                <w:color w:val="auto"/>
                <w:kern w:val="0"/>
                <w:highlight w:val="none"/>
              </w:rPr>
            </w:pPr>
            <w:r>
              <w:rPr>
                <w:rFonts w:cs="Times New Roman"/>
                <w:snapToGrid w:val="0"/>
                <w:color w:val="auto"/>
                <w:kern w:val="0"/>
                <w:highlight w:val="none"/>
              </w:rPr>
              <w:t>一级</w:t>
            </w:r>
          </w:p>
        </w:tc>
      </w:tr>
      <w:tr w14:paraId="2A6509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9" w:hRule="atLeast"/>
          <w:jc w:val="center"/>
        </w:trPr>
        <w:tc>
          <w:tcPr>
            <w:tcW w:w="5689" w:type="dxa"/>
            <w:vAlign w:val="center"/>
          </w:tcPr>
          <w:p w14:paraId="3A7AE4B9">
            <w:pPr>
              <w:pStyle w:val="73"/>
              <w:adjustRightInd w:val="0"/>
              <w:snapToGrid w:val="0"/>
              <w:rPr>
                <w:rFonts w:cs="Times New Roman"/>
                <w:snapToGrid w:val="0"/>
                <w:color w:val="auto"/>
                <w:kern w:val="0"/>
                <w:highlight w:val="none"/>
              </w:rPr>
            </w:pPr>
            <w:r>
              <w:rPr>
                <w:rFonts w:cs="Times New Roman"/>
                <w:snapToGrid w:val="0"/>
                <w:color w:val="auto"/>
                <w:kern w:val="0"/>
                <w:highlight w:val="none"/>
              </w:rPr>
              <w:t>1%≤P</w:t>
            </w:r>
            <w:r>
              <w:rPr>
                <w:rFonts w:cs="Times New Roman"/>
                <w:snapToGrid w:val="0"/>
                <w:color w:val="auto"/>
                <w:kern w:val="0"/>
                <w:highlight w:val="none"/>
                <w:vertAlign w:val="subscript"/>
              </w:rPr>
              <w:t>max</w:t>
            </w:r>
            <w:r>
              <w:rPr>
                <w:rFonts w:cs="Times New Roman"/>
                <w:snapToGrid w:val="0"/>
                <w:color w:val="auto"/>
                <w:kern w:val="0"/>
                <w:highlight w:val="none"/>
              </w:rPr>
              <w:t>＜10%</w:t>
            </w:r>
          </w:p>
        </w:tc>
        <w:tc>
          <w:tcPr>
            <w:tcW w:w="2650" w:type="dxa"/>
            <w:vAlign w:val="center"/>
          </w:tcPr>
          <w:p w14:paraId="715DB428">
            <w:pPr>
              <w:pStyle w:val="73"/>
              <w:adjustRightInd w:val="0"/>
              <w:snapToGrid w:val="0"/>
              <w:rPr>
                <w:rFonts w:cs="Times New Roman"/>
                <w:snapToGrid w:val="0"/>
                <w:color w:val="auto"/>
                <w:kern w:val="0"/>
                <w:highlight w:val="none"/>
              </w:rPr>
            </w:pPr>
            <w:r>
              <w:rPr>
                <w:rFonts w:cs="Times New Roman"/>
                <w:snapToGrid w:val="0"/>
                <w:color w:val="auto"/>
                <w:kern w:val="0"/>
                <w:highlight w:val="none"/>
              </w:rPr>
              <w:t>二级</w:t>
            </w:r>
          </w:p>
        </w:tc>
      </w:tr>
      <w:tr w14:paraId="22B713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42" w:hRule="atLeast"/>
          <w:jc w:val="center"/>
        </w:trPr>
        <w:tc>
          <w:tcPr>
            <w:tcW w:w="5689" w:type="dxa"/>
            <w:vAlign w:val="center"/>
          </w:tcPr>
          <w:p w14:paraId="4C0B3808">
            <w:pPr>
              <w:pStyle w:val="73"/>
              <w:adjustRightInd w:val="0"/>
              <w:snapToGrid w:val="0"/>
              <w:rPr>
                <w:rFonts w:cs="Times New Roman"/>
                <w:snapToGrid w:val="0"/>
                <w:color w:val="auto"/>
                <w:kern w:val="0"/>
                <w:highlight w:val="none"/>
              </w:rPr>
            </w:pPr>
            <w:r>
              <w:rPr>
                <w:rFonts w:cs="Times New Roman"/>
                <w:snapToGrid w:val="0"/>
                <w:color w:val="auto"/>
                <w:kern w:val="0"/>
                <w:highlight w:val="none"/>
              </w:rPr>
              <w:t>P</w:t>
            </w:r>
            <w:r>
              <w:rPr>
                <w:rFonts w:cs="Times New Roman"/>
                <w:snapToGrid w:val="0"/>
                <w:color w:val="auto"/>
                <w:kern w:val="0"/>
                <w:highlight w:val="none"/>
                <w:vertAlign w:val="subscript"/>
              </w:rPr>
              <w:t>max</w:t>
            </w:r>
            <w:r>
              <w:rPr>
                <w:rFonts w:cs="Times New Roman"/>
                <w:snapToGrid w:val="0"/>
                <w:color w:val="auto"/>
                <w:kern w:val="0"/>
                <w:highlight w:val="none"/>
              </w:rPr>
              <w:t>＜1%</w:t>
            </w:r>
          </w:p>
        </w:tc>
        <w:tc>
          <w:tcPr>
            <w:tcW w:w="2650" w:type="dxa"/>
            <w:vAlign w:val="center"/>
          </w:tcPr>
          <w:p w14:paraId="56069E3B">
            <w:pPr>
              <w:pStyle w:val="73"/>
              <w:adjustRightInd w:val="0"/>
              <w:snapToGrid w:val="0"/>
              <w:rPr>
                <w:rFonts w:cs="Times New Roman"/>
                <w:snapToGrid w:val="0"/>
                <w:color w:val="auto"/>
                <w:kern w:val="0"/>
                <w:highlight w:val="none"/>
              </w:rPr>
            </w:pPr>
            <w:r>
              <w:rPr>
                <w:rFonts w:cs="Times New Roman"/>
                <w:snapToGrid w:val="0"/>
                <w:color w:val="auto"/>
                <w:kern w:val="0"/>
                <w:highlight w:val="none"/>
              </w:rPr>
              <w:t>三级</w:t>
            </w:r>
          </w:p>
        </w:tc>
      </w:tr>
    </w:tbl>
    <w:p w14:paraId="1EE967C2">
      <w:pPr>
        <w:pStyle w:val="117"/>
        <w:rPr>
          <w:rFonts w:eastAsia="宋体" w:cs="Times New Roman"/>
          <w:b/>
          <w:bCs/>
          <w:snapToGrid w:val="0"/>
          <w:color w:val="auto"/>
          <w:szCs w:val="24"/>
          <w:highlight w:val="none"/>
        </w:rPr>
      </w:pPr>
      <w:r>
        <w:rPr>
          <w:rFonts w:cs="Times New Roman"/>
          <w:snapToGrid w:val="0"/>
          <w:color w:val="auto"/>
          <w:kern w:val="0"/>
          <w:highlight w:val="none"/>
        </w:rPr>
        <w:t>本项目建成后废气主要分为屠宰车间、</w:t>
      </w:r>
      <w:r>
        <w:rPr>
          <w:rFonts w:hint="eastAsia" w:cs="Times New Roman"/>
          <w:snapToGrid w:val="0"/>
          <w:color w:val="auto"/>
          <w:kern w:val="0"/>
          <w:highlight w:val="none"/>
          <w:lang w:eastAsia="zh-CN"/>
        </w:rPr>
        <w:t>待宰圈</w:t>
      </w:r>
      <w:r>
        <w:rPr>
          <w:rFonts w:cs="Times New Roman"/>
          <w:snapToGrid w:val="0"/>
          <w:color w:val="auto"/>
          <w:kern w:val="0"/>
          <w:highlight w:val="none"/>
        </w:rPr>
        <w:t>、污水处理站及隔离圈产生的NH</w:t>
      </w:r>
      <w:r>
        <w:rPr>
          <w:rFonts w:cs="Times New Roman"/>
          <w:snapToGrid w:val="0"/>
          <w:color w:val="auto"/>
          <w:kern w:val="0"/>
          <w:highlight w:val="none"/>
          <w:vertAlign w:val="subscript"/>
        </w:rPr>
        <w:t>3</w:t>
      </w:r>
      <w:r>
        <w:rPr>
          <w:rFonts w:cs="Times New Roman"/>
          <w:snapToGrid w:val="0"/>
          <w:color w:val="auto"/>
          <w:kern w:val="0"/>
          <w:highlight w:val="none"/>
        </w:rPr>
        <w:t>和H</w:t>
      </w:r>
      <w:r>
        <w:rPr>
          <w:rFonts w:cs="Times New Roman"/>
          <w:snapToGrid w:val="0"/>
          <w:color w:val="auto"/>
          <w:kern w:val="0"/>
          <w:highlight w:val="none"/>
          <w:vertAlign w:val="subscript"/>
        </w:rPr>
        <w:t>2</w:t>
      </w:r>
      <w:r>
        <w:rPr>
          <w:rFonts w:cs="Times New Roman"/>
          <w:snapToGrid w:val="0"/>
          <w:color w:val="auto"/>
          <w:kern w:val="0"/>
          <w:highlight w:val="none"/>
        </w:rPr>
        <w:t>S等恶臭气体。</w:t>
      </w:r>
      <w:r>
        <w:rPr>
          <w:rFonts w:cs="Times New Roman"/>
          <w:snapToGrid w:val="0"/>
          <w:color w:val="auto"/>
          <w:highlight w:val="none"/>
        </w:rPr>
        <w:t>评价因子和评价标准见表2-3-2、估算模型参数见表2-3-3、</w:t>
      </w:r>
      <w:r>
        <w:rPr>
          <w:rFonts w:cs="Times New Roman"/>
          <w:snapToGrid w:val="0"/>
          <w:color w:val="auto"/>
          <w:kern w:val="0"/>
          <w:highlight w:val="none"/>
        </w:rPr>
        <w:t>计算结果见表2-3-4。</w:t>
      </w:r>
    </w:p>
    <w:p w14:paraId="2E5A8C7B">
      <w:pPr>
        <w:pStyle w:val="66"/>
        <w:spacing w:before="156" w:beforeLines="50" w:line="240" w:lineRule="auto"/>
        <w:rPr>
          <w:rFonts w:eastAsia="宋体" w:cs="Times New Roman"/>
          <w:b/>
          <w:bCs/>
          <w:snapToGrid w:val="0"/>
          <w:color w:val="auto"/>
          <w:szCs w:val="24"/>
          <w:highlight w:val="none"/>
        </w:rPr>
      </w:pPr>
      <w:r>
        <w:rPr>
          <w:rFonts w:eastAsia="宋体" w:cs="Times New Roman"/>
          <w:b/>
          <w:bCs/>
          <w:snapToGrid w:val="0"/>
          <w:color w:val="auto"/>
          <w:szCs w:val="24"/>
          <w:highlight w:val="none"/>
        </w:rPr>
        <w:t>表2-</w:t>
      </w:r>
      <w:r>
        <w:rPr>
          <w:rFonts w:eastAsia="宋体" w:cs="Times New Roman"/>
          <w:b/>
          <w:bCs/>
          <w:snapToGrid w:val="0"/>
          <w:color w:val="auto"/>
          <w:szCs w:val="24"/>
          <w:highlight w:val="none"/>
          <w:lang w:val="en-US"/>
        </w:rPr>
        <w:t>3</w:t>
      </w:r>
      <w:r>
        <w:rPr>
          <w:rFonts w:eastAsia="宋体" w:cs="Times New Roman"/>
          <w:b/>
          <w:bCs/>
          <w:snapToGrid w:val="0"/>
          <w:color w:val="auto"/>
          <w:szCs w:val="24"/>
          <w:highlight w:val="none"/>
        </w:rPr>
        <w:t>-2</w:t>
      </w:r>
      <w:r>
        <w:rPr>
          <w:rFonts w:eastAsia="宋体" w:cs="Times New Roman"/>
          <w:b/>
          <w:bCs/>
          <w:snapToGrid w:val="0"/>
          <w:color w:val="auto"/>
          <w:szCs w:val="24"/>
          <w:highlight w:val="none"/>
          <w:lang w:val="en-US"/>
        </w:rPr>
        <w:t xml:space="preserve">  </w:t>
      </w:r>
      <w:r>
        <w:rPr>
          <w:rFonts w:eastAsia="宋体" w:cs="Times New Roman"/>
          <w:b/>
          <w:bCs/>
          <w:snapToGrid w:val="0"/>
          <w:color w:val="auto"/>
          <w:szCs w:val="24"/>
          <w:highlight w:val="none"/>
        </w:rPr>
        <w:t>评价因子和评价标准表</w:t>
      </w:r>
    </w:p>
    <w:tbl>
      <w:tblPr>
        <w:tblStyle w:val="47"/>
        <w:tblW w:w="5032"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378"/>
        <w:gridCol w:w="944"/>
        <w:gridCol w:w="1067"/>
        <w:gridCol w:w="1640"/>
        <w:gridCol w:w="3548"/>
      </w:tblGrid>
      <w:tr w14:paraId="191323C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14" w:hRule="atLeast"/>
          <w:jc w:val="center"/>
        </w:trPr>
        <w:tc>
          <w:tcPr>
            <w:tcW w:w="803" w:type="pct"/>
            <w:tcBorders>
              <w:tl2br w:val="nil"/>
              <w:tr2bl w:val="nil"/>
            </w:tcBorders>
            <w:vAlign w:val="center"/>
          </w:tcPr>
          <w:p w14:paraId="7B935AD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污染物名称</w:t>
            </w:r>
          </w:p>
        </w:tc>
        <w:tc>
          <w:tcPr>
            <w:tcW w:w="550" w:type="pct"/>
            <w:tcBorders>
              <w:tl2br w:val="nil"/>
              <w:tr2bl w:val="nil"/>
            </w:tcBorders>
            <w:vAlign w:val="center"/>
          </w:tcPr>
          <w:p w14:paraId="42003DC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功能区</w:t>
            </w:r>
          </w:p>
        </w:tc>
        <w:tc>
          <w:tcPr>
            <w:tcW w:w="622" w:type="pct"/>
            <w:tcBorders>
              <w:tl2br w:val="nil"/>
              <w:tr2bl w:val="nil"/>
            </w:tcBorders>
            <w:vAlign w:val="center"/>
          </w:tcPr>
          <w:p w14:paraId="1DC5146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取值时间</w:t>
            </w:r>
          </w:p>
        </w:tc>
        <w:tc>
          <w:tcPr>
            <w:tcW w:w="956" w:type="pct"/>
            <w:tcBorders>
              <w:tl2br w:val="nil"/>
              <w:tr2bl w:val="nil"/>
            </w:tcBorders>
            <w:vAlign w:val="center"/>
          </w:tcPr>
          <w:p w14:paraId="2F1352F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标准值(μg/m³)</w:t>
            </w:r>
          </w:p>
        </w:tc>
        <w:tc>
          <w:tcPr>
            <w:tcW w:w="2068" w:type="pct"/>
            <w:tcBorders>
              <w:tl2br w:val="nil"/>
              <w:tr2bl w:val="nil"/>
            </w:tcBorders>
            <w:vAlign w:val="center"/>
          </w:tcPr>
          <w:p w14:paraId="33EFFD4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标准来源</w:t>
            </w:r>
          </w:p>
        </w:tc>
      </w:tr>
      <w:tr w14:paraId="1000E73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7" w:hRule="atLeast"/>
          <w:jc w:val="center"/>
        </w:trPr>
        <w:tc>
          <w:tcPr>
            <w:tcW w:w="803" w:type="pct"/>
            <w:tcBorders>
              <w:tl2br w:val="nil"/>
              <w:tr2bl w:val="nil"/>
            </w:tcBorders>
            <w:vAlign w:val="center"/>
          </w:tcPr>
          <w:p w14:paraId="70FB517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NH</w:t>
            </w:r>
            <w:r>
              <w:rPr>
                <w:rFonts w:cs="Times New Roman"/>
                <w:color w:val="auto"/>
                <w:sz w:val="21"/>
                <w:szCs w:val="21"/>
                <w:highlight w:val="none"/>
                <w:vertAlign w:val="subscript"/>
              </w:rPr>
              <w:t>3</w:t>
            </w:r>
          </w:p>
        </w:tc>
        <w:tc>
          <w:tcPr>
            <w:tcW w:w="550" w:type="pct"/>
            <w:tcBorders>
              <w:tl2br w:val="nil"/>
              <w:tr2bl w:val="nil"/>
            </w:tcBorders>
            <w:vAlign w:val="center"/>
          </w:tcPr>
          <w:p w14:paraId="26A6A6E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二类区</w:t>
            </w:r>
          </w:p>
        </w:tc>
        <w:tc>
          <w:tcPr>
            <w:tcW w:w="622" w:type="pct"/>
            <w:tcBorders>
              <w:tl2br w:val="nil"/>
              <w:tr2bl w:val="nil"/>
            </w:tcBorders>
            <w:vAlign w:val="center"/>
          </w:tcPr>
          <w:p w14:paraId="40D5445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一小时</w:t>
            </w:r>
          </w:p>
        </w:tc>
        <w:tc>
          <w:tcPr>
            <w:tcW w:w="956" w:type="pct"/>
            <w:tcBorders>
              <w:tl2br w:val="nil"/>
              <w:tr2bl w:val="nil"/>
            </w:tcBorders>
            <w:vAlign w:val="center"/>
          </w:tcPr>
          <w:p w14:paraId="3286E58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200.0</w:t>
            </w:r>
          </w:p>
        </w:tc>
        <w:tc>
          <w:tcPr>
            <w:tcW w:w="2068" w:type="pct"/>
            <w:vMerge w:val="restart"/>
            <w:tcBorders>
              <w:tl2br w:val="nil"/>
              <w:tr2bl w:val="nil"/>
            </w:tcBorders>
            <w:vAlign w:val="center"/>
          </w:tcPr>
          <w:p w14:paraId="661248D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《环境影响评价技术导则-大气环境》 HJ 2.2-2018 附录D</w:t>
            </w:r>
          </w:p>
        </w:tc>
      </w:tr>
      <w:tr w14:paraId="2F4056C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7" w:hRule="atLeast"/>
          <w:jc w:val="center"/>
        </w:trPr>
        <w:tc>
          <w:tcPr>
            <w:tcW w:w="803" w:type="pct"/>
            <w:tcBorders>
              <w:tl2br w:val="nil"/>
              <w:tr2bl w:val="nil"/>
            </w:tcBorders>
            <w:vAlign w:val="center"/>
          </w:tcPr>
          <w:p w14:paraId="7E1D6CE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H</w:t>
            </w:r>
            <w:r>
              <w:rPr>
                <w:rFonts w:cs="Times New Roman"/>
                <w:color w:val="auto"/>
                <w:sz w:val="21"/>
                <w:szCs w:val="21"/>
                <w:highlight w:val="none"/>
                <w:vertAlign w:val="subscript"/>
              </w:rPr>
              <w:t>2</w:t>
            </w:r>
            <w:r>
              <w:rPr>
                <w:rFonts w:cs="Times New Roman"/>
                <w:color w:val="auto"/>
                <w:sz w:val="21"/>
                <w:szCs w:val="21"/>
                <w:highlight w:val="none"/>
              </w:rPr>
              <w:t>S</w:t>
            </w:r>
          </w:p>
        </w:tc>
        <w:tc>
          <w:tcPr>
            <w:tcW w:w="550" w:type="pct"/>
            <w:tcBorders>
              <w:tl2br w:val="nil"/>
              <w:tr2bl w:val="nil"/>
            </w:tcBorders>
            <w:vAlign w:val="center"/>
          </w:tcPr>
          <w:p w14:paraId="1EBB917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二类区</w:t>
            </w:r>
          </w:p>
        </w:tc>
        <w:tc>
          <w:tcPr>
            <w:tcW w:w="622" w:type="pct"/>
            <w:tcBorders>
              <w:tl2br w:val="nil"/>
              <w:tr2bl w:val="nil"/>
            </w:tcBorders>
            <w:vAlign w:val="center"/>
          </w:tcPr>
          <w:p w14:paraId="39D4EC2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一小时</w:t>
            </w:r>
          </w:p>
        </w:tc>
        <w:tc>
          <w:tcPr>
            <w:tcW w:w="956" w:type="pct"/>
            <w:tcBorders>
              <w:tl2br w:val="nil"/>
              <w:tr2bl w:val="nil"/>
            </w:tcBorders>
            <w:vAlign w:val="center"/>
          </w:tcPr>
          <w:p w14:paraId="429F1DC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10.0</w:t>
            </w:r>
          </w:p>
        </w:tc>
        <w:tc>
          <w:tcPr>
            <w:tcW w:w="2068" w:type="pct"/>
            <w:vMerge w:val="continue"/>
            <w:tcBorders>
              <w:tl2br w:val="nil"/>
              <w:tr2bl w:val="nil"/>
            </w:tcBorders>
            <w:vAlign w:val="center"/>
          </w:tcPr>
          <w:p w14:paraId="5598A04F">
            <w:pPr>
              <w:spacing w:line="360" w:lineRule="exact"/>
              <w:ind w:firstLine="0" w:firstLineChars="0"/>
              <w:jc w:val="center"/>
              <w:rPr>
                <w:rFonts w:cs="Times New Roman"/>
                <w:color w:val="auto"/>
                <w:sz w:val="21"/>
                <w:szCs w:val="21"/>
                <w:highlight w:val="none"/>
              </w:rPr>
            </w:pPr>
          </w:p>
        </w:tc>
      </w:tr>
      <w:tr w14:paraId="0A4354E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7" w:hRule="atLeast"/>
          <w:jc w:val="center"/>
        </w:trPr>
        <w:tc>
          <w:tcPr>
            <w:tcW w:w="803" w:type="pct"/>
            <w:tcBorders>
              <w:tl2br w:val="nil"/>
              <w:tr2bl w:val="nil"/>
            </w:tcBorders>
            <w:vAlign w:val="center"/>
          </w:tcPr>
          <w:p w14:paraId="55166B8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SO</w:t>
            </w:r>
            <w:r>
              <w:rPr>
                <w:rFonts w:cs="Times New Roman"/>
                <w:color w:val="auto"/>
                <w:sz w:val="21"/>
                <w:szCs w:val="21"/>
                <w:highlight w:val="none"/>
                <w:vertAlign w:val="subscript"/>
              </w:rPr>
              <w:t>2</w:t>
            </w:r>
          </w:p>
        </w:tc>
        <w:tc>
          <w:tcPr>
            <w:tcW w:w="550" w:type="pct"/>
            <w:tcBorders>
              <w:tl2br w:val="nil"/>
              <w:tr2bl w:val="nil"/>
            </w:tcBorders>
            <w:vAlign w:val="center"/>
          </w:tcPr>
          <w:p w14:paraId="1EF04D4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二类区</w:t>
            </w:r>
          </w:p>
        </w:tc>
        <w:tc>
          <w:tcPr>
            <w:tcW w:w="622" w:type="pct"/>
            <w:tcBorders>
              <w:tl2br w:val="nil"/>
              <w:tr2bl w:val="nil"/>
            </w:tcBorders>
            <w:vAlign w:val="center"/>
          </w:tcPr>
          <w:p w14:paraId="7D4AC69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一小时</w:t>
            </w:r>
          </w:p>
        </w:tc>
        <w:tc>
          <w:tcPr>
            <w:tcW w:w="956" w:type="pct"/>
            <w:tcBorders>
              <w:tl2br w:val="nil"/>
              <w:tr2bl w:val="nil"/>
            </w:tcBorders>
            <w:vAlign w:val="center"/>
          </w:tcPr>
          <w:p w14:paraId="7268A6C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500.0</w:t>
            </w:r>
          </w:p>
        </w:tc>
        <w:tc>
          <w:tcPr>
            <w:tcW w:w="2068" w:type="pct"/>
            <w:vMerge w:val="restart"/>
            <w:tcBorders>
              <w:tl2br w:val="nil"/>
              <w:tr2bl w:val="nil"/>
            </w:tcBorders>
            <w:vAlign w:val="center"/>
          </w:tcPr>
          <w:p w14:paraId="3B47C08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环境空气质量标准(GB 3095-2012)</w:t>
            </w:r>
          </w:p>
        </w:tc>
      </w:tr>
      <w:tr w14:paraId="716683F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7" w:hRule="atLeast"/>
          <w:jc w:val="center"/>
        </w:trPr>
        <w:tc>
          <w:tcPr>
            <w:tcW w:w="803" w:type="pct"/>
            <w:tcBorders>
              <w:tl2br w:val="nil"/>
              <w:tr2bl w:val="nil"/>
            </w:tcBorders>
            <w:vAlign w:val="center"/>
          </w:tcPr>
          <w:p w14:paraId="0C10D91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NO</w:t>
            </w:r>
            <w:r>
              <w:rPr>
                <w:rFonts w:cs="Times New Roman"/>
                <w:color w:val="auto"/>
                <w:sz w:val="21"/>
                <w:szCs w:val="21"/>
                <w:highlight w:val="none"/>
                <w:vertAlign w:val="subscript"/>
              </w:rPr>
              <w:t>2</w:t>
            </w:r>
          </w:p>
        </w:tc>
        <w:tc>
          <w:tcPr>
            <w:tcW w:w="550" w:type="pct"/>
            <w:tcBorders>
              <w:tl2br w:val="nil"/>
              <w:tr2bl w:val="nil"/>
            </w:tcBorders>
            <w:vAlign w:val="center"/>
          </w:tcPr>
          <w:p w14:paraId="1107AF3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二类区</w:t>
            </w:r>
          </w:p>
        </w:tc>
        <w:tc>
          <w:tcPr>
            <w:tcW w:w="622" w:type="pct"/>
            <w:tcBorders>
              <w:tl2br w:val="nil"/>
              <w:tr2bl w:val="nil"/>
            </w:tcBorders>
            <w:vAlign w:val="center"/>
          </w:tcPr>
          <w:p w14:paraId="591C9EF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一小时</w:t>
            </w:r>
          </w:p>
        </w:tc>
        <w:tc>
          <w:tcPr>
            <w:tcW w:w="956" w:type="pct"/>
            <w:tcBorders>
              <w:tl2br w:val="nil"/>
              <w:tr2bl w:val="nil"/>
            </w:tcBorders>
            <w:vAlign w:val="center"/>
          </w:tcPr>
          <w:p w14:paraId="17C7B16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200.0</w:t>
            </w:r>
          </w:p>
        </w:tc>
        <w:tc>
          <w:tcPr>
            <w:tcW w:w="2068" w:type="pct"/>
            <w:vMerge w:val="continue"/>
            <w:tcBorders>
              <w:tl2br w:val="nil"/>
              <w:tr2bl w:val="nil"/>
            </w:tcBorders>
            <w:vAlign w:val="center"/>
          </w:tcPr>
          <w:p w14:paraId="6B0DE321">
            <w:pPr>
              <w:spacing w:line="360" w:lineRule="exact"/>
              <w:ind w:firstLine="0" w:firstLineChars="0"/>
              <w:jc w:val="center"/>
              <w:rPr>
                <w:rFonts w:cs="Times New Roman"/>
                <w:color w:val="auto"/>
                <w:sz w:val="21"/>
                <w:szCs w:val="21"/>
                <w:highlight w:val="none"/>
              </w:rPr>
            </w:pPr>
          </w:p>
        </w:tc>
      </w:tr>
      <w:tr w14:paraId="681D461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26" w:hRule="atLeast"/>
          <w:jc w:val="center"/>
        </w:trPr>
        <w:tc>
          <w:tcPr>
            <w:tcW w:w="803" w:type="pct"/>
            <w:tcBorders>
              <w:tl2br w:val="nil"/>
              <w:tr2bl w:val="nil"/>
            </w:tcBorders>
            <w:vAlign w:val="center"/>
          </w:tcPr>
          <w:p w14:paraId="49B268D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PM</w:t>
            </w:r>
            <w:r>
              <w:rPr>
                <w:rFonts w:cs="Times New Roman"/>
                <w:color w:val="auto"/>
                <w:sz w:val="21"/>
                <w:szCs w:val="21"/>
                <w:highlight w:val="none"/>
                <w:vertAlign w:val="subscript"/>
              </w:rPr>
              <w:t>10</w:t>
            </w:r>
          </w:p>
        </w:tc>
        <w:tc>
          <w:tcPr>
            <w:tcW w:w="550" w:type="pct"/>
            <w:tcBorders>
              <w:tl2br w:val="nil"/>
              <w:tr2bl w:val="nil"/>
            </w:tcBorders>
            <w:vAlign w:val="center"/>
          </w:tcPr>
          <w:p w14:paraId="25F9382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二类区</w:t>
            </w:r>
          </w:p>
        </w:tc>
        <w:tc>
          <w:tcPr>
            <w:tcW w:w="622" w:type="pct"/>
            <w:tcBorders>
              <w:tl2br w:val="nil"/>
              <w:tr2bl w:val="nil"/>
            </w:tcBorders>
            <w:vAlign w:val="center"/>
          </w:tcPr>
          <w:p w14:paraId="7626371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日均</w:t>
            </w:r>
          </w:p>
        </w:tc>
        <w:tc>
          <w:tcPr>
            <w:tcW w:w="956" w:type="pct"/>
            <w:tcBorders>
              <w:tl2br w:val="nil"/>
              <w:tr2bl w:val="nil"/>
            </w:tcBorders>
            <w:vAlign w:val="center"/>
          </w:tcPr>
          <w:p w14:paraId="5B3FE92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150.0</w:t>
            </w:r>
          </w:p>
        </w:tc>
        <w:tc>
          <w:tcPr>
            <w:tcW w:w="2068" w:type="pct"/>
            <w:vMerge w:val="continue"/>
            <w:tcBorders>
              <w:tl2br w:val="nil"/>
              <w:tr2bl w:val="nil"/>
            </w:tcBorders>
            <w:vAlign w:val="center"/>
          </w:tcPr>
          <w:p w14:paraId="123956D6">
            <w:pPr>
              <w:spacing w:line="360" w:lineRule="exact"/>
              <w:ind w:firstLine="0" w:firstLineChars="0"/>
              <w:jc w:val="center"/>
              <w:rPr>
                <w:rFonts w:cs="Times New Roman"/>
                <w:color w:val="auto"/>
                <w:sz w:val="21"/>
                <w:szCs w:val="21"/>
                <w:highlight w:val="none"/>
              </w:rPr>
            </w:pPr>
          </w:p>
        </w:tc>
      </w:tr>
    </w:tbl>
    <w:p w14:paraId="0E108582">
      <w:pPr>
        <w:pStyle w:val="66"/>
        <w:spacing w:line="240" w:lineRule="auto"/>
        <w:rPr>
          <w:rFonts w:eastAsia="宋体" w:cs="Times New Roman"/>
          <w:b/>
          <w:bCs/>
          <w:snapToGrid w:val="0"/>
          <w:color w:val="auto"/>
          <w:szCs w:val="24"/>
          <w:highlight w:val="none"/>
        </w:rPr>
      </w:pPr>
      <w:r>
        <w:rPr>
          <w:rFonts w:eastAsia="宋体" w:cs="Times New Roman"/>
          <w:b/>
          <w:bCs/>
          <w:snapToGrid w:val="0"/>
          <w:color w:val="auto"/>
          <w:szCs w:val="24"/>
          <w:highlight w:val="none"/>
        </w:rPr>
        <w:t>表2-</w:t>
      </w:r>
      <w:r>
        <w:rPr>
          <w:rFonts w:eastAsia="宋体" w:cs="Times New Roman"/>
          <w:b/>
          <w:bCs/>
          <w:snapToGrid w:val="0"/>
          <w:color w:val="auto"/>
          <w:szCs w:val="24"/>
          <w:highlight w:val="none"/>
          <w:lang w:val="en-US"/>
        </w:rPr>
        <w:t>3</w:t>
      </w:r>
      <w:r>
        <w:rPr>
          <w:rFonts w:eastAsia="宋体" w:cs="Times New Roman"/>
          <w:b/>
          <w:bCs/>
          <w:snapToGrid w:val="0"/>
          <w:color w:val="auto"/>
          <w:szCs w:val="24"/>
          <w:highlight w:val="none"/>
        </w:rPr>
        <w:t>-3</w:t>
      </w:r>
      <w:r>
        <w:rPr>
          <w:rFonts w:eastAsia="宋体" w:cs="Times New Roman"/>
          <w:b/>
          <w:bCs/>
          <w:snapToGrid w:val="0"/>
          <w:color w:val="auto"/>
          <w:szCs w:val="24"/>
          <w:highlight w:val="none"/>
          <w:lang w:val="en-US"/>
        </w:rPr>
        <w:t xml:space="preserve">  </w:t>
      </w:r>
      <w:r>
        <w:rPr>
          <w:rFonts w:eastAsia="宋体" w:cs="Times New Roman"/>
          <w:b/>
          <w:bCs/>
          <w:snapToGrid w:val="0"/>
          <w:color w:val="auto"/>
          <w:szCs w:val="24"/>
          <w:highlight w:val="none"/>
        </w:rPr>
        <w:t>估算模型参数表</w:t>
      </w:r>
    </w:p>
    <w:tbl>
      <w:tblPr>
        <w:tblStyle w:val="47"/>
        <w:tblW w:w="500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645"/>
        <w:gridCol w:w="1622"/>
        <w:gridCol w:w="1609"/>
        <w:gridCol w:w="2661"/>
      </w:tblGrid>
      <w:tr w14:paraId="2DDDBCA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2499" w:type="pct"/>
            <w:gridSpan w:val="2"/>
            <w:tcBorders>
              <w:tl2br w:val="nil"/>
              <w:tr2bl w:val="nil"/>
            </w:tcBorders>
            <w:vAlign w:val="center"/>
          </w:tcPr>
          <w:p w14:paraId="6799AD55">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参数</w:t>
            </w:r>
          </w:p>
        </w:tc>
        <w:tc>
          <w:tcPr>
            <w:tcW w:w="2500" w:type="pct"/>
            <w:gridSpan w:val="2"/>
            <w:tcBorders>
              <w:tl2br w:val="nil"/>
              <w:tr2bl w:val="nil"/>
            </w:tcBorders>
            <w:vAlign w:val="center"/>
          </w:tcPr>
          <w:p w14:paraId="2DB4D3F6">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取值</w:t>
            </w:r>
          </w:p>
        </w:tc>
      </w:tr>
      <w:tr w14:paraId="5F84CDC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1549" w:type="pct"/>
            <w:vMerge w:val="restart"/>
            <w:tcBorders>
              <w:tl2br w:val="nil"/>
              <w:tr2bl w:val="nil"/>
            </w:tcBorders>
            <w:vAlign w:val="center"/>
          </w:tcPr>
          <w:p w14:paraId="1B25271C">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城市/农村选项</w:t>
            </w:r>
          </w:p>
        </w:tc>
        <w:tc>
          <w:tcPr>
            <w:tcW w:w="1892" w:type="pct"/>
            <w:gridSpan w:val="2"/>
            <w:tcBorders>
              <w:tl2br w:val="nil"/>
              <w:tr2bl w:val="nil"/>
            </w:tcBorders>
            <w:vAlign w:val="center"/>
          </w:tcPr>
          <w:p w14:paraId="58BEAAEF">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城市/农村</w:t>
            </w:r>
          </w:p>
        </w:tc>
        <w:tc>
          <w:tcPr>
            <w:tcW w:w="1557" w:type="pct"/>
            <w:tcBorders>
              <w:tl2br w:val="nil"/>
              <w:tr2bl w:val="nil"/>
            </w:tcBorders>
            <w:vAlign w:val="center"/>
          </w:tcPr>
          <w:p w14:paraId="1FD1B63E">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农村</w:t>
            </w:r>
          </w:p>
        </w:tc>
      </w:tr>
      <w:tr w14:paraId="0DD4E88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1549" w:type="pct"/>
            <w:vMerge w:val="continue"/>
            <w:tcBorders>
              <w:tl2br w:val="nil"/>
              <w:tr2bl w:val="nil"/>
            </w:tcBorders>
            <w:vAlign w:val="center"/>
          </w:tcPr>
          <w:p w14:paraId="452D8D97">
            <w:pPr>
              <w:spacing w:line="340" w:lineRule="atLeast"/>
              <w:ind w:firstLine="0" w:firstLineChars="0"/>
              <w:jc w:val="center"/>
              <w:rPr>
                <w:rFonts w:cs="Times New Roman"/>
                <w:color w:val="auto"/>
                <w:sz w:val="21"/>
                <w:szCs w:val="21"/>
                <w:highlight w:val="none"/>
              </w:rPr>
            </w:pPr>
          </w:p>
        </w:tc>
        <w:tc>
          <w:tcPr>
            <w:tcW w:w="1892" w:type="pct"/>
            <w:gridSpan w:val="2"/>
            <w:tcBorders>
              <w:tl2br w:val="nil"/>
              <w:tr2bl w:val="nil"/>
            </w:tcBorders>
            <w:vAlign w:val="center"/>
          </w:tcPr>
          <w:p w14:paraId="69E179EE">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人口数(城市人口数)</w:t>
            </w:r>
          </w:p>
        </w:tc>
        <w:tc>
          <w:tcPr>
            <w:tcW w:w="1557" w:type="pct"/>
            <w:tcBorders>
              <w:tl2br w:val="nil"/>
              <w:tr2bl w:val="nil"/>
            </w:tcBorders>
            <w:vAlign w:val="center"/>
          </w:tcPr>
          <w:p w14:paraId="304A2BA8">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152C5D9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2499" w:type="pct"/>
            <w:gridSpan w:val="2"/>
            <w:tcBorders>
              <w:tl2br w:val="nil"/>
              <w:tr2bl w:val="nil"/>
            </w:tcBorders>
            <w:vAlign w:val="center"/>
          </w:tcPr>
          <w:p w14:paraId="78403C62">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最高环境温度</w:t>
            </w:r>
          </w:p>
        </w:tc>
        <w:tc>
          <w:tcPr>
            <w:tcW w:w="2500" w:type="pct"/>
            <w:gridSpan w:val="2"/>
            <w:tcBorders>
              <w:tl2br w:val="nil"/>
              <w:tr2bl w:val="nil"/>
            </w:tcBorders>
            <w:vAlign w:val="center"/>
          </w:tcPr>
          <w:p w14:paraId="432E99A9">
            <w:pPr>
              <w:spacing w:line="340" w:lineRule="atLeas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35.0</w:t>
            </w:r>
          </w:p>
        </w:tc>
      </w:tr>
      <w:tr w14:paraId="4D8E779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2499" w:type="pct"/>
            <w:gridSpan w:val="2"/>
            <w:tcBorders>
              <w:tl2br w:val="nil"/>
              <w:tr2bl w:val="nil"/>
            </w:tcBorders>
            <w:vAlign w:val="center"/>
          </w:tcPr>
          <w:p w14:paraId="5AF0C987">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最低环境温度</w:t>
            </w:r>
          </w:p>
        </w:tc>
        <w:tc>
          <w:tcPr>
            <w:tcW w:w="2500" w:type="pct"/>
            <w:gridSpan w:val="2"/>
            <w:tcBorders>
              <w:tl2br w:val="nil"/>
              <w:tr2bl w:val="nil"/>
            </w:tcBorders>
            <w:vAlign w:val="center"/>
          </w:tcPr>
          <w:p w14:paraId="386F4E59">
            <w:pPr>
              <w:spacing w:line="340" w:lineRule="atLeas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-35.0</w:t>
            </w:r>
          </w:p>
        </w:tc>
      </w:tr>
      <w:tr w14:paraId="2274DC2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2499" w:type="pct"/>
            <w:gridSpan w:val="2"/>
            <w:tcBorders>
              <w:tl2br w:val="nil"/>
              <w:tr2bl w:val="nil"/>
            </w:tcBorders>
            <w:vAlign w:val="center"/>
          </w:tcPr>
          <w:p w14:paraId="36F77BFF">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土地利用类型</w:t>
            </w:r>
          </w:p>
        </w:tc>
        <w:tc>
          <w:tcPr>
            <w:tcW w:w="2500" w:type="pct"/>
            <w:gridSpan w:val="2"/>
            <w:tcBorders>
              <w:tl2br w:val="nil"/>
              <w:tr2bl w:val="nil"/>
            </w:tcBorders>
            <w:vAlign w:val="center"/>
          </w:tcPr>
          <w:p w14:paraId="5597B8CC">
            <w:pPr>
              <w:spacing w:line="340" w:lineRule="atLeas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农田</w:t>
            </w:r>
          </w:p>
        </w:tc>
      </w:tr>
      <w:tr w14:paraId="19365B6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2499" w:type="pct"/>
            <w:gridSpan w:val="2"/>
            <w:tcBorders>
              <w:tl2br w:val="nil"/>
              <w:tr2bl w:val="nil"/>
            </w:tcBorders>
            <w:vAlign w:val="center"/>
          </w:tcPr>
          <w:p w14:paraId="2908D04B">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区域湿度条件</w:t>
            </w:r>
          </w:p>
        </w:tc>
        <w:tc>
          <w:tcPr>
            <w:tcW w:w="2500" w:type="pct"/>
            <w:gridSpan w:val="2"/>
            <w:tcBorders>
              <w:tl2br w:val="nil"/>
              <w:tr2bl w:val="nil"/>
            </w:tcBorders>
            <w:vAlign w:val="center"/>
          </w:tcPr>
          <w:p w14:paraId="2154CABD">
            <w:pPr>
              <w:spacing w:line="340" w:lineRule="atLeas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湿润区</w:t>
            </w:r>
          </w:p>
        </w:tc>
      </w:tr>
      <w:tr w14:paraId="2078B51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1549" w:type="pct"/>
            <w:vMerge w:val="restart"/>
            <w:tcBorders>
              <w:tl2br w:val="nil"/>
              <w:tr2bl w:val="nil"/>
            </w:tcBorders>
            <w:vAlign w:val="center"/>
          </w:tcPr>
          <w:p w14:paraId="770F1663">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是否考虑地形</w:t>
            </w:r>
          </w:p>
        </w:tc>
        <w:tc>
          <w:tcPr>
            <w:tcW w:w="1892" w:type="pct"/>
            <w:gridSpan w:val="2"/>
            <w:tcBorders>
              <w:tl2br w:val="nil"/>
              <w:tr2bl w:val="nil"/>
            </w:tcBorders>
            <w:vAlign w:val="center"/>
          </w:tcPr>
          <w:p w14:paraId="17E2A46B">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考虑地形</w:t>
            </w:r>
          </w:p>
        </w:tc>
        <w:tc>
          <w:tcPr>
            <w:tcW w:w="1557" w:type="pct"/>
            <w:tcBorders>
              <w:tl2br w:val="nil"/>
              <w:tr2bl w:val="nil"/>
            </w:tcBorders>
            <w:vAlign w:val="center"/>
          </w:tcPr>
          <w:p w14:paraId="7B46A873">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是</w:t>
            </w:r>
          </w:p>
        </w:tc>
      </w:tr>
      <w:tr w14:paraId="2E57E2E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1549" w:type="pct"/>
            <w:vMerge w:val="continue"/>
            <w:tcBorders>
              <w:tl2br w:val="nil"/>
              <w:tr2bl w:val="nil"/>
            </w:tcBorders>
            <w:vAlign w:val="center"/>
          </w:tcPr>
          <w:p w14:paraId="14B27988">
            <w:pPr>
              <w:spacing w:line="340" w:lineRule="atLeast"/>
              <w:ind w:firstLine="0" w:firstLineChars="0"/>
              <w:jc w:val="center"/>
              <w:rPr>
                <w:rFonts w:cs="Times New Roman"/>
                <w:color w:val="auto"/>
                <w:sz w:val="21"/>
                <w:szCs w:val="21"/>
                <w:highlight w:val="none"/>
              </w:rPr>
            </w:pPr>
          </w:p>
        </w:tc>
        <w:tc>
          <w:tcPr>
            <w:tcW w:w="1892" w:type="pct"/>
            <w:gridSpan w:val="2"/>
            <w:tcBorders>
              <w:tl2br w:val="nil"/>
              <w:tr2bl w:val="nil"/>
            </w:tcBorders>
            <w:vAlign w:val="center"/>
          </w:tcPr>
          <w:p w14:paraId="054096A8">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地形数据分辨率(m)</w:t>
            </w:r>
          </w:p>
        </w:tc>
        <w:tc>
          <w:tcPr>
            <w:tcW w:w="1557" w:type="pct"/>
            <w:tcBorders>
              <w:tl2br w:val="nil"/>
              <w:tr2bl w:val="nil"/>
            </w:tcBorders>
            <w:vAlign w:val="center"/>
          </w:tcPr>
          <w:p w14:paraId="753F6F11">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90</w:t>
            </w:r>
          </w:p>
        </w:tc>
      </w:tr>
      <w:tr w14:paraId="07EC86F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1549" w:type="pct"/>
            <w:vMerge w:val="restart"/>
            <w:tcBorders>
              <w:tl2br w:val="nil"/>
              <w:tr2bl w:val="nil"/>
            </w:tcBorders>
            <w:vAlign w:val="center"/>
          </w:tcPr>
          <w:p w14:paraId="67A7070A">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是否考虑岸线熏烟</w:t>
            </w:r>
          </w:p>
        </w:tc>
        <w:tc>
          <w:tcPr>
            <w:tcW w:w="1892" w:type="pct"/>
            <w:gridSpan w:val="2"/>
            <w:tcBorders>
              <w:tl2br w:val="nil"/>
              <w:tr2bl w:val="nil"/>
            </w:tcBorders>
            <w:vAlign w:val="center"/>
          </w:tcPr>
          <w:p w14:paraId="329B4C7D">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考虑岸线熏烟</w:t>
            </w:r>
          </w:p>
        </w:tc>
        <w:tc>
          <w:tcPr>
            <w:tcW w:w="1557" w:type="pct"/>
            <w:tcBorders>
              <w:tl2br w:val="nil"/>
              <w:tr2bl w:val="nil"/>
            </w:tcBorders>
            <w:vAlign w:val="center"/>
          </w:tcPr>
          <w:p w14:paraId="4F53D654">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否</w:t>
            </w:r>
          </w:p>
        </w:tc>
      </w:tr>
      <w:tr w14:paraId="1FEA157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1549" w:type="pct"/>
            <w:vMerge w:val="continue"/>
            <w:tcBorders>
              <w:tl2br w:val="nil"/>
              <w:tr2bl w:val="nil"/>
            </w:tcBorders>
            <w:vAlign w:val="center"/>
          </w:tcPr>
          <w:p w14:paraId="290EBD31">
            <w:pPr>
              <w:spacing w:line="340" w:lineRule="atLeast"/>
              <w:ind w:firstLine="0" w:firstLineChars="0"/>
              <w:jc w:val="center"/>
              <w:rPr>
                <w:rFonts w:cs="Times New Roman"/>
                <w:color w:val="auto"/>
                <w:sz w:val="21"/>
                <w:szCs w:val="21"/>
                <w:highlight w:val="none"/>
              </w:rPr>
            </w:pPr>
          </w:p>
        </w:tc>
        <w:tc>
          <w:tcPr>
            <w:tcW w:w="1892" w:type="pct"/>
            <w:gridSpan w:val="2"/>
            <w:tcBorders>
              <w:tl2br w:val="nil"/>
              <w:tr2bl w:val="nil"/>
            </w:tcBorders>
            <w:vAlign w:val="center"/>
          </w:tcPr>
          <w:p w14:paraId="2B3FDAE0">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岸线距离/m</w:t>
            </w:r>
          </w:p>
        </w:tc>
        <w:tc>
          <w:tcPr>
            <w:tcW w:w="1557" w:type="pct"/>
            <w:tcBorders>
              <w:tl2br w:val="nil"/>
              <w:tr2bl w:val="nil"/>
            </w:tcBorders>
            <w:vAlign w:val="center"/>
          </w:tcPr>
          <w:p w14:paraId="27631D8F">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7A241CA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1549" w:type="pct"/>
            <w:vMerge w:val="continue"/>
            <w:tcBorders>
              <w:tl2br w:val="nil"/>
              <w:tr2bl w:val="nil"/>
            </w:tcBorders>
            <w:vAlign w:val="center"/>
          </w:tcPr>
          <w:p w14:paraId="3D5028CB">
            <w:pPr>
              <w:spacing w:line="340" w:lineRule="atLeast"/>
              <w:ind w:firstLine="0" w:firstLineChars="0"/>
              <w:jc w:val="center"/>
              <w:rPr>
                <w:rFonts w:cs="Times New Roman"/>
                <w:color w:val="auto"/>
                <w:sz w:val="21"/>
                <w:szCs w:val="21"/>
                <w:highlight w:val="none"/>
              </w:rPr>
            </w:pPr>
          </w:p>
        </w:tc>
        <w:tc>
          <w:tcPr>
            <w:tcW w:w="1892" w:type="pct"/>
            <w:gridSpan w:val="2"/>
            <w:tcBorders>
              <w:tl2br w:val="nil"/>
              <w:tr2bl w:val="nil"/>
            </w:tcBorders>
            <w:vAlign w:val="center"/>
          </w:tcPr>
          <w:p w14:paraId="5C5D443F">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岸线方向/°</w:t>
            </w:r>
          </w:p>
        </w:tc>
        <w:tc>
          <w:tcPr>
            <w:tcW w:w="1557" w:type="pct"/>
            <w:tcBorders>
              <w:tl2br w:val="nil"/>
              <w:tr2bl w:val="nil"/>
            </w:tcBorders>
            <w:vAlign w:val="center"/>
          </w:tcPr>
          <w:p w14:paraId="4F65356A">
            <w:pPr>
              <w:spacing w:line="340" w:lineRule="atLeast"/>
              <w:ind w:firstLine="0" w:firstLineChars="0"/>
              <w:jc w:val="center"/>
              <w:rPr>
                <w:rFonts w:cs="Times New Roman"/>
                <w:color w:val="auto"/>
                <w:sz w:val="21"/>
                <w:szCs w:val="21"/>
                <w:highlight w:val="none"/>
              </w:rPr>
            </w:pPr>
            <w:r>
              <w:rPr>
                <w:rFonts w:cs="Times New Roman"/>
                <w:color w:val="auto"/>
                <w:sz w:val="21"/>
                <w:szCs w:val="21"/>
                <w:highlight w:val="none"/>
              </w:rPr>
              <w:t>/</w:t>
            </w:r>
          </w:p>
        </w:tc>
      </w:tr>
    </w:tbl>
    <w:p w14:paraId="490E6281">
      <w:pPr>
        <w:tabs>
          <w:tab w:val="left" w:pos="420"/>
        </w:tabs>
        <w:ind w:left="0" w:leftChars="0" w:firstLine="0" w:firstLineChars="0"/>
        <w:jc w:val="both"/>
        <w:rPr>
          <w:rFonts w:cs="Times New Roman"/>
          <w:color w:val="auto"/>
          <w:highlight w:val="none"/>
        </w:rPr>
      </w:pPr>
      <w:r>
        <w:rPr>
          <w:color w:val="auto"/>
          <w:highlight w:val="none"/>
        </w:rPr>
        <w:drawing>
          <wp:anchor distT="0" distB="0" distL="114300" distR="114300" simplePos="0" relativeHeight="251714560" behindDoc="1" locked="0" layoutInCell="1" allowOverlap="1">
            <wp:simplePos x="0" y="0"/>
            <wp:positionH relativeFrom="column">
              <wp:posOffset>-52705</wp:posOffset>
            </wp:positionH>
            <wp:positionV relativeFrom="paragraph">
              <wp:posOffset>279400</wp:posOffset>
            </wp:positionV>
            <wp:extent cx="5271135" cy="4512945"/>
            <wp:effectExtent l="0" t="0" r="5715" b="1905"/>
            <wp:wrapNone/>
            <wp:docPr id="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
                    <pic:cNvPicPr>
                      <a:picLocks noChangeAspect="1"/>
                    </pic:cNvPicPr>
                  </pic:nvPicPr>
                  <pic:blipFill>
                    <a:blip r:embed="rId20"/>
                    <a:stretch>
                      <a:fillRect/>
                    </a:stretch>
                  </pic:blipFill>
                  <pic:spPr>
                    <a:xfrm>
                      <a:off x="0" y="0"/>
                      <a:ext cx="5271135" cy="4512945"/>
                    </a:xfrm>
                    <a:prstGeom prst="rect">
                      <a:avLst/>
                    </a:prstGeom>
                    <a:noFill/>
                    <a:ln>
                      <a:noFill/>
                    </a:ln>
                  </pic:spPr>
                </pic:pic>
              </a:graphicData>
            </a:graphic>
          </wp:anchor>
        </w:drawing>
      </w:r>
    </w:p>
    <w:p w14:paraId="60B2CE52">
      <w:pPr>
        <w:rPr>
          <w:rFonts w:cs="Times New Roman"/>
          <w:color w:val="auto"/>
          <w:highlight w:val="none"/>
        </w:rPr>
      </w:pPr>
    </w:p>
    <w:p w14:paraId="5CA82148">
      <w:pPr>
        <w:pStyle w:val="63"/>
        <w:rPr>
          <w:rFonts w:cs="Times New Roman"/>
          <w:color w:val="auto"/>
          <w:highlight w:val="none"/>
        </w:rPr>
      </w:pPr>
    </w:p>
    <w:p w14:paraId="1433AA72">
      <w:pPr>
        <w:rPr>
          <w:rFonts w:cs="Times New Roman"/>
          <w:color w:val="auto"/>
          <w:highlight w:val="none"/>
        </w:rPr>
      </w:pPr>
    </w:p>
    <w:p w14:paraId="371D7F6D">
      <w:pPr>
        <w:pStyle w:val="63"/>
        <w:rPr>
          <w:color w:val="auto"/>
          <w:highlight w:val="none"/>
        </w:rPr>
      </w:pPr>
    </w:p>
    <w:p w14:paraId="0C167D80">
      <w:pPr>
        <w:tabs>
          <w:tab w:val="left" w:pos="420"/>
        </w:tabs>
        <w:jc w:val="center"/>
        <w:rPr>
          <w:rFonts w:cs="Times New Roman"/>
          <w:color w:val="auto"/>
          <w:highlight w:val="none"/>
        </w:rPr>
      </w:pPr>
    </w:p>
    <w:p w14:paraId="65244B83">
      <w:pPr>
        <w:tabs>
          <w:tab w:val="left" w:pos="420"/>
        </w:tabs>
        <w:jc w:val="center"/>
        <w:rPr>
          <w:rFonts w:cs="Times New Roman"/>
          <w:color w:val="auto"/>
          <w:highlight w:val="none"/>
        </w:rPr>
      </w:pPr>
    </w:p>
    <w:p w14:paraId="394CE2E5">
      <w:pPr>
        <w:tabs>
          <w:tab w:val="left" w:pos="420"/>
        </w:tabs>
        <w:jc w:val="center"/>
        <w:rPr>
          <w:rFonts w:cs="Times New Roman"/>
          <w:color w:val="auto"/>
          <w:highlight w:val="none"/>
        </w:rPr>
      </w:pPr>
      <w:r>
        <w:rPr>
          <w:color w:val="auto"/>
          <w:sz w:val="24"/>
          <w:highlight w:val="none"/>
        </w:rPr>
        <mc:AlternateContent>
          <mc:Choice Requires="wpg">
            <w:drawing>
              <wp:anchor distT="0" distB="0" distL="114300" distR="114300" simplePos="0" relativeHeight="251692032" behindDoc="0" locked="0" layoutInCell="1" allowOverlap="1">
                <wp:simplePos x="0" y="0"/>
                <wp:positionH relativeFrom="column">
                  <wp:posOffset>1437640</wp:posOffset>
                </wp:positionH>
                <wp:positionV relativeFrom="paragraph">
                  <wp:posOffset>128905</wp:posOffset>
                </wp:positionV>
                <wp:extent cx="916305" cy="690880"/>
                <wp:effectExtent l="4445" t="4445" r="12700" b="9525"/>
                <wp:wrapNone/>
                <wp:docPr id="109" name="组合 109"/>
                <wp:cNvGraphicFramePr/>
                <a:graphic xmlns:a="http://schemas.openxmlformats.org/drawingml/2006/main">
                  <a:graphicData uri="http://schemas.microsoft.com/office/word/2010/wordprocessingGroup">
                    <wpg:wgp>
                      <wpg:cNvGrpSpPr/>
                      <wpg:grpSpPr>
                        <a:xfrm>
                          <a:off x="0" y="0"/>
                          <a:ext cx="916006" cy="691152"/>
                          <a:chOff x="9516" y="732829"/>
                          <a:chExt cx="1357" cy="997"/>
                        </a:xfrm>
                      </wpg:grpSpPr>
                      <wps:wsp>
                        <wps:cNvPr id="171" name="五角星 171"/>
                        <wps:cNvSpPr/>
                        <wps:spPr>
                          <a:xfrm>
                            <a:off x="9516" y="733413"/>
                            <a:ext cx="356" cy="413"/>
                          </a:xfrm>
                          <a:prstGeom prst="star5">
                            <a:avLst/>
                          </a:prstGeom>
                          <a:solidFill>
                            <a:srgbClr val="C0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2" name="矩形标注 172"/>
                        <wps:cNvSpPr/>
                        <wps:spPr>
                          <a:xfrm>
                            <a:off x="9815" y="732829"/>
                            <a:ext cx="1058" cy="471"/>
                          </a:xfrm>
                          <a:prstGeom prst="wedgeRectCallout">
                            <a:avLst>
                              <a:gd name="adj1" fmla="val -51579"/>
                              <a:gd name="adj2" fmla="val 93340"/>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1762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13.2pt;margin-top:10.15pt;height:54.4pt;width:72.15pt;z-index:251692032;mso-width-relative:page;mso-height-relative:page;" coordorigin="9516,732829" coordsize="1357,997" o:gfxdata="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">
                <o:lock v:ext="edit" aspectratio="f"/>
                <v:shape id="_x0000_s1026" o:spid="_x0000_s1026" style="position:absolute;left:9516;top:733413;height:413;width:356;v-text-anchor:middle;" fillcolor="#C00000" filled="t" stroked="t" coordsize="356,413" o:gfxdata="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5pgLsAAADc&#10;AAAADwAAAAAAAAABACAAAAAiAAAAZHJzL2Rvd25yZXYueG1sUEsBAhQAFAAAAAgAh07iQDMvBZ47&#10;AAAAOQAAABAAAAAAAAAAAQAgAAAACgEAAGRycy9zaGFwZXhtbC54bWxQSwUGAAAAAAYABgBbAQAA&#10;tAMAAAAA&#10;" path="m0,157l135,157,178,0,220,157,355,157,245,255,288,412,178,315,67,412,110,255xe">
                  <v:path o:connectlocs="178,0;0,157;67,412;288,412;355,157" o:connectangles="247,164,82,82,0"/>
                  <v:fill on="t" focussize="0,0"/>
                  <v:stroke weight="0.25pt" color="#000000 [3213]" joinstyle="round"/>
                  <v:imagedata o:title=""/>
                  <o:lock v:ext="edit" aspectratio="f"/>
                </v:shape>
                <v:shape id="_x0000_s1026" o:spid="_x0000_s1026" o:spt="61" type="#_x0000_t61" style="position:absolute;left:9815;top:732829;height:471;width:1058;v-text-anchor:middle;" filled="f" stroked="t" coordsize="21600,21600" o:gfxdata="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Pj7GLsAAADc&#10;AAAADwAAAAAAAAABACAAAAAiAAAAZHJzL2Rvd25yZXYueG1sUEsBAhQAFAAAAAgAh07iQDMvBZ47&#10;AAAAOQAAABAAAAAAAAAAAQAgAAAACgEAAGRycy9zaGFwZXhtbC54bWxQSwUGAAAAAAYABgBbAQAA&#10;tAMAAAAA&#10;" adj="-341,30961">
                  <v:fill on="f" focussize="0,0"/>
                  <v:stroke weight="0.25pt" color="#000000 [3213]" joinstyle="round"/>
                  <v:imagedata o:title=""/>
                  <o:lock v:ext="edit" aspectratio="f"/>
                  <v:textbox>
                    <w:txbxContent>
                      <w:p w14:paraId="7971762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本项目</w:t>
                        </w:r>
                      </w:p>
                    </w:txbxContent>
                  </v:textbox>
                </v:shape>
              </v:group>
            </w:pict>
          </mc:Fallback>
        </mc:AlternateContent>
      </w:r>
    </w:p>
    <w:p w14:paraId="65FD7703">
      <w:pPr>
        <w:tabs>
          <w:tab w:val="left" w:pos="420"/>
        </w:tabs>
        <w:jc w:val="center"/>
        <w:rPr>
          <w:rFonts w:cs="Times New Roman"/>
          <w:color w:val="auto"/>
          <w:highlight w:val="none"/>
        </w:rPr>
      </w:pPr>
    </w:p>
    <w:p w14:paraId="0B0E7CBB">
      <w:pPr>
        <w:tabs>
          <w:tab w:val="left" w:pos="420"/>
        </w:tabs>
        <w:jc w:val="center"/>
        <w:rPr>
          <w:rFonts w:cs="Times New Roman"/>
          <w:color w:val="auto"/>
          <w:highlight w:val="none"/>
        </w:rPr>
      </w:pPr>
    </w:p>
    <w:p w14:paraId="49D4F717">
      <w:pPr>
        <w:tabs>
          <w:tab w:val="left" w:pos="420"/>
        </w:tabs>
        <w:jc w:val="center"/>
        <w:rPr>
          <w:rFonts w:cs="Times New Roman"/>
          <w:color w:val="auto"/>
          <w:highlight w:val="none"/>
        </w:rPr>
      </w:pPr>
    </w:p>
    <w:p w14:paraId="3D74C97F">
      <w:pPr>
        <w:tabs>
          <w:tab w:val="left" w:pos="420"/>
        </w:tabs>
        <w:jc w:val="center"/>
        <w:rPr>
          <w:rFonts w:cs="Times New Roman"/>
          <w:color w:val="auto"/>
          <w:highlight w:val="none"/>
        </w:rPr>
      </w:pPr>
    </w:p>
    <w:p w14:paraId="572B4E26">
      <w:pPr>
        <w:tabs>
          <w:tab w:val="left" w:pos="420"/>
        </w:tabs>
        <w:jc w:val="center"/>
        <w:rPr>
          <w:rFonts w:cs="Times New Roman"/>
          <w:color w:val="auto"/>
          <w:highlight w:val="none"/>
        </w:rPr>
      </w:pPr>
    </w:p>
    <w:p w14:paraId="07FEA677">
      <w:pPr>
        <w:tabs>
          <w:tab w:val="left" w:pos="420"/>
        </w:tabs>
        <w:jc w:val="center"/>
        <w:rPr>
          <w:rFonts w:cs="Times New Roman"/>
          <w:color w:val="auto"/>
          <w:highlight w:val="none"/>
        </w:rPr>
      </w:pPr>
    </w:p>
    <w:p w14:paraId="6E052648">
      <w:pPr>
        <w:pStyle w:val="45"/>
        <w:rPr>
          <w:color w:val="auto"/>
          <w:highlight w:val="none"/>
        </w:rPr>
      </w:pPr>
    </w:p>
    <w:p w14:paraId="502A2393">
      <w:pPr>
        <w:tabs>
          <w:tab w:val="left" w:pos="420"/>
        </w:tabs>
        <w:ind w:firstLine="482"/>
        <w:jc w:val="center"/>
        <w:rPr>
          <w:rFonts w:cs="Times New Roman"/>
          <w:b/>
          <w:color w:val="auto"/>
          <w:highlight w:val="none"/>
        </w:rPr>
      </w:pPr>
    </w:p>
    <w:p w14:paraId="2AF46E9F">
      <w:pPr>
        <w:tabs>
          <w:tab w:val="left" w:pos="420"/>
        </w:tabs>
        <w:ind w:firstLine="482"/>
        <w:jc w:val="center"/>
        <w:rPr>
          <w:rFonts w:hint="eastAsia" w:eastAsia="黑体" w:cs="Times New Roman"/>
          <w:snapToGrid w:val="0"/>
          <w:color w:val="auto"/>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cs="Times New Roman"/>
          <w:b/>
          <w:color w:val="auto"/>
          <w:highlight w:val="none"/>
        </w:rPr>
        <w:t>图2-3-1  本项目所在地区地形</w:t>
      </w:r>
      <w:r>
        <w:rPr>
          <w:rFonts w:hint="eastAsia" w:cs="Times New Roman"/>
          <w:b/>
          <w:color w:val="auto"/>
          <w:highlight w:val="none"/>
          <w:lang w:val="en-US" w:eastAsia="zh-CN"/>
        </w:rPr>
        <w:t>图</w:t>
      </w:r>
    </w:p>
    <w:p w14:paraId="41D562BF">
      <w:pPr>
        <w:pStyle w:val="66"/>
        <w:spacing w:line="240" w:lineRule="auto"/>
        <w:rPr>
          <w:rFonts w:eastAsia="宋体" w:cs="Times New Roman"/>
          <w:b/>
          <w:bCs/>
          <w:snapToGrid w:val="0"/>
          <w:color w:val="auto"/>
          <w:szCs w:val="24"/>
          <w:highlight w:val="none"/>
        </w:rPr>
      </w:pPr>
      <w:r>
        <w:rPr>
          <w:rFonts w:eastAsia="宋体" w:cs="Times New Roman"/>
          <w:b/>
          <w:bCs/>
          <w:snapToGrid w:val="0"/>
          <w:color w:val="auto"/>
          <w:szCs w:val="24"/>
          <w:highlight w:val="none"/>
        </w:rPr>
        <w:t>表2-</w:t>
      </w:r>
      <w:r>
        <w:rPr>
          <w:rFonts w:eastAsia="宋体" w:cs="Times New Roman"/>
          <w:b/>
          <w:bCs/>
          <w:snapToGrid w:val="0"/>
          <w:color w:val="auto"/>
          <w:szCs w:val="24"/>
          <w:highlight w:val="none"/>
          <w:lang w:val="en-US"/>
        </w:rPr>
        <w:t>3</w:t>
      </w:r>
      <w:r>
        <w:rPr>
          <w:rFonts w:eastAsia="宋体" w:cs="Times New Roman"/>
          <w:b/>
          <w:bCs/>
          <w:snapToGrid w:val="0"/>
          <w:color w:val="auto"/>
          <w:szCs w:val="24"/>
          <w:highlight w:val="none"/>
        </w:rPr>
        <w:t>-4</w:t>
      </w:r>
      <w:r>
        <w:rPr>
          <w:rFonts w:eastAsia="宋体" w:cs="Times New Roman"/>
          <w:b/>
          <w:bCs/>
          <w:snapToGrid w:val="0"/>
          <w:color w:val="auto"/>
          <w:szCs w:val="24"/>
          <w:highlight w:val="none"/>
          <w:lang w:val="en-US"/>
        </w:rPr>
        <w:t xml:space="preserve">  </w:t>
      </w:r>
      <w:r>
        <w:rPr>
          <w:rFonts w:eastAsia="宋体" w:cs="Times New Roman"/>
          <w:b/>
          <w:bCs/>
          <w:snapToGrid w:val="0"/>
          <w:color w:val="auto"/>
          <w:szCs w:val="24"/>
          <w:highlight w:val="none"/>
        </w:rPr>
        <w:t>点源参数表</w:t>
      </w:r>
    </w:p>
    <w:tbl>
      <w:tblPr>
        <w:tblStyle w:val="47"/>
        <w:tblW w:w="482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3"/>
        <w:gridCol w:w="1700"/>
        <w:gridCol w:w="1004"/>
        <w:gridCol w:w="995"/>
        <w:gridCol w:w="1181"/>
        <w:gridCol w:w="812"/>
        <w:gridCol w:w="812"/>
        <w:gridCol w:w="1071"/>
        <w:gridCol w:w="687"/>
        <w:gridCol w:w="812"/>
        <w:gridCol w:w="946"/>
        <w:gridCol w:w="1252"/>
        <w:gridCol w:w="1258"/>
      </w:tblGrid>
      <w:tr w14:paraId="6A5FD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5" w:hRule="atLeast"/>
          <w:jc w:val="center"/>
        </w:trPr>
        <w:tc>
          <w:tcPr>
            <w:tcW w:w="178" w:type="pct"/>
            <w:vMerge w:val="restart"/>
            <w:shd w:val="clear" w:color="auto" w:fill="auto"/>
            <w:vAlign w:val="center"/>
          </w:tcPr>
          <w:p w14:paraId="5EE00307">
            <w:pPr>
              <w:pStyle w:val="73"/>
              <w:adjustRightInd w:val="0"/>
              <w:snapToGrid w:val="0"/>
              <w:rPr>
                <w:rFonts w:cs="Times New Roman"/>
                <w:snapToGrid w:val="0"/>
                <w:color w:val="auto"/>
                <w:szCs w:val="21"/>
                <w:highlight w:val="none"/>
              </w:rPr>
            </w:pPr>
            <w:r>
              <w:rPr>
                <w:rFonts w:cs="Times New Roman"/>
                <w:snapToGrid w:val="0"/>
                <w:color w:val="auto"/>
                <w:szCs w:val="21"/>
                <w:highlight w:val="none"/>
              </w:rPr>
              <w:t>编号</w:t>
            </w:r>
          </w:p>
        </w:tc>
        <w:tc>
          <w:tcPr>
            <w:tcW w:w="654" w:type="pct"/>
            <w:vMerge w:val="restart"/>
            <w:shd w:val="clear" w:color="auto" w:fill="auto"/>
            <w:vAlign w:val="center"/>
          </w:tcPr>
          <w:p w14:paraId="4FC201D9">
            <w:pPr>
              <w:pStyle w:val="73"/>
              <w:adjustRightInd w:val="0"/>
              <w:snapToGrid w:val="0"/>
              <w:rPr>
                <w:rFonts w:cs="Times New Roman"/>
                <w:snapToGrid w:val="0"/>
                <w:color w:val="auto"/>
                <w:szCs w:val="21"/>
                <w:highlight w:val="none"/>
              </w:rPr>
            </w:pPr>
            <w:r>
              <w:rPr>
                <w:rFonts w:cs="Times New Roman"/>
                <w:snapToGrid w:val="0"/>
                <w:color w:val="auto"/>
                <w:szCs w:val="21"/>
                <w:highlight w:val="none"/>
              </w:rPr>
              <w:t>名称</w:t>
            </w:r>
          </w:p>
        </w:tc>
        <w:tc>
          <w:tcPr>
            <w:tcW w:w="769" w:type="pct"/>
            <w:gridSpan w:val="2"/>
            <w:shd w:val="clear" w:color="auto" w:fill="auto"/>
            <w:vAlign w:val="center"/>
          </w:tcPr>
          <w:p w14:paraId="082D1A50">
            <w:pPr>
              <w:pStyle w:val="73"/>
              <w:adjustRightInd w:val="0"/>
              <w:snapToGrid w:val="0"/>
              <w:rPr>
                <w:rFonts w:cs="Times New Roman"/>
                <w:snapToGrid w:val="0"/>
                <w:color w:val="auto"/>
                <w:szCs w:val="21"/>
                <w:highlight w:val="none"/>
              </w:rPr>
            </w:pPr>
            <w:r>
              <w:rPr>
                <w:rFonts w:cs="Times New Roman"/>
                <w:snapToGrid w:val="0"/>
                <w:color w:val="auto"/>
                <w:szCs w:val="21"/>
                <w:highlight w:val="none"/>
              </w:rPr>
              <w:t>排气筒底部中心坐标</w:t>
            </w:r>
          </w:p>
        </w:tc>
        <w:tc>
          <w:tcPr>
            <w:tcW w:w="454" w:type="pct"/>
            <w:vMerge w:val="restart"/>
            <w:shd w:val="clear" w:color="auto" w:fill="auto"/>
            <w:vAlign w:val="center"/>
          </w:tcPr>
          <w:p w14:paraId="2364BD6B">
            <w:pPr>
              <w:pStyle w:val="73"/>
              <w:adjustRightInd w:val="0"/>
              <w:snapToGrid w:val="0"/>
              <w:rPr>
                <w:rFonts w:cs="Times New Roman"/>
                <w:snapToGrid w:val="0"/>
                <w:color w:val="auto"/>
                <w:szCs w:val="21"/>
                <w:highlight w:val="none"/>
              </w:rPr>
            </w:pPr>
            <w:r>
              <w:rPr>
                <w:rFonts w:cs="Times New Roman"/>
                <w:snapToGrid w:val="0"/>
                <w:color w:val="auto"/>
                <w:szCs w:val="21"/>
                <w:highlight w:val="none"/>
              </w:rPr>
              <w:t>排气筒底部海拔高度/m</w:t>
            </w:r>
          </w:p>
        </w:tc>
        <w:tc>
          <w:tcPr>
            <w:tcW w:w="312" w:type="pct"/>
            <w:vMerge w:val="restart"/>
            <w:vAlign w:val="center"/>
          </w:tcPr>
          <w:p w14:paraId="0686A175">
            <w:pPr>
              <w:pStyle w:val="73"/>
              <w:adjustRightInd w:val="0"/>
              <w:snapToGrid w:val="0"/>
              <w:rPr>
                <w:rFonts w:cs="Times New Roman"/>
                <w:snapToGrid w:val="0"/>
                <w:color w:val="auto"/>
                <w:szCs w:val="21"/>
                <w:highlight w:val="none"/>
              </w:rPr>
            </w:pPr>
            <w:r>
              <w:rPr>
                <w:rFonts w:cs="Times New Roman"/>
                <w:snapToGrid w:val="0"/>
                <w:color w:val="auto"/>
                <w:szCs w:val="21"/>
                <w:highlight w:val="none"/>
              </w:rPr>
              <w:t>排气筒高度/m</w:t>
            </w:r>
          </w:p>
        </w:tc>
        <w:tc>
          <w:tcPr>
            <w:tcW w:w="312" w:type="pct"/>
            <w:vMerge w:val="restart"/>
            <w:shd w:val="clear" w:color="auto" w:fill="auto"/>
            <w:vAlign w:val="center"/>
          </w:tcPr>
          <w:p w14:paraId="3C216FD9">
            <w:pPr>
              <w:pStyle w:val="73"/>
              <w:adjustRightInd w:val="0"/>
              <w:snapToGrid w:val="0"/>
              <w:rPr>
                <w:rFonts w:cs="Times New Roman"/>
                <w:snapToGrid w:val="0"/>
                <w:color w:val="auto"/>
                <w:szCs w:val="21"/>
                <w:highlight w:val="none"/>
              </w:rPr>
            </w:pPr>
            <w:r>
              <w:rPr>
                <w:rFonts w:cs="Times New Roman"/>
                <w:snapToGrid w:val="0"/>
                <w:color w:val="auto"/>
                <w:szCs w:val="21"/>
                <w:highlight w:val="none"/>
              </w:rPr>
              <w:t>排气筒出口内径/m</w:t>
            </w:r>
          </w:p>
        </w:tc>
        <w:tc>
          <w:tcPr>
            <w:tcW w:w="412" w:type="pct"/>
            <w:vMerge w:val="restart"/>
            <w:shd w:val="clear" w:color="auto" w:fill="auto"/>
            <w:vAlign w:val="center"/>
          </w:tcPr>
          <w:p w14:paraId="45B30A00">
            <w:pPr>
              <w:pStyle w:val="73"/>
              <w:adjustRightInd w:val="0"/>
              <w:snapToGrid w:val="0"/>
              <w:rPr>
                <w:rFonts w:cs="Times New Roman"/>
                <w:snapToGrid w:val="0"/>
                <w:color w:val="auto"/>
                <w:szCs w:val="21"/>
                <w:highlight w:val="none"/>
              </w:rPr>
            </w:pPr>
            <w:r>
              <w:rPr>
                <w:rFonts w:cs="Times New Roman"/>
                <w:snapToGrid w:val="0"/>
                <w:color w:val="auto"/>
                <w:szCs w:val="21"/>
                <w:highlight w:val="none"/>
              </w:rPr>
              <w:t>烟气流速/（m/s）</w:t>
            </w:r>
          </w:p>
        </w:tc>
        <w:tc>
          <w:tcPr>
            <w:tcW w:w="264" w:type="pct"/>
            <w:vMerge w:val="restart"/>
            <w:shd w:val="clear" w:color="auto" w:fill="auto"/>
            <w:vAlign w:val="center"/>
          </w:tcPr>
          <w:p w14:paraId="0DF13F5C">
            <w:pPr>
              <w:pStyle w:val="73"/>
              <w:adjustRightInd w:val="0"/>
              <w:snapToGrid w:val="0"/>
              <w:rPr>
                <w:rFonts w:cs="Times New Roman"/>
                <w:snapToGrid w:val="0"/>
                <w:color w:val="auto"/>
                <w:szCs w:val="21"/>
                <w:highlight w:val="none"/>
              </w:rPr>
            </w:pPr>
            <w:r>
              <w:rPr>
                <w:rFonts w:cs="Times New Roman"/>
                <w:snapToGrid w:val="0"/>
                <w:color w:val="auto"/>
                <w:szCs w:val="21"/>
                <w:highlight w:val="none"/>
              </w:rPr>
              <w:t>烟气温度/℃</w:t>
            </w:r>
          </w:p>
        </w:tc>
        <w:tc>
          <w:tcPr>
            <w:tcW w:w="312" w:type="pct"/>
            <w:vMerge w:val="restart"/>
            <w:shd w:val="clear" w:color="auto" w:fill="auto"/>
            <w:vAlign w:val="center"/>
          </w:tcPr>
          <w:p w14:paraId="53DA1ADF">
            <w:pPr>
              <w:pStyle w:val="73"/>
              <w:adjustRightInd w:val="0"/>
              <w:snapToGrid w:val="0"/>
              <w:rPr>
                <w:rFonts w:cs="Times New Roman"/>
                <w:snapToGrid w:val="0"/>
                <w:color w:val="auto"/>
                <w:szCs w:val="21"/>
                <w:highlight w:val="none"/>
              </w:rPr>
            </w:pPr>
            <w:r>
              <w:rPr>
                <w:rFonts w:cs="Times New Roman"/>
                <w:snapToGrid w:val="0"/>
                <w:color w:val="auto"/>
                <w:szCs w:val="21"/>
                <w:highlight w:val="none"/>
              </w:rPr>
              <w:t>年排放小时数/h</w:t>
            </w:r>
          </w:p>
        </w:tc>
        <w:tc>
          <w:tcPr>
            <w:tcW w:w="364" w:type="pct"/>
            <w:vMerge w:val="restart"/>
            <w:shd w:val="clear" w:color="auto" w:fill="auto"/>
            <w:vAlign w:val="center"/>
          </w:tcPr>
          <w:p w14:paraId="04B0D176">
            <w:pPr>
              <w:pStyle w:val="73"/>
              <w:adjustRightInd w:val="0"/>
              <w:snapToGrid w:val="0"/>
              <w:rPr>
                <w:rFonts w:cs="Times New Roman"/>
                <w:snapToGrid w:val="0"/>
                <w:color w:val="auto"/>
                <w:szCs w:val="21"/>
                <w:highlight w:val="none"/>
              </w:rPr>
            </w:pPr>
            <w:r>
              <w:rPr>
                <w:rFonts w:cs="Times New Roman"/>
                <w:snapToGrid w:val="0"/>
                <w:color w:val="auto"/>
                <w:szCs w:val="21"/>
                <w:highlight w:val="none"/>
              </w:rPr>
              <w:t>排放工况</w:t>
            </w:r>
          </w:p>
        </w:tc>
        <w:tc>
          <w:tcPr>
            <w:tcW w:w="965" w:type="pct"/>
            <w:gridSpan w:val="2"/>
            <w:vMerge w:val="restart"/>
            <w:shd w:val="clear" w:color="auto" w:fill="auto"/>
            <w:vAlign w:val="center"/>
          </w:tcPr>
          <w:p w14:paraId="3837B154">
            <w:pPr>
              <w:pStyle w:val="73"/>
              <w:adjustRightInd w:val="0"/>
              <w:snapToGrid w:val="0"/>
              <w:rPr>
                <w:rFonts w:cs="Times New Roman"/>
                <w:snapToGrid w:val="0"/>
                <w:color w:val="auto"/>
                <w:szCs w:val="21"/>
                <w:highlight w:val="none"/>
              </w:rPr>
            </w:pPr>
            <w:r>
              <w:rPr>
                <w:rFonts w:cs="Times New Roman"/>
                <w:snapToGrid w:val="0"/>
                <w:color w:val="auto"/>
                <w:szCs w:val="21"/>
                <w:highlight w:val="none"/>
              </w:rPr>
              <w:t>污染物排放速率/（kg/h）</w:t>
            </w:r>
          </w:p>
        </w:tc>
      </w:tr>
      <w:tr w14:paraId="553192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178" w:type="pct"/>
            <w:vMerge w:val="continue"/>
            <w:shd w:val="clear" w:color="auto" w:fill="auto"/>
            <w:vAlign w:val="center"/>
          </w:tcPr>
          <w:p w14:paraId="6E2EED5C">
            <w:pPr>
              <w:pStyle w:val="73"/>
              <w:adjustRightInd w:val="0"/>
              <w:snapToGrid w:val="0"/>
              <w:rPr>
                <w:rFonts w:cs="Times New Roman"/>
                <w:snapToGrid w:val="0"/>
                <w:color w:val="auto"/>
                <w:szCs w:val="21"/>
                <w:highlight w:val="none"/>
              </w:rPr>
            </w:pPr>
          </w:p>
        </w:tc>
        <w:tc>
          <w:tcPr>
            <w:tcW w:w="654" w:type="pct"/>
            <w:vMerge w:val="continue"/>
            <w:shd w:val="clear" w:color="auto" w:fill="auto"/>
            <w:vAlign w:val="center"/>
          </w:tcPr>
          <w:p w14:paraId="1D223187">
            <w:pPr>
              <w:pStyle w:val="73"/>
              <w:adjustRightInd w:val="0"/>
              <w:snapToGrid w:val="0"/>
              <w:rPr>
                <w:rFonts w:cs="Times New Roman"/>
                <w:snapToGrid w:val="0"/>
                <w:color w:val="auto"/>
                <w:szCs w:val="21"/>
                <w:highlight w:val="none"/>
              </w:rPr>
            </w:pPr>
          </w:p>
        </w:tc>
        <w:tc>
          <w:tcPr>
            <w:tcW w:w="386" w:type="pct"/>
            <w:shd w:val="clear" w:color="auto" w:fill="auto"/>
            <w:vAlign w:val="center"/>
          </w:tcPr>
          <w:p w14:paraId="460F4405">
            <w:pPr>
              <w:pStyle w:val="73"/>
              <w:adjustRightInd w:val="0"/>
              <w:snapToGrid w:val="0"/>
              <w:rPr>
                <w:rFonts w:cs="Times New Roman"/>
                <w:snapToGrid w:val="0"/>
                <w:color w:val="auto"/>
                <w:szCs w:val="21"/>
                <w:highlight w:val="none"/>
              </w:rPr>
            </w:pPr>
            <w:r>
              <w:rPr>
                <w:rFonts w:cs="Times New Roman"/>
                <w:snapToGrid w:val="0"/>
                <w:color w:val="auto"/>
                <w:szCs w:val="21"/>
                <w:highlight w:val="none"/>
                <w:lang w:val="en-US"/>
              </w:rPr>
              <w:t>X</w:t>
            </w:r>
          </w:p>
        </w:tc>
        <w:tc>
          <w:tcPr>
            <w:tcW w:w="382" w:type="pct"/>
            <w:shd w:val="clear" w:color="auto" w:fill="auto"/>
            <w:vAlign w:val="center"/>
          </w:tcPr>
          <w:p w14:paraId="549F92EA">
            <w:pPr>
              <w:pStyle w:val="73"/>
              <w:adjustRightInd w:val="0"/>
              <w:snapToGrid w:val="0"/>
              <w:rPr>
                <w:rFonts w:cs="Times New Roman"/>
                <w:snapToGrid w:val="0"/>
                <w:color w:val="auto"/>
                <w:szCs w:val="21"/>
                <w:highlight w:val="none"/>
              </w:rPr>
            </w:pPr>
            <w:r>
              <w:rPr>
                <w:rFonts w:cs="Times New Roman"/>
                <w:snapToGrid w:val="0"/>
                <w:color w:val="auto"/>
                <w:szCs w:val="21"/>
                <w:highlight w:val="none"/>
                <w:lang w:val="en-US"/>
              </w:rPr>
              <w:t>Y</w:t>
            </w:r>
          </w:p>
        </w:tc>
        <w:tc>
          <w:tcPr>
            <w:tcW w:w="454" w:type="pct"/>
            <w:vMerge w:val="continue"/>
            <w:shd w:val="clear" w:color="auto" w:fill="auto"/>
            <w:vAlign w:val="center"/>
          </w:tcPr>
          <w:p w14:paraId="7A1B3A08">
            <w:pPr>
              <w:pStyle w:val="73"/>
              <w:adjustRightInd w:val="0"/>
              <w:snapToGrid w:val="0"/>
              <w:rPr>
                <w:rFonts w:cs="Times New Roman"/>
                <w:snapToGrid w:val="0"/>
                <w:color w:val="auto"/>
                <w:szCs w:val="21"/>
                <w:highlight w:val="none"/>
              </w:rPr>
            </w:pPr>
          </w:p>
        </w:tc>
        <w:tc>
          <w:tcPr>
            <w:tcW w:w="312" w:type="pct"/>
            <w:vMerge w:val="continue"/>
            <w:vAlign w:val="center"/>
          </w:tcPr>
          <w:p w14:paraId="4D3FF105">
            <w:pPr>
              <w:pStyle w:val="73"/>
              <w:adjustRightInd w:val="0"/>
              <w:snapToGrid w:val="0"/>
              <w:rPr>
                <w:rFonts w:cs="Times New Roman"/>
                <w:snapToGrid w:val="0"/>
                <w:color w:val="auto"/>
                <w:szCs w:val="21"/>
                <w:highlight w:val="none"/>
              </w:rPr>
            </w:pPr>
          </w:p>
        </w:tc>
        <w:tc>
          <w:tcPr>
            <w:tcW w:w="312" w:type="pct"/>
            <w:vMerge w:val="continue"/>
            <w:shd w:val="clear" w:color="auto" w:fill="auto"/>
            <w:vAlign w:val="center"/>
          </w:tcPr>
          <w:p w14:paraId="7F388FCE">
            <w:pPr>
              <w:pStyle w:val="73"/>
              <w:adjustRightInd w:val="0"/>
              <w:snapToGrid w:val="0"/>
              <w:rPr>
                <w:rFonts w:cs="Times New Roman"/>
                <w:snapToGrid w:val="0"/>
                <w:color w:val="auto"/>
                <w:szCs w:val="21"/>
                <w:highlight w:val="none"/>
              </w:rPr>
            </w:pPr>
          </w:p>
        </w:tc>
        <w:tc>
          <w:tcPr>
            <w:tcW w:w="412" w:type="pct"/>
            <w:vMerge w:val="continue"/>
            <w:shd w:val="clear" w:color="auto" w:fill="auto"/>
            <w:vAlign w:val="center"/>
          </w:tcPr>
          <w:p w14:paraId="474602E6">
            <w:pPr>
              <w:pStyle w:val="73"/>
              <w:adjustRightInd w:val="0"/>
              <w:snapToGrid w:val="0"/>
              <w:rPr>
                <w:rFonts w:cs="Times New Roman"/>
                <w:snapToGrid w:val="0"/>
                <w:color w:val="auto"/>
                <w:szCs w:val="21"/>
                <w:highlight w:val="none"/>
              </w:rPr>
            </w:pPr>
          </w:p>
        </w:tc>
        <w:tc>
          <w:tcPr>
            <w:tcW w:w="264" w:type="pct"/>
            <w:vMerge w:val="continue"/>
            <w:shd w:val="clear" w:color="auto" w:fill="auto"/>
            <w:vAlign w:val="center"/>
          </w:tcPr>
          <w:p w14:paraId="2087CA38">
            <w:pPr>
              <w:pStyle w:val="73"/>
              <w:adjustRightInd w:val="0"/>
              <w:snapToGrid w:val="0"/>
              <w:rPr>
                <w:rFonts w:cs="Times New Roman"/>
                <w:snapToGrid w:val="0"/>
                <w:color w:val="auto"/>
                <w:szCs w:val="21"/>
                <w:highlight w:val="none"/>
              </w:rPr>
            </w:pPr>
          </w:p>
        </w:tc>
        <w:tc>
          <w:tcPr>
            <w:tcW w:w="312" w:type="pct"/>
            <w:vMerge w:val="continue"/>
            <w:shd w:val="clear" w:color="auto" w:fill="auto"/>
            <w:vAlign w:val="center"/>
          </w:tcPr>
          <w:p w14:paraId="57508D3E">
            <w:pPr>
              <w:pStyle w:val="73"/>
              <w:adjustRightInd w:val="0"/>
              <w:snapToGrid w:val="0"/>
              <w:rPr>
                <w:rFonts w:cs="Times New Roman"/>
                <w:snapToGrid w:val="0"/>
                <w:color w:val="auto"/>
                <w:szCs w:val="21"/>
                <w:highlight w:val="none"/>
              </w:rPr>
            </w:pPr>
          </w:p>
        </w:tc>
        <w:tc>
          <w:tcPr>
            <w:tcW w:w="364" w:type="pct"/>
            <w:vMerge w:val="continue"/>
            <w:shd w:val="clear" w:color="auto" w:fill="auto"/>
            <w:vAlign w:val="center"/>
          </w:tcPr>
          <w:p w14:paraId="74B0528D">
            <w:pPr>
              <w:pStyle w:val="73"/>
              <w:adjustRightInd w:val="0"/>
              <w:snapToGrid w:val="0"/>
              <w:rPr>
                <w:rFonts w:cs="Times New Roman"/>
                <w:snapToGrid w:val="0"/>
                <w:color w:val="auto"/>
                <w:szCs w:val="21"/>
                <w:highlight w:val="none"/>
              </w:rPr>
            </w:pPr>
          </w:p>
        </w:tc>
        <w:tc>
          <w:tcPr>
            <w:tcW w:w="965" w:type="pct"/>
            <w:gridSpan w:val="2"/>
            <w:vMerge w:val="continue"/>
            <w:shd w:val="clear" w:color="auto" w:fill="auto"/>
            <w:vAlign w:val="center"/>
          </w:tcPr>
          <w:p w14:paraId="4DBFEA68">
            <w:pPr>
              <w:pStyle w:val="73"/>
              <w:adjustRightInd w:val="0"/>
              <w:snapToGrid w:val="0"/>
              <w:rPr>
                <w:rFonts w:cs="Times New Roman"/>
                <w:snapToGrid w:val="0"/>
                <w:color w:val="auto"/>
                <w:szCs w:val="21"/>
                <w:highlight w:val="none"/>
              </w:rPr>
            </w:pPr>
          </w:p>
        </w:tc>
      </w:tr>
      <w:tr w14:paraId="310039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78" w:type="pct"/>
            <w:vMerge w:val="restart"/>
            <w:shd w:val="clear" w:color="auto" w:fill="auto"/>
            <w:vAlign w:val="center"/>
          </w:tcPr>
          <w:p w14:paraId="6F044CC9">
            <w:pPr>
              <w:pStyle w:val="73"/>
              <w:adjustRightInd w:val="0"/>
              <w:snapToGrid w:val="0"/>
              <w:rPr>
                <w:rFonts w:cs="Times New Roman"/>
                <w:snapToGrid w:val="0"/>
                <w:color w:val="auto"/>
                <w:szCs w:val="21"/>
                <w:highlight w:val="none"/>
              </w:rPr>
            </w:pPr>
            <w:r>
              <w:rPr>
                <w:rFonts w:cs="Times New Roman"/>
                <w:snapToGrid w:val="0"/>
                <w:color w:val="auto"/>
                <w:szCs w:val="21"/>
                <w:highlight w:val="none"/>
              </w:rPr>
              <w:t>1</w:t>
            </w:r>
          </w:p>
        </w:tc>
        <w:tc>
          <w:tcPr>
            <w:tcW w:w="654" w:type="pct"/>
            <w:vMerge w:val="restart"/>
            <w:shd w:val="clear" w:color="auto" w:fill="auto"/>
            <w:vAlign w:val="center"/>
          </w:tcPr>
          <w:p w14:paraId="7FDC7112">
            <w:pPr>
              <w:pStyle w:val="73"/>
              <w:adjustRightInd w:val="0"/>
              <w:snapToGrid w:val="0"/>
              <w:rPr>
                <w:rFonts w:cs="Times New Roman"/>
                <w:snapToGrid w:val="0"/>
                <w:color w:val="auto"/>
                <w:szCs w:val="21"/>
                <w:highlight w:val="none"/>
              </w:rPr>
            </w:pPr>
            <w:r>
              <w:rPr>
                <w:rFonts w:cs="Times New Roman"/>
                <w:color w:val="auto"/>
                <w:sz w:val="21"/>
                <w:szCs w:val="21"/>
                <w:highlight w:val="none"/>
              </w:rPr>
              <w:t>屠宰车间、</w:t>
            </w:r>
            <w:r>
              <w:rPr>
                <w:rFonts w:hint="eastAsia" w:cs="Times New Roman"/>
                <w:color w:val="auto"/>
                <w:sz w:val="21"/>
                <w:szCs w:val="21"/>
                <w:highlight w:val="none"/>
                <w:lang w:val="en-US" w:eastAsia="zh-CN"/>
              </w:rPr>
              <w:t>急宰间、隔离间及固体废物暂存间</w:t>
            </w:r>
            <w:r>
              <w:rPr>
                <w:rFonts w:cs="Times New Roman"/>
                <w:snapToGrid w:val="0"/>
                <w:color w:val="auto"/>
                <w:szCs w:val="21"/>
                <w:highlight w:val="none"/>
              </w:rPr>
              <w:t>排气筒</w:t>
            </w:r>
            <w:r>
              <w:rPr>
                <w:rFonts w:cs="Times New Roman"/>
                <w:snapToGrid w:val="0"/>
                <w:color w:val="auto"/>
                <w:szCs w:val="21"/>
                <w:highlight w:val="none"/>
                <w:lang w:val="en-US"/>
              </w:rPr>
              <w:t>DA001</w:t>
            </w:r>
          </w:p>
        </w:tc>
        <w:tc>
          <w:tcPr>
            <w:tcW w:w="386" w:type="pct"/>
            <w:vMerge w:val="restart"/>
            <w:shd w:val="clear" w:color="auto" w:fill="auto"/>
            <w:vAlign w:val="center"/>
          </w:tcPr>
          <w:p w14:paraId="3A0F100B">
            <w:pPr>
              <w:spacing w:line="360" w:lineRule="exact"/>
              <w:ind w:firstLine="0" w:firstLineChars="0"/>
              <w:jc w:val="center"/>
              <w:rPr>
                <w:rFonts w:cs="Times New Roman"/>
                <w:snapToGrid w:val="0"/>
                <w:color w:val="auto"/>
                <w:sz w:val="21"/>
                <w:szCs w:val="21"/>
                <w:highlight w:val="none"/>
              </w:rPr>
            </w:pPr>
            <w:r>
              <w:rPr>
                <w:rFonts w:cs="Times New Roman"/>
                <w:snapToGrid w:val="0"/>
                <w:color w:val="auto"/>
                <w:sz w:val="21"/>
                <w:szCs w:val="21"/>
                <w:highlight w:val="none"/>
              </w:rPr>
              <w:t>15</w:t>
            </w:r>
          </w:p>
        </w:tc>
        <w:tc>
          <w:tcPr>
            <w:tcW w:w="382" w:type="pct"/>
            <w:vMerge w:val="restart"/>
            <w:shd w:val="clear" w:color="auto" w:fill="auto"/>
            <w:vAlign w:val="center"/>
          </w:tcPr>
          <w:p w14:paraId="1FC1DEDE">
            <w:pPr>
              <w:spacing w:line="360" w:lineRule="exact"/>
              <w:ind w:firstLine="0" w:firstLineChars="0"/>
              <w:jc w:val="center"/>
              <w:rPr>
                <w:rFonts w:cs="Times New Roman"/>
                <w:snapToGrid w:val="0"/>
                <w:color w:val="auto"/>
                <w:sz w:val="21"/>
                <w:szCs w:val="21"/>
                <w:highlight w:val="none"/>
              </w:rPr>
            </w:pPr>
            <w:r>
              <w:rPr>
                <w:rFonts w:cs="Times New Roman"/>
                <w:snapToGrid w:val="0"/>
                <w:color w:val="auto"/>
                <w:sz w:val="21"/>
                <w:szCs w:val="21"/>
                <w:highlight w:val="none"/>
              </w:rPr>
              <w:t>75</w:t>
            </w:r>
          </w:p>
        </w:tc>
        <w:tc>
          <w:tcPr>
            <w:tcW w:w="454" w:type="pct"/>
            <w:vMerge w:val="restart"/>
            <w:shd w:val="clear" w:color="auto" w:fill="auto"/>
            <w:vAlign w:val="center"/>
          </w:tcPr>
          <w:p w14:paraId="0DD73C75">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62</w:t>
            </w:r>
          </w:p>
        </w:tc>
        <w:tc>
          <w:tcPr>
            <w:tcW w:w="312" w:type="pct"/>
            <w:vMerge w:val="restart"/>
            <w:vAlign w:val="center"/>
          </w:tcPr>
          <w:p w14:paraId="48CEE5C3">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15.00</w:t>
            </w:r>
          </w:p>
        </w:tc>
        <w:tc>
          <w:tcPr>
            <w:tcW w:w="312" w:type="pct"/>
            <w:vMerge w:val="restart"/>
            <w:shd w:val="clear" w:color="auto" w:fill="auto"/>
            <w:vAlign w:val="center"/>
          </w:tcPr>
          <w:p w14:paraId="7A773849">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0.</w:t>
            </w:r>
            <w:r>
              <w:rPr>
                <w:rFonts w:hint="eastAsia" w:cs="Times New Roman"/>
                <w:color w:val="auto"/>
                <w:sz w:val="21"/>
                <w:szCs w:val="21"/>
                <w:highlight w:val="none"/>
                <w:lang w:val="en-US" w:eastAsia="zh-CN"/>
              </w:rPr>
              <w:t>3</w:t>
            </w:r>
            <w:r>
              <w:rPr>
                <w:rFonts w:cs="Times New Roman"/>
                <w:color w:val="auto"/>
                <w:sz w:val="21"/>
                <w:szCs w:val="21"/>
                <w:highlight w:val="none"/>
              </w:rPr>
              <w:t>0</w:t>
            </w:r>
          </w:p>
        </w:tc>
        <w:tc>
          <w:tcPr>
            <w:tcW w:w="412" w:type="pct"/>
            <w:vMerge w:val="restart"/>
            <w:shd w:val="clear" w:color="auto" w:fill="auto"/>
            <w:vAlign w:val="center"/>
          </w:tcPr>
          <w:p w14:paraId="12263450">
            <w:pPr>
              <w:spacing w:line="360" w:lineRule="exact"/>
              <w:ind w:firstLine="0" w:firstLineChars="0"/>
              <w:jc w:val="center"/>
              <w:rPr>
                <w:rFonts w:hint="default" w:eastAsia="宋体" w:cs="Times New Roman"/>
                <w:snapToGrid w:val="0"/>
                <w:color w:val="auto"/>
                <w:sz w:val="21"/>
                <w:szCs w:val="21"/>
                <w:highlight w:val="none"/>
                <w:lang w:val="en-US" w:eastAsia="zh-CN"/>
              </w:rPr>
            </w:pPr>
            <w:r>
              <w:rPr>
                <w:rFonts w:hint="eastAsia" w:cs="Times New Roman"/>
                <w:color w:val="auto"/>
                <w:sz w:val="21"/>
                <w:szCs w:val="21"/>
                <w:highlight w:val="none"/>
                <w:lang w:val="en-US" w:eastAsia="zh-CN"/>
              </w:rPr>
              <w:t>15.72</w:t>
            </w:r>
          </w:p>
        </w:tc>
        <w:tc>
          <w:tcPr>
            <w:tcW w:w="264" w:type="pct"/>
            <w:vMerge w:val="restart"/>
            <w:shd w:val="clear" w:color="auto" w:fill="auto"/>
            <w:vAlign w:val="center"/>
          </w:tcPr>
          <w:p w14:paraId="1180F437">
            <w:pPr>
              <w:pStyle w:val="73"/>
              <w:adjustRightInd w:val="0"/>
              <w:snapToGrid w:val="0"/>
              <w:rPr>
                <w:rFonts w:cs="Times New Roman"/>
                <w:snapToGrid w:val="0"/>
                <w:color w:val="auto"/>
                <w:szCs w:val="21"/>
                <w:highlight w:val="none"/>
                <w:lang w:val="en-US"/>
              </w:rPr>
            </w:pPr>
            <w:r>
              <w:rPr>
                <w:rFonts w:cs="Times New Roman"/>
                <w:snapToGrid w:val="0"/>
                <w:color w:val="auto"/>
                <w:szCs w:val="21"/>
                <w:highlight w:val="none"/>
              </w:rPr>
              <w:t>2</w:t>
            </w:r>
            <w:r>
              <w:rPr>
                <w:rFonts w:cs="Times New Roman"/>
                <w:snapToGrid w:val="0"/>
                <w:color w:val="auto"/>
                <w:szCs w:val="21"/>
                <w:highlight w:val="none"/>
                <w:lang w:val="en-US"/>
              </w:rPr>
              <w:t>0</w:t>
            </w:r>
          </w:p>
        </w:tc>
        <w:tc>
          <w:tcPr>
            <w:tcW w:w="312" w:type="pct"/>
            <w:vMerge w:val="restart"/>
            <w:shd w:val="clear" w:color="auto" w:fill="auto"/>
            <w:vAlign w:val="center"/>
          </w:tcPr>
          <w:p w14:paraId="302D27EC">
            <w:pPr>
              <w:pStyle w:val="73"/>
              <w:adjustRightInd w:val="0"/>
              <w:snapToGrid w:val="0"/>
              <w:rPr>
                <w:rFonts w:hint="default"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7200</w:t>
            </w:r>
          </w:p>
        </w:tc>
        <w:tc>
          <w:tcPr>
            <w:tcW w:w="364" w:type="pct"/>
            <w:vMerge w:val="restart"/>
            <w:shd w:val="clear" w:color="auto" w:fill="auto"/>
            <w:vAlign w:val="center"/>
          </w:tcPr>
          <w:p w14:paraId="4FD260A0">
            <w:pPr>
              <w:pStyle w:val="73"/>
              <w:adjustRightInd w:val="0"/>
              <w:snapToGrid w:val="0"/>
              <w:rPr>
                <w:rFonts w:cs="Times New Roman"/>
                <w:snapToGrid w:val="0"/>
                <w:color w:val="auto"/>
                <w:szCs w:val="21"/>
                <w:highlight w:val="none"/>
              </w:rPr>
            </w:pPr>
            <w:r>
              <w:rPr>
                <w:rFonts w:cs="Times New Roman"/>
                <w:snapToGrid w:val="0"/>
                <w:color w:val="auto"/>
                <w:szCs w:val="21"/>
                <w:highlight w:val="none"/>
              </w:rPr>
              <w:t>正常</w:t>
            </w:r>
          </w:p>
        </w:tc>
        <w:tc>
          <w:tcPr>
            <w:tcW w:w="481" w:type="pct"/>
            <w:shd w:val="clear" w:color="auto" w:fill="auto"/>
            <w:vAlign w:val="center"/>
          </w:tcPr>
          <w:p w14:paraId="543FF100">
            <w:pPr>
              <w:pStyle w:val="73"/>
              <w:adjustRightInd w:val="0"/>
              <w:snapToGrid w:val="0"/>
              <w:rPr>
                <w:rFonts w:cs="Times New Roman"/>
                <w:snapToGrid w:val="0"/>
                <w:color w:val="auto"/>
                <w:szCs w:val="21"/>
                <w:highlight w:val="none"/>
              </w:rPr>
            </w:pPr>
            <w:r>
              <w:rPr>
                <w:rFonts w:cs="Times New Roman"/>
                <w:snapToGrid w:val="0"/>
                <w:color w:val="auto"/>
                <w:szCs w:val="21"/>
                <w:highlight w:val="none"/>
              </w:rPr>
              <w:t>NH</w:t>
            </w:r>
            <w:r>
              <w:rPr>
                <w:rFonts w:cs="Times New Roman"/>
                <w:snapToGrid w:val="0"/>
                <w:color w:val="auto"/>
                <w:szCs w:val="21"/>
                <w:highlight w:val="none"/>
                <w:vertAlign w:val="subscript"/>
              </w:rPr>
              <w:t>3</w:t>
            </w:r>
          </w:p>
        </w:tc>
        <w:tc>
          <w:tcPr>
            <w:tcW w:w="484" w:type="pct"/>
            <w:shd w:val="clear" w:color="auto" w:fill="auto"/>
            <w:vAlign w:val="center"/>
          </w:tcPr>
          <w:p w14:paraId="6A6F76E2">
            <w:pPr>
              <w:spacing w:line="360" w:lineRule="exact"/>
              <w:ind w:firstLine="0" w:firstLineChars="0"/>
              <w:jc w:val="center"/>
              <w:rPr>
                <w:rFonts w:hint="eastAsia" w:eastAsia="宋体" w:cs="Times New Roman"/>
                <w:snapToGrid w:val="0"/>
                <w:color w:val="auto"/>
                <w:sz w:val="21"/>
                <w:szCs w:val="21"/>
                <w:highlight w:val="none"/>
                <w:lang w:eastAsia="zh-CN"/>
              </w:rPr>
            </w:pPr>
            <w:r>
              <w:rPr>
                <w:rFonts w:hint="eastAsia" w:cs="Times New Roman"/>
                <w:color w:val="auto"/>
                <w:sz w:val="21"/>
                <w:szCs w:val="21"/>
                <w:highlight w:val="none"/>
                <w:lang w:val="en-US" w:eastAsia="zh-CN"/>
              </w:rPr>
              <w:t>7.4</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3</w:t>
            </w:r>
          </w:p>
        </w:tc>
      </w:tr>
      <w:tr w14:paraId="401C0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78" w:type="pct"/>
            <w:vMerge w:val="continue"/>
            <w:shd w:val="clear" w:color="auto" w:fill="auto"/>
            <w:vAlign w:val="center"/>
          </w:tcPr>
          <w:p w14:paraId="7A1C357E">
            <w:pPr>
              <w:pStyle w:val="73"/>
              <w:adjustRightInd w:val="0"/>
              <w:snapToGrid w:val="0"/>
              <w:rPr>
                <w:rFonts w:cs="Times New Roman"/>
                <w:color w:val="auto"/>
                <w:szCs w:val="21"/>
                <w:highlight w:val="none"/>
              </w:rPr>
            </w:pPr>
          </w:p>
        </w:tc>
        <w:tc>
          <w:tcPr>
            <w:tcW w:w="654" w:type="pct"/>
            <w:vMerge w:val="continue"/>
            <w:shd w:val="clear" w:color="auto" w:fill="auto"/>
            <w:vAlign w:val="center"/>
          </w:tcPr>
          <w:p w14:paraId="286FF590">
            <w:pPr>
              <w:pStyle w:val="73"/>
              <w:adjustRightInd w:val="0"/>
              <w:snapToGrid w:val="0"/>
              <w:rPr>
                <w:rFonts w:cs="Times New Roman"/>
                <w:color w:val="auto"/>
                <w:szCs w:val="21"/>
                <w:highlight w:val="none"/>
              </w:rPr>
            </w:pPr>
          </w:p>
        </w:tc>
        <w:tc>
          <w:tcPr>
            <w:tcW w:w="386" w:type="pct"/>
            <w:vMerge w:val="continue"/>
            <w:shd w:val="clear" w:color="auto" w:fill="auto"/>
            <w:vAlign w:val="center"/>
          </w:tcPr>
          <w:p w14:paraId="4C57F089">
            <w:pPr>
              <w:pStyle w:val="73"/>
              <w:adjustRightInd w:val="0"/>
              <w:snapToGrid w:val="0"/>
              <w:rPr>
                <w:rFonts w:cs="Times New Roman"/>
                <w:color w:val="auto"/>
                <w:szCs w:val="21"/>
                <w:highlight w:val="none"/>
              </w:rPr>
            </w:pPr>
          </w:p>
        </w:tc>
        <w:tc>
          <w:tcPr>
            <w:tcW w:w="382" w:type="pct"/>
            <w:vMerge w:val="continue"/>
            <w:shd w:val="clear" w:color="auto" w:fill="auto"/>
            <w:vAlign w:val="center"/>
          </w:tcPr>
          <w:p w14:paraId="7FE7FB0B">
            <w:pPr>
              <w:pStyle w:val="73"/>
              <w:adjustRightInd w:val="0"/>
              <w:snapToGrid w:val="0"/>
              <w:rPr>
                <w:rFonts w:cs="Times New Roman"/>
                <w:color w:val="auto"/>
                <w:szCs w:val="21"/>
                <w:highlight w:val="none"/>
              </w:rPr>
            </w:pPr>
          </w:p>
        </w:tc>
        <w:tc>
          <w:tcPr>
            <w:tcW w:w="454" w:type="pct"/>
            <w:vMerge w:val="continue"/>
            <w:shd w:val="clear" w:color="auto" w:fill="auto"/>
            <w:vAlign w:val="center"/>
          </w:tcPr>
          <w:p w14:paraId="3CDF2E8B">
            <w:pPr>
              <w:pStyle w:val="73"/>
              <w:adjustRightInd w:val="0"/>
              <w:snapToGrid w:val="0"/>
              <w:rPr>
                <w:rFonts w:cs="Times New Roman"/>
                <w:color w:val="auto"/>
                <w:szCs w:val="21"/>
                <w:highlight w:val="none"/>
              </w:rPr>
            </w:pPr>
          </w:p>
        </w:tc>
        <w:tc>
          <w:tcPr>
            <w:tcW w:w="312" w:type="pct"/>
            <w:vMerge w:val="continue"/>
            <w:vAlign w:val="center"/>
          </w:tcPr>
          <w:p w14:paraId="1DEAF3E9">
            <w:pPr>
              <w:pStyle w:val="73"/>
              <w:adjustRightInd w:val="0"/>
              <w:snapToGrid w:val="0"/>
              <w:rPr>
                <w:rFonts w:cs="Times New Roman"/>
                <w:color w:val="auto"/>
                <w:szCs w:val="21"/>
                <w:highlight w:val="none"/>
              </w:rPr>
            </w:pPr>
          </w:p>
        </w:tc>
        <w:tc>
          <w:tcPr>
            <w:tcW w:w="312" w:type="pct"/>
            <w:vMerge w:val="continue"/>
            <w:shd w:val="clear" w:color="auto" w:fill="auto"/>
            <w:vAlign w:val="center"/>
          </w:tcPr>
          <w:p w14:paraId="1605E957">
            <w:pPr>
              <w:pStyle w:val="73"/>
              <w:adjustRightInd w:val="0"/>
              <w:snapToGrid w:val="0"/>
              <w:rPr>
                <w:rFonts w:cs="Times New Roman"/>
                <w:color w:val="auto"/>
                <w:szCs w:val="21"/>
                <w:highlight w:val="none"/>
              </w:rPr>
            </w:pPr>
          </w:p>
        </w:tc>
        <w:tc>
          <w:tcPr>
            <w:tcW w:w="412" w:type="pct"/>
            <w:vMerge w:val="continue"/>
            <w:shd w:val="clear" w:color="auto" w:fill="auto"/>
            <w:vAlign w:val="center"/>
          </w:tcPr>
          <w:p w14:paraId="3188AE88">
            <w:pPr>
              <w:pStyle w:val="73"/>
              <w:adjustRightInd w:val="0"/>
              <w:snapToGrid w:val="0"/>
              <w:rPr>
                <w:rFonts w:cs="Times New Roman"/>
                <w:color w:val="auto"/>
                <w:szCs w:val="21"/>
                <w:highlight w:val="none"/>
              </w:rPr>
            </w:pPr>
          </w:p>
        </w:tc>
        <w:tc>
          <w:tcPr>
            <w:tcW w:w="264" w:type="pct"/>
            <w:vMerge w:val="continue"/>
            <w:shd w:val="clear" w:color="auto" w:fill="auto"/>
            <w:vAlign w:val="center"/>
          </w:tcPr>
          <w:p w14:paraId="4A002C11">
            <w:pPr>
              <w:pStyle w:val="73"/>
              <w:adjustRightInd w:val="0"/>
              <w:snapToGrid w:val="0"/>
              <w:rPr>
                <w:rFonts w:cs="Times New Roman"/>
                <w:color w:val="auto"/>
                <w:szCs w:val="21"/>
                <w:highlight w:val="none"/>
              </w:rPr>
            </w:pPr>
          </w:p>
        </w:tc>
        <w:tc>
          <w:tcPr>
            <w:tcW w:w="312" w:type="pct"/>
            <w:vMerge w:val="continue"/>
            <w:shd w:val="clear" w:color="auto" w:fill="auto"/>
            <w:vAlign w:val="center"/>
          </w:tcPr>
          <w:p w14:paraId="3993B9A2">
            <w:pPr>
              <w:pStyle w:val="73"/>
              <w:adjustRightInd w:val="0"/>
              <w:snapToGrid w:val="0"/>
              <w:rPr>
                <w:rFonts w:cs="Times New Roman"/>
                <w:color w:val="auto"/>
                <w:szCs w:val="21"/>
                <w:highlight w:val="none"/>
              </w:rPr>
            </w:pPr>
          </w:p>
        </w:tc>
        <w:tc>
          <w:tcPr>
            <w:tcW w:w="364" w:type="pct"/>
            <w:vMerge w:val="continue"/>
            <w:shd w:val="clear" w:color="auto" w:fill="auto"/>
            <w:vAlign w:val="center"/>
          </w:tcPr>
          <w:p w14:paraId="532F0052">
            <w:pPr>
              <w:pStyle w:val="73"/>
              <w:adjustRightInd w:val="0"/>
              <w:snapToGrid w:val="0"/>
              <w:rPr>
                <w:rFonts w:cs="Times New Roman"/>
                <w:color w:val="auto"/>
                <w:szCs w:val="21"/>
                <w:highlight w:val="none"/>
              </w:rPr>
            </w:pPr>
          </w:p>
        </w:tc>
        <w:tc>
          <w:tcPr>
            <w:tcW w:w="481" w:type="pct"/>
            <w:shd w:val="clear" w:color="auto" w:fill="auto"/>
            <w:vAlign w:val="center"/>
          </w:tcPr>
          <w:p w14:paraId="11EA6C07">
            <w:pPr>
              <w:pStyle w:val="73"/>
              <w:adjustRightInd w:val="0"/>
              <w:snapToGrid w:val="0"/>
              <w:rPr>
                <w:rFonts w:cs="Times New Roman"/>
                <w:snapToGrid w:val="0"/>
                <w:color w:val="auto"/>
                <w:szCs w:val="21"/>
                <w:highlight w:val="none"/>
              </w:rPr>
            </w:pPr>
            <w:r>
              <w:rPr>
                <w:rFonts w:cs="Times New Roman"/>
                <w:snapToGrid w:val="0"/>
                <w:color w:val="auto"/>
                <w:szCs w:val="21"/>
                <w:highlight w:val="none"/>
              </w:rPr>
              <w:t>H</w:t>
            </w:r>
            <w:r>
              <w:rPr>
                <w:rFonts w:cs="Times New Roman"/>
                <w:snapToGrid w:val="0"/>
                <w:color w:val="auto"/>
                <w:szCs w:val="21"/>
                <w:highlight w:val="none"/>
                <w:vertAlign w:val="subscript"/>
              </w:rPr>
              <w:t>2</w:t>
            </w:r>
            <w:r>
              <w:rPr>
                <w:rFonts w:cs="Times New Roman"/>
                <w:snapToGrid w:val="0"/>
                <w:color w:val="auto"/>
                <w:szCs w:val="21"/>
                <w:highlight w:val="none"/>
              </w:rPr>
              <w:t>S</w:t>
            </w:r>
          </w:p>
        </w:tc>
        <w:tc>
          <w:tcPr>
            <w:tcW w:w="484" w:type="pct"/>
            <w:shd w:val="clear" w:color="auto" w:fill="auto"/>
            <w:vAlign w:val="center"/>
          </w:tcPr>
          <w:p w14:paraId="685DF326">
            <w:pPr>
              <w:spacing w:line="360" w:lineRule="exact"/>
              <w:ind w:firstLine="0" w:firstLineChars="0"/>
              <w:jc w:val="center"/>
              <w:rPr>
                <w:rFonts w:hint="eastAsia" w:eastAsia="宋体" w:cs="Times New Roman"/>
                <w:snapToGrid w:val="0"/>
                <w:color w:val="auto"/>
                <w:sz w:val="21"/>
                <w:szCs w:val="21"/>
                <w:highlight w:val="none"/>
                <w:lang w:eastAsia="zh-CN"/>
              </w:rPr>
            </w:pPr>
            <w:r>
              <w:rPr>
                <w:rFonts w:hint="eastAsia" w:cs="Times New Roman"/>
                <w:color w:val="auto"/>
                <w:sz w:val="21"/>
                <w:szCs w:val="21"/>
                <w:highlight w:val="none"/>
                <w:lang w:val="en-US" w:eastAsia="zh-CN"/>
              </w:rPr>
              <w:t>5.9</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5</w:t>
            </w:r>
          </w:p>
        </w:tc>
      </w:tr>
      <w:tr w14:paraId="03F13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78" w:type="pct"/>
            <w:vMerge w:val="restart"/>
            <w:shd w:val="clear" w:color="auto" w:fill="auto"/>
            <w:vAlign w:val="center"/>
          </w:tcPr>
          <w:p w14:paraId="365F8450">
            <w:pPr>
              <w:pStyle w:val="73"/>
              <w:adjustRightInd w:val="0"/>
              <w:snapToGrid w:val="0"/>
              <w:rPr>
                <w:rFonts w:hint="eastAsia"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2</w:t>
            </w:r>
          </w:p>
        </w:tc>
        <w:tc>
          <w:tcPr>
            <w:tcW w:w="654" w:type="pct"/>
            <w:vMerge w:val="restart"/>
            <w:shd w:val="clear" w:color="auto" w:fill="auto"/>
            <w:vAlign w:val="center"/>
          </w:tcPr>
          <w:p w14:paraId="784A8917">
            <w:pPr>
              <w:pStyle w:val="73"/>
              <w:adjustRightInd w:val="0"/>
              <w:snapToGrid w:val="0"/>
              <w:rPr>
                <w:rFonts w:hint="eastAsia" w:eastAsia="宋体" w:cs="Times New Roman"/>
                <w:snapToGrid w:val="0"/>
                <w:color w:val="auto"/>
                <w:szCs w:val="21"/>
                <w:highlight w:val="none"/>
                <w:lang w:val="en-US" w:eastAsia="zh-CN"/>
              </w:rPr>
            </w:pPr>
            <w:r>
              <w:rPr>
                <w:rFonts w:cs="Times New Roman"/>
                <w:snapToGrid w:val="0"/>
                <w:color w:val="auto"/>
                <w:szCs w:val="21"/>
                <w:highlight w:val="none"/>
              </w:rPr>
              <w:t>污水处理站排气筒</w:t>
            </w:r>
            <w:r>
              <w:rPr>
                <w:rFonts w:cs="Times New Roman"/>
                <w:snapToGrid w:val="0"/>
                <w:color w:val="auto"/>
                <w:szCs w:val="21"/>
                <w:highlight w:val="none"/>
                <w:lang w:val="en-US"/>
              </w:rPr>
              <w:t>DA00</w:t>
            </w:r>
            <w:r>
              <w:rPr>
                <w:rFonts w:hint="eastAsia" w:cs="Times New Roman"/>
                <w:snapToGrid w:val="0"/>
                <w:color w:val="auto"/>
                <w:szCs w:val="21"/>
                <w:highlight w:val="none"/>
                <w:lang w:val="en-US" w:eastAsia="zh-CN"/>
              </w:rPr>
              <w:t>2</w:t>
            </w:r>
          </w:p>
        </w:tc>
        <w:tc>
          <w:tcPr>
            <w:tcW w:w="386" w:type="pct"/>
            <w:vMerge w:val="restart"/>
            <w:shd w:val="clear" w:color="auto" w:fill="auto"/>
            <w:vAlign w:val="center"/>
          </w:tcPr>
          <w:p w14:paraId="58091938">
            <w:pPr>
              <w:spacing w:line="360" w:lineRule="exact"/>
              <w:ind w:firstLine="0" w:firstLineChars="0"/>
              <w:jc w:val="center"/>
              <w:rPr>
                <w:rFonts w:cs="Times New Roman"/>
                <w:snapToGrid w:val="0"/>
                <w:color w:val="auto"/>
                <w:sz w:val="21"/>
                <w:szCs w:val="21"/>
                <w:highlight w:val="none"/>
              </w:rPr>
            </w:pPr>
            <w:r>
              <w:rPr>
                <w:rFonts w:cs="Times New Roman"/>
                <w:snapToGrid w:val="0"/>
                <w:color w:val="auto"/>
                <w:sz w:val="21"/>
                <w:szCs w:val="21"/>
                <w:highlight w:val="none"/>
              </w:rPr>
              <w:t>6</w:t>
            </w:r>
          </w:p>
        </w:tc>
        <w:tc>
          <w:tcPr>
            <w:tcW w:w="382" w:type="pct"/>
            <w:vMerge w:val="restart"/>
            <w:shd w:val="clear" w:color="auto" w:fill="auto"/>
            <w:vAlign w:val="center"/>
          </w:tcPr>
          <w:p w14:paraId="0374F208">
            <w:pPr>
              <w:spacing w:line="360" w:lineRule="exact"/>
              <w:ind w:firstLine="0" w:firstLineChars="0"/>
              <w:jc w:val="center"/>
              <w:rPr>
                <w:rFonts w:cs="Times New Roman"/>
                <w:snapToGrid w:val="0"/>
                <w:color w:val="auto"/>
                <w:sz w:val="21"/>
                <w:szCs w:val="21"/>
                <w:highlight w:val="none"/>
              </w:rPr>
            </w:pPr>
            <w:r>
              <w:rPr>
                <w:rFonts w:cs="Times New Roman"/>
                <w:snapToGrid w:val="0"/>
                <w:color w:val="auto"/>
                <w:sz w:val="21"/>
                <w:szCs w:val="21"/>
                <w:highlight w:val="none"/>
              </w:rPr>
              <w:t>51</w:t>
            </w:r>
          </w:p>
        </w:tc>
        <w:tc>
          <w:tcPr>
            <w:tcW w:w="454" w:type="pct"/>
            <w:vMerge w:val="restart"/>
            <w:shd w:val="clear" w:color="auto" w:fill="auto"/>
            <w:vAlign w:val="center"/>
          </w:tcPr>
          <w:p w14:paraId="0DC8BDC9">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62</w:t>
            </w:r>
          </w:p>
        </w:tc>
        <w:tc>
          <w:tcPr>
            <w:tcW w:w="312" w:type="pct"/>
            <w:vMerge w:val="restart"/>
            <w:vAlign w:val="center"/>
          </w:tcPr>
          <w:p w14:paraId="4D37CEFD">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15.00</w:t>
            </w:r>
          </w:p>
        </w:tc>
        <w:tc>
          <w:tcPr>
            <w:tcW w:w="312" w:type="pct"/>
            <w:vMerge w:val="restart"/>
            <w:shd w:val="clear" w:color="auto" w:fill="auto"/>
            <w:vAlign w:val="center"/>
          </w:tcPr>
          <w:p w14:paraId="35E3EEB5">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0.20</w:t>
            </w:r>
          </w:p>
        </w:tc>
        <w:tc>
          <w:tcPr>
            <w:tcW w:w="412" w:type="pct"/>
            <w:vMerge w:val="restart"/>
            <w:shd w:val="clear" w:color="auto" w:fill="auto"/>
            <w:vAlign w:val="center"/>
          </w:tcPr>
          <w:p w14:paraId="4862D05F">
            <w:pPr>
              <w:pStyle w:val="73"/>
              <w:adjustRightInd w:val="0"/>
              <w:snapToGrid w:val="0"/>
              <w:rPr>
                <w:rFonts w:cs="Times New Roman"/>
                <w:snapToGrid w:val="0"/>
                <w:color w:val="auto"/>
                <w:szCs w:val="21"/>
                <w:highlight w:val="none"/>
              </w:rPr>
            </w:pPr>
            <w:r>
              <w:rPr>
                <w:rFonts w:cs="Times New Roman"/>
                <w:color w:val="auto"/>
                <w:szCs w:val="21"/>
                <w:highlight w:val="none"/>
                <w:lang w:val="en-US"/>
              </w:rPr>
              <w:t>17.68</w:t>
            </w:r>
          </w:p>
        </w:tc>
        <w:tc>
          <w:tcPr>
            <w:tcW w:w="264" w:type="pct"/>
            <w:vMerge w:val="restart"/>
            <w:shd w:val="clear" w:color="auto" w:fill="auto"/>
            <w:vAlign w:val="center"/>
          </w:tcPr>
          <w:p w14:paraId="6D4250B8">
            <w:pPr>
              <w:pStyle w:val="73"/>
              <w:adjustRightInd w:val="0"/>
              <w:snapToGrid w:val="0"/>
              <w:rPr>
                <w:rFonts w:cs="Times New Roman"/>
                <w:snapToGrid w:val="0"/>
                <w:color w:val="auto"/>
                <w:szCs w:val="21"/>
                <w:highlight w:val="none"/>
              </w:rPr>
            </w:pPr>
            <w:r>
              <w:rPr>
                <w:rFonts w:cs="Times New Roman"/>
                <w:snapToGrid w:val="0"/>
                <w:color w:val="auto"/>
                <w:szCs w:val="21"/>
                <w:highlight w:val="none"/>
              </w:rPr>
              <w:t>2</w:t>
            </w:r>
            <w:r>
              <w:rPr>
                <w:rFonts w:cs="Times New Roman"/>
                <w:snapToGrid w:val="0"/>
                <w:color w:val="auto"/>
                <w:szCs w:val="21"/>
                <w:highlight w:val="none"/>
                <w:lang w:val="en-US"/>
              </w:rPr>
              <w:t>0</w:t>
            </w:r>
          </w:p>
        </w:tc>
        <w:tc>
          <w:tcPr>
            <w:tcW w:w="312" w:type="pct"/>
            <w:vMerge w:val="restart"/>
            <w:shd w:val="clear" w:color="auto" w:fill="auto"/>
            <w:vAlign w:val="center"/>
          </w:tcPr>
          <w:p w14:paraId="6DE05945">
            <w:pPr>
              <w:pStyle w:val="73"/>
              <w:adjustRightInd w:val="0"/>
              <w:snapToGrid w:val="0"/>
              <w:rPr>
                <w:rFonts w:hint="default" w:cs="Times New Roman"/>
                <w:snapToGrid w:val="0"/>
                <w:color w:val="auto"/>
                <w:szCs w:val="21"/>
                <w:highlight w:val="none"/>
                <w:lang w:val="en-US"/>
              </w:rPr>
            </w:pPr>
            <w:r>
              <w:rPr>
                <w:rFonts w:hint="eastAsia" w:cs="Times New Roman"/>
                <w:snapToGrid w:val="0"/>
                <w:color w:val="auto"/>
                <w:szCs w:val="21"/>
                <w:highlight w:val="none"/>
                <w:lang w:val="en-US" w:eastAsia="zh-CN"/>
              </w:rPr>
              <w:t>7200</w:t>
            </w:r>
          </w:p>
        </w:tc>
        <w:tc>
          <w:tcPr>
            <w:tcW w:w="364" w:type="pct"/>
            <w:vMerge w:val="restart"/>
            <w:shd w:val="clear" w:color="auto" w:fill="auto"/>
            <w:vAlign w:val="center"/>
          </w:tcPr>
          <w:p w14:paraId="7A8A6F14">
            <w:pPr>
              <w:pStyle w:val="73"/>
              <w:adjustRightInd w:val="0"/>
              <w:snapToGrid w:val="0"/>
              <w:rPr>
                <w:rFonts w:cs="Times New Roman"/>
                <w:snapToGrid w:val="0"/>
                <w:color w:val="auto"/>
                <w:szCs w:val="21"/>
                <w:highlight w:val="none"/>
              </w:rPr>
            </w:pPr>
            <w:r>
              <w:rPr>
                <w:rFonts w:cs="Times New Roman"/>
                <w:snapToGrid w:val="0"/>
                <w:color w:val="auto"/>
                <w:szCs w:val="21"/>
                <w:highlight w:val="none"/>
              </w:rPr>
              <w:t>正常</w:t>
            </w:r>
          </w:p>
        </w:tc>
        <w:tc>
          <w:tcPr>
            <w:tcW w:w="481" w:type="pct"/>
            <w:shd w:val="clear" w:color="auto" w:fill="auto"/>
            <w:vAlign w:val="center"/>
          </w:tcPr>
          <w:p w14:paraId="3678C2DB">
            <w:pPr>
              <w:pStyle w:val="73"/>
              <w:adjustRightInd w:val="0"/>
              <w:snapToGrid w:val="0"/>
              <w:rPr>
                <w:rFonts w:cs="Times New Roman"/>
                <w:snapToGrid w:val="0"/>
                <w:color w:val="auto"/>
                <w:szCs w:val="21"/>
                <w:highlight w:val="none"/>
              </w:rPr>
            </w:pPr>
            <w:r>
              <w:rPr>
                <w:rFonts w:cs="Times New Roman"/>
                <w:snapToGrid w:val="0"/>
                <w:color w:val="auto"/>
                <w:szCs w:val="21"/>
                <w:highlight w:val="none"/>
              </w:rPr>
              <w:t>NH</w:t>
            </w:r>
            <w:r>
              <w:rPr>
                <w:rFonts w:cs="Times New Roman"/>
                <w:snapToGrid w:val="0"/>
                <w:color w:val="auto"/>
                <w:szCs w:val="21"/>
                <w:highlight w:val="none"/>
                <w:vertAlign w:val="subscript"/>
              </w:rPr>
              <w:t>3</w:t>
            </w:r>
          </w:p>
        </w:tc>
        <w:tc>
          <w:tcPr>
            <w:tcW w:w="484" w:type="pct"/>
            <w:shd w:val="clear" w:color="auto" w:fill="auto"/>
            <w:vAlign w:val="center"/>
          </w:tcPr>
          <w:p w14:paraId="40148167">
            <w:pPr>
              <w:spacing w:line="360" w:lineRule="exact"/>
              <w:ind w:firstLine="0" w:firstLineChars="0"/>
              <w:jc w:val="center"/>
              <w:rPr>
                <w:rFonts w:hint="eastAsia" w:eastAsia="宋体" w:cs="Times New Roman"/>
                <w:snapToGrid w:val="0"/>
                <w:color w:val="auto"/>
                <w:sz w:val="21"/>
                <w:szCs w:val="21"/>
                <w:highlight w:val="none"/>
                <w:lang w:eastAsia="zh-CN"/>
              </w:rPr>
            </w:pPr>
            <w:r>
              <w:rPr>
                <w:rFonts w:hint="eastAsia" w:cs="Times New Roman"/>
                <w:color w:val="auto"/>
                <w:sz w:val="21"/>
                <w:szCs w:val="21"/>
                <w:highlight w:val="none"/>
                <w:lang w:val="en-US" w:eastAsia="zh-CN"/>
              </w:rPr>
              <w:t>8.9×10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3</w:t>
            </w:r>
          </w:p>
        </w:tc>
      </w:tr>
      <w:tr w14:paraId="48A462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178" w:type="pct"/>
            <w:vMerge w:val="continue"/>
            <w:shd w:val="clear" w:color="auto" w:fill="auto"/>
            <w:vAlign w:val="center"/>
          </w:tcPr>
          <w:p w14:paraId="307F1665">
            <w:pPr>
              <w:pStyle w:val="73"/>
              <w:adjustRightInd w:val="0"/>
              <w:snapToGrid w:val="0"/>
              <w:rPr>
                <w:rFonts w:cs="Times New Roman"/>
                <w:color w:val="auto"/>
                <w:szCs w:val="21"/>
                <w:highlight w:val="none"/>
              </w:rPr>
            </w:pPr>
          </w:p>
        </w:tc>
        <w:tc>
          <w:tcPr>
            <w:tcW w:w="654" w:type="pct"/>
            <w:vMerge w:val="continue"/>
            <w:shd w:val="clear" w:color="auto" w:fill="auto"/>
            <w:vAlign w:val="center"/>
          </w:tcPr>
          <w:p w14:paraId="5030778B">
            <w:pPr>
              <w:pStyle w:val="73"/>
              <w:adjustRightInd w:val="0"/>
              <w:snapToGrid w:val="0"/>
              <w:rPr>
                <w:rFonts w:cs="Times New Roman"/>
                <w:color w:val="auto"/>
                <w:szCs w:val="21"/>
                <w:highlight w:val="none"/>
              </w:rPr>
            </w:pPr>
          </w:p>
        </w:tc>
        <w:tc>
          <w:tcPr>
            <w:tcW w:w="386" w:type="pct"/>
            <w:vMerge w:val="continue"/>
            <w:shd w:val="clear" w:color="auto" w:fill="auto"/>
            <w:vAlign w:val="center"/>
          </w:tcPr>
          <w:p w14:paraId="312C4946">
            <w:pPr>
              <w:pStyle w:val="73"/>
              <w:adjustRightInd w:val="0"/>
              <w:snapToGrid w:val="0"/>
              <w:rPr>
                <w:rFonts w:cs="Times New Roman"/>
                <w:color w:val="auto"/>
                <w:szCs w:val="21"/>
                <w:highlight w:val="none"/>
              </w:rPr>
            </w:pPr>
          </w:p>
        </w:tc>
        <w:tc>
          <w:tcPr>
            <w:tcW w:w="382" w:type="pct"/>
            <w:vMerge w:val="continue"/>
            <w:shd w:val="clear" w:color="auto" w:fill="auto"/>
            <w:vAlign w:val="center"/>
          </w:tcPr>
          <w:p w14:paraId="249D6754">
            <w:pPr>
              <w:pStyle w:val="73"/>
              <w:adjustRightInd w:val="0"/>
              <w:snapToGrid w:val="0"/>
              <w:rPr>
                <w:rFonts w:cs="Times New Roman"/>
                <w:color w:val="auto"/>
                <w:szCs w:val="21"/>
                <w:highlight w:val="none"/>
              </w:rPr>
            </w:pPr>
          </w:p>
        </w:tc>
        <w:tc>
          <w:tcPr>
            <w:tcW w:w="454" w:type="pct"/>
            <w:vMerge w:val="continue"/>
            <w:shd w:val="clear" w:color="auto" w:fill="auto"/>
            <w:vAlign w:val="center"/>
          </w:tcPr>
          <w:p w14:paraId="0A9912C9">
            <w:pPr>
              <w:pStyle w:val="73"/>
              <w:adjustRightInd w:val="0"/>
              <w:snapToGrid w:val="0"/>
              <w:rPr>
                <w:rFonts w:cs="Times New Roman"/>
                <w:color w:val="auto"/>
                <w:szCs w:val="21"/>
                <w:highlight w:val="none"/>
              </w:rPr>
            </w:pPr>
          </w:p>
        </w:tc>
        <w:tc>
          <w:tcPr>
            <w:tcW w:w="312" w:type="pct"/>
            <w:vMerge w:val="continue"/>
            <w:vAlign w:val="center"/>
          </w:tcPr>
          <w:p w14:paraId="4A596C16">
            <w:pPr>
              <w:pStyle w:val="73"/>
              <w:adjustRightInd w:val="0"/>
              <w:snapToGrid w:val="0"/>
              <w:rPr>
                <w:rFonts w:cs="Times New Roman"/>
                <w:color w:val="auto"/>
                <w:szCs w:val="21"/>
                <w:highlight w:val="none"/>
              </w:rPr>
            </w:pPr>
          </w:p>
        </w:tc>
        <w:tc>
          <w:tcPr>
            <w:tcW w:w="312" w:type="pct"/>
            <w:vMerge w:val="continue"/>
            <w:shd w:val="clear" w:color="auto" w:fill="auto"/>
            <w:vAlign w:val="center"/>
          </w:tcPr>
          <w:p w14:paraId="3966E8A6">
            <w:pPr>
              <w:pStyle w:val="73"/>
              <w:adjustRightInd w:val="0"/>
              <w:snapToGrid w:val="0"/>
              <w:rPr>
                <w:rFonts w:cs="Times New Roman"/>
                <w:color w:val="auto"/>
                <w:szCs w:val="21"/>
                <w:highlight w:val="none"/>
              </w:rPr>
            </w:pPr>
          </w:p>
        </w:tc>
        <w:tc>
          <w:tcPr>
            <w:tcW w:w="412" w:type="pct"/>
            <w:vMerge w:val="continue"/>
            <w:shd w:val="clear" w:color="auto" w:fill="auto"/>
            <w:vAlign w:val="center"/>
          </w:tcPr>
          <w:p w14:paraId="30B3A227">
            <w:pPr>
              <w:pStyle w:val="73"/>
              <w:adjustRightInd w:val="0"/>
              <w:snapToGrid w:val="0"/>
              <w:rPr>
                <w:rFonts w:cs="Times New Roman"/>
                <w:color w:val="auto"/>
                <w:szCs w:val="21"/>
                <w:highlight w:val="none"/>
              </w:rPr>
            </w:pPr>
          </w:p>
        </w:tc>
        <w:tc>
          <w:tcPr>
            <w:tcW w:w="264" w:type="pct"/>
            <w:vMerge w:val="continue"/>
            <w:shd w:val="clear" w:color="auto" w:fill="auto"/>
            <w:vAlign w:val="center"/>
          </w:tcPr>
          <w:p w14:paraId="6794CCB9">
            <w:pPr>
              <w:pStyle w:val="73"/>
              <w:adjustRightInd w:val="0"/>
              <w:snapToGrid w:val="0"/>
              <w:rPr>
                <w:rFonts w:cs="Times New Roman"/>
                <w:color w:val="auto"/>
                <w:szCs w:val="21"/>
                <w:highlight w:val="none"/>
              </w:rPr>
            </w:pPr>
          </w:p>
        </w:tc>
        <w:tc>
          <w:tcPr>
            <w:tcW w:w="312" w:type="pct"/>
            <w:vMerge w:val="continue"/>
            <w:shd w:val="clear" w:color="auto" w:fill="auto"/>
            <w:vAlign w:val="center"/>
          </w:tcPr>
          <w:p w14:paraId="6E928CC6">
            <w:pPr>
              <w:pStyle w:val="73"/>
              <w:adjustRightInd w:val="0"/>
              <w:snapToGrid w:val="0"/>
              <w:rPr>
                <w:rFonts w:cs="Times New Roman"/>
                <w:color w:val="auto"/>
                <w:szCs w:val="21"/>
                <w:highlight w:val="none"/>
              </w:rPr>
            </w:pPr>
          </w:p>
        </w:tc>
        <w:tc>
          <w:tcPr>
            <w:tcW w:w="364" w:type="pct"/>
            <w:vMerge w:val="continue"/>
            <w:shd w:val="clear" w:color="auto" w:fill="auto"/>
            <w:vAlign w:val="center"/>
          </w:tcPr>
          <w:p w14:paraId="66E9E6DA">
            <w:pPr>
              <w:pStyle w:val="73"/>
              <w:adjustRightInd w:val="0"/>
              <w:snapToGrid w:val="0"/>
              <w:rPr>
                <w:rFonts w:cs="Times New Roman"/>
                <w:color w:val="auto"/>
                <w:szCs w:val="21"/>
                <w:highlight w:val="none"/>
              </w:rPr>
            </w:pPr>
          </w:p>
        </w:tc>
        <w:tc>
          <w:tcPr>
            <w:tcW w:w="481" w:type="pct"/>
            <w:shd w:val="clear" w:color="auto" w:fill="auto"/>
            <w:vAlign w:val="center"/>
          </w:tcPr>
          <w:p w14:paraId="5E823136">
            <w:pPr>
              <w:pStyle w:val="73"/>
              <w:adjustRightInd w:val="0"/>
              <w:snapToGrid w:val="0"/>
              <w:rPr>
                <w:rFonts w:cs="Times New Roman"/>
                <w:snapToGrid w:val="0"/>
                <w:color w:val="auto"/>
                <w:szCs w:val="21"/>
                <w:highlight w:val="none"/>
                <w:lang w:val="en-US"/>
              </w:rPr>
            </w:pPr>
            <w:r>
              <w:rPr>
                <w:rFonts w:cs="Times New Roman"/>
                <w:snapToGrid w:val="0"/>
                <w:color w:val="auto"/>
                <w:szCs w:val="21"/>
                <w:highlight w:val="none"/>
              </w:rPr>
              <w:t>H</w:t>
            </w:r>
            <w:r>
              <w:rPr>
                <w:rFonts w:cs="Times New Roman"/>
                <w:snapToGrid w:val="0"/>
                <w:color w:val="auto"/>
                <w:szCs w:val="21"/>
                <w:highlight w:val="none"/>
                <w:vertAlign w:val="subscript"/>
              </w:rPr>
              <w:t>2</w:t>
            </w:r>
            <w:r>
              <w:rPr>
                <w:rFonts w:cs="Times New Roman"/>
                <w:snapToGrid w:val="0"/>
                <w:color w:val="auto"/>
                <w:szCs w:val="21"/>
                <w:highlight w:val="none"/>
              </w:rPr>
              <w:t>S</w:t>
            </w:r>
          </w:p>
        </w:tc>
        <w:tc>
          <w:tcPr>
            <w:tcW w:w="484" w:type="pct"/>
            <w:shd w:val="clear" w:color="auto" w:fill="auto"/>
            <w:vAlign w:val="center"/>
          </w:tcPr>
          <w:p w14:paraId="508C54F0">
            <w:pPr>
              <w:spacing w:line="360" w:lineRule="exact"/>
              <w:ind w:firstLine="0" w:firstLineChars="0"/>
              <w:jc w:val="center"/>
              <w:rPr>
                <w:rFonts w:cs="Times New Roman"/>
                <w:snapToGrid w:val="0"/>
                <w:color w:val="auto"/>
                <w:sz w:val="21"/>
                <w:szCs w:val="21"/>
                <w:highlight w:val="none"/>
              </w:rPr>
            </w:pPr>
            <w:r>
              <w:rPr>
                <w:rFonts w:hint="eastAsia" w:cs="Times New Roman"/>
                <w:color w:val="auto"/>
                <w:sz w:val="21"/>
                <w:szCs w:val="21"/>
                <w:highlight w:val="none"/>
                <w:lang w:val="en-US" w:eastAsia="zh-CN"/>
              </w:rPr>
              <w:t>8.4×10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4</w:t>
            </w:r>
          </w:p>
        </w:tc>
      </w:tr>
    </w:tbl>
    <w:p w14:paraId="43984ACE">
      <w:pPr>
        <w:pStyle w:val="66"/>
        <w:spacing w:line="240" w:lineRule="auto"/>
        <w:rPr>
          <w:rFonts w:hint="eastAsia" w:eastAsia="宋体" w:cs="Times New Roman"/>
          <w:b/>
          <w:bCs/>
          <w:snapToGrid w:val="0"/>
          <w:color w:val="auto"/>
          <w:szCs w:val="24"/>
          <w:highlight w:val="none"/>
          <w:lang w:val="en-US" w:eastAsia="zh-CN"/>
        </w:rPr>
      </w:pPr>
      <w:r>
        <w:rPr>
          <w:rFonts w:hint="eastAsia" w:eastAsia="宋体" w:cs="Times New Roman"/>
          <w:b/>
          <w:bCs/>
          <w:snapToGrid w:val="0"/>
          <w:color w:val="auto"/>
          <w:szCs w:val="24"/>
          <w:highlight w:val="none"/>
          <w:lang w:val="en-US" w:eastAsia="zh-CN"/>
        </w:rPr>
        <w:t xml:space="preserve"> </w:t>
      </w:r>
    </w:p>
    <w:p w14:paraId="2FAAB57A">
      <w:pPr>
        <w:pStyle w:val="66"/>
        <w:spacing w:line="240" w:lineRule="auto"/>
        <w:rPr>
          <w:rFonts w:eastAsia="宋体" w:cs="Times New Roman"/>
          <w:b/>
          <w:bCs/>
          <w:snapToGrid w:val="0"/>
          <w:color w:val="auto"/>
          <w:szCs w:val="24"/>
          <w:highlight w:val="none"/>
        </w:rPr>
      </w:pPr>
      <w:r>
        <w:rPr>
          <w:rFonts w:eastAsia="宋体" w:cs="Times New Roman"/>
          <w:b/>
          <w:bCs/>
          <w:snapToGrid w:val="0"/>
          <w:color w:val="auto"/>
          <w:szCs w:val="24"/>
          <w:highlight w:val="none"/>
        </w:rPr>
        <w:t>表2-</w:t>
      </w:r>
      <w:r>
        <w:rPr>
          <w:rFonts w:eastAsia="宋体" w:cs="Times New Roman"/>
          <w:b/>
          <w:bCs/>
          <w:snapToGrid w:val="0"/>
          <w:color w:val="auto"/>
          <w:szCs w:val="24"/>
          <w:highlight w:val="none"/>
          <w:lang w:val="en-US"/>
        </w:rPr>
        <w:t>3</w:t>
      </w:r>
      <w:r>
        <w:rPr>
          <w:rFonts w:eastAsia="宋体" w:cs="Times New Roman"/>
          <w:b/>
          <w:bCs/>
          <w:snapToGrid w:val="0"/>
          <w:color w:val="auto"/>
          <w:szCs w:val="24"/>
          <w:highlight w:val="none"/>
        </w:rPr>
        <w:t>-5</w:t>
      </w:r>
      <w:r>
        <w:rPr>
          <w:rFonts w:eastAsia="宋体" w:cs="Times New Roman"/>
          <w:b/>
          <w:bCs/>
          <w:snapToGrid w:val="0"/>
          <w:color w:val="auto"/>
          <w:szCs w:val="24"/>
          <w:highlight w:val="none"/>
          <w:lang w:val="en-US"/>
        </w:rPr>
        <w:t xml:space="preserve">  </w:t>
      </w:r>
      <w:r>
        <w:rPr>
          <w:rFonts w:eastAsia="宋体" w:cs="Times New Roman"/>
          <w:b/>
          <w:bCs/>
          <w:snapToGrid w:val="0"/>
          <w:color w:val="auto"/>
          <w:szCs w:val="24"/>
          <w:highlight w:val="none"/>
        </w:rPr>
        <w:t>面源参数表</w:t>
      </w:r>
    </w:p>
    <w:tbl>
      <w:tblPr>
        <w:tblStyle w:val="4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5"/>
        <w:gridCol w:w="1287"/>
        <w:gridCol w:w="1042"/>
        <w:gridCol w:w="1037"/>
        <w:gridCol w:w="1012"/>
        <w:gridCol w:w="913"/>
        <w:gridCol w:w="910"/>
        <w:gridCol w:w="1217"/>
        <w:gridCol w:w="1027"/>
        <w:gridCol w:w="1131"/>
        <w:gridCol w:w="693"/>
        <w:gridCol w:w="1258"/>
        <w:gridCol w:w="1258"/>
      </w:tblGrid>
      <w:tr w14:paraId="3C5D2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65" w:type="dxa"/>
            <w:vMerge w:val="restart"/>
            <w:shd w:val="clear" w:color="auto" w:fill="auto"/>
            <w:vAlign w:val="center"/>
          </w:tcPr>
          <w:p w14:paraId="50EE2938">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编号</w:t>
            </w:r>
          </w:p>
        </w:tc>
        <w:tc>
          <w:tcPr>
            <w:tcW w:w="1287" w:type="dxa"/>
            <w:vMerge w:val="restart"/>
            <w:shd w:val="clear" w:color="auto" w:fill="auto"/>
            <w:vAlign w:val="center"/>
          </w:tcPr>
          <w:p w14:paraId="18B39940">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名称</w:t>
            </w:r>
          </w:p>
        </w:tc>
        <w:tc>
          <w:tcPr>
            <w:tcW w:w="2079" w:type="dxa"/>
            <w:gridSpan w:val="2"/>
            <w:shd w:val="clear" w:color="auto" w:fill="auto"/>
            <w:vAlign w:val="center"/>
          </w:tcPr>
          <w:p w14:paraId="2FCC42ED">
            <w:pPr>
              <w:pStyle w:val="73"/>
              <w:adjustRightInd w:val="0"/>
              <w:snapToGrid w:val="0"/>
              <w:spacing w:line="260" w:lineRule="atLeast"/>
              <w:rPr>
                <w:rFonts w:cs="Times New Roman"/>
                <w:snapToGrid w:val="0"/>
                <w:color w:val="auto"/>
                <w:szCs w:val="21"/>
                <w:highlight w:val="none"/>
                <w:lang w:val="en-US"/>
              </w:rPr>
            </w:pPr>
            <w:r>
              <w:rPr>
                <w:rFonts w:cs="Times New Roman"/>
                <w:snapToGrid w:val="0"/>
                <w:color w:val="auto"/>
                <w:szCs w:val="21"/>
                <w:highlight w:val="none"/>
              </w:rPr>
              <w:t>面源起点坐标</w:t>
            </w:r>
            <w:r>
              <w:rPr>
                <w:rFonts w:cs="Times New Roman"/>
                <w:snapToGrid w:val="0"/>
                <w:color w:val="auto"/>
                <w:szCs w:val="21"/>
                <w:highlight w:val="none"/>
                <w:lang w:val="en-US"/>
              </w:rPr>
              <w:t>/m</w:t>
            </w:r>
          </w:p>
        </w:tc>
        <w:tc>
          <w:tcPr>
            <w:tcW w:w="1012" w:type="dxa"/>
            <w:vMerge w:val="restart"/>
            <w:shd w:val="clear" w:color="auto" w:fill="auto"/>
            <w:vAlign w:val="center"/>
          </w:tcPr>
          <w:p w14:paraId="3FE62A3C">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面源海拔高度/m</w:t>
            </w:r>
          </w:p>
        </w:tc>
        <w:tc>
          <w:tcPr>
            <w:tcW w:w="913" w:type="dxa"/>
            <w:vMerge w:val="restart"/>
            <w:shd w:val="clear" w:color="auto" w:fill="auto"/>
            <w:vAlign w:val="center"/>
          </w:tcPr>
          <w:p w14:paraId="12879EB3">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面源长度/m</w:t>
            </w:r>
          </w:p>
        </w:tc>
        <w:tc>
          <w:tcPr>
            <w:tcW w:w="910" w:type="dxa"/>
            <w:vMerge w:val="restart"/>
            <w:shd w:val="clear" w:color="auto" w:fill="auto"/>
            <w:vAlign w:val="center"/>
          </w:tcPr>
          <w:p w14:paraId="5658766A">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面源宽度/m</w:t>
            </w:r>
          </w:p>
        </w:tc>
        <w:tc>
          <w:tcPr>
            <w:tcW w:w="1217" w:type="dxa"/>
            <w:vMerge w:val="restart"/>
            <w:shd w:val="clear" w:color="auto" w:fill="auto"/>
            <w:vAlign w:val="center"/>
          </w:tcPr>
          <w:p w14:paraId="0A6C61EC">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与正北向夹角/°</w:t>
            </w:r>
          </w:p>
        </w:tc>
        <w:tc>
          <w:tcPr>
            <w:tcW w:w="1027" w:type="dxa"/>
            <w:vMerge w:val="restart"/>
            <w:shd w:val="clear" w:color="auto" w:fill="auto"/>
            <w:vAlign w:val="center"/>
          </w:tcPr>
          <w:p w14:paraId="3B88DB57">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面源有效排放高度/m</w:t>
            </w:r>
          </w:p>
        </w:tc>
        <w:tc>
          <w:tcPr>
            <w:tcW w:w="1131" w:type="dxa"/>
            <w:vMerge w:val="restart"/>
            <w:shd w:val="clear" w:color="auto" w:fill="auto"/>
            <w:vAlign w:val="center"/>
          </w:tcPr>
          <w:p w14:paraId="216C2FF6">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年排放小时数/h</w:t>
            </w:r>
          </w:p>
        </w:tc>
        <w:tc>
          <w:tcPr>
            <w:tcW w:w="693" w:type="dxa"/>
            <w:vMerge w:val="restart"/>
            <w:shd w:val="clear" w:color="auto" w:fill="auto"/>
            <w:vAlign w:val="center"/>
          </w:tcPr>
          <w:p w14:paraId="45840A12">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排放</w:t>
            </w:r>
          </w:p>
          <w:p w14:paraId="028A70CF">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工况</w:t>
            </w:r>
          </w:p>
        </w:tc>
        <w:tc>
          <w:tcPr>
            <w:tcW w:w="2516" w:type="dxa"/>
            <w:gridSpan w:val="2"/>
            <w:shd w:val="clear" w:color="auto" w:fill="auto"/>
            <w:vAlign w:val="center"/>
          </w:tcPr>
          <w:p w14:paraId="619FA36C">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污染物排放速率/（kg/h）</w:t>
            </w:r>
          </w:p>
        </w:tc>
      </w:tr>
      <w:tr w14:paraId="45E55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565" w:type="dxa"/>
            <w:vMerge w:val="continue"/>
            <w:shd w:val="clear" w:color="auto" w:fill="auto"/>
            <w:vAlign w:val="center"/>
          </w:tcPr>
          <w:p w14:paraId="0C4F521A">
            <w:pPr>
              <w:pStyle w:val="73"/>
              <w:adjustRightInd w:val="0"/>
              <w:snapToGrid w:val="0"/>
              <w:spacing w:line="260" w:lineRule="atLeast"/>
              <w:rPr>
                <w:rFonts w:cs="Times New Roman"/>
                <w:snapToGrid w:val="0"/>
                <w:color w:val="auto"/>
                <w:szCs w:val="21"/>
                <w:highlight w:val="none"/>
              </w:rPr>
            </w:pPr>
          </w:p>
        </w:tc>
        <w:tc>
          <w:tcPr>
            <w:tcW w:w="1287" w:type="dxa"/>
            <w:vMerge w:val="continue"/>
            <w:shd w:val="clear" w:color="auto" w:fill="auto"/>
            <w:vAlign w:val="center"/>
          </w:tcPr>
          <w:p w14:paraId="32DAB8D8">
            <w:pPr>
              <w:pStyle w:val="73"/>
              <w:adjustRightInd w:val="0"/>
              <w:snapToGrid w:val="0"/>
              <w:spacing w:line="260" w:lineRule="atLeast"/>
              <w:rPr>
                <w:rFonts w:cs="Times New Roman"/>
                <w:snapToGrid w:val="0"/>
                <w:color w:val="auto"/>
                <w:szCs w:val="21"/>
                <w:highlight w:val="none"/>
              </w:rPr>
            </w:pPr>
          </w:p>
        </w:tc>
        <w:tc>
          <w:tcPr>
            <w:tcW w:w="1042" w:type="dxa"/>
            <w:shd w:val="clear" w:color="auto" w:fill="auto"/>
            <w:vAlign w:val="center"/>
          </w:tcPr>
          <w:p w14:paraId="42EA529A">
            <w:pPr>
              <w:pStyle w:val="73"/>
              <w:adjustRightInd w:val="0"/>
              <w:snapToGrid w:val="0"/>
              <w:spacing w:line="260" w:lineRule="atLeast"/>
              <w:rPr>
                <w:rFonts w:cs="Times New Roman"/>
                <w:snapToGrid w:val="0"/>
                <w:color w:val="auto"/>
                <w:szCs w:val="21"/>
                <w:highlight w:val="none"/>
                <w:lang w:val="en-US"/>
              </w:rPr>
            </w:pPr>
            <w:r>
              <w:rPr>
                <w:rFonts w:cs="Times New Roman"/>
                <w:snapToGrid w:val="0"/>
                <w:color w:val="auto"/>
                <w:szCs w:val="21"/>
                <w:highlight w:val="none"/>
                <w:lang w:val="en-US"/>
              </w:rPr>
              <w:t>X</w:t>
            </w:r>
          </w:p>
        </w:tc>
        <w:tc>
          <w:tcPr>
            <w:tcW w:w="1037" w:type="dxa"/>
            <w:shd w:val="clear" w:color="auto" w:fill="auto"/>
            <w:vAlign w:val="center"/>
          </w:tcPr>
          <w:p w14:paraId="63315B3D">
            <w:pPr>
              <w:pStyle w:val="73"/>
              <w:adjustRightInd w:val="0"/>
              <w:snapToGrid w:val="0"/>
              <w:spacing w:line="260" w:lineRule="atLeast"/>
              <w:rPr>
                <w:rFonts w:cs="Times New Roman"/>
                <w:snapToGrid w:val="0"/>
                <w:color w:val="auto"/>
                <w:szCs w:val="21"/>
                <w:highlight w:val="none"/>
                <w:lang w:val="en-US"/>
              </w:rPr>
            </w:pPr>
            <w:r>
              <w:rPr>
                <w:rFonts w:cs="Times New Roman"/>
                <w:snapToGrid w:val="0"/>
                <w:color w:val="auto"/>
                <w:szCs w:val="21"/>
                <w:highlight w:val="none"/>
                <w:lang w:val="en-US"/>
              </w:rPr>
              <w:t>Y</w:t>
            </w:r>
          </w:p>
        </w:tc>
        <w:tc>
          <w:tcPr>
            <w:tcW w:w="1012" w:type="dxa"/>
            <w:vMerge w:val="continue"/>
            <w:shd w:val="clear" w:color="auto" w:fill="auto"/>
            <w:vAlign w:val="center"/>
          </w:tcPr>
          <w:p w14:paraId="191664FE">
            <w:pPr>
              <w:pStyle w:val="73"/>
              <w:adjustRightInd w:val="0"/>
              <w:snapToGrid w:val="0"/>
              <w:spacing w:line="260" w:lineRule="atLeast"/>
              <w:rPr>
                <w:rFonts w:cs="Times New Roman"/>
                <w:snapToGrid w:val="0"/>
                <w:color w:val="auto"/>
                <w:szCs w:val="21"/>
                <w:highlight w:val="none"/>
              </w:rPr>
            </w:pPr>
          </w:p>
        </w:tc>
        <w:tc>
          <w:tcPr>
            <w:tcW w:w="913" w:type="dxa"/>
            <w:vMerge w:val="continue"/>
            <w:shd w:val="clear" w:color="auto" w:fill="auto"/>
            <w:vAlign w:val="center"/>
          </w:tcPr>
          <w:p w14:paraId="68E19A2E">
            <w:pPr>
              <w:pStyle w:val="73"/>
              <w:adjustRightInd w:val="0"/>
              <w:snapToGrid w:val="0"/>
              <w:spacing w:line="260" w:lineRule="atLeast"/>
              <w:rPr>
                <w:rFonts w:cs="Times New Roman"/>
                <w:snapToGrid w:val="0"/>
                <w:color w:val="auto"/>
                <w:szCs w:val="21"/>
                <w:highlight w:val="none"/>
              </w:rPr>
            </w:pPr>
          </w:p>
        </w:tc>
        <w:tc>
          <w:tcPr>
            <w:tcW w:w="910" w:type="dxa"/>
            <w:vMerge w:val="continue"/>
            <w:shd w:val="clear" w:color="auto" w:fill="auto"/>
            <w:vAlign w:val="center"/>
          </w:tcPr>
          <w:p w14:paraId="6E5038E3">
            <w:pPr>
              <w:pStyle w:val="73"/>
              <w:adjustRightInd w:val="0"/>
              <w:snapToGrid w:val="0"/>
              <w:spacing w:line="260" w:lineRule="atLeast"/>
              <w:rPr>
                <w:rFonts w:cs="Times New Roman"/>
                <w:snapToGrid w:val="0"/>
                <w:color w:val="auto"/>
                <w:szCs w:val="21"/>
                <w:highlight w:val="none"/>
              </w:rPr>
            </w:pPr>
          </w:p>
        </w:tc>
        <w:tc>
          <w:tcPr>
            <w:tcW w:w="1217" w:type="dxa"/>
            <w:vMerge w:val="continue"/>
            <w:shd w:val="clear" w:color="auto" w:fill="auto"/>
            <w:vAlign w:val="center"/>
          </w:tcPr>
          <w:p w14:paraId="7FBF0BD1">
            <w:pPr>
              <w:pStyle w:val="73"/>
              <w:adjustRightInd w:val="0"/>
              <w:snapToGrid w:val="0"/>
              <w:spacing w:line="260" w:lineRule="atLeast"/>
              <w:rPr>
                <w:rFonts w:cs="Times New Roman"/>
                <w:snapToGrid w:val="0"/>
                <w:color w:val="auto"/>
                <w:szCs w:val="21"/>
                <w:highlight w:val="none"/>
              </w:rPr>
            </w:pPr>
          </w:p>
        </w:tc>
        <w:tc>
          <w:tcPr>
            <w:tcW w:w="1027" w:type="dxa"/>
            <w:vMerge w:val="continue"/>
            <w:shd w:val="clear" w:color="auto" w:fill="auto"/>
            <w:vAlign w:val="center"/>
          </w:tcPr>
          <w:p w14:paraId="43C6B7C6">
            <w:pPr>
              <w:pStyle w:val="73"/>
              <w:adjustRightInd w:val="0"/>
              <w:snapToGrid w:val="0"/>
              <w:spacing w:line="260" w:lineRule="atLeast"/>
              <w:rPr>
                <w:rFonts w:cs="Times New Roman"/>
                <w:snapToGrid w:val="0"/>
                <w:color w:val="auto"/>
                <w:szCs w:val="21"/>
                <w:highlight w:val="none"/>
              </w:rPr>
            </w:pPr>
          </w:p>
        </w:tc>
        <w:tc>
          <w:tcPr>
            <w:tcW w:w="1131" w:type="dxa"/>
            <w:vMerge w:val="continue"/>
            <w:shd w:val="clear" w:color="auto" w:fill="auto"/>
            <w:vAlign w:val="center"/>
          </w:tcPr>
          <w:p w14:paraId="58545683">
            <w:pPr>
              <w:pStyle w:val="73"/>
              <w:adjustRightInd w:val="0"/>
              <w:snapToGrid w:val="0"/>
              <w:spacing w:line="260" w:lineRule="atLeast"/>
              <w:rPr>
                <w:rFonts w:cs="Times New Roman"/>
                <w:snapToGrid w:val="0"/>
                <w:color w:val="auto"/>
                <w:szCs w:val="21"/>
                <w:highlight w:val="none"/>
              </w:rPr>
            </w:pPr>
          </w:p>
        </w:tc>
        <w:tc>
          <w:tcPr>
            <w:tcW w:w="693" w:type="dxa"/>
            <w:vMerge w:val="continue"/>
            <w:shd w:val="clear" w:color="auto" w:fill="auto"/>
            <w:vAlign w:val="center"/>
          </w:tcPr>
          <w:p w14:paraId="33B30A9F">
            <w:pPr>
              <w:pStyle w:val="73"/>
              <w:adjustRightInd w:val="0"/>
              <w:snapToGrid w:val="0"/>
              <w:spacing w:line="260" w:lineRule="atLeast"/>
              <w:rPr>
                <w:rFonts w:cs="Times New Roman"/>
                <w:snapToGrid w:val="0"/>
                <w:color w:val="auto"/>
                <w:szCs w:val="21"/>
                <w:highlight w:val="none"/>
              </w:rPr>
            </w:pPr>
          </w:p>
        </w:tc>
        <w:tc>
          <w:tcPr>
            <w:tcW w:w="1258" w:type="dxa"/>
            <w:shd w:val="clear" w:color="auto" w:fill="auto"/>
            <w:vAlign w:val="center"/>
          </w:tcPr>
          <w:p w14:paraId="20539C44">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NH</w:t>
            </w:r>
            <w:r>
              <w:rPr>
                <w:rFonts w:cs="Times New Roman"/>
                <w:snapToGrid w:val="0"/>
                <w:color w:val="auto"/>
                <w:szCs w:val="21"/>
                <w:highlight w:val="none"/>
                <w:vertAlign w:val="subscript"/>
              </w:rPr>
              <w:t>3</w:t>
            </w:r>
          </w:p>
        </w:tc>
        <w:tc>
          <w:tcPr>
            <w:tcW w:w="1258" w:type="dxa"/>
            <w:shd w:val="clear" w:color="auto" w:fill="auto"/>
            <w:vAlign w:val="center"/>
          </w:tcPr>
          <w:p w14:paraId="423668A3">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H</w:t>
            </w:r>
            <w:r>
              <w:rPr>
                <w:rFonts w:cs="Times New Roman"/>
                <w:snapToGrid w:val="0"/>
                <w:color w:val="auto"/>
                <w:szCs w:val="21"/>
                <w:highlight w:val="none"/>
                <w:vertAlign w:val="subscript"/>
              </w:rPr>
              <w:t>2</w:t>
            </w:r>
            <w:r>
              <w:rPr>
                <w:rFonts w:cs="Times New Roman"/>
                <w:snapToGrid w:val="0"/>
                <w:color w:val="auto"/>
                <w:szCs w:val="21"/>
                <w:highlight w:val="none"/>
              </w:rPr>
              <w:t>S</w:t>
            </w:r>
          </w:p>
        </w:tc>
      </w:tr>
      <w:tr w14:paraId="5A0E8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565" w:type="dxa"/>
            <w:shd w:val="clear" w:color="auto" w:fill="auto"/>
            <w:vAlign w:val="center"/>
          </w:tcPr>
          <w:p w14:paraId="79E56CF6">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1</w:t>
            </w:r>
          </w:p>
        </w:tc>
        <w:tc>
          <w:tcPr>
            <w:tcW w:w="1287" w:type="dxa"/>
            <w:shd w:val="clear" w:color="auto" w:fill="auto"/>
            <w:vAlign w:val="center"/>
          </w:tcPr>
          <w:p w14:paraId="5B2169A7">
            <w:pPr>
              <w:pStyle w:val="73"/>
              <w:adjustRightInd w:val="0"/>
              <w:snapToGrid w:val="0"/>
              <w:spacing w:line="260" w:lineRule="atLeast"/>
              <w:rPr>
                <w:rFonts w:hint="eastAsia" w:eastAsia="宋体" w:cs="Times New Roman"/>
                <w:snapToGrid w:val="0"/>
                <w:color w:val="auto"/>
                <w:szCs w:val="21"/>
                <w:highlight w:val="none"/>
                <w:lang w:eastAsia="zh-CN"/>
              </w:rPr>
            </w:pPr>
            <w:r>
              <w:rPr>
                <w:rFonts w:cs="Times New Roman"/>
                <w:color w:val="auto"/>
                <w:sz w:val="21"/>
                <w:szCs w:val="21"/>
                <w:highlight w:val="none"/>
              </w:rPr>
              <w:t>屠宰车间、</w:t>
            </w:r>
            <w:r>
              <w:rPr>
                <w:rFonts w:hint="eastAsia" w:cs="Times New Roman"/>
                <w:color w:val="auto"/>
                <w:sz w:val="21"/>
                <w:szCs w:val="21"/>
                <w:highlight w:val="none"/>
                <w:lang w:val="en-US" w:eastAsia="zh-CN"/>
              </w:rPr>
              <w:t>急宰间、隔离间及固体废物暂存间</w:t>
            </w:r>
          </w:p>
        </w:tc>
        <w:tc>
          <w:tcPr>
            <w:tcW w:w="1042" w:type="dxa"/>
            <w:shd w:val="clear" w:color="auto" w:fill="auto"/>
            <w:vAlign w:val="center"/>
          </w:tcPr>
          <w:p w14:paraId="178B900F">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7</w:t>
            </w:r>
          </w:p>
        </w:tc>
        <w:tc>
          <w:tcPr>
            <w:tcW w:w="1037" w:type="dxa"/>
            <w:shd w:val="clear" w:color="auto" w:fill="auto"/>
            <w:vAlign w:val="center"/>
          </w:tcPr>
          <w:p w14:paraId="726DCFC6">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-7</w:t>
            </w:r>
          </w:p>
        </w:tc>
        <w:tc>
          <w:tcPr>
            <w:tcW w:w="1012" w:type="dxa"/>
            <w:shd w:val="clear" w:color="auto" w:fill="auto"/>
            <w:vAlign w:val="center"/>
          </w:tcPr>
          <w:p w14:paraId="59EFDCBE">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172</w:t>
            </w:r>
          </w:p>
        </w:tc>
        <w:tc>
          <w:tcPr>
            <w:tcW w:w="913" w:type="dxa"/>
            <w:shd w:val="clear" w:color="auto" w:fill="auto"/>
            <w:vAlign w:val="center"/>
          </w:tcPr>
          <w:p w14:paraId="65D1FD9E">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25</w:t>
            </w:r>
          </w:p>
        </w:tc>
        <w:tc>
          <w:tcPr>
            <w:tcW w:w="910" w:type="dxa"/>
            <w:shd w:val="clear" w:color="auto" w:fill="auto"/>
            <w:vAlign w:val="center"/>
          </w:tcPr>
          <w:p w14:paraId="6EAD8121">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85</w:t>
            </w:r>
          </w:p>
        </w:tc>
        <w:tc>
          <w:tcPr>
            <w:tcW w:w="1217" w:type="dxa"/>
            <w:shd w:val="clear" w:color="auto" w:fill="auto"/>
            <w:vAlign w:val="center"/>
          </w:tcPr>
          <w:p w14:paraId="5400CFD4">
            <w:pPr>
              <w:pStyle w:val="73"/>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cs="Times New Roman"/>
                <w:snapToGrid w:val="0"/>
                <w:color w:val="auto"/>
                <w:szCs w:val="21"/>
                <w:highlight w:val="none"/>
                <w:lang w:val="en-US"/>
              </w:rPr>
            </w:pPr>
            <w:r>
              <w:rPr>
                <w:rFonts w:hint="eastAsia" w:cs="Times New Roman"/>
                <w:snapToGrid w:val="0"/>
                <w:color w:val="auto"/>
                <w:szCs w:val="21"/>
                <w:highlight w:val="none"/>
                <w:lang w:val="en-US" w:eastAsia="zh-CN"/>
              </w:rPr>
              <w:t>-</w:t>
            </w:r>
            <w:r>
              <w:rPr>
                <w:rFonts w:cs="Times New Roman"/>
                <w:snapToGrid w:val="0"/>
                <w:color w:val="auto"/>
                <w:szCs w:val="21"/>
                <w:highlight w:val="none"/>
                <w:lang w:val="en-US"/>
              </w:rPr>
              <w:t>5</w:t>
            </w:r>
          </w:p>
        </w:tc>
        <w:tc>
          <w:tcPr>
            <w:tcW w:w="1027" w:type="dxa"/>
            <w:shd w:val="clear" w:color="auto" w:fill="auto"/>
            <w:vAlign w:val="center"/>
          </w:tcPr>
          <w:p w14:paraId="75621FAC">
            <w:pPr>
              <w:pStyle w:val="73"/>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8</w:t>
            </w:r>
          </w:p>
        </w:tc>
        <w:tc>
          <w:tcPr>
            <w:tcW w:w="1131" w:type="dxa"/>
            <w:shd w:val="clear" w:color="auto" w:fill="auto"/>
            <w:vAlign w:val="center"/>
          </w:tcPr>
          <w:p w14:paraId="637DFA97">
            <w:pPr>
              <w:pStyle w:val="73"/>
              <w:adjustRightInd w:val="0"/>
              <w:snapToGrid w:val="0"/>
              <w:spacing w:line="260" w:lineRule="atLeast"/>
              <w:rPr>
                <w:rFonts w:hint="default"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7200</w:t>
            </w:r>
          </w:p>
        </w:tc>
        <w:tc>
          <w:tcPr>
            <w:tcW w:w="693" w:type="dxa"/>
            <w:shd w:val="clear" w:color="auto" w:fill="auto"/>
            <w:vAlign w:val="center"/>
          </w:tcPr>
          <w:p w14:paraId="60D6F640">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正常</w:t>
            </w:r>
          </w:p>
        </w:tc>
        <w:tc>
          <w:tcPr>
            <w:tcW w:w="1258" w:type="dxa"/>
            <w:shd w:val="clear" w:color="auto" w:fill="auto"/>
            <w:vAlign w:val="center"/>
          </w:tcPr>
          <w:p w14:paraId="5DF7B67D">
            <w:pPr>
              <w:pStyle w:val="73"/>
              <w:adjustRightInd w:val="0"/>
              <w:snapToGrid w:val="0"/>
              <w:spacing w:line="260" w:lineRule="atLeast"/>
              <w:rPr>
                <w:rFonts w:cs="Times New Roman"/>
                <w:color w:val="auto"/>
                <w:szCs w:val="21"/>
                <w:highlight w:val="none"/>
                <w:lang w:val="en-US"/>
              </w:rPr>
            </w:pPr>
            <w:r>
              <w:rPr>
                <w:rFonts w:hint="eastAsia" w:cs="Times New Roman"/>
                <w:color w:val="auto"/>
                <w:kern w:val="0"/>
                <w:sz w:val="21"/>
                <w:szCs w:val="21"/>
                <w:highlight w:val="none"/>
                <w:lang w:val="en-US" w:eastAsia="zh-CN"/>
              </w:rPr>
              <w:t>8.2</w:t>
            </w:r>
            <w:r>
              <w:rPr>
                <w:rFonts w:cs="Times New Roman"/>
                <w:color w:val="auto"/>
                <w:kern w:val="0"/>
                <w:sz w:val="21"/>
                <w:szCs w:val="21"/>
                <w:highlight w:val="none"/>
              </w:rPr>
              <w:t>×10</w:t>
            </w:r>
            <w:r>
              <w:rPr>
                <w:rFonts w:cs="Times New Roman"/>
                <w:color w:val="auto"/>
                <w:kern w:val="0"/>
                <w:sz w:val="21"/>
                <w:szCs w:val="21"/>
                <w:highlight w:val="none"/>
                <w:vertAlign w:val="superscript"/>
              </w:rPr>
              <w:t>-4</w:t>
            </w:r>
          </w:p>
        </w:tc>
        <w:tc>
          <w:tcPr>
            <w:tcW w:w="1258" w:type="dxa"/>
            <w:shd w:val="clear" w:color="auto" w:fill="auto"/>
            <w:vAlign w:val="center"/>
          </w:tcPr>
          <w:p w14:paraId="58CEC47E">
            <w:pPr>
              <w:pStyle w:val="73"/>
              <w:adjustRightInd w:val="0"/>
              <w:snapToGrid w:val="0"/>
              <w:spacing w:line="260" w:lineRule="atLeast"/>
              <w:rPr>
                <w:rFonts w:hint="eastAsia" w:eastAsia="宋体" w:cs="Times New Roman"/>
                <w:color w:val="auto"/>
                <w:szCs w:val="21"/>
                <w:highlight w:val="none"/>
                <w:lang w:eastAsia="zh-CN"/>
              </w:rPr>
            </w:pPr>
            <w:r>
              <w:rPr>
                <w:rFonts w:hint="eastAsia" w:cs="Times New Roman"/>
                <w:color w:val="auto"/>
                <w:kern w:val="0"/>
                <w:sz w:val="21"/>
                <w:szCs w:val="21"/>
                <w:highlight w:val="none"/>
                <w:lang w:val="en-US" w:eastAsia="zh-CN"/>
              </w:rPr>
              <w:t>6.6</w:t>
            </w:r>
            <w:r>
              <w:rPr>
                <w:rFonts w:cs="Times New Roman"/>
                <w:color w:val="auto"/>
                <w:kern w:val="0"/>
                <w:sz w:val="21"/>
                <w:szCs w:val="21"/>
                <w:highlight w:val="no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6</w:t>
            </w:r>
          </w:p>
        </w:tc>
      </w:tr>
      <w:tr w14:paraId="4A2BC8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565" w:type="dxa"/>
            <w:shd w:val="clear" w:color="auto" w:fill="auto"/>
            <w:vAlign w:val="center"/>
          </w:tcPr>
          <w:p w14:paraId="013B3686">
            <w:pPr>
              <w:pStyle w:val="73"/>
              <w:adjustRightInd w:val="0"/>
              <w:snapToGrid w:val="0"/>
              <w:spacing w:line="260" w:lineRule="atLeast"/>
              <w:rPr>
                <w:rFonts w:cs="Times New Roman"/>
                <w:snapToGrid w:val="0"/>
                <w:color w:val="auto"/>
                <w:szCs w:val="21"/>
                <w:highlight w:val="none"/>
                <w:lang w:val="en-US"/>
              </w:rPr>
            </w:pPr>
            <w:r>
              <w:rPr>
                <w:rFonts w:cs="Times New Roman"/>
                <w:snapToGrid w:val="0"/>
                <w:color w:val="auto"/>
                <w:szCs w:val="21"/>
                <w:highlight w:val="none"/>
                <w:lang w:val="en-US"/>
              </w:rPr>
              <w:t>2</w:t>
            </w:r>
          </w:p>
        </w:tc>
        <w:tc>
          <w:tcPr>
            <w:tcW w:w="1287" w:type="dxa"/>
            <w:shd w:val="clear" w:color="auto" w:fill="auto"/>
            <w:vAlign w:val="center"/>
          </w:tcPr>
          <w:p w14:paraId="3ABAD729">
            <w:pPr>
              <w:pStyle w:val="73"/>
              <w:adjustRightInd w:val="0"/>
              <w:snapToGrid w:val="0"/>
              <w:spacing w:line="260" w:lineRule="atLeast"/>
              <w:rPr>
                <w:rFonts w:hint="default"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污水处理站</w:t>
            </w:r>
          </w:p>
        </w:tc>
        <w:tc>
          <w:tcPr>
            <w:tcW w:w="1042" w:type="dxa"/>
            <w:shd w:val="clear" w:color="auto" w:fill="auto"/>
            <w:vAlign w:val="center"/>
          </w:tcPr>
          <w:p w14:paraId="48B24B04">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w:t>
            </w:r>
          </w:p>
        </w:tc>
        <w:tc>
          <w:tcPr>
            <w:tcW w:w="1037" w:type="dxa"/>
            <w:shd w:val="clear" w:color="auto" w:fill="auto"/>
            <w:vAlign w:val="center"/>
          </w:tcPr>
          <w:p w14:paraId="3FA625CB">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1012" w:type="dxa"/>
            <w:shd w:val="clear" w:color="auto" w:fill="auto"/>
            <w:vAlign w:val="center"/>
          </w:tcPr>
          <w:p w14:paraId="6985ADD4">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170</w:t>
            </w:r>
          </w:p>
        </w:tc>
        <w:tc>
          <w:tcPr>
            <w:tcW w:w="913" w:type="dxa"/>
            <w:shd w:val="clear" w:color="auto" w:fill="auto"/>
            <w:vAlign w:val="center"/>
          </w:tcPr>
          <w:p w14:paraId="519AE625">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w:t>
            </w:r>
          </w:p>
        </w:tc>
        <w:tc>
          <w:tcPr>
            <w:tcW w:w="910" w:type="dxa"/>
            <w:shd w:val="clear" w:color="auto" w:fill="auto"/>
            <w:vAlign w:val="center"/>
          </w:tcPr>
          <w:p w14:paraId="0D818B1F">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1217" w:type="dxa"/>
            <w:shd w:val="clear" w:color="auto" w:fill="auto"/>
            <w:vAlign w:val="center"/>
          </w:tcPr>
          <w:p w14:paraId="73715D9F">
            <w:pPr>
              <w:pStyle w:val="73"/>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0</w:t>
            </w:r>
          </w:p>
        </w:tc>
        <w:tc>
          <w:tcPr>
            <w:tcW w:w="1027" w:type="dxa"/>
            <w:shd w:val="clear" w:color="auto" w:fill="auto"/>
            <w:vAlign w:val="center"/>
          </w:tcPr>
          <w:p w14:paraId="4C2BCE0E">
            <w:pPr>
              <w:pStyle w:val="73"/>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3</w:t>
            </w:r>
          </w:p>
        </w:tc>
        <w:tc>
          <w:tcPr>
            <w:tcW w:w="1131" w:type="dxa"/>
            <w:shd w:val="clear" w:color="auto" w:fill="auto"/>
            <w:vAlign w:val="center"/>
          </w:tcPr>
          <w:p w14:paraId="5AA2EEDD">
            <w:pPr>
              <w:pStyle w:val="73"/>
              <w:adjustRightInd w:val="0"/>
              <w:snapToGrid w:val="0"/>
              <w:spacing w:line="260" w:lineRule="atLeast"/>
              <w:rPr>
                <w:rFonts w:hint="default"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7200</w:t>
            </w:r>
          </w:p>
        </w:tc>
        <w:tc>
          <w:tcPr>
            <w:tcW w:w="693" w:type="dxa"/>
            <w:shd w:val="clear" w:color="auto" w:fill="auto"/>
            <w:vAlign w:val="center"/>
          </w:tcPr>
          <w:p w14:paraId="3B743D0F">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正常</w:t>
            </w:r>
          </w:p>
        </w:tc>
        <w:tc>
          <w:tcPr>
            <w:tcW w:w="1258" w:type="dxa"/>
            <w:shd w:val="clear" w:color="auto" w:fill="auto"/>
            <w:vAlign w:val="center"/>
          </w:tcPr>
          <w:p w14:paraId="017845CC">
            <w:pPr>
              <w:pStyle w:val="73"/>
              <w:adjustRightInd w:val="0"/>
              <w:snapToGrid w:val="0"/>
              <w:spacing w:line="260" w:lineRule="atLeast"/>
              <w:rPr>
                <w:rFonts w:cs="Times New Roman"/>
                <w:color w:val="auto"/>
                <w:szCs w:val="21"/>
                <w:highlight w:val="none"/>
                <w:lang w:val="en-US"/>
              </w:rPr>
            </w:pPr>
            <w:r>
              <w:rPr>
                <w:rFonts w:hint="eastAsia" w:cs="Times New Roman"/>
                <w:color w:val="auto"/>
                <w:sz w:val="21"/>
                <w:szCs w:val="21"/>
                <w:highlight w:val="none"/>
                <w:lang w:val="en-US" w:eastAsia="zh-CN"/>
              </w:rPr>
              <w:t>9.8</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1258" w:type="dxa"/>
            <w:shd w:val="clear" w:color="auto" w:fill="auto"/>
            <w:vAlign w:val="center"/>
          </w:tcPr>
          <w:p w14:paraId="711358AF">
            <w:pPr>
              <w:pStyle w:val="73"/>
              <w:adjustRightInd w:val="0"/>
              <w:snapToGrid w:val="0"/>
              <w:spacing w:line="260" w:lineRule="atLeast"/>
              <w:rPr>
                <w:rFonts w:cs="Times New Roman"/>
                <w:snapToGrid w:val="0"/>
                <w:color w:val="auto"/>
                <w:szCs w:val="21"/>
                <w:highlight w:val="none"/>
                <w:lang w:val="en-US"/>
              </w:rPr>
            </w:pPr>
            <w:r>
              <w:rPr>
                <w:rFonts w:hint="eastAsia" w:cs="Times New Roman"/>
                <w:color w:val="auto"/>
                <w:sz w:val="21"/>
                <w:szCs w:val="21"/>
                <w:highlight w:val="none"/>
                <w:lang w:val="en-US" w:eastAsia="zh-CN"/>
              </w:rPr>
              <w:t>8.4</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5</w:t>
            </w:r>
          </w:p>
        </w:tc>
      </w:tr>
      <w:tr w14:paraId="44A7E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565" w:type="dxa"/>
            <w:shd w:val="clear" w:color="auto" w:fill="auto"/>
            <w:vAlign w:val="center"/>
          </w:tcPr>
          <w:p w14:paraId="471CA89B">
            <w:pPr>
              <w:pStyle w:val="73"/>
              <w:adjustRightInd w:val="0"/>
              <w:snapToGrid w:val="0"/>
              <w:spacing w:line="260" w:lineRule="atLeast"/>
              <w:rPr>
                <w:rFonts w:hint="eastAsia"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3</w:t>
            </w:r>
          </w:p>
        </w:tc>
        <w:tc>
          <w:tcPr>
            <w:tcW w:w="1287" w:type="dxa"/>
            <w:shd w:val="clear" w:color="auto" w:fill="auto"/>
            <w:vAlign w:val="center"/>
          </w:tcPr>
          <w:p w14:paraId="66D5A0B7">
            <w:pPr>
              <w:pStyle w:val="73"/>
              <w:adjustRightInd w:val="0"/>
              <w:snapToGrid w:val="0"/>
              <w:spacing w:line="260" w:lineRule="atLeast"/>
              <w:rPr>
                <w:rFonts w:hint="eastAsia"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待宰圈</w:t>
            </w:r>
          </w:p>
        </w:tc>
        <w:tc>
          <w:tcPr>
            <w:tcW w:w="1042" w:type="dxa"/>
            <w:shd w:val="clear" w:color="auto" w:fill="auto"/>
            <w:vAlign w:val="center"/>
          </w:tcPr>
          <w:p w14:paraId="2DBA5932">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037" w:type="dxa"/>
            <w:shd w:val="clear" w:color="auto" w:fill="auto"/>
            <w:vAlign w:val="center"/>
          </w:tcPr>
          <w:p w14:paraId="249B5A27">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1012" w:type="dxa"/>
            <w:shd w:val="clear" w:color="auto" w:fill="auto"/>
            <w:vAlign w:val="center"/>
          </w:tcPr>
          <w:p w14:paraId="71F2CCFE">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175</w:t>
            </w:r>
          </w:p>
        </w:tc>
        <w:tc>
          <w:tcPr>
            <w:tcW w:w="913" w:type="dxa"/>
            <w:shd w:val="clear" w:color="auto" w:fill="auto"/>
            <w:vAlign w:val="center"/>
          </w:tcPr>
          <w:p w14:paraId="6BE72746">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910" w:type="dxa"/>
            <w:shd w:val="clear" w:color="auto" w:fill="auto"/>
            <w:vAlign w:val="center"/>
          </w:tcPr>
          <w:p w14:paraId="59442D93">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center"/>
              <w:textAlignment w:val="auto"/>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1217" w:type="dxa"/>
            <w:shd w:val="clear" w:color="auto" w:fill="auto"/>
            <w:vAlign w:val="center"/>
          </w:tcPr>
          <w:p w14:paraId="10102E13">
            <w:pPr>
              <w:pStyle w:val="73"/>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1</w:t>
            </w:r>
          </w:p>
        </w:tc>
        <w:tc>
          <w:tcPr>
            <w:tcW w:w="1027" w:type="dxa"/>
            <w:shd w:val="clear" w:color="auto" w:fill="auto"/>
            <w:vAlign w:val="center"/>
          </w:tcPr>
          <w:p w14:paraId="0D51540E">
            <w:pPr>
              <w:pStyle w:val="73"/>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3</w:t>
            </w:r>
          </w:p>
        </w:tc>
        <w:tc>
          <w:tcPr>
            <w:tcW w:w="1131" w:type="dxa"/>
            <w:shd w:val="clear" w:color="auto" w:fill="auto"/>
            <w:vAlign w:val="center"/>
          </w:tcPr>
          <w:p w14:paraId="53CDF305">
            <w:pPr>
              <w:pStyle w:val="73"/>
              <w:adjustRightInd w:val="0"/>
              <w:snapToGrid w:val="0"/>
              <w:spacing w:line="260" w:lineRule="atLeast"/>
              <w:rPr>
                <w:rFonts w:hint="default" w:eastAsia="宋体" w:cs="Times New Roman"/>
                <w:snapToGrid w:val="0"/>
                <w:color w:val="auto"/>
                <w:szCs w:val="21"/>
                <w:highlight w:val="none"/>
                <w:lang w:val="en-US" w:eastAsia="zh-CN"/>
              </w:rPr>
            </w:pPr>
            <w:r>
              <w:rPr>
                <w:rFonts w:hint="eastAsia" w:cs="Times New Roman"/>
                <w:snapToGrid w:val="0"/>
                <w:color w:val="auto"/>
                <w:szCs w:val="21"/>
                <w:highlight w:val="none"/>
                <w:lang w:val="en-US" w:eastAsia="zh-CN"/>
              </w:rPr>
              <w:t>4800</w:t>
            </w:r>
          </w:p>
        </w:tc>
        <w:tc>
          <w:tcPr>
            <w:tcW w:w="693" w:type="dxa"/>
            <w:shd w:val="clear" w:color="auto" w:fill="auto"/>
            <w:vAlign w:val="center"/>
          </w:tcPr>
          <w:p w14:paraId="1695B301">
            <w:pPr>
              <w:pStyle w:val="73"/>
              <w:adjustRightInd w:val="0"/>
              <w:snapToGrid w:val="0"/>
              <w:spacing w:line="260" w:lineRule="atLeast"/>
              <w:rPr>
                <w:rFonts w:cs="Times New Roman"/>
                <w:snapToGrid w:val="0"/>
                <w:color w:val="auto"/>
                <w:szCs w:val="21"/>
                <w:highlight w:val="none"/>
              </w:rPr>
            </w:pPr>
            <w:r>
              <w:rPr>
                <w:rFonts w:cs="Times New Roman"/>
                <w:snapToGrid w:val="0"/>
                <w:color w:val="auto"/>
                <w:szCs w:val="21"/>
                <w:highlight w:val="none"/>
              </w:rPr>
              <w:t>正常</w:t>
            </w:r>
          </w:p>
        </w:tc>
        <w:tc>
          <w:tcPr>
            <w:tcW w:w="1258" w:type="dxa"/>
            <w:shd w:val="clear" w:color="auto" w:fill="auto"/>
            <w:vAlign w:val="center"/>
          </w:tcPr>
          <w:p w14:paraId="3DD8652F">
            <w:pPr>
              <w:pStyle w:val="73"/>
              <w:adjustRightInd w:val="0"/>
              <w:snapToGrid w:val="0"/>
              <w:spacing w:line="260" w:lineRule="atLeast"/>
              <w:rPr>
                <w:rFonts w:cs="Times New Roman"/>
                <w:color w:val="auto"/>
                <w:szCs w:val="21"/>
                <w:highlight w:val="none"/>
                <w:lang w:val="en-US"/>
              </w:rPr>
            </w:pPr>
            <w:r>
              <w:rPr>
                <w:rFonts w:hint="eastAsia" w:cs="Times New Roman"/>
                <w:color w:val="auto"/>
                <w:szCs w:val="21"/>
                <w:highlight w:val="none"/>
                <w:lang w:val="en-US" w:eastAsia="zh-CN"/>
              </w:rPr>
              <w:t>2.5</w:t>
            </w:r>
            <w:r>
              <w:rPr>
                <w:rFonts w:cs="Times New Roman"/>
                <w:color w:val="auto"/>
                <w:szCs w:val="21"/>
                <w:highlight w:val="none"/>
              </w:rPr>
              <w:t>×10</w:t>
            </w:r>
            <w:r>
              <w:rPr>
                <w:rFonts w:cs="Times New Roman"/>
                <w:color w:val="auto"/>
                <w:szCs w:val="21"/>
                <w:highlight w:val="none"/>
                <w:vertAlign w:val="superscript"/>
              </w:rPr>
              <w:t>-</w:t>
            </w:r>
            <w:r>
              <w:rPr>
                <w:rFonts w:cs="Times New Roman"/>
                <w:color w:val="auto"/>
                <w:szCs w:val="21"/>
                <w:highlight w:val="none"/>
                <w:vertAlign w:val="superscript"/>
                <w:lang w:val="en-US"/>
              </w:rPr>
              <w:t>4</w:t>
            </w:r>
          </w:p>
        </w:tc>
        <w:tc>
          <w:tcPr>
            <w:tcW w:w="1258" w:type="dxa"/>
            <w:shd w:val="clear" w:color="auto" w:fill="auto"/>
            <w:vAlign w:val="center"/>
          </w:tcPr>
          <w:p w14:paraId="3938B9E2">
            <w:pPr>
              <w:pStyle w:val="73"/>
              <w:adjustRightInd w:val="0"/>
              <w:snapToGrid w:val="0"/>
              <w:spacing w:line="260" w:lineRule="atLeast"/>
              <w:rPr>
                <w:rFonts w:hint="eastAsia" w:eastAsia="宋体" w:cs="Times New Roman"/>
                <w:snapToGrid w:val="0"/>
                <w:color w:val="auto"/>
                <w:szCs w:val="21"/>
                <w:highlight w:val="none"/>
                <w:lang w:val="en-US" w:eastAsia="zh-CN"/>
              </w:rPr>
            </w:pPr>
            <w:r>
              <w:rPr>
                <w:rFonts w:hint="eastAsia" w:cs="Times New Roman"/>
                <w:color w:val="auto"/>
                <w:sz w:val="21"/>
                <w:szCs w:val="21"/>
                <w:highlight w:val="none"/>
                <w:lang w:val="en-US" w:eastAsia="zh-CN"/>
              </w:rPr>
              <w:t>2.5</w:t>
            </w:r>
            <w:r>
              <w:rPr>
                <w:rFonts w:cs="Times New Roman"/>
                <w:color w:val="auto"/>
                <w:sz w:val="21"/>
                <w:szCs w:val="21"/>
                <w:highlight w:val="none"/>
                <w:lang w:val="zh-CN"/>
              </w:rPr>
              <w:t>×10</w:t>
            </w:r>
            <w:r>
              <w:rPr>
                <w:rFonts w:cs="Times New Roman"/>
                <w:color w:val="auto"/>
                <w:sz w:val="21"/>
                <w:szCs w:val="21"/>
                <w:highlight w:val="none"/>
                <w:vertAlign w:val="superscript"/>
                <w:lang w:val="zh-CN"/>
              </w:rPr>
              <w:t>-</w:t>
            </w:r>
            <w:r>
              <w:rPr>
                <w:rFonts w:hint="eastAsia" w:cs="Times New Roman"/>
                <w:color w:val="auto"/>
                <w:sz w:val="21"/>
                <w:szCs w:val="21"/>
                <w:highlight w:val="none"/>
                <w:vertAlign w:val="superscript"/>
                <w:lang w:val="en-US" w:eastAsia="zh-CN"/>
              </w:rPr>
              <w:t>5</w:t>
            </w:r>
          </w:p>
        </w:tc>
      </w:tr>
    </w:tbl>
    <w:p w14:paraId="3980C86F">
      <w:pPr>
        <w:pStyle w:val="117"/>
        <w:adjustRightInd w:val="0"/>
        <w:snapToGrid w:val="0"/>
        <w:spacing w:line="240" w:lineRule="auto"/>
        <w:ind w:firstLine="0" w:firstLineChars="0"/>
        <w:rPr>
          <w:rFonts w:hint="eastAsia" w:eastAsia="宋体" w:cs="Times New Roman"/>
          <w:b/>
          <w:bCs/>
          <w:color w:val="auto"/>
          <w:sz w:val="21"/>
          <w:szCs w:val="21"/>
          <w:highlight w:val="none"/>
          <w:lang w:eastAsia="zh-CN"/>
        </w:rPr>
      </w:pPr>
      <w:r>
        <w:rPr>
          <w:rFonts w:cs="Times New Roman"/>
          <w:b/>
          <w:bCs/>
          <w:color w:val="auto"/>
          <w:sz w:val="21"/>
          <w:szCs w:val="21"/>
          <w:highlight w:val="none"/>
        </w:rPr>
        <w:t>注：</w:t>
      </w:r>
      <w:r>
        <w:rPr>
          <w:rFonts w:cs="Times New Roman"/>
          <w:b/>
          <w:bCs/>
          <w:color w:val="auto"/>
          <w:sz w:val="21"/>
          <w:szCs w:val="21"/>
          <w:highlight w:val="none"/>
        </w:rPr>
        <w:fldChar w:fldCharType="begin"/>
      </w:r>
      <w:r>
        <w:rPr>
          <w:rFonts w:cs="Times New Roman"/>
          <w:b/>
          <w:bCs/>
          <w:color w:val="auto"/>
          <w:sz w:val="21"/>
          <w:szCs w:val="21"/>
          <w:highlight w:val="none"/>
        </w:rPr>
        <w:instrText xml:space="preserve"> = 1 \* GB3 \* MERGEFORMAT </w:instrText>
      </w:r>
      <w:r>
        <w:rPr>
          <w:rFonts w:cs="Times New Roman"/>
          <w:b/>
          <w:bCs/>
          <w:color w:val="auto"/>
          <w:sz w:val="21"/>
          <w:szCs w:val="21"/>
          <w:highlight w:val="none"/>
        </w:rPr>
        <w:fldChar w:fldCharType="separate"/>
      </w:r>
      <w:r>
        <w:rPr>
          <w:rFonts w:cs="Times New Roman"/>
          <w:b/>
          <w:bCs/>
          <w:color w:val="auto"/>
          <w:sz w:val="21"/>
          <w:szCs w:val="21"/>
          <w:highlight w:val="none"/>
        </w:rPr>
        <w:t>①</w:t>
      </w:r>
      <w:r>
        <w:rPr>
          <w:rFonts w:cs="Times New Roman"/>
          <w:b/>
          <w:bCs/>
          <w:color w:val="auto"/>
          <w:sz w:val="21"/>
          <w:szCs w:val="21"/>
          <w:highlight w:val="none"/>
        </w:rPr>
        <w:fldChar w:fldCharType="end"/>
      </w:r>
      <w:r>
        <w:rPr>
          <w:rFonts w:cs="Times New Roman"/>
          <w:b/>
          <w:bCs/>
          <w:color w:val="auto"/>
          <w:sz w:val="21"/>
          <w:szCs w:val="21"/>
          <w:highlight w:val="none"/>
        </w:rPr>
        <w:t>生产车间高</w:t>
      </w:r>
      <w:r>
        <w:rPr>
          <w:rFonts w:hint="eastAsia" w:cs="Times New Roman"/>
          <w:b/>
          <w:bCs/>
          <w:color w:val="auto"/>
          <w:sz w:val="21"/>
          <w:szCs w:val="21"/>
          <w:highlight w:val="none"/>
          <w:lang w:val="en-US" w:eastAsia="zh-CN"/>
        </w:rPr>
        <w:t>12</w:t>
      </w:r>
      <w:r>
        <w:rPr>
          <w:rFonts w:cs="Times New Roman"/>
          <w:b/>
          <w:bCs/>
          <w:color w:val="auto"/>
          <w:sz w:val="21"/>
          <w:szCs w:val="21"/>
          <w:highlight w:val="none"/>
        </w:rPr>
        <w:t>m，因此屠宰车间无组织面源高度按</w:t>
      </w:r>
      <w:r>
        <w:rPr>
          <w:rFonts w:hint="eastAsia" w:cs="Times New Roman"/>
          <w:b/>
          <w:bCs/>
          <w:color w:val="auto"/>
          <w:sz w:val="21"/>
          <w:szCs w:val="21"/>
          <w:highlight w:val="none"/>
          <w:lang w:val="en-US" w:eastAsia="zh-CN"/>
        </w:rPr>
        <w:t>换气设施平均</w:t>
      </w:r>
      <w:r>
        <w:rPr>
          <w:rFonts w:cs="Times New Roman"/>
          <w:b/>
          <w:bCs/>
          <w:color w:val="auto"/>
          <w:sz w:val="21"/>
          <w:szCs w:val="21"/>
          <w:highlight w:val="none"/>
        </w:rPr>
        <w:t>高度进行取值，取</w:t>
      </w:r>
      <w:r>
        <w:rPr>
          <w:rFonts w:hint="eastAsia" w:cs="Times New Roman"/>
          <w:b/>
          <w:bCs/>
          <w:color w:val="auto"/>
          <w:sz w:val="21"/>
          <w:szCs w:val="21"/>
          <w:highlight w:val="none"/>
          <w:lang w:val="en-US" w:eastAsia="zh-CN"/>
        </w:rPr>
        <w:t>8</w:t>
      </w:r>
      <w:r>
        <w:rPr>
          <w:rFonts w:cs="Times New Roman"/>
          <w:b/>
          <w:bCs/>
          <w:color w:val="auto"/>
          <w:sz w:val="21"/>
          <w:szCs w:val="21"/>
          <w:highlight w:val="none"/>
        </w:rPr>
        <w:t>m；</w:t>
      </w:r>
      <w:r>
        <w:rPr>
          <w:rFonts w:hint="eastAsia" w:cs="Times New Roman"/>
          <w:b/>
          <w:bCs/>
          <w:color w:val="auto"/>
          <w:sz w:val="21"/>
          <w:szCs w:val="21"/>
          <w:highlight w:val="none"/>
          <w:lang w:val="en-US" w:eastAsia="zh-CN"/>
        </w:rPr>
        <w:t xml:space="preserve">  污水处理站</w:t>
      </w:r>
      <w:r>
        <w:rPr>
          <w:rFonts w:cs="Times New Roman"/>
          <w:b/>
          <w:bCs/>
          <w:color w:val="auto"/>
          <w:sz w:val="21"/>
          <w:szCs w:val="21"/>
          <w:highlight w:val="none"/>
        </w:rPr>
        <w:t>及</w:t>
      </w:r>
      <w:r>
        <w:rPr>
          <w:rFonts w:hint="eastAsia" w:cs="Times New Roman"/>
          <w:b/>
          <w:bCs/>
          <w:color w:val="auto"/>
          <w:sz w:val="21"/>
          <w:szCs w:val="21"/>
          <w:highlight w:val="none"/>
          <w:lang w:eastAsia="zh-CN"/>
        </w:rPr>
        <w:t>待宰圈</w:t>
      </w:r>
      <w:r>
        <w:rPr>
          <w:rFonts w:hint="eastAsia" w:cs="Times New Roman"/>
          <w:b/>
          <w:bCs/>
          <w:color w:val="auto"/>
          <w:sz w:val="21"/>
          <w:szCs w:val="21"/>
          <w:highlight w:val="none"/>
          <w:lang w:val="en-US" w:eastAsia="zh-CN"/>
        </w:rPr>
        <w:t>建设高度为5.5米，因此</w:t>
      </w:r>
      <w:r>
        <w:rPr>
          <w:rFonts w:cs="Times New Roman"/>
          <w:b/>
          <w:bCs/>
          <w:color w:val="auto"/>
          <w:sz w:val="21"/>
          <w:szCs w:val="21"/>
          <w:highlight w:val="none"/>
        </w:rPr>
        <w:t>无组织面源高度按</w:t>
      </w:r>
      <w:r>
        <w:rPr>
          <w:rFonts w:hint="eastAsia" w:cs="Times New Roman"/>
          <w:b/>
          <w:bCs/>
          <w:color w:val="auto"/>
          <w:sz w:val="21"/>
          <w:szCs w:val="21"/>
          <w:highlight w:val="none"/>
          <w:lang w:val="en-US" w:eastAsia="zh-CN"/>
        </w:rPr>
        <w:t>换气设施平均</w:t>
      </w:r>
      <w:r>
        <w:rPr>
          <w:rFonts w:cs="Times New Roman"/>
          <w:b/>
          <w:bCs/>
          <w:color w:val="auto"/>
          <w:sz w:val="21"/>
          <w:szCs w:val="21"/>
          <w:highlight w:val="none"/>
        </w:rPr>
        <w:t>高度进行取值，取</w:t>
      </w:r>
      <w:r>
        <w:rPr>
          <w:rFonts w:hint="eastAsia" w:cs="Times New Roman"/>
          <w:b/>
          <w:bCs/>
          <w:color w:val="auto"/>
          <w:sz w:val="21"/>
          <w:szCs w:val="21"/>
          <w:highlight w:val="none"/>
          <w:lang w:val="en-US" w:eastAsia="zh-CN"/>
        </w:rPr>
        <w:t>3</w:t>
      </w:r>
      <w:r>
        <w:rPr>
          <w:rFonts w:cs="Times New Roman"/>
          <w:b/>
          <w:bCs/>
          <w:color w:val="auto"/>
          <w:sz w:val="21"/>
          <w:szCs w:val="21"/>
          <w:highlight w:val="none"/>
        </w:rPr>
        <w:t>m</w:t>
      </w:r>
      <w:r>
        <w:rPr>
          <w:rFonts w:hint="eastAsia" w:cs="Times New Roman"/>
          <w:b/>
          <w:bCs/>
          <w:color w:val="auto"/>
          <w:sz w:val="21"/>
          <w:szCs w:val="21"/>
          <w:highlight w:val="none"/>
          <w:lang w:eastAsia="zh-CN"/>
        </w:rPr>
        <w:t>。</w:t>
      </w:r>
    </w:p>
    <w:p w14:paraId="6F0FBD55">
      <w:pPr>
        <w:pStyle w:val="66"/>
        <w:rPr>
          <w:rFonts w:cs="Times New Roman"/>
          <w:snapToGrid w:val="0"/>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1B7E4CC4">
      <w:pPr>
        <w:pStyle w:val="66"/>
        <w:spacing w:line="240" w:lineRule="auto"/>
        <w:rPr>
          <w:rFonts w:eastAsia="宋体" w:cs="Times New Roman"/>
          <w:b/>
          <w:bCs/>
          <w:snapToGrid w:val="0"/>
          <w:color w:val="auto"/>
          <w:szCs w:val="24"/>
          <w:highlight w:val="none"/>
          <w:lang w:val="en-US"/>
        </w:rPr>
      </w:pPr>
      <w:r>
        <w:rPr>
          <w:rFonts w:eastAsia="宋体" w:cs="Times New Roman"/>
          <w:b/>
          <w:bCs/>
          <w:snapToGrid w:val="0"/>
          <w:color w:val="auto"/>
          <w:szCs w:val="24"/>
          <w:highlight w:val="none"/>
          <w:lang w:val="en-US"/>
        </w:rPr>
        <w:t>表2-3-6  主要污染源估算模型计算结果见表</w:t>
      </w:r>
    </w:p>
    <w:tbl>
      <w:tblPr>
        <w:tblStyle w:val="47"/>
        <w:tblW w:w="498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886"/>
        <w:gridCol w:w="1267"/>
        <w:gridCol w:w="1340"/>
        <w:gridCol w:w="1177"/>
        <w:gridCol w:w="917"/>
        <w:gridCol w:w="1072"/>
        <w:gridCol w:w="760"/>
      </w:tblGrid>
      <w:tr w14:paraId="782511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2" w:hRule="atLeast"/>
          <w:jc w:val="center"/>
        </w:trPr>
        <w:tc>
          <w:tcPr>
            <w:tcW w:w="1154" w:type="pct"/>
            <w:gridSpan w:val="2"/>
            <w:vAlign w:val="center"/>
          </w:tcPr>
          <w:p w14:paraId="516F999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745" w:type="pct"/>
            <w:vAlign w:val="center"/>
          </w:tcPr>
          <w:p w14:paraId="205940D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环境质量标准</w:t>
            </w:r>
            <w:r>
              <w:rPr>
                <w:rFonts w:cs="Times New Roman"/>
                <w:color w:val="auto"/>
                <w:sz w:val="21"/>
                <w:szCs w:val="21"/>
                <w:highlight w:val="none"/>
                <w:lang w:val="en-GB"/>
              </w:rPr>
              <w:t>（</w:t>
            </w:r>
            <w:r>
              <w:rPr>
                <w:rFonts w:cs="Times New Roman"/>
                <w:snapToGrid w:val="0"/>
                <w:color w:val="auto"/>
                <w:kern w:val="0"/>
                <w:sz w:val="21"/>
                <w:szCs w:val="21"/>
                <w:highlight w:val="none"/>
              </w:rPr>
              <w:t>m</w:t>
            </w:r>
            <w:r>
              <w:rPr>
                <w:rFonts w:cs="Times New Roman"/>
                <w:color w:val="auto"/>
                <w:sz w:val="21"/>
                <w:szCs w:val="21"/>
                <w:highlight w:val="none"/>
              </w:rPr>
              <w:t>g/m</w:t>
            </w:r>
            <w:r>
              <w:rPr>
                <w:rFonts w:cs="Times New Roman"/>
                <w:color w:val="auto"/>
                <w:sz w:val="21"/>
                <w:szCs w:val="21"/>
                <w:highlight w:val="none"/>
                <w:vertAlign w:val="superscript"/>
              </w:rPr>
              <w:t>3</w:t>
            </w:r>
            <w:r>
              <w:rPr>
                <w:rFonts w:cs="Times New Roman"/>
                <w:color w:val="auto"/>
                <w:sz w:val="21"/>
                <w:szCs w:val="21"/>
                <w:highlight w:val="none"/>
                <w:lang w:val="en-GB"/>
              </w:rPr>
              <w:t>）</w:t>
            </w:r>
          </w:p>
        </w:tc>
        <w:tc>
          <w:tcPr>
            <w:tcW w:w="788" w:type="pct"/>
            <w:vAlign w:val="center"/>
          </w:tcPr>
          <w:p w14:paraId="62EE4AE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预测下风向最大质量浓度</w:t>
            </w:r>
            <w:r>
              <w:rPr>
                <w:rFonts w:cs="Times New Roman"/>
                <w:color w:val="auto"/>
                <w:sz w:val="21"/>
                <w:szCs w:val="21"/>
                <w:highlight w:val="none"/>
                <w:lang w:val="en-GB"/>
              </w:rPr>
              <w:t>（</w:t>
            </w:r>
            <w:r>
              <w:rPr>
                <w:rFonts w:cs="Times New Roman"/>
                <w:snapToGrid w:val="0"/>
                <w:color w:val="auto"/>
                <w:kern w:val="0"/>
                <w:sz w:val="21"/>
                <w:szCs w:val="21"/>
                <w:highlight w:val="none"/>
              </w:rPr>
              <w:t>m</w:t>
            </w:r>
            <w:r>
              <w:rPr>
                <w:rFonts w:cs="Times New Roman"/>
                <w:color w:val="auto"/>
                <w:sz w:val="21"/>
                <w:szCs w:val="21"/>
                <w:highlight w:val="none"/>
              </w:rPr>
              <w:t>g/m</w:t>
            </w:r>
            <w:r>
              <w:rPr>
                <w:rFonts w:cs="Times New Roman"/>
                <w:color w:val="auto"/>
                <w:sz w:val="21"/>
                <w:szCs w:val="21"/>
                <w:highlight w:val="none"/>
                <w:vertAlign w:val="superscript"/>
              </w:rPr>
              <w:t>3</w:t>
            </w:r>
            <w:r>
              <w:rPr>
                <w:rFonts w:cs="Times New Roman"/>
                <w:color w:val="auto"/>
                <w:sz w:val="21"/>
                <w:szCs w:val="21"/>
                <w:highlight w:val="none"/>
                <w:lang w:val="en-GB"/>
              </w:rPr>
              <w:t>）</w:t>
            </w:r>
          </w:p>
        </w:tc>
        <w:tc>
          <w:tcPr>
            <w:tcW w:w="692" w:type="pct"/>
            <w:vAlign w:val="center"/>
          </w:tcPr>
          <w:p w14:paraId="5693FC49">
            <w:pPr>
              <w:spacing w:line="360" w:lineRule="exact"/>
              <w:ind w:firstLine="0" w:firstLineChars="0"/>
              <w:jc w:val="center"/>
              <w:rPr>
                <w:rFonts w:cs="Times New Roman"/>
                <w:color w:val="auto"/>
                <w:sz w:val="21"/>
                <w:szCs w:val="21"/>
                <w:highlight w:val="none"/>
              </w:rPr>
            </w:pPr>
            <w:r>
              <w:rPr>
                <w:rFonts w:cs="Times New Roman"/>
                <w:snapToGrid w:val="0"/>
                <w:color w:val="auto"/>
                <w:kern w:val="0"/>
                <w:sz w:val="21"/>
                <w:szCs w:val="21"/>
                <w:highlight w:val="none"/>
              </w:rPr>
              <w:t>D10%最远距离（m）</w:t>
            </w:r>
          </w:p>
        </w:tc>
        <w:tc>
          <w:tcPr>
            <w:tcW w:w="539" w:type="pct"/>
            <w:vAlign w:val="center"/>
          </w:tcPr>
          <w:p w14:paraId="73FA02D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占标率（%）</w:t>
            </w:r>
          </w:p>
        </w:tc>
        <w:tc>
          <w:tcPr>
            <w:tcW w:w="630" w:type="pct"/>
            <w:vAlign w:val="center"/>
          </w:tcPr>
          <w:p w14:paraId="0C3643B9">
            <w:pPr>
              <w:spacing w:line="360" w:lineRule="exact"/>
              <w:ind w:firstLine="0" w:firstLineChars="0"/>
              <w:contextualSpacing/>
              <w:jc w:val="center"/>
              <w:rPr>
                <w:rFonts w:cs="Times New Roman"/>
                <w:color w:val="auto"/>
                <w:sz w:val="21"/>
                <w:szCs w:val="21"/>
                <w:highlight w:val="none"/>
              </w:rPr>
            </w:pPr>
            <w:r>
              <w:rPr>
                <w:rFonts w:cs="Times New Roman"/>
                <w:color w:val="auto"/>
                <w:kern w:val="0"/>
                <w:sz w:val="21"/>
                <w:szCs w:val="21"/>
                <w:highlight w:val="none"/>
              </w:rPr>
              <w:t>最大浓度出现距离（m）</w:t>
            </w:r>
          </w:p>
        </w:tc>
        <w:tc>
          <w:tcPr>
            <w:tcW w:w="447" w:type="pct"/>
            <w:vAlign w:val="center"/>
          </w:tcPr>
          <w:p w14:paraId="181A1621">
            <w:pPr>
              <w:spacing w:line="360" w:lineRule="exact"/>
              <w:ind w:firstLine="0" w:firstLineChars="0"/>
              <w:contextualSpacing/>
              <w:jc w:val="center"/>
              <w:rPr>
                <w:rFonts w:cs="Times New Roman"/>
                <w:color w:val="auto"/>
                <w:kern w:val="0"/>
                <w:sz w:val="21"/>
                <w:szCs w:val="21"/>
                <w:highlight w:val="none"/>
              </w:rPr>
            </w:pPr>
            <w:r>
              <w:rPr>
                <w:rFonts w:cs="Times New Roman"/>
                <w:color w:val="auto"/>
                <w:kern w:val="0"/>
                <w:sz w:val="21"/>
                <w:szCs w:val="21"/>
                <w:highlight w:val="none"/>
              </w:rPr>
              <w:t>评价</w:t>
            </w:r>
          </w:p>
          <w:p w14:paraId="5DB18D5C">
            <w:pPr>
              <w:spacing w:line="360" w:lineRule="exact"/>
              <w:ind w:firstLine="0" w:firstLineChars="0"/>
              <w:contextualSpacing/>
              <w:jc w:val="center"/>
              <w:rPr>
                <w:rFonts w:cs="Times New Roman"/>
                <w:color w:val="auto"/>
                <w:sz w:val="21"/>
                <w:szCs w:val="21"/>
                <w:highlight w:val="none"/>
              </w:rPr>
            </w:pPr>
            <w:r>
              <w:rPr>
                <w:rFonts w:cs="Times New Roman"/>
                <w:color w:val="auto"/>
                <w:kern w:val="0"/>
                <w:sz w:val="21"/>
                <w:szCs w:val="21"/>
                <w:highlight w:val="none"/>
              </w:rPr>
              <w:t>等级</w:t>
            </w:r>
          </w:p>
        </w:tc>
      </w:tr>
      <w:tr w14:paraId="1D35EF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33" w:type="pct"/>
            <w:vMerge w:val="restart"/>
            <w:vAlign w:val="center"/>
          </w:tcPr>
          <w:p w14:paraId="476D53DF">
            <w:pPr>
              <w:spacing w:line="360" w:lineRule="exact"/>
              <w:ind w:firstLine="0" w:firstLineChars="0"/>
              <w:jc w:val="center"/>
              <w:rPr>
                <w:rFonts w:cs="Times New Roman"/>
                <w:color w:val="auto"/>
                <w:sz w:val="21"/>
                <w:szCs w:val="21"/>
                <w:highlight w:val="none"/>
              </w:rPr>
            </w:pPr>
            <w:r>
              <w:rPr>
                <w:rFonts w:cs="Times New Roman"/>
                <w:snapToGrid w:val="0"/>
                <w:color w:val="auto"/>
                <w:sz w:val="21"/>
                <w:szCs w:val="21"/>
                <w:highlight w:val="none"/>
              </w:rPr>
              <w:t>DA001</w:t>
            </w:r>
          </w:p>
        </w:tc>
        <w:tc>
          <w:tcPr>
            <w:tcW w:w="521" w:type="pct"/>
            <w:vAlign w:val="center"/>
          </w:tcPr>
          <w:p w14:paraId="1C6F4010">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745" w:type="pct"/>
            <w:vAlign w:val="center"/>
          </w:tcPr>
          <w:p w14:paraId="0C569ED0">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200.0</w:t>
            </w:r>
          </w:p>
        </w:tc>
        <w:tc>
          <w:tcPr>
            <w:tcW w:w="788" w:type="pct"/>
            <w:vAlign w:val="center"/>
          </w:tcPr>
          <w:p w14:paraId="53666964">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2.06E-03</w:t>
            </w:r>
          </w:p>
        </w:tc>
        <w:tc>
          <w:tcPr>
            <w:tcW w:w="692" w:type="pct"/>
            <w:vAlign w:val="center"/>
          </w:tcPr>
          <w:p w14:paraId="0D74DB4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539" w:type="pct"/>
            <w:vAlign w:val="center"/>
          </w:tcPr>
          <w:p w14:paraId="319F59F1">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1.60</w:t>
            </w:r>
          </w:p>
        </w:tc>
        <w:tc>
          <w:tcPr>
            <w:tcW w:w="630" w:type="pct"/>
            <w:vMerge w:val="restart"/>
            <w:vAlign w:val="center"/>
          </w:tcPr>
          <w:p w14:paraId="6635B4A9">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w:t>
            </w:r>
          </w:p>
        </w:tc>
        <w:tc>
          <w:tcPr>
            <w:tcW w:w="447" w:type="pct"/>
            <w:vMerge w:val="restart"/>
            <w:vAlign w:val="center"/>
          </w:tcPr>
          <w:p w14:paraId="5861D849">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二</w:t>
            </w:r>
            <w:r>
              <w:rPr>
                <w:rFonts w:cs="Times New Roman"/>
                <w:color w:val="auto"/>
                <w:sz w:val="21"/>
                <w:szCs w:val="21"/>
                <w:highlight w:val="none"/>
              </w:rPr>
              <w:t>级</w:t>
            </w:r>
          </w:p>
        </w:tc>
      </w:tr>
      <w:tr w14:paraId="17365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33" w:type="pct"/>
            <w:vMerge w:val="continue"/>
            <w:vAlign w:val="center"/>
          </w:tcPr>
          <w:p w14:paraId="53E828BE">
            <w:pPr>
              <w:spacing w:line="360" w:lineRule="exact"/>
              <w:ind w:firstLine="0" w:firstLineChars="0"/>
              <w:jc w:val="center"/>
              <w:rPr>
                <w:rFonts w:cs="Times New Roman"/>
                <w:color w:val="auto"/>
                <w:sz w:val="21"/>
                <w:szCs w:val="21"/>
                <w:highlight w:val="none"/>
              </w:rPr>
            </w:pPr>
          </w:p>
        </w:tc>
        <w:tc>
          <w:tcPr>
            <w:tcW w:w="521" w:type="pct"/>
            <w:vAlign w:val="center"/>
          </w:tcPr>
          <w:p w14:paraId="405B117F">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745" w:type="pct"/>
            <w:vAlign w:val="center"/>
          </w:tcPr>
          <w:p w14:paraId="7AA1A6FD">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10.0</w:t>
            </w:r>
          </w:p>
        </w:tc>
        <w:tc>
          <w:tcPr>
            <w:tcW w:w="788" w:type="pct"/>
            <w:vAlign w:val="center"/>
          </w:tcPr>
          <w:p w14:paraId="5CEF9C08">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1.64E-05</w:t>
            </w:r>
          </w:p>
        </w:tc>
        <w:tc>
          <w:tcPr>
            <w:tcW w:w="692" w:type="pct"/>
            <w:vAlign w:val="center"/>
          </w:tcPr>
          <w:p w14:paraId="4CD1C1C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539" w:type="pct"/>
            <w:vAlign w:val="center"/>
          </w:tcPr>
          <w:p w14:paraId="77272D1A">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0.26</w:t>
            </w:r>
          </w:p>
        </w:tc>
        <w:tc>
          <w:tcPr>
            <w:tcW w:w="630" w:type="pct"/>
            <w:vMerge w:val="continue"/>
            <w:vAlign w:val="center"/>
          </w:tcPr>
          <w:p w14:paraId="496C06C5">
            <w:pPr>
              <w:spacing w:line="360" w:lineRule="exact"/>
              <w:ind w:firstLine="0" w:firstLineChars="0"/>
              <w:jc w:val="center"/>
              <w:rPr>
                <w:rFonts w:cs="Times New Roman"/>
                <w:color w:val="auto"/>
                <w:sz w:val="21"/>
                <w:szCs w:val="21"/>
                <w:highlight w:val="none"/>
              </w:rPr>
            </w:pPr>
          </w:p>
        </w:tc>
        <w:tc>
          <w:tcPr>
            <w:tcW w:w="447" w:type="pct"/>
            <w:vMerge w:val="continue"/>
            <w:vAlign w:val="center"/>
          </w:tcPr>
          <w:p w14:paraId="154BFB57">
            <w:pPr>
              <w:spacing w:line="360" w:lineRule="exact"/>
              <w:ind w:firstLine="0" w:firstLineChars="0"/>
              <w:jc w:val="center"/>
              <w:rPr>
                <w:rFonts w:cs="Times New Roman"/>
                <w:color w:val="auto"/>
                <w:sz w:val="21"/>
                <w:szCs w:val="21"/>
                <w:highlight w:val="none"/>
              </w:rPr>
            </w:pPr>
          </w:p>
        </w:tc>
      </w:tr>
      <w:tr w14:paraId="238DA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33" w:type="pct"/>
            <w:vMerge w:val="restart"/>
            <w:vAlign w:val="center"/>
          </w:tcPr>
          <w:p w14:paraId="517B87A5">
            <w:pPr>
              <w:spacing w:line="360" w:lineRule="exact"/>
              <w:ind w:firstLine="0" w:firstLineChars="0"/>
              <w:jc w:val="center"/>
              <w:rPr>
                <w:rFonts w:cs="Times New Roman"/>
                <w:color w:val="auto"/>
                <w:sz w:val="21"/>
                <w:szCs w:val="21"/>
                <w:highlight w:val="none"/>
              </w:rPr>
            </w:pPr>
            <w:r>
              <w:rPr>
                <w:rFonts w:cs="Times New Roman"/>
                <w:snapToGrid w:val="0"/>
                <w:color w:val="auto"/>
                <w:sz w:val="21"/>
                <w:szCs w:val="21"/>
                <w:highlight w:val="none"/>
              </w:rPr>
              <w:t>DA002</w:t>
            </w:r>
          </w:p>
        </w:tc>
        <w:tc>
          <w:tcPr>
            <w:tcW w:w="521" w:type="pct"/>
            <w:vAlign w:val="center"/>
          </w:tcPr>
          <w:p w14:paraId="1F3AE6E5">
            <w:pPr>
              <w:pStyle w:val="73"/>
              <w:adjustRightInd w:val="0"/>
              <w:snapToGrid w:val="0"/>
              <w:rPr>
                <w:rFonts w:cs="Times New Roman"/>
                <w:snapToGrid w:val="0"/>
                <w:color w:val="auto"/>
                <w:szCs w:val="21"/>
                <w:highlight w:val="none"/>
                <w:lang w:val="en-US"/>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745" w:type="pct"/>
            <w:vAlign w:val="center"/>
          </w:tcPr>
          <w:p w14:paraId="1C480242">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200.0</w:t>
            </w:r>
          </w:p>
        </w:tc>
        <w:tc>
          <w:tcPr>
            <w:tcW w:w="788" w:type="pct"/>
            <w:vAlign w:val="center"/>
          </w:tcPr>
          <w:p w14:paraId="655118D6">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2.47E-03</w:t>
            </w:r>
          </w:p>
        </w:tc>
        <w:tc>
          <w:tcPr>
            <w:tcW w:w="692" w:type="pct"/>
            <w:vAlign w:val="center"/>
          </w:tcPr>
          <w:p w14:paraId="268A38A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539" w:type="pct"/>
            <w:vAlign w:val="center"/>
          </w:tcPr>
          <w:p w14:paraId="1CA3F170">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1.96</w:t>
            </w:r>
          </w:p>
        </w:tc>
        <w:tc>
          <w:tcPr>
            <w:tcW w:w="630" w:type="pct"/>
            <w:vMerge w:val="restart"/>
            <w:vAlign w:val="center"/>
          </w:tcPr>
          <w:p w14:paraId="360D3ED1">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w:t>
            </w:r>
          </w:p>
        </w:tc>
        <w:tc>
          <w:tcPr>
            <w:tcW w:w="447" w:type="pct"/>
            <w:vMerge w:val="restart"/>
            <w:vAlign w:val="center"/>
          </w:tcPr>
          <w:p w14:paraId="4CD12D48">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二</w:t>
            </w:r>
            <w:r>
              <w:rPr>
                <w:rFonts w:cs="Times New Roman"/>
                <w:color w:val="auto"/>
                <w:sz w:val="21"/>
                <w:szCs w:val="21"/>
                <w:highlight w:val="none"/>
              </w:rPr>
              <w:t>级</w:t>
            </w:r>
          </w:p>
        </w:tc>
      </w:tr>
      <w:tr w14:paraId="3F36CE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33" w:type="pct"/>
            <w:vMerge w:val="continue"/>
            <w:vAlign w:val="center"/>
          </w:tcPr>
          <w:p w14:paraId="3B0D749A">
            <w:pPr>
              <w:spacing w:line="360" w:lineRule="exact"/>
              <w:ind w:firstLine="0" w:firstLineChars="0"/>
              <w:jc w:val="center"/>
              <w:rPr>
                <w:rFonts w:cs="Times New Roman"/>
                <w:color w:val="auto"/>
                <w:sz w:val="21"/>
                <w:szCs w:val="21"/>
                <w:highlight w:val="none"/>
              </w:rPr>
            </w:pPr>
          </w:p>
        </w:tc>
        <w:tc>
          <w:tcPr>
            <w:tcW w:w="521" w:type="pct"/>
            <w:vAlign w:val="center"/>
          </w:tcPr>
          <w:p w14:paraId="29A50301">
            <w:pPr>
              <w:pStyle w:val="73"/>
              <w:adjustRightInd w:val="0"/>
              <w:snapToGrid w:val="0"/>
              <w:rPr>
                <w:rFonts w:cs="Times New Roman"/>
                <w:snapToGrid w:val="0"/>
                <w:color w:val="auto"/>
                <w:szCs w:val="21"/>
                <w:highlight w:val="none"/>
                <w:lang w:val="en-US"/>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745" w:type="pct"/>
            <w:vAlign w:val="center"/>
          </w:tcPr>
          <w:p w14:paraId="5C11154F">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10.0</w:t>
            </w:r>
          </w:p>
        </w:tc>
        <w:tc>
          <w:tcPr>
            <w:tcW w:w="788" w:type="pct"/>
            <w:vAlign w:val="center"/>
          </w:tcPr>
          <w:p w14:paraId="0DA268A0">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2.33E-04</w:t>
            </w:r>
          </w:p>
        </w:tc>
        <w:tc>
          <w:tcPr>
            <w:tcW w:w="692" w:type="pct"/>
            <w:vAlign w:val="center"/>
          </w:tcPr>
          <w:p w14:paraId="60BBE66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539" w:type="pct"/>
            <w:vAlign w:val="center"/>
          </w:tcPr>
          <w:p w14:paraId="38B0BA63">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3.70</w:t>
            </w:r>
          </w:p>
        </w:tc>
        <w:tc>
          <w:tcPr>
            <w:tcW w:w="630" w:type="pct"/>
            <w:vMerge w:val="continue"/>
            <w:vAlign w:val="center"/>
          </w:tcPr>
          <w:p w14:paraId="14FEDC12">
            <w:pPr>
              <w:spacing w:line="360" w:lineRule="exact"/>
              <w:ind w:firstLine="0" w:firstLineChars="0"/>
              <w:jc w:val="center"/>
              <w:rPr>
                <w:rFonts w:cs="Times New Roman"/>
                <w:color w:val="auto"/>
                <w:sz w:val="21"/>
                <w:szCs w:val="21"/>
                <w:highlight w:val="none"/>
              </w:rPr>
            </w:pPr>
          </w:p>
        </w:tc>
        <w:tc>
          <w:tcPr>
            <w:tcW w:w="447" w:type="pct"/>
            <w:vMerge w:val="continue"/>
            <w:vAlign w:val="center"/>
          </w:tcPr>
          <w:p w14:paraId="7FBB36C5">
            <w:pPr>
              <w:spacing w:line="360" w:lineRule="exact"/>
              <w:ind w:firstLine="0" w:firstLineChars="0"/>
              <w:jc w:val="center"/>
              <w:rPr>
                <w:rFonts w:cs="Times New Roman"/>
                <w:color w:val="auto"/>
                <w:sz w:val="21"/>
                <w:szCs w:val="21"/>
                <w:highlight w:val="none"/>
              </w:rPr>
            </w:pPr>
          </w:p>
        </w:tc>
      </w:tr>
      <w:tr w14:paraId="213D0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9" w:hRule="atLeast"/>
          <w:jc w:val="center"/>
        </w:trPr>
        <w:tc>
          <w:tcPr>
            <w:tcW w:w="633" w:type="pct"/>
            <w:vMerge w:val="restart"/>
            <w:vAlign w:val="center"/>
          </w:tcPr>
          <w:p w14:paraId="7165DF10">
            <w:pPr>
              <w:pStyle w:val="73"/>
              <w:adjustRightInd w:val="0"/>
              <w:snapToGrid w:val="0"/>
              <w:rPr>
                <w:rFonts w:hint="default" w:cs="Times New Roman"/>
                <w:color w:val="auto"/>
                <w:szCs w:val="21"/>
                <w:highlight w:val="none"/>
                <w:lang w:val="en-US"/>
              </w:rPr>
            </w:pPr>
            <w:r>
              <w:rPr>
                <w:rFonts w:cs="Times New Roman"/>
                <w:color w:val="auto"/>
                <w:sz w:val="21"/>
                <w:szCs w:val="21"/>
                <w:highlight w:val="none"/>
              </w:rPr>
              <w:t>屠宰车间、</w:t>
            </w:r>
            <w:r>
              <w:rPr>
                <w:rFonts w:hint="eastAsia" w:cs="Times New Roman"/>
                <w:color w:val="auto"/>
                <w:sz w:val="21"/>
                <w:szCs w:val="21"/>
                <w:highlight w:val="none"/>
                <w:lang w:val="en-US" w:eastAsia="zh-CN"/>
              </w:rPr>
              <w:t>急宰间、隔离间及固体废物暂存间无组织</w:t>
            </w:r>
          </w:p>
        </w:tc>
        <w:tc>
          <w:tcPr>
            <w:tcW w:w="521" w:type="pct"/>
            <w:vAlign w:val="center"/>
          </w:tcPr>
          <w:p w14:paraId="52752DE1">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745" w:type="pct"/>
            <w:vAlign w:val="center"/>
          </w:tcPr>
          <w:p w14:paraId="3CF79C15">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200.0</w:t>
            </w:r>
          </w:p>
        </w:tc>
        <w:tc>
          <w:tcPr>
            <w:tcW w:w="788" w:type="pct"/>
            <w:vAlign w:val="center"/>
          </w:tcPr>
          <w:p w14:paraId="3934C85F">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2.28E-04</w:t>
            </w:r>
          </w:p>
        </w:tc>
        <w:tc>
          <w:tcPr>
            <w:tcW w:w="692" w:type="pct"/>
            <w:vAlign w:val="center"/>
          </w:tcPr>
          <w:p w14:paraId="162729A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539" w:type="pct"/>
            <w:vAlign w:val="center"/>
          </w:tcPr>
          <w:p w14:paraId="68656058">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0.47</w:t>
            </w:r>
          </w:p>
        </w:tc>
        <w:tc>
          <w:tcPr>
            <w:tcW w:w="630" w:type="pct"/>
            <w:vMerge w:val="restart"/>
            <w:vAlign w:val="center"/>
          </w:tcPr>
          <w:p w14:paraId="6B664095">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w:t>
            </w:r>
          </w:p>
        </w:tc>
        <w:tc>
          <w:tcPr>
            <w:tcW w:w="447" w:type="pct"/>
            <w:vMerge w:val="restart"/>
            <w:vAlign w:val="center"/>
          </w:tcPr>
          <w:p w14:paraId="37B12CB1">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三</w:t>
            </w:r>
            <w:r>
              <w:rPr>
                <w:rFonts w:cs="Times New Roman"/>
                <w:color w:val="auto"/>
                <w:sz w:val="21"/>
                <w:szCs w:val="21"/>
                <w:highlight w:val="none"/>
              </w:rPr>
              <w:t>级</w:t>
            </w:r>
          </w:p>
        </w:tc>
      </w:tr>
      <w:tr w14:paraId="72EB8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33" w:type="pct"/>
            <w:vMerge w:val="continue"/>
            <w:vAlign w:val="center"/>
          </w:tcPr>
          <w:p w14:paraId="079060AB">
            <w:pPr>
              <w:spacing w:line="360" w:lineRule="exact"/>
              <w:ind w:firstLine="0" w:firstLineChars="0"/>
              <w:jc w:val="center"/>
              <w:rPr>
                <w:rFonts w:cs="Times New Roman"/>
                <w:color w:val="auto"/>
                <w:sz w:val="21"/>
                <w:szCs w:val="21"/>
                <w:highlight w:val="none"/>
              </w:rPr>
            </w:pPr>
          </w:p>
        </w:tc>
        <w:tc>
          <w:tcPr>
            <w:tcW w:w="521" w:type="pct"/>
            <w:vAlign w:val="center"/>
          </w:tcPr>
          <w:p w14:paraId="69F403F0">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745" w:type="pct"/>
            <w:vAlign w:val="center"/>
          </w:tcPr>
          <w:p w14:paraId="700C7819">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10.0</w:t>
            </w:r>
          </w:p>
        </w:tc>
        <w:tc>
          <w:tcPr>
            <w:tcW w:w="788" w:type="pct"/>
            <w:vAlign w:val="center"/>
          </w:tcPr>
          <w:p w14:paraId="39E1E151">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1.83E-06</w:t>
            </w:r>
          </w:p>
        </w:tc>
        <w:tc>
          <w:tcPr>
            <w:tcW w:w="692" w:type="pct"/>
            <w:vAlign w:val="center"/>
          </w:tcPr>
          <w:p w14:paraId="0481A98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539" w:type="pct"/>
            <w:vAlign w:val="center"/>
          </w:tcPr>
          <w:p w14:paraId="7F8424D6">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0.08</w:t>
            </w:r>
          </w:p>
        </w:tc>
        <w:tc>
          <w:tcPr>
            <w:tcW w:w="630" w:type="pct"/>
            <w:vMerge w:val="continue"/>
            <w:vAlign w:val="center"/>
          </w:tcPr>
          <w:p w14:paraId="4A371ADB">
            <w:pPr>
              <w:spacing w:line="360" w:lineRule="exact"/>
              <w:ind w:firstLine="0" w:firstLineChars="0"/>
              <w:jc w:val="center"/>
              <w:rPr>
                <w:rFonts w:cs="Times New Roman"/>
                <w:color w:val="auto"/>
                <w:sz w:val="21"/>
                <w:szCs w:val="21"/>
                <w:highlight w:val="none"/>
              </w:rPr>
            </w:pPr>
          </w:p>
        </w:tc>
        <w:tc>
          <w:tcPr>
            <w:tcW w:w="447" w:type="pct"/>
            <w:vMerge w:val="continue"/>
            <w:vAlign w:val="center"/>
          </w:tcPr>
          <w:p w14:paraId="31D65D96">
            <w:pPr>
              <w:spacing w:line="360" w:lineRule="exact"/>
              <w:ind w:firstLine="0" w:firstLineChars="0"/>
              <w:jc w:val="center"/>
              <w:rPr>
                <w:rFonts w:cs="Times New Roman"/>
                <w:color w:val="auto"/>
                <w:sz w:val="21"/>
                <w:szCs w:val="21"/>
                <w:highlight w:val="none"/>
              </w:rPr>
            </w:pPr>
          </w:p>
        </w:tc>
      </w:tr>
      <w:tr w14:paraId="78788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33" w:type="pct"/>
            <w:vMerge w:val="restart"/>
            <w:vAlign w:val="center"/>
          </w:tcPr>
          <w:p w14:paraId="1B102323">
            <w:pPr>
              <w:pStyle w:val="73"/>
              <w:adjustRightInd w:val="0"/>
              <w:snapToGrid w:val="0"/>
              <w:rPr>
                <w:rFonts w:cs="Times New Roman"/>
                <w:color w:val="auto"/>
                <w:szCs w:val="21"/>
                <w:highlight w:val="none"/>
              </w:rPr>
            </w:pPr>
            <w:r>
              <w:rPr>
                <w:rFonts w:cs="Times New Roman"/>
                <w:snapToGrid w:val="0"/>
                <w:color w:val="auto"/>
                <w:szCs w:val="21"/>
                <w:highlight w:val="none"/>
              </w:rPr>
              <w:t>污水处理站无组织</w:t>
            </w:r>
          </w:p>
        </w:tc>
        <w:tc>
          <w:tcPr>
            <w:tcW w:w="521" w:type="pct"/>
            <w:vAlign w:val="center"/>
          </w:tcPr>
          <w:p w14:paraId="7462A9E1">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745" w:type="pct"/>
            <w:vAlign w:val="center"/>
          </w:tcPr>
          <w:p w14:paraId="293A8DB6">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200.0</w:t>
            </w:r>
          </w:p>
        </w:tc>
        <w:tc>
          <w:tcPr>
            <w:tcW w:w="788" w:type="pct"/>
            <w:vAlign w:val="center"/>
          </w:tcPr>
          <w:p w14:paraId="2D23AD25">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2.72E-04</w:t>
            </w:r>
          </w:p>
        </w:tc>
        <w:tc>
          <w:tcPr>
            <w:tcW w:w="692" w:type="pct"/>
            <w:vAlign w:val="center"/>
          </w:tcPr>
          <w:p w14:paraId="3C94331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539" w:type="pct"/>
            <w:vAlign w:val="center"/>
          </w:tcPr>
          <w:p w14:paraId="58CECEEC">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3.14</w:t>
            </w:r>
          </w:p>
        </w:tc>
        <w:tc>
          <w:tcPr>
            <w:tcW w:w="630" w:type="pct"/>
            <w:vMerge w:val="restart"/>
            <w:vAlign w:val="center"/>
          </w:tcPr>
          <w:p w14:paraId="58122905">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447" w:type="pct"/>
            <w:vMerge w:val="restart"/>
            <w:vAlign w:val="center"/>
          </w:tcPr>
          <w:p w14:paraId="0F93D8B6">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二</w:t>
            </w:r>
            <w:r>
              <w:rPr>
                <w:rFonts w:cs="Times New Roman"/>
                <w:color w:val="auto"/>
                <w:sz w:val="21"/>
                <w:szCs w:val="21"/>
                <w:highlight w:val="none"/>
              </w:rPr>
              <w:t>级</w:t>
            </w:r>
          </w:p>
        </w:tc>
      </w:tr>
      <w:tr w14:paraId="745CDE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33" w:type="pct"/>
            <w:vMerge w:val="continue"/>
            <w:vAlign w:val="center"/>
          </w:tcPr>
          <w:p w14:paraId="1BB520B1">
            <w:pPr>
              <w:spacing w:line="360" w:lineRule="exact"/>
              <w:ind w:firstLine="0" w:firstLineChars="0"/>
              <w:jc w:val="center"/>
              <w:rPr>
                <w:rFonts w:cs="Times New Roman"/>
                <w:color w:val="auto"/>
                <w:sz w:val="21"/>
                <w:szCs w:val="21"/>
                <w:highlight w:val="none"/>
              </w:rPr>
            </w:pPr>
          </w:p>
        </w:tc>
        <w:tc>
          <w:tcPr>
            <w:tcW w:w="521" w:type="pct"/>
            <w:vAlign w:val="center"/>
          </w:tcPr>
          <w:p w14:paraId="39553396">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745" w:type="pct"/>
            <w:vAlign w:val="center"/>
          </w:tcPr>
          <w:p w14:paraId="0F114506">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10.0</w:t>
            </w:r>
          </w:p>
        </w:tc>
        <w:tc>
          <w:tcPr>
            <w:tcW w:w="788" w:type="pct"/>
            <w:vAlign w:val="center"/>
          </w:tcPr>
          <w:p w14:paraId="5913752E">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rPr>
              <w:t>2.33E-05</w:t>
            </w:r>
          </w:p>
        </w:tc>
        <w:tc>
          <w:tcPr>
            <w:tcW w:w="692" w:type="pct"/>
            <w:vAlign w:val="center"/>
          </w:tcPr>
          <w:p w14:paraId="58F5EC2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539" w:type="pct"/>
            <w:vAlign w:val="center"/>
          </w:tcPr>
          <w:p w14:paraId="1B16C622">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5.38</w:t>
            </w:r>
          </w:p>
        </w:tc>
        <w:tc>
          <w:tcPr>
            <w:tcW w:w="630" w:type="pct"/>
            <w:vMerge w:val="continue"/>
            <w:vAlign w:val="center"/>
          </w:tcPr>
          <w:p w14:paraId="6912EDC6">
            <w:pPr>
              <w:spacing w:line="360" w:lineRule="exact"/>
              <w:ind w:firstLine="0" w:firstLineChars="0"/>
              <w:jc w:val="center"/>
              <w:rPr>
                <w:rFonts w:cs="Times New Roman"/>
                <w:color w:val="auto"/>
                <w:sz w:val="21"/>
                <w:szCs w:val="21"/>
                <w:highlight w:val="none"/>
              </w:rPr>
            </w:pPr>
          </w:p>
        </w:tc>
        <w:tc>
          <w:tcPr>
            <w:tcW w:w="447" w:type="pct"/>
            <w:vMerge w:val="continue"/>
            <w:vAlign w:val="center"/>
          </w:tcPr>
          <w:p w14:paraId="3016FE5D">
            <w:pPr>
              <w:spacing w:line="360" w:lineRule="exact"/>
              <w:ind w:firstLine="0" w:firstLineChars="0"/>
              <w:jc w:val="center"/>
              <w:rPr>
                <w:rFonts w:cs="Times New Roman"/>
                <w:color w:val="auto"/>
                <w:sz w:val="21"/>
                <w:szCs w:val="21"/>
                <w:highlight w:val="none"/>
              </w:rPr>
            </w:pPr>
          </w:p>
        </w:tc>
      </w:tr>
      <w:tr w14:paraId="606F8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33" w:type="pct"/>
            <w:vMerge w:val="restart"/>
            <w:vAlign w:val="center"/>
          </w:tcPr>
          <w:p w14:paraId="710E12A5">
            <w:pPr>
              <w:pStyle w:val="73"/>
              <w:adjustRightInd w:val="0"/>
              <w:snapToGrid w:val="0"/>
              <w:rPr>
                <w:rFonts w:cs="Times New Roman"/>
                <w:color w:val="auto"/>
                <w:szCs w:val="21"/>
                <w:highlight w:val="none"/>
              </w:rPr>
            </w:pPr>
            <w:bookmarkStart w:id="60" w:name="_Hlk17895063"/>
            <w:r>
              <w:rPr>
                <w:rFonts w:hint="eastAsia" w:cs="Times New Roman"/>
                <w:snapToGrid w:val="0"/>
                <w:color w:val="auto"/>
                <w:szCs w:val="21"/>
                <w:highlight w:val="none"/>
                <w:lang w:val="en-US" w:eastAsia="zh-CN"/>
              </w:rPr>
              <w:t>待宰圈</w:t>
            </w:r>
            <w:r>
              <w:rPr>
                <w:rFonts w:cs="Times New Roman"/>
                <w:snapToGrid w:val="0"/>
                <w:color w:val="auto"/>
                <w:szCs w:val="21"/>
                <w:highlight w:val="none"/>
              </w:rPr>
              <w:t>无组织</w:t>
            </w:r>
          </w:p>
        </w:tc>
        <w:tc>
          <w:tcPr>
            <w:tcW w:w="521" w:type="pct"/>
            <w:vAlign w:val="center"/>
          </w:tcPr>
          <w:p w14:paraId="18846C8F">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745" w:type="pct"/>
            <w:vAlign w:val="center"/>
          </w:tcPr>
          <w:p w14:paraId="4F1C7426">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200.0</w:t>
            </w:r>
          </w:p>
        </w:tc>
        <w:tc>
          <w:tcPr>
            <w:tcW w:w="788" w:type="pct"/>
            <w:vAlign w:val="center"/>
          </w:tcPr>
          <w:p w14:paraId="068BF346">
            <w:pPr>
              <w:spacing w:line="360" w:lineRule="exact"/>
              <w:ind w:firstLine="0" w:firstLineChars="0"/>
              <w:jc w:val="center"/>
              <w:rPr>
                <w:rFonts w:hint="eastAsia" w:eastAsia="宋体" w:cs="Times New Roman"/>
                <w:b w:val="0"/>
                <w:bCs w:val="0"/>
                <w:color w:val="auto"/>
                <w:sz w:val="21"/>
                <w:szCs w:val="21"/>
                <w:highlight w:val="none"/>
                <w:lang w:eastAsia="zh-CN"/>
              </w:rPr>
            </w:pPr>
            <w:r>
              <w:rPr>
                <w:rFonts w:hint="eastAsia" w:cs="Times New Roman"/>
                <w:b w:val="0"/>
                <w:bCs w:val="0"/>
                <w:color w:val="auto"/>
                <w:sz w:val="21"/>
                <w:szCs w:val="21"/>
                <w:highlight w:val="none"/>
              </w:rPr>
              <w:t>6.94E-05</w:t>
            </w:r>
          </w:p>
        </w:tc>
        <w:tc>
          <w:tcPr>
            <w:tcW w:w="692" w:type="pct"/>
            <w:vAlign w:val="center"/>
          </w:tcPr>
          <w:p w14:paraId="6E9D583E">
            <w:pPr>
              <w:spacing w:line="360" w:lineRule="exact"/>
              <w:ind w:firstLine="0" w:firstLineChars="0"/>
              <w:jc w:val="center"/>
              <w:rPr>
                <w:rFonts w:cs="Times New Roman"/>
                <w:b w:val="0"/>
                <w:bCs w:val="0"/>
                <w:color w:val="auto"/>
                <w:sz w:val="21"/>
                <w:szCs w:val="21"/>
                <w:highlight w:val="none"/>
              </w:rPr>
            </w:pPr>
            <w:r>
              <w:rPr>
                <w:rFonts w:cs="Times New Roman"/>
                <w:b w:val="0"/>
                <w:bCs w:val="0"/>
                <w:color w:val="auto"/>
                <w:sz w:val="21"/>
                <w:szCs w:val="21"/>
                <w:highlight w:val="none"/>
              </w:rPr>
              <w:t>0</w:t>
            </w:r>
          </w:p>
        </w:tc>
        <w:tc>
          <w:tcPr>
            <w:tcW w:w="539" w:type="pct"/>
            <w:vAlign w:val="center"/>
          </w:tcPr>
          <w:p w14:paraId="509359ED">
            <w:pPr>
              <w:spacing w:line="360" w:lineRule="exact"/>
              <w:ind w:firstLine="0" w:firstLineChars="0"/>
              <w:jc w:val="center"/>
              <w:rPr>
                <w:rFonts w:hint="default"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0.66</w:t>
            </w:r>
          </w:p>
        </w:tc>
        <w:tc>
          <w:tcPr>
            <w:tcW w:w="630" w:type="pct"/>
            <w:vMerge w:val="restart"/>
            <w:vAlign w:val="center"/>
          </w:tcPr>
          <w:p w14:paraId="46D0E402">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447" w:type="pct"/>
            <w:vMerge w:val="restart"/>
            <w:vAlign w:val="center"/>
          </w:tcPr>
          <w:p w14:paraId="1CD63B9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二级</w:t>
            </w:r>
          </w:p>
        </w:tc>
      </w:tr>
      <w:tr w14:paraId="45AD68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33" w:type="pct"/>
            <w:vMerge w:val="continue"/>
            <w:vAlign w:val="center"/>
          </w:tcPr>
          <w:p w14:paraId="31DDB068">
            <w:pPr>
              <w:spacing w:line="360" w:lineRule="exact"/>
              <w:ind w:firstLine="0" w:firstLineChars="0"/>
              <w:jc w:val="center"/>
              <w:rPr>
                <w:rFonts w:cs="Times New Roman"/>
                <w:color w:val="auto"/>
                <w:sz w:val="21"/>
                <w:szCs w:val="21"/>
                <w:highlight w:val="none"/>
              </w:rPr>
            </w:pPr>
          </w:p>
        </w:tc>
        <w:tc>
          <w:tcPr>
            <w:tcW w:w="521" w:type="pct"/>
            <w:vAlign w:val="center"/>
          </w:tcPr>
          <w:p w14:paraId="6DFE7813">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745" w:type="pct"/>
            <w:vAlign w:val="center"/>
          </w:tcPr>
          <w:p w14:paraId="5CCF5D24">
            <w:pPr>
              <w:spacing w:line="360" w:lineRule="exact"/>
              <w:ind w:firstLine="0" w:firstLineChars="0"/>
              <w:jc w:val="center"/>
              <w:rPr>
                <w:rFonts w:cs="Times New Roman"/>
                <w:snapToGrid w:val="0"/>
                <w:color w:val="auto"/>
                <w:sz w:val="21"/>
                <w:szCs w:val="21"/>
                <w:highlight w:val="none"/>
              </w:rPr>
            </w:pPr>
            <w:r>
              <w:rPr>
                <w:rFonts w:cs="Times New Roman"/>
                <w:color w:val="auto"/>
                <w:sz w:val="21"/>
                <w:szCs w:val="21"/>
                <w:highlight w:val="none"/>
              </w:rPr>
              <w:t>10.0</w:t>
            </w:r>
          </w:p>
        </w:tc>
        <w:tc>
          <w:tcPr>
            <w:tcW w:w="788" w:type="pct"/>
            <w:vAlign w:val="center"/>
          </w:tcPr>
          <w:p w14:paraId="3EA29C77">
            <w:pPr>
              <w:spacing w:line="360" w:lineRule="exact"/>
              <w:ind w:firstLine="0" w:firstLineChars="0"/>
              <w:jc w:val="center"/>
              <w:rPr>
                <w:rFonts w:hint="eastAsia" w:eastAsia="宋体" w:cs="Times New Roman"/>
                <w:b w:val="0"/>
                <w:bCs w:val="0"/>
                <w:color w:val="auto"/>
                <w:sz w:val="21"/>
                <w:szCs w:val="21"/>
                <w:highlight w:val="none"/>
                <w:lang w:eastAsia="zh-CN"/>
              </w:rPr>
            </w:pPr>
            <w:r>
              <w:rPr>
                <w:rFonts w:hint="eastAsia" w:cs="Times New Roman"/>
                <w:b w:val="0"/>
                <w:bCs w:val="0"/>
                <w:color w:val="auto"/>
                <w:sz w:val="21"/>
                <w:szCs w:val="21"/>
                <w:highlight w:val="none"/>
              </w:rPr>
              <w:t>6.94E-06</w:t>
            </w:r>
          </w:p>
        </w:tc>
        <w:tc>
          <w:tcPr>
            <w:tcW w:w="692" w:type="pct"/>
            <w:vAlign w:val="center"/>
          </w:tcPr>
          <w:p w14:paraId="159BD725">
            <w:pPr>
              <w:spacing w:line="360" w:lineRule="exact"/>
              <w:ind w:firstLine="0" w:firstLineChars="0"/>
              <w:jc w:val="center"/>
              <w:rPr>
                <w:rFonts w:cs="Times New Roman"/>
                <w:b w:val="0"/>
                <w:bCs w:val="0"/>
                <w:color w:val="auto"/>
                <w:sz w:val="21"/>
                <w:szCs w:val="21"/>
                <w:highlight w:val="none"/>
              </w:rPr>
            </w:pPr>
            <w:r>
              <w:rPr>
                <w:rFonts w:cs="Times New Roman"/>
                <w:b w:val="0"/>
                <w:bCs w:val="0"/>
                <w:color w:val="auto"/>
                <w:sz w:val="21"/>
                <w:szCs w:val="21"/>
                <w:highlight w:val="none"/>
              </w:rPr>
              <w:t>0</w:t>
            </w:r>
          </w:p>
        </w:tc>
        <w:tc>
          <w:tcPr>
            <w:tcW w:w="539" w:type="pct"/>
            <w:vAlign w:val="center"/>
          </w:tcPr>
          <w:p w14:paraId="365D438D">
            <w:pPr>
              <w:spacing w:line="360" w:lineRule="exact"/>
              <w:ind w:firstLine="0" w:firstLineChars="0"/>
              <w:jc w:val="center"/>
              <w:rPr>
                <w:rFonts w:hint="default"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1.32</w:t>
            </w:r>
          </w:p>
        </w:tc>
        <w:tc>
          <w:tcPr>
            <w:tcW w:w="630" w:type="pct"/>
            <w:vMerge w:val="continue"/>
            <w:vAlign w:val="center"/>
          </w:tcPr>
          <w:p w14:paraId="0B2C2326">
            <w:pPr>
              <w:spacing w:line="360" w:lineRule="exact"/>
              <w:ind w:firstLine="0" w:firstLineChars="0"/>
              <w:jc w:val="center"/>
              <w:rPr>
                <w:rFonts w:cs="Times New Roman"/>
                <w:color w:val="auto"/>
                <w:sz w:val="21"/>
                <w:szCs w:val="21"/>
                <w:highlight w:val="none"/>
              </w:rPr>
            </w:pPr>
          </w:p>
        </w:tc>
        <w:tc>
          <w:tcPr>
            <w:tcW w:w="447" w:type="pct"/>
            <w:vMerge w:val="continue"/>
            <w:vAlign w:val="center"/>
          </w:tcPr>
          <w:p w14:paraId="760D2891">
            <w:pPr>
              <w:spacing w:line="360" w:lineRule="exact"/>
              <w:ind w:firstLine="0" w:firstLineChars="0"/>
              <w:jc w:val="center"/>
              <w:rPr>
                <w:rFonts w:cs="Times New Roman"/>
                <w:color w:val="auto"/>
                <w:sz w:val="21"/>
                <w:szCs w:val="21"/>
                <w:highlight w:val="none"/>
              </w:rPr>
            </w:pPr>
          </w:p>
        </w:tc>
      </w:tr>
    </w:tbl>
    <w:p w14:paraId="69EA7FC0">
      <w:pPr>
        <w:pStyle w:val="117"/>
        <w:adjustRightInd w:val="0"/>
        <w:snapToGrid w:val="0"/>
        <w:rPr>
          <w:rFonts w:cs="Times New Roman"/>
          <w:snapToGrid w:val="0"/>
          <w:color w:val="auto"/>
          <w:highlight w:val="none"/>
        </w:rPr>
      </w:pPr>
      <w:r>
        <w:rPr>
          <w:rFonts w:cs="Times New Roman"/>
          <w:color w:val="auto"/>
          <w:kern w:val="0"/>
          <w:highlight w:val="none"/>
        </w:rPr>
        <w:t>由上表可知，</w:t>
      </w:r>
      <w:r>
        <w:rPr>
          <w:rFonts w:cs="Times New Roman"/>
          <w:snapToGrid w:val="0"/>
          <w:color w:val="auto"/>
          <w:highlight w:val="none"/>
        </w:rPr>
        <w:t>最大占标率为</w:t>
      </w:r>
      <w:r>
        <w:rPr>
          <w:rFonts w:hint="eastAsia" w:cs="Times New Roman"/>
          <w:snapToGrid w:val="0"/>
          <w:color w:val="auto"/>
          <w:szCs w:val="21"/>
          <w:highlight w:val="none"/>
          <w:lang w:val="en-US" w:eastAsia="zh-CN"/>
        </w:rPr>
        <w:t>污水处理站排放的</w:t>
      </w: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r>
        <w:rPr>
          <w:rFonts w:cs="Times New Roman"/>
          <w:snapToGrid w:val="0"/>
          <w:color w:val="auto"/>
          <w:szCs w:val="21"/>
          <w:highlight w:val="none"/>
        </w:rPr>
        <w:t>，</w:t>
      </w:r>
      <w:r>
        <w:rPr>
          <w:rFonts w:cs="Times New Roman"/>
          <w:snapToGrid w:val="0"/>
          <w:color w:val="auto"/>
          <w:highlight w:val="none"/>
        </w:rPr>
        <w:t>Pmax=</w:t>
      </w:r>
      <w:r>
        <w:rPr>
          <w:rFonts w:hint="eastAsia" w:cs="Times New Roman"/>
          <w:snapToGrid w:val="0"/>
          <w:color w:val="auto"/>
          <w:highlight w:val="none"/>
          <w:lang w:val="en-US" w:eastAsia="zh-CN"/>
        </w:rPr>
        <w:t>5.38</w:t>
      </w:r>
      <w:r>
        <w:rPr>
          <w:rFonts w:cs="Times New Roman"/>
          <w:snapToGrid w:val="0"/>
          <w:color w:val="auto"/>
          <w:highlight w:val="none"/>
        </w:rPr>
        <w:t>&lt;10%，本项目大气环境评价等级为二级。</w:t>
      </w:r>
    </w:p>
    <w:bookmarkEnd w:id="60"/>
    <w:p w14:paraId="485F5951">
      <w:pPr>
        <w:pStyle w:val="4"/>
        <w:spacing w:after="156"/>
        <w:rPr>
          <w:rFonts w:cs="Times New Roman"/>
          <w:color w:val="auto"/>
          <w:highlight w:val="none"/>
        </w:rPr>
      </w:pPr>
      <w:bookmarkStart w:id="61" w:name="_Toc134"/>
      <w:r>
        <w:rPr>
          <w:rFonts w:cs="Times New Roman"/>
          <w:color w:val="auto"/>
          <w:highlight w:val="none"/>
        </w:rPr>
        <w:t>2.3.2地表水环境评价等级</w:t>
      </w:r>
      <w:bookmarkEnd w:id="61"/>
    </w:p>
    <w:p w14:paraId="2669E27C">
      <w:pPr>
        <w:spacing w:line="500" w:lineRule="exact"/>
        <w:rPr>
          <w:rFonts w:cs="Times New Roman"/>
          <w:color w:val="auto"/>
          <w:szCs w:val="24"/>
          <w:highlight w:val="none"/>
        </w:rPr>
      </w:pPr>
      <w:r>
        <w:rPr>
          <w:rFonts w:cs="Times New Roman"/>
          <w:color w:val="auto"/>
          <w:szCs w:val="24"/>
          <w:highlight w:val="none"/>
        </w:rPr>
        <w:t>本项目根据《环境影响评价技术导则  地表水环境》（HJ2.3-2018）确定地表水环境评价等级。</w:t>
      </w:r>
    </w:p>
    <w:p w14:paraId="534B2193">
      <w:pPr>
        <w:spacing w:line="240" w:lineRule="auto"/>
        <w:ind w:firstLine="482"/>
        <w:jc w:val="center"/>
        <w:rPr>
          <w:rFonts w:cs="Times New Roman"/>
          <w:b/>
          <w:color w:val="auto"/>
          <w:szCs w:val="24"/>
          <w:highlight w:val="none"/>
        </w:rPr>
      </w:pPr>
      <w:r>
        <w:rPr>
          <w:rFonts w:cs="Times New Roman"/>
          <w:b/>
          <w:color w:val="auto"/>
          <w:szCs w:val="24"/>
          <w:highlight w:val="none"/>
        </w:rPr>
        <w:t>表2-3-7  水污染影响型建设项目评价等级判定</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13"/>
        <w:gridCol w:w="2065"/>
        <w:gridCol w:w="3561"/>
      </w:tblGrid>
      <w:tr w14:paraId="7DF19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813" w:type="dxa"/>
            <w:vMerge w:val="restart"/>
            <w:tcBorders>
              <w:top w:val="single" w:color="auto" w:sz="12" w:space="0"/>
              <w:left w:val="nil"/>
              <w:bottom w:val="single" w:color="auto" w:sz="4" w:space="0"/>
              <w:right w:val="single" w:color="auto" w:sz="4" w:space="0"/>
            </w:tcBorders>
            <w:vAlign w:val="center"/>
          </w:tcPr>
          <w:p w14:paraId="2B8995E5">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评价等级</w:t>
            </w:r>
          </w:p>
        </w:tc>
        <w:tc>
          <w:tcPr>
            <w:tcW w:w="5626" w:type="dxa"/>
            <w:gridSpan w:val="2"/>
            <w:tcBorders>
              <w:top w:val="single" w:color="auto" w:sz="12" w:space="0"/>
              <w:left w:val="single" w:color="auto" w:sz="4" w:space="0"/>
              <w:bottom w:val="single" w:color="auto" w:sz="4" w:space="0"/>
              <w:right w:val="nil"/>
            </w:tcBorders>
            <w:vAlign w:val="center"/>
          </w:tcPr>
          <w:p w14:paraId="1C94F3AF">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判定依据</w:t>
            </w:r>
          </w:p>
        </w:tc>
      </w:tr>
      <w:tr w14:paraId="7525E2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3" w:type="dxa"/>
            <w:vMerge w:val="continue"/>
            <w:tcBorders>
              <w:top w:val="single" w:color="auto" w:sz="12" w:space="0"/>
              <w:left w:val="nil"/>
              <w:bottom w:val="single" w:color="auto" w:sz="4" w:space="0"/>
              <w:right w:val="single" w:color="auto" w:sz="4" w:space="0"/>
            </w:tcBorders>
            <w:vAlign w:val="center"/>
          </w:tcPr>
          <w:p w14:paraId="2F7BDB0E">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p>
        </w:tc>
        <w:tc>
          <w:tcPr>
            <w:tcW w:w="2065" w:type="dxa"/>
            <w:tcBorders>
              <w:top w:val="single" w:color="auto" w:sz="4" w:space="0"/>
              <w:left w:val="single" w:color="auto" w:sz="4" w:space="0"/>
              <w:bottom w:val="single" w:color="auto" w:sz="4" w:space="0"/>
              <w:right w:val="single" w:color="auto" w:sz="4" w:space="0"/>
            </w:tcBorders>
            <w:vAlign w:val="center"/>
          </w:tcPr>
          <w:p w14:paraId="2FE0F9F6">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排放方式</w:t>
            </w:r>
          </w:p>
        </w:tc>
        <w:tc>
          <w:tcPr>
            <w:tcW w:w="3561" w:type="dxa"/>
            <w:tcBorders>
              <w:top w:val="single" w:color="auto" w:sz="4" w:space="0"/>
              <w:left w:val="single" w:color="auto" w:sz="4" w:space="0"/>
              <w:bottom w:val="single" w:color="auto" w:sz="4" w:space="0"/>
              <w:right w:val="nil"/>
            </w:tcBorders>
            <w:vAlign w:val="center"/>
          </w:tcPr>
          <w:p w14:paraId="3C5FD6CF">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废水排放量Q/（m</w:t>
            </w:r>
            <w:r>
              <w:rPr>
                <w:rFonts w:cs="Times New Roman"/>
                <w:color w:val="auto"/>
                <w:sz w:val="21"/>
                <w:szCs w:val="21"/>
                <w:highlight w:val="none"/>
                <w:vertAlign w:val="superscript"/>
              </w:rPr>
              <w:t>3</w:t>
            </w:r>
            <w:r>
              <w:rPr>
                <w:rFonts w:cs="Times New Roman"/>
                <w:color w:val="auto"/>
                <w:sz w:val="21"/>
                <w:szCs w:val="21"/>
                <w:highlight w:val="none"/>
              </w:rPr>
              <w:t>/d）</w:t>
            </w:r>
          </w:p>
          <w:p w14:paraId="0B77FBC9">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水污染物当量数W/（无量纲）</w:t>
            </w:r>
          </w:p>
        </w:tc>
      </w:tr>
      <w:tr w14:paraId="28A41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13" w:type="dxa"/>
            <w:tcBorders>
              <w:top w:val="single" w:color="auto" w:sz="4" w:space="0"/>
              <w:left w:val="nil"/>
              <w:bottom w:val="single" w:color="auto" w:sz="4" w:space="0"/>
              <w:right w:val="single" w:color="auto" w:sz="4" w:space="0"/>
            </w:tcBorders>
            <w:vAlign w:val="center"/>
          </w:tcPr>
          <w:p w14:paraId="7182444B">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一级</w:t>
            </w:r>
          </w:p>
        </w:tc>
        <w:tc>
          <w:tcPr>
            <w:tcW w:w="2065" w:type="dxa"/>
            <w:tcBorders>
              <w:top w:val="single" w:color="auto" w:sz="4" w:space="0"/>
              <w:left w:val="single" w:color="auto" w:sz="4" w:space="0"/>
              <w:bottom w:val="single" w:color="auto" w:sz="4" w:space="0"/>
              <w:right w:val="single" w:color="auto" w:sz="4" w:space="0"/>
            </w:tcBorders>
            <w:vAlign w:val="center"/>
          </w:tcPr>
          <w:p w14:paraId="2B5AD90D">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直接排放</w:t>
            </w:r>
          </w:p>
        </w:tc>
        <w:tc>
          <w:tcPr>
            <w:tcW w:w="3561" w:type="dxa"/>
            <w:tcBorders>
              <w:top w:val="single" w:color="auto" w:sz="4" w:space="0"/>
              <w:left w:val="single" w:color="auto" w:sz="4" w:space="0"/>
              <w:bottom w:val="single" w:color="auto" w:sz="4" w:space="0"/>
              <w:right w:val="nil"/>
            </w:tcBorders>
            <w:vAlign w:val="center"/>
          </w:tcPr>
          <w:p w14:paraId="301428C2">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Q≥20000或W≥600000</w:t>
            </w:r>
          </w:p>
        </w:tc>
      </w:tr>
      <w:tr w14:paraId="46AA7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13" w:type="dxa"/>
            <w:tcBorders>
              <w:top w:val="single" w:color="auto" w:sz="4" w:space="0"/>
              <w:left w:val="nil"/>
              <w:bottom w:val="single" w:color="auto" w:sz="4" w:space="0"/>
              <w:right w:val="single" w:color="auto" w:sz="4" w:space="0"/>
            </w:tcBorders>
            <w:vAlign w:val="center"/>
          </w:tcPr>
          <w:p w14:paraId="3B47CA73">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二级</w:t>
            </w:r>
          </w:p>
        </w:tc>
        <w:tc>
          <w:tcPr>
            <w:tcW w:w="2065" w:type="dxa"/>
            <w:tcBorders>
              <w:top w:val="single" w:color="auto" w:sz="4" w:space="0"/>
              <w:left w:val="single" w:color="auto" w:sz="4" w:space="0"/>
              <w:bottom w:val="single" w:color="auto" w:sz="4" w:space="0"/>
              <w:right w:val="single" w:color="auto" w:sz="4" w:space="0"/>
            </w:tcBorders>
            <w:vAlign w:val="center"/>
          </w:tcPr>
          <w:p w14:paraId="5DAA063F">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直接排放</w:t>
            </w:r>
          </w:p>
        </w:tc>
        <w:tc>
          <w:tcPr>
            <w:tcW w:w="3561" w:type="dxa"/>
            <w:tcBorders>
              <w:top w:val="single" w:color="auto" w:sz="4" w:space="0"/>
              <w:left w:val="single" w:color="auto" w:sz="4" w:space="0"/>
              <w:bottom w:val="single" w:color="auto" w:sz="4" w:space="0"/>
              <w:right w:val="nil"/>
            </w:tcBorders>
            <w:vAlign w:val="center"/>
          </w:tcPr>
          <w:p w14:paraId="6F327D1D">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其他</w:t>
            </w:r>
          </w:p>
        </w:tc>
      </w:tr>
      <w:tr w14:paraId="768DB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2813" w:type="dxa"/>
            <w:tcBorders>
              <w:top w:val="single" w:color="auto" w:sz="4" w:space="0"/>
              <w:left w:val="nil"/>
              <w:bottom w:val="single" w:color="auto" w:sz="4" w:space="0"/>
              <w:right w:val="single" w:color="auto" w:sz="4" w:space="0"/>
            </w:tcBorders>
            <w:vAlign w:val="center"/>
          </w:tcPr>
          <w:p w14:paraId="6B6B9082">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三级A</w:t>
            </w:r>
          </w:p>
        </w:tc>
        <w:tc>
          <w:tcPr>
            <w:tcW w:w="2065" w:type="dxa"/>
            <w:tcBorders>
              <w:top w:val="single" w:color="auto" w:sz="4" w:space="0"/>
              <w:left w:val="single" w:color="auto" w:sz="4" w:space="0"/>
              <w:bottom w:val="single" w:color="auto" w:sz="4" w:space="0"/>
              <w:right w:val="single" w:color="auto" w:sz="4" w:space="0"/>
            </w:tcBorders>
            <w:vAlign w:val="center"/>
          </w:tcPr>
          <w:p w14:paraId="53376C5D">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直接排放</w:t>
            </w:r>
          </w:p>
        </w:tc>
        <w:tc>
          <w:tcPr>
            <w:tcW w:w="3561" w:type="dxa"/>
            <w:tcBorders>
              <w:top w:val="single" w:color="auto" w:sz="4" w:space="0"/>
              <w:left w:val="single" w:color="auto" w:sz="4" w:space="0"/>
              <w:bottom w:val="single" w:color="auto" w:sz="4" w:space="0"/>
              <w:right w:val="nil"/>
            </w:tcBorders>
            <w:vAlign w:val="center"/>
          </w:tcPr>
          <w:p w14:paraId="661CE4BF">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Q＜200且W＜6000</w:t>
            </w:r>
          </w:p>
        </w:tc>
      </w:tr>
      <w:tr w14:paraId="6B0D5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2813" w:type="dxa"/>
            <w:tcBorders>
              <w:top w:val="single" w:color="auto" w:sz="4" w:space="0"/>
              <w:left w:val="nil"/>
              <w:bottom w:val="single" w:color="auto" w:sz="12" w:space="0"/>
              <w:right w:val="single" w:color="auto" w:sz="4" w:space="0"/>
            </w:tcBorders>
            <w:vAlign w:val="center"/>
          </w:tcPr>
          <w:p w14:paraId="5D14CDF8">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三级B</w:t>
            </w:r>
          </w:p>
        </w:tc>
        <w:tc>
          <w:tcPr>
            <w:tcW w:w="2065" w:type="dxa"/>
            <w:tcBorders>
              <w:top w:val="single" w:color="auto" w:sz="4" w:space="0"/>
              <w:left w:val="single" w:color="auto" w:sz="4" w:space="0"/>
              <w:bottom w:val="single" w:color="auto" w:sz="12" w:space="0"/>
              <w:right w:val="single" w:color="auto" w:sz="4" w:space="0"/>
            </w:tcBorders>
            <w:vAlign w:val="center"/>
          </w:tcPr>
          <w:p w14:paraId="5F2197C3">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间接排放</w:t>
            </w:r>
          </w:p>
        </w:tc>
        <w:tc>
          <w:tcPr>
            <w:tcW w:w="3561" w:type="dxa"/>
            <w:tcBorders>
              <w:top w:val="single" w:color="auto" w:sz="4" w:space="0"/>
              <w:left w:val="single" w:color="auto" w:sz="4" w:space="0"/>
              <w:bottom w:val="single" w:color="auto" w:sz="12" w:space="0"/>
              <w:right w:val="nil"/>
            </w:tcBorders>
            <w:vAlign w:val="center"/>
          </w:tcPr>
          <w:p w14:paraId="2872C24C">
            <w:pPr>
              <w:keepNext w:val="0"/>
              <w:keepLines w:val="0"/>
              <w:pageBreakBefore w:val="0"/>
              <w:kinsoku/>
              <w:wordWrap/>
              <w:overflowPunct/>
              <w:topLinePunct w:val="0"/>
              <w:autoSpaceDE/>
              <w:autoSpaceDN/>
              <w:bidi w:val="0"/>
              <w:adjustRightInd w:val="0"/>
              <w:snapToGrid w:val="0"/>
              <w:spacing w:line="360" w:lineRule="exact"/>
              <w:ind w:firstLine="0" w:firstLineChars="0"/>
              <w:jc w:val="center"/>
              <w:textAlignment w:val="auto"/>
              <w:rPr>
                <w:rFonts w:cs="Times New Roman"/>
                <w:color w:val="auto"/>
                <w:sz w:val="21"/>
                <w:szCs w:val="21"/>
                <w:highlight w:val="none"/>
              </w:rPr>
            </w:pPr>
            <w:r>
              <w:rPr>
                <w:rFonts w:cs="Times New Roman"/>
                <w:color w:val="auto"/>
                <w:sz w:val="21"/>
                <w:szCs w:val="21"/>
                <w:highlight w:val="none"/>
              </w:rPr>
              <w:t>--</w:t>
            </w:r>
          </w:p>
        </w:tc>
      </w:tr>
    </w:tbl>
    <w:p w14:paraId="6CDE123E">
      <w:pPr>
        <w:pStyle w:val="117"/>
        <w:adjustRightInd w:val="0"/>
        <w:snapToGrid w:val="0"/>
        <w:ind w:firstLine="472"/>
        <w:rPr>
          <w:rFonts w:cs="Times New Roman"/>
          <w:snapToGrid w:val="0"/>
          <w:color w:val="auto"/>
          <w:highlight w:val="none"/>
        </w:rPr>
      </w:pPr>
      <w:r>
        <w:rPr>
          <w:rFonts w:cs="Times New Roman"/>
          <w:bCs/>
          <w:color w:val="auto"/>
          <w:spacing w:val="-2"/>
          <w:szCs w:val="24"/>
          <w:highlight w:val="none"/>
        </w:rPr>
        <w:t>本项目屠宰废水经厂区自建的污水处理站进行处理，处理后</w:t>
      </w:r>
      <w:r>
        <w:rPr>
          <w:rFonts w:cs="Times New Roman"/>
          <w:color w:val="auto"/>
          <w:szCs w:val="24"/>
          <w:highlight w:val="none"/>
        </w:rPr>
        <w:t>满足《肉类加工工业水污染物排放标准》（GB13457-1992）表3中的畜类屠宰加工三级标准及</w:t>
      </w:r>
      <w:r>
        <w:rPr>
          <w:rFonts w:hint="eastAsia" w:cs="Times New Roman"/>
          <w:snapToGrid w:val="0"/>
          <w:color w:val="auto"/>
          <w:highlight w:val="none"/>
          <w:lang w:val="en-GB" w:eastAsia="zh-CN"/>
        </w:rPr>
        <w:t>双鸭山市畅源排水有限公司</w:t>
      </w:r>
      <w:r>
        <w:rPr>
          <w:rFonts w:cs="Times New Roman"/>
          <w:color w:val="auto"/>
          <w:szCs w:val="24"/>
          <w:highlight w:val="none"/>
        </w:rPr>
        <w:t>设计进水水质指标后，与生活污水一同经市政污水管网</w:t>
      </w:r>
      <w:r>
        <w:rPr>
          <w:rFonts w:cs="Times New Roman"/>
          <w:bCs/>
          <w:color w:val="auto"/>
          <w:spacing w:val="-2"/>
          <w:szCs w:val="24"/>
          <w:highlight w:val="none"/>
        </w:rPr>
        <w:t>进入</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处理，</w:t>
      </w:r>
      <w:r>
        <w:rPr>
          <w:rFonts w:cs="Times New Roman"/>
          <w:snapToGrid w:val="0"/>
          <w:color w:val="auto"/>
          <w:highlight w:val="none"/>
        </w:rPr>
        <w:t>处理达标后</w:t>
      </w:r>
      <w:r>
        <w:rPr>
          <w:rFonts w:cs="Times New Roman"/>
          <w:snapToGrid w:val="0"/>
          <w:color w:val="auto"/>
          <w:highlight w:val="none"/>
          <w:lang w:val="en-GB"/>
        </w:rPr>
        <w:t>排入</w:t>
      </w:r>
      <w:r>
        <w:rPr>
          <w:rFonts w:hint="eastAsia" w:cs="Times New Roman"/>
          <w:snapToGrid w:val="0"/>
          <w:color w:val="auto"/>
          <w:highlight w:val="none"/>
          <w:lang w:val="en-GB" w:eastAsia="zh-CN"/>
        </w:rPr>
        <w:t>安邦河</w:t>
      </w:r>
      <w:r>
        <w:rPr>
          <w:rFonts w:cs="Times New Roman"/>
          <w:bCs/>
          <w:color w:val="auto"/>
          <w:spacing w:val="-2"/>
          <w:szCs w:val="24"/>
          <w:highlight w:val="none"/>
        </w:rPr>
        <w:t>。根据《环境影响评价技术导则 地表水环境》（HJ 2.3-2018）表1水污染物影响型建设项目评价等级判定，可知，本项目地表水评价等级为三级B。</w:t>
      </w:r>
    </w:p>
    <w:p w14:paraId="659F3E75">
      <w:pPr>
        <w:pStyle w:val="4"/>
        <w:spacing w:after="156"/>
        <w:rPr>
          <w:rFonts w:cs="Times New Roman"/>
          <w:color w:val="auto"/>
          <w:highlight w:val="none"/>
        </w:rPr>
      </w:pPr>
      <w:bookmarkStart w:id="62" w:name="_Toc11967"/>
      <w:r>
        <w:rPr>
          <w:rFonts w:cs="Times New Roman"/>
          <w:color w:val="auto"/>
          <w:highlight w:val="none"/>
        </w:rPr>
        <w:t>2.3.3地下水环境评价等级</w:t>
      </w:r>
      <w:bookmarkEnd w:id="62"/>
    </w:p>
    <w:p w14:paraId="5408B78B">
      <w:pPr>
        <w:pStyle w:val="117"/>
        <w:adjustRightInd w:val="0"/>
        <w:snapToGrid w:val="0"/>
        <w:rPr>
          <w:rFonts w:cs="Times New Roman"/>
          <w:snapToGrid w:val="0"/>
          <w:color w:val="auto"/>
          <w:szCs w:val="24"/>
          <w:highlight w:val="none"/>
        </w:rPr>
      </w:pPr>
      <w:r>
        <w:rPr>
          <w:rFonts w:cs="Times New Roman"/>
          <w:snapToGrid w:val="0"/>
          <w:color w:val="auto"/>
          <w:szCs w:val="24"/>
          <w:highlight w:val="none"/>
        </w:rPr>
        <w:t>根据</w:t>
      </w:r>
      <w:r>
        <w:rPr>
          <w:rFonts w:cs="Times New Roman"/>
          <w:color w:val="auto"/>
          <w:szCs w:val="24"/>
          <w:highlight w:val="none"/>
        </w:rPr>
        <w:t>《环境影响评价技术导则 地下水环境》</w:t>
      </w:r>
      <w:r>
        <w:rPr>
          <w:rFonts w:cs="Times New Roman"/>
          <w:snapToGrid w:val="0"/>
          <w:color w:val="auto"/>
          <w:szCs w:val="24"/>
          <w:highlight w:val="none"/>
        </w:rPr>
        <w:t>（HJ610-2016）要求，地下水环境影响评价工作等级的划分</w:t>
      </w:r>
      <w:r>
        <w:rPr>
          <w:rFonts w:cs="Times New Roman"/>
          <w:color w:val="auto"/>
          <w:szCs w:val="24"/>
          <w:highlight w:val="none"/>
        </w:rPr>
        <w:t>依据</w:t>
      </w:r>
      <w:r>
        <w:rPr>
          <w:rFonts w:cs="Times New Roman"/>
          <w:snapToGrid w:val="0"/>
          <w:color w:val="auto"/>
          <w:szCs w:val="24"/>
          <w:highlight w:val="none"/>
        </w:rPr>
        <w:t>建设项目行业分类和地下水环境敏感程度分级进行判定。对照</w:t>
      </w:r>
      <w:r>
        <w:rPr>
          <w:rFonts w:cs="Times New Roman"/>
          <w:color w:val="auto"/>
          <w:szCs w:val="24"/>
          <w:highlight w:val="none"/>
        </w:rPr>
        <w:t>《环境影响评价技术导则 地下水环境》</w:t>
      </w:r>
      <w:r>
        <w:rPr>
          <w:rFonts w:cs="Times New Roman"/>
          <w:snapToGrid w:val="0"/>
          <w:color w:val="auto"/>
          <w:szCs w:val="24"/>
          <w:highlight w:val="none"/>
        </w:rPr>
        <w:t>（HJ610-2016）中“附录A</w:t>
      </w:r>
      <w:r>
        <w:rPr>
          <w:rFonts w:cs="Times New Roman"/>
          <w:color w:val="auto"/>
          <w:szCs w:val="24"/>
          <w:highlight w:val="none"/>
        </w:rPr>
        <w:t>地下水</w:t>
      </w:r>
      <w:r>
        <w:rPr>
          <w:rFonts w:cs="Times New Roman"/>
          <w:snapToGrid w:val="0"/>
          <w:color w:val="auto"/>
          <w:szCs w:val="24"/>
          <w:highlight w:val="none"/>
        </w:rPr>
        <w:t>环境影响评价行业分类表”可知，项目属于“N轻工，98、屠宰”，因此项目属于Ⅲ类建设项目。</w:t>
      </w:r>
    </w:p>
    <w:p w14:paraId="1D6025EF">
      <w:pPr>
        <w:pStyle w:val="117"/>
        <w:adjustRightInd w:val="0"/>
        <w:snapToGrid w:val="0"/>
        <w:rPr>
          <w:rFonts w:cs="Times New Roman"/>
          <w:snapToGrid w:val="0"/>
          <w:color w:val="auto"/>
          <w:highlight w:val="none"/>
        </w:rPr>
      </w:pPr>
      <w:r>
        <w:rPr>
          <w:rFonts w:cs="Times New Roman"/>
          <w:color w:val="auto"/>
          <w:szCs w:val="24"/>
          <w:highlight w:val="none"/>
        </w:rPr>
        <w:t xml:space="preserve">建设项目的地下水环境敏感程度可分为敏感、较敏感、不敏感三级，分级原则见表2-3-8。 </w:t>
      </w:r>
    </w:p>
    <w:p w14:paraId="2C7D6998">
      <w:pPr>
        <w:spacing w:line="240" w:lineRule="auto"/>
        <w:ind w:firstLine="482"/>
        <w:jc w:val="center"/>
        <w:rPr>
          <w:rFonts w:cs="Times New Roman"/>
          <w:b/>
          <w:color w:val="auto"/>
          <w:szCs w:val="24"/>
          <w:highlight w:val="none"/>
        </w:rPr>
      </w:pPr>
      <w:r>
        <w:rPr>
          <w:rFonts w:cs="Times New Roman"/>
          <w:b/>
          <w:color w:val="auto"/>
          <w:szCs w:val="24"/>
          <w:highlight w:val="none"/>
        </w:rPr>
        <w:t>表2-3-8  地下水环境敏感程度分级表</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7240"/>
      </w:tblGrid>
      <w:tr w14:paraId="1B300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blHeader/>
          <w:jc w:val="center"/>
        </w:trPr>
        <w:tc>
          <w:tcPr>
            <w:tcW w:w="1179" w:type="dxa"/>
            <w:tcBorders>
              <w:top w:val="single" w:color="auto" w:sz="12" w:space="0"/>
              <w:left w:val="nil"/>
              <w:bottom w:val="single" w:color="auto" w:sz="4" w:space="0"/>
              <w:right w:val="single" w:color="auto" w:sz="4" w:space="0"/>
            </w:tcBorders>
            <w:vAlign w:val="center"/>
          </w:tcPr>
          <w:p w14:paraId="74654AC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敏感程度</w:t>
            </w:r>
          </w:p>
        </w:tc>
        <w:tc>
          <w:tcPr>
            <w:tcW w:w="7240" w:type="dxa"/>
            <w:tcBorders>
              <w:top w:val="single" w:color="auto" w:sz="12" w:space="0"/>
              <w:left w:val="single" w:color="auto" w:sz="4" w:space="0"/>
              <w:bottom w:val="single" w:color="auto" w:sz="4" w:space="0"/>
              <w:right w:val="nil"/>
            </w:tcBorders>
            <w:vAlign w:val="center"/>
          </w:tcPr>
          <w:p w14:paraId="3C08C99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地下水环境敏感特征</w:t>
            </w:r>
          </w:p>
        </w:tc>
      </w:tr>
      <w:tr w14:paraId="4EA76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9" w:hRule="atLeast"/>
          <w:jc w:val="center"/>
        </w:trPr>
        <w:tc>
          <w:tcPr>
            <w:tcW w:w="1179" w:type="dxa"/>
            <w:tcBorders>
              <w:top w:val="single" w:color="auto" w:sz="4" w:space="0"/>
              <w:left w:val="nil"/>
              <w:bottom w:val="single" w:color="auto" w:sz="4" w:space="0"/>
              <w:right w:val="single" w:color="auto" w:sz="4" w:space="0"/>
            </w:tcBorders>
            <w:vAlign w:val="center"/>
          </w:tcPr>
          <w:p w14:paraId="4A02B0C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敏感</w:t>
            </w:r>
          </w:p>
        </w:tc>
        <w:tc>
          <w:tcPr>
            <w:tcW w:w="7240" w:type="dxa"/>
            <w:tcBorders>
              <w:top w:val="single" w:color="auto" w:sz="4" w:space="0"/>
              <w:left w:val="single" w:color="auto" w:sz="4" w:space="0"/>
              <w:bottom w:val="single" w:color="auto" w:sz="4" w:space="0"/>
              <w:right w:val="nil"/>
            </w:tcBorders>
            <w:vAlign w:val="center"/>
          </w:tcPr>
          <w:p w14:paraId="32AA330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集中式饮用水水源（包括已建成的在用、备用、应急水源，在建和规划的饮用水源）准保护区；除集中式饮用水水源以外的国家或地方政府设定的与地下水环境相关的其他保护区，如热水、矿泉水</w:t>
            </w:r>
          </w:p>
        </w:tc>
      </w:tr>
      <w:tr w14:paraId="2835EB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9" w:hRule="atLeast"/>
          <w:jc w:val="center"/>
        </w:trPr>
        <w:tc>
          <w:tcPr>
            <w:tcW w:w="1179" w:type="dxa"/>
            <w:tcBorders>
              <w:top w:val="single" w:color="auto" w:sz="4" w:space="0"/>
              <w:left w:val="nil"/>
              <w:bottom w:val="single" w:color="auto" w:sz="4" w:space="0"/>
              <w:right w:val="single" w:color="auto" w:sz="4" w:space="0"/>
            </w:tcBorders>
            <w:vAlign w:val="center"/>
          </w:tcPr>
          <w:p w14:paraId="0A0C244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较敏感</w:t>
            </w:r>
          </w:p>
        </w:tc>
        <w:tc>
          <w:tcPr>
            <w:tcW w:w="7240" w:type="dxa"/>
            <w:tcBorders>
              <w:top w:val="single" w:color="auto" w:sz="4" w:space="0"/>
              <w:left w:val="single" w:color="auto" w:sz="4" w:space="0"/>
              <w:bottom w:val="single" w:color="auto" w:sz="4" w:space="0"/>
              <w:right w:val="nil"/>
            </w:tcBorders>
            <w:vAlign w:val="center"/>
          </w:tcPr>
          <w:p w14:paraId="749BEFF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集中式饮用水水源（包括已建成的在用、备用、应急水源，在建和规划的饮用水源）准保护区以外的补给径流区；未划定准保护区的集中水式饮用水源，其保护区外的补给径流区；分散式饮用水水源；特殊地下水资源（如矿泉水）保护区以外的分布区等其他未列入上述敏感分级的环境敏感区</w:t>
            </w:r>
          </w:p>
        </w:tc>
      </w:tr>
      <w:tr w14:paraId="3047C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1179" w:type="dxa"/>
            <w:tcBorders>
              <w:top w:val="single" w:color="auto" w:sz="4" w:space="0"/>
              <w:left w:val="nil"/>
              <w:bottom w:val="single" w:color="auto" w:sz="4" w:space="0"/>
              <w:right w:val="single" w:color="auto" w:sz="4" w:space="0"/>
            </w:tcBorders>
            <w:vAlign w:val="center"/>
          </w:tcPr>
          <w:p w14:paraId="78822A4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不敏感</w:t>
            </w:r>
          </w:p>
        </w:tc>
        <w:tc>
          <w:tcPr>
            <w:tcW w:w="7240" w:type="dxa"/>
            <w:tcBorders>
              <w:top w:val="single" w:color="auto" w:sz="4" w:space="0"/>
              <w:left w:val="single" w:color="auto" w:sz="4" w:space="0"/>
              <w:bottom w:val="single" w:color="auto" w:sz="4" w:space="0"/>
              <w:right w:val="nil"/>
            </w:tcBorders>
            <w:vAlign w:val="center"/>
          </w:tcPr>
          <w:p w14:paraId="09D0595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上述地区之外的其它地区。</w:t>
            </w:r>
          </w:p>
        </w:tc>
      </w:tr>
      <w:tr w14:paraId="182E4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2" w:hRule="atLeast"/>
          <w:jc w:val="center"/>
        </w:trPr>
        <w:tc>
          <w:tcPr>
            <w:tcW w:w="8419" w:type="dxa"/>
            <w:gridSpan w:val="2"/>
            <w:tcBorders>
              <w:top w:val="single" w:color="auto" w:sz="4" w:space="0"/>
              <w:left w:val="nil"/>
              <w:bottom w:val="single" w:color="auto" w:sz="12" w:space="0"/>
              <w:right w:val="nil"/>
            </w:tcBorders>
            <w:vAlign w:val="center"/>
          </w:tcPr>
          <w:p w14:paraId="09DB5FB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注：a“环境敏感区”是指《建设项目环境影响评价分类管理名录》中所涉及地下水的环境敏感区。</w:t>
            </w:r>
          </w:p>
        </w:tc>
      </w:tr>
    </w:tbl>
    <w:p w14:paraId="6357813B">
      <w:pPr>
        <w:pStyle w:val="117"/>
        <w:adjustRightInd w:val="0"/>
        <w:snapToGrid w:val="0"/>
        <w:rPr>
          <w:rFonts w:cs="Times New Roman"/>
          <w:snapToGrid w:val="0"/>
          <w:color w:val="auto"/>
          <w:szCs w:val="24"/>
          <w:highlight w:val="none"/>
          <w:lang w:val="zh-CN"/>
        </w:rPr>
      </w:pPr>
      <w:r>
        <w:rPr>
          <w:rFonts w:cs="Times New Roman"/>
          <w:snapToGrid w:val="0"/>
          <w:color w:val="auto"/>
          <w:szCs w:val="24"/>
          <w:highlight w:val="none"/>
        </w:rPr>
        <w:t>建设项目地下水环境影响评价工作等级的划分见表2-3-9。</w:t>
      </w:r>
    </w:p>
    <w:p w14:paraId="1B2D9D06">
      <w:pPr>
        <w:spacing w:line="240" w:lineRule="auto"/>
        <w:ind w:firstLine="482"/>
        <w:jc w:val="center"/>
        <w:rPr>
          <w:rFonts w:cs="Times New Roman"/>
          <w:b/>
          <w:color w:val="auto"/>
          <w:szCs w:val="24"/>
          <w:highlight w:val="none"/>
          <w:lang w:val="zh-CN"/>
        </w:rPr>
      </w:pPr>
      <w:r>
        <w:rPr>
          <w:rFonts w:cs="Times New Roman"/>
          <w:b/>
          <w:color w:val="auto"/>
          <w:szCs w:val="24"/>
          <w:highlight w:val="none"/>
          <w:lang w:val="zh-CN"/>
        </w:rPr>
        <w:t>表</w:t>
      </w:r>
      <w:r>
        <w:rPr>
          <w:rFonts w:cs="Times New Roman"/>
          <w:b/>
          <w:color w:val="auto"/>
          <w:szCs w:val="24"/>
          <w:highlight w:val="none"/>
        </w:rPr>
        <w:t xml:space="preserve">2-3-9  </w:t>
      </w:r>
      <w:r>
        <w:rPr>
          <w:rFonts w:cs="Times New Roman"/>
          <w:b/>
          <w:color w:val="auto"/>
          <w:szCs w:val="24"/>
          <w:highlight w:val="none"/>
          <w:lang w:val="zh-CN"/>
        </w:rPr>
        <w:t>地下水评价工作等级分级表</w:t>
      </w:r>
    </w:p>
    <w:tbl>
      <w:tblPr>
        <w:tblStyle w:val="398"/>
        <w:tblW w:w="84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69"/>
        <w:gridCol w:w="1808"/>
        <w:gridCol w:w="2111"/>
        <w:gridCol w:w="2111"/>
      </w:tblGrid>
      <w:tr w14:paraId="4ED059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2469" w:type="dxa"/>
            <w:vAlign w:val="center"/>
          </w:tcPr>
          <w:p w14:paraId="78BB4C01">
            <w:pPr>
              <w:spacing w:line="360" w:lineRule="exact"/>
              <w:ind w:firstLine="0" w:firstLineChars="0"/>
              <w:jc w:val="right"/>
              <w:rPr>
                <w:rFonts w:cs="Times New Roman"/>
                <w:snapToGrid w:val="0"/>
                <w:color w:val="auto"/>
                <w:kern w:val="0"/>
                <w:sz w:val="21"/>
                <w:szCs w:val="21"/>
                <w:highlight w:val="none"/>
                <w:lang w:val="en-GB"/>
              </w:rPr>
            </w:pPr>
            <w:r>
              <w:rPr>
                <w:rFonts w:cs="Times New Roman"/>
                <w:snapToGrid w:val="0"/>
                <w:color w:val="auto"/>
                <w:kern w:val="0"/>
                <w:sz w:val="21"/>
                <w:szCs w:val="21"/>
                <w:highlight w:val="none"/>
              </w:rPr>
              <mc:AlternateContent>
                <mc:Choice Requires="wps">
                  <w:drawing>
                    <wp:anchor distT="0" distB="0" distL="114300" distR="114300" simplePos="0" relativeHeight="251661312" behindDoc="0" locked="0" layoutInCell="1" allowOverlap="1">
                      <wp:simplePos x="0" y="0"/>
                      <wp:positionH relativeFrom="column">
                        <wp:posOffset>-29210</wp:posOffset>
                      </wp:positionH>
                      <wp:positionV relativeFrom="paragraph">
                        <wp:posOffset>-635</wp:posOffset>
                      </wp:positionV>
                      <wp:extent cx="1529715" cy="479425"/>
                      <wp:effectExtent l="1270" t="4445" r="12065" b="11430"/>
                      <wp:wrapNone/>
                      <wp:docPr id="55" name="直接箭头连接符 55"/>
                      <wp:cNvGraphicFramePr/>
                      <a:graphic xmlns:a="http://schemas.openxmlformats.org/drawingml/2006/main">
                        <a:graphicData uri="http://schemas.microsoft.com/office/word/2010/wordprocessingShape">
                          <wps:wsp>
                            <wps:cNvCnPr>
                              <a:cxnSpLocks noChangeShapeType="1"/>
                            </wps:cNvCnPr>
                            <wps:spPr bwMode="auto">
                              <a:xfrm>
                                <a:off x="0" y="0"/>
                                <a:ext cx="1529715" cy="479425"/>
                              </a:xfrm>
                              <a:prstGeom prst="straightConnector1">
                                <a:avLst/>
                              </a:prstGeom>
                              <a:noFill/>
                              <a:ln w="3175">
                                <a:solidFill>
                                  <a:srgbClr val="000000"/>
                                </a:solidFill>
                                <a:round/>
                              </a:ln>
                            </wps:spPr>
                            <wps:bodyPr/>
                          </wps:wsp>
                        </a:graphicData>
                      </a:graphic>
                    </wp:anchor>
                  </w:drawing>
                </mc:Choice>
                <mc:Fallback>
                  <w:pict>
                    <v:shape id="_x0000_s1026" o:spid="_x0000_s1026" o:spt="32" type="#_x0000_t32" style="position:absolute;left:0pt;margin-left:-2.3pt;margin-top:-0.05pt;height:37.75pt;width:120.45pt;z-index:251661312;mso-width-relative:page;mso-height-relative:page;" filled="f" stroked="t" coordsize="21600,21600" o:gfxdata="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hLepJ1gAAAAcBAAAPAAAAAAAAAAEAIAAAACIAAABkcnMvZG93bnJldi54&#10;bWxQSwECFAAUAAAACACHTuJAK0eXmvwBAADFAwAADgAAAAAAAAABACAAAAAlAQAAZHJzL2Uyb0Rv&#10;Yy54bWxQSwUGAAAAAAYABgBZAQAAkwUAAAAA&#10;">
                      <v:fill on="f" focussize="0,0"/>
                      <v:stroke weight="0.25pt" color="#000000" joinstyle="round"/>
                      <v:imagedata o:title=""/>
                      <o:lock v:ext="edit" aspectratio="f"/>
                    </v:shape>
                  </w:pict>
                </mc:Fallback>
              </mc:AlternateContent>
            </w:r>
            <w:r>
              <w:rPr>
                <w:rFonts w:cs="Times New Roman"/>
                <w:snapToGrid w:val="0"/>
                <w:color w:val="auto"/>
                <w:kern w:val="0"/>
                <w:sz w:val="21"/>
                <w:szCs w:val="21"/>
                <w:highlight w:val="none"/>
                <w:lang w:val="en-GB"/>
              </w:rPr>
              <w:t>项目类别</w:t>
            </w:r>
          </w:p>
          <w:p w14:paraId="0CDC7474">
            <w:pPr>
              <w:spacing w:line="360" w:lineRule="exact"/>
              <w:ind w:firstLine="0" w:firstLineChars="0"/>
              <w:jc w:val="left"/>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环境敏感程度</w:t>
            </w:r>
          </w:p>
        </w:tc>
        <w:tc>
          <w:tcPr>
            <w:tcW w:w="1808" w:type="dxa"/>
            <w:vAlign w:val="center"/>
          </w:tcPr>
          <w:p w14:paraId="248BEB63">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fldChar w:fldCharType="begin"/>
            </w:r>
            <w:r>
              <w:rPr>
                <w:rFonts w:cs="Times New Roman"/>
                <w:snapToGrid w:val="0"/>
                <w:color w:val="auto"/>
                <w:kern w:val="0"/>
                <w:sz w:val="21"/>
                <w:szCs w:val="21"/>
                <w:highlight w:val="none"/>
                <w:lang w:val="en-GB"/>
              </w:rPr>
              <w:instrText xml:space="preserve"> = 1 \* ROMAN </w:instrText>
            </w:r>
            <w:r>
              <w:rPr>
                <w:rFonts w:cs="Times New Roman"/>
                <w:snapToGrid w:val="0"/>
                <w:color w:val="auto"/>
                <w:kern w:val="0"/>
                <w:sz w:val="21"/>
                <w:szCs w:val="21"/>
                <w:highlight w:val="none"/>
                <w:lang w:val="en-GB"/>
              </w:rPr>
              <w:fldChar w:fldCharType="separate"/>
            </w:r>
            <w:r>
              <w:rPr>
                <w:rFonts w:cs="Times New Roman"/>
                <w:snapToGrid w:val="0"/>
                <w:color w:val="auto"/>
                <w:kern w:val="0"/>
                <w:sz w:val="21"/>
                <w:szCs w:val="21"/>
                <w:highlight w:val="none"/>
                <w:lang w:val="en-GB"/>
              </w:rPr>
              <w:t>I</w:t>
            </w:r>
            <w:r>
              <w:rPr>
                <w:rFonts w:cs="Times New Roman"/>
                <w:snapToGrid w:val="0"/>
                <w:color w:val="auto"/>
                <w:kern w:val="0"/>
                <w:sz w:val="21"/>
                <w:szCs w:val="21"/>
                <w:highlight w:val="none"/>
                <w:lang w:val="en-GB"/>
              </w:rPr>
              <w:fldChar w:fldCharType="end"/>
            </w:r>
            <w:r>
              <w:rPr>
                <w:rFonts w:cs="Times New Roman"/>
                <w:snapToGrid w:val="0"/>
                <w:color w:val="auto"/>
                <w:kern w:val="0"/>
                <w:sz w:val="21"/>
                <w:szCs w:val="21"/>
                <w:highlight w:val="none"/>
                <w:lang w:val="en-GB"/>
              </w:rPr>
              <w:t>类项目</w:t>
            </w:r>
          </w:p>
        </w:tc>
        <w:tc>
          <w:tcPr>
            <w:tcW w:w="2111" w:type="dxa"/>
            <w:vAlign w:val="center"/>
          </w:tcPr>
          <w:p w14:paraId="2B1E7115">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fldChar w:fldCharType="begin"/>
            </w:r>
            <w:r>
              <w:rPr>
                <w:rFonts w:cs="Times New Roman"/>
                <w:snapToGrid w:val="0"/>
                <w:color w:val="auto"/>
                <w:kern w:val="0"/>
                <w:sz w:val="21"/>
                <w:szCs w:val="21"/>
                <w:highlight w:val="none"/>
                <w:lang w:val="en-GB"/>
              </w:rPr>
              <w:instrText xml:space="preserve"> = 2 \* ROMAN </w:instrText>
            </w:r>
            <w:r>
              <w:rPr>
                <w:rFonts w:cs="Times New Roman"/>
                <w:snapToGrid w:val="0"/>
                <w:color w:val="auto"/>
                <w:kern w:val="0"/>
                <w:sz w:val="21"/>
                <w:szCs w:val="21"/>
                <w:highlight w:val="none"/>
                <w:lang w:val="en-GB"/>
              </w:rPr>
              <w:fldChar w:fldCharType="separate"/>
            </w:r>
            <w:r>
              <w:rPr>
                <w:rFonts w:cs="Times New Roman"/>
                <w:snapToGrid w:val="0"/>
                <w:color w:val="auto"/>
                <w:kern w:val="0"/>
                <w:sz w:val="21"/>
                <w:szCs w:val="21"/>
                <w:highlight w:val="none"/>
                <w:lang w:val="en-GB"/>
              </w:rPr>
              <w:t>II</w:t>
            </w:r>
            <w:r>
              <w:rPr>
                <w:rFonts w:cs="Times New Roman"/>
                <w:snapToGrid w:val="0"/>
                <w:color w:val="auto"/>
                <w:kern w:val="0"/>
                <w:sz w:val="21"/>
                <w:szCs w:val="21"/>
                <w:highlight w:val="none"/>
                <w:lang w:val="en-GB"/>
              </w:rPr>
              <w:fldChar w:fldCharType="end"/>
            </w:r>
            <w:r>
              <w:rPr>
                <w:rFonts w:cs="Times New Roman"/>
                <w:snapToGrid w:val="0"/>
                <w:color w:val="auto"/>
                <w:kern w:val="0"/>
                <w:sz w:val="21"/>
                <w:szCs w:val="21"/>
                <w:highlight w:val="none"/>
                <w:lang w:val="en-GB"/>
              </w:rPr>
              <w:t>类项目</w:t>
            </w:r>
          </w:p>
        </w:tc>
        <w:tc>
          <w:tcPr>
            <w:tcW w:w="2111" w:type="dxa"/>
            <w:vAlign w:val="center"/>
          </w:tcPr>
          <w:p w14:paraId="678764C2">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fldChar w:fldCharType="begin"/>
            </w:r>
            <w:r>
              <w:rPr>
                <w:rFonts w:cs="Times New Roman"/>
                <w:snapToGrid w:val="0"/>
                <w:color w:val="auto"/>
                <w:kern w:val="0"/>
                <w:sz w:val="21"/>
                <w:szCs w:val="21"/>
                <w:highlight w:val="none"/>
                <w:lang w:val="en-GB"/>
              </w:rPr>
              <w:instrText xml:space="preserve"> = 3 \* ROMAN </w:instrText>
            </w:r>
            <w:r>
              <w:rPr>
                <w:rFonts w:cs="Times New Roman"/>
                <w:snapToGrid w:val="0"/>
                <w:color w:val="auto"/>
                <w:kern w:val="0"/>
                <w:sz w:val="21"/>
                <w:szCs w:val="21"/>
                <w:highlight w:val="none"/>
                <w:lang w:val="en-GB"/>
              </w:rPr>
              <w:fldChar w:fldCharType="separate"/>
            </w:r>
            <w:r>
              <w:rPr>
                <w:rFonts w:cs="Times New Roman"/>
                <w:snapToGrid w:val="0"/>
                <w:color w:val="auto"/>
                <w:kern w:val="0"/>
                <w:sz w:val="21"/>
                <w:szCs w:val="21"/>
                <w:highlight w:val="none"/>
                <w:lang w:val="en-GB"/>
              </w:rPr>
              <w:t>III</w:t>
            </w:r>
            <w:r>
              <w:rPr>
                <w:rFonts w:cs="Times New Roman"/>
                <w:snapToGrid w:val="0"/>
                <w:color w:val="auto"/>
                <w:kern w:val="0"/>
                <w:sz w:val="21"/>
                <w:szCs w:val="21"/>
                <w:highlight w:val="none"/>
                <w:lang w:val="en-GB"/>
              </w:rPr>
              <w:fldChar w:fldCharType="end"/>
            </w:r>
            <w:r>
              <w:rPr>
                <w:rFonts w:cs="Times New Roman"/>
                <w:snapToGrid w:val="0"/>
                <w:color w:val="auto"/>
                <w:kern w:val="0"/>
                <w:sz w:val="21"/>
                <w:szCs w:val="21"/>
                <w:highlight w:val="none"/>
                <w:lang w:val="en-GB"/>
              </w:rPr>
              <w:t>类项目</w:t>
            </w:r>
          </w:p>
        </w:tc>
      </w:tr>
      <w:tr w14:paraId="10D18E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469" w:type="dxa"/>
            <w:vAlign w:val="center"/>
          </w:tcPr>
          <w:p w14:paraId="3F9B2DCD">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敏感</w:t>
            </w:r>
          </w:p>
        </w:tc>
        <w:tc>
          <w:tcPr>
            <w:tcW w:w="1808" w:type="dxa"/>
            <w:vAlign w:val="center"/>
          </w:tcPr>
          <w:p w14:paraId="23B5B51D">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一</w:t>
            </w:r>
          </w:p>
        </w:tc>
        <w:tc>
          <w:tcPr>
            <w:tcW w:w="2111" w:type="dxa"/>
            <w:vAlign w:val="center"/>
          </w:tcPr>
          <w:p w14:paraId="7B6BCD6C">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一</w:t>
            </w:r>
          </w:p>
        </w:tc>
        <w:tc>
          <w:tcPr>
            <w:tcW w:w="2111" w:type="dxa"/>
            <w:vAlign w:val="center"/>
          </w:tcPr>
          <w:p w14:paraId="49D507BE">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二</w:t>
            </w:r>
          </w:p>
        </w:tc>
      </w:tr>
      <w:tr w14:paraId="74B64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2469" w:type="dxa"/>
            <w:vAlign w:val="center"/>
          </w:tcPr>
          <w:p w14:paraId="7C09A2DC">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较敏感</w:t>
            </w:r>
          </w:p>
        </w:tc>
        <w:tc>
          <w:tcPr>
            <w:tcW w:w="1808" w:type="dxa"/>
            <w:vAlign w:val="center"/>
          </w:tcPr>
          <w:p w14:paraId="3FFCCEA8">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一</w:t>
            </w:r>
          </w:p>
        </w:tc>
        <w:tc>
          <w:tcPr>
            <w:tcW w:w="2111" w:type="dxa"/>
            <w:vAlign w:val="center"/>
          </w:tcPr>
          <w:p w14:paraId="1D981B18">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二</w:t>
            </w:r>
          </w:p>
        </w:tc>
        <w:tc>
          <w:tcPr>
            <w:tcW w:w="2111" w:type="dxa"/>
            <w:vAlign w:val="center"/>
          </w:tcPr>
          <w:p w14:paraId="578E1750">
            <w:pPr>
              <w:spacing w:line="360" w:lineRule="exact"/>
              <w:ind w:firstLine="0" w:firstLineChars="0"/>
              <w:jc w:val="center"/>
              <w:rPr>
                <w:rFonts w:cs="Times New Roman"/>
                <w:snapToGrid w:val="0"/>
                <w:color w:val="auto"/>
                <w:kern w:val="0"/>
                <w:sz w:val="21"/>
                <w:szCs w:val="21"/>
                <w:highlight w:val="none"/>
                <w:lang w:val="en-GB"/>
              </w:rPr>
            </w:pPr>
            <w:r>
              <w:rPr>
                <w:rFonts w:cs="Times New Roman"/>
                <w:b/>
                <w:bCs/>
                <w:snapToGrid w:val="0"/>
                <w:color w:val="auto"/>
                <w:kern w:val="0"/>
                <w:sz w:val="21"/>
                <w:szCs w:val="21"/>
                <w:highlight w:val="none"/>
                <w:lang w:val="en-GB"/>
              </w:rPr>
              <w:t>三</w:t>
            </w:r>
          </w:p>
        </w:tc>
      </w:tr>
      <w:tr w14:paraId="7F979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469" w:type="dxa"/>
            <w:vAlign w:val="center"/>
          </w:tcPr>
          <w:p w14:paraId="666C3B20">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不敏感</w:t>
            </w:r>
          </w:p>
        </w:tc>
        <w:tc>
          <w:tcPr>
            <w:tcW w:w="1808" w:type="dxa"/>
            <w:vAlign w:val="center"/>
          </w:tcPr>
          <w:p w14:paraId="6A4A22D1">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二</w:t>
            </w:r>
          </w:p>
        </w:tc>
        <w:tc>
          <w:tcPr>
            <w:tcW w:w="2111" w:type="dxa"/>
            <w:vAlign w:val="center"/>
          </w:tcPr>
          <w:p w14:paraId="1444C743">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三</w:t>
            </w:r>
          </w:p>
        </w:tc>
        <w:tc>
          <w:tcPr>
            <w:tcW w:w="2111" w:type="dxa"/>
            <w:vAlign w:val="center"/>
          </w:tcPr>
          <w:p w14:paraId="47EA5356">
            <w:pPr>
              <w:spacing w:line="360" w:lineRule="exact"/>
              <w:ind w:firstLine="0" w:firstLineChars="0"/>
              <w:jc w:val="center"/>
              <w:rPr>
                <w:rFonts w:cs="Times New Roman"/>
                <w:snapToGrid w:val="0"/>
                <w:color w:val="auto"/>
                <w:kern w:val="0"/>
                <w:sz w:val="21"/>
                <w:szCs w:val="21"/>
                <w:highlight w:val="none"/>
                <w:lang w:val="en-GB"/>
              </w:rPr>
            </w:pPr>
            <w:r>
              <w:rPr>
                <w:rFonts w:cs="Times New Roman"/>
                <w:snapToGrid w:val="0"/>
                <w:color w:val="auto"/>
                <w:kern w:val="0"/>
                <w:sz w:val="21"/>
                <w:szCs w:val="21"/>
                <w:highlight w:val="none"/>
                <w:lang w:val="en-GB"/>
              </w:rPr>
              <w:t>三</w:t>
            </w:r>
          </w:p>
        </w:tc>
      </w:tr>
    </w:tbl>
    <w:p w14:paraId="4E36578F">
      <w:pPr>
        <w:pStyle w:val="117"/>
        <w:adjustRightInd w:val="0"/>
        <w:snapToGrid w:val="0"/>
        <w:spacing w:line="360" w:lineRule="auto"/>
        <w:rPr>
          <w:rFonts w:cs="Times New Roman"/>
          <w:snapToGrid w:val="0"/>
          <w:color w:val="auto"/>
          <w:highlight w:val="none"/>
        </w:rPr>
      </w:pPr>
      <w:r>
        <w:rPr>
          <w:rFonts w:cs="Times New Roman"/>
          <w:color w:val="auto"/>
          <w:szCs w:val="24"/>
          <w:highlight w:val="none"/>
        </w:rPr>
        <w:t>综上，本项目所在地及周边地下水环境</w:t>
      </w:r>
      <w:r>
        <w:rPr>
          <w:rFonts w:hint="eastAsia" w:cs="Times New Roman"/>
          <w:color w:val="auto"/>
          <w:szCs w:val="24"/>
          <w:highlight w:val="none"/>
          <w:lang w:val="en-US" w:eastAsia="zh-CN"/>
        </w:rPr>
        <w:t>不</w:t>
      </w:r>
      <w:r>
        <w:rPr>
          <w:rFonts w:cs="Times New Roman"/>
          <w:color w:val="auto"/>
          <w:szCs w:val="24"/>
          <w:highlight w:val="none"/>
        </w:rPr>
        <w:t>敏感，项目类别为Ⅲ类建设项目，根据地下水评价等级判别结果表，确定地下水评价等级为“三级”。</w:t>
      </w:r>
    </w:p>
    <w:p w14:paraId="514FA793">
      <w:pPr>
        <w:pStyle w:val="4"/>
        <w:spacing w:after="156"/>
        <w:rPr>
          <w:rFonts w:cs="Times New Roman"/>
          <w:color w:val="auto"/>
          <w:highlight w:val="none"/>
        </w:rPr>
      </w:pPr>
      <w:bookmarkStart w:id="63" w:name="_Toc89231866"/>
      <w:bookmarkStart w:id="64" w:name="_Toc88969056"/>
      <w:bookmarkStart w:id="65" w:name="_Toc9430"/>
      <w:bookmarkStart w:id="66" w:name="_Toc88968913"/>
      <w:bookmarkStart w:id="67" w:name="_Toc88900496"/>
      <w:r>
        <w:rPr>
          <w:rFonts w:cs="Times New Roman"/>
          <w:color w:val="auto"/>
          <w:highlight w:val="none"/>
        </w:rPr>
        <w:t>2.3.4声环境</w:t>
      </w:r>
      <w:bookmarkEnd w:id="63"/>
      <w:bookmarkEnd w:id="64"/>
      <w:bookmarkEnd w:id="65"/>
      <w:bookmarkEnd w:id="66"/>
      <w:bookmarkEnd w:id="67"/>
      <w:r>
        <w:rPr>
          <w:rFonts w:cs="Times New Roman"/>
          <w:snapToGrid w:val="0"/>
          <w:color w:val="auto"/>
          <w:szCs w:val="24"/>
          <w:highlight w:val="none"/>
        </w:rPr>
        <w:t>评价等级</w:t>
      </w:r>
    </w:p>
    <w:p w14:paraId="17FF9EAF">
      <w:pPr>
        <w:rPr>
          <w:rFonts w:cs="Times New Roman"/>
          <w:color w:val="auto"/>
          <w:szCs w:val="24"/>
          <w:highlight w:val="none"/>
        </w:rPr>
      </w:pPr>
      <w:r>
        <w:rPr>
          <w:rFonts w:cs="Times New Roman"/>
          <w:color w:val="auto"/>
          <w:szCs w:val="24"/>
          <w:highlight w:val="none"/>
        </w:rPr>
        <w:t>本项目运营期主要噪声源为牛、羊嚎叫以及设备产生的噪声，项目运营期采取的降噪措施主要为厂房隔声、选用低噪声设备、安装减振垫、消声器等。评价范围内</w:t>
      </w:r>
      <w:r>
        <w:rPr>
          <w:rFonts w:hint="eastAsia" w:cs="Times New Roman"/>
          <w:color w:val="auto"/>
          <w:szCs w:val="24"/>
          <w:highlight w:val="none"/>
          <w:lang w:val="en-US" w:eastAsia="zh-CN"/>
        </w:rPr>
        <w:t>有</w:t>
      </w:r>
      <w:r>
        <w:rPr>
          <w:rFonts w:cs="Times New Roman"/>
          <w:color w:val="auto"/>
          <w:szCs w:val="24"/>
          <w:highlight w:val="none"/>
        </w:rPr>
        <w:t>声环境敏感目标</w:t>
      </w:r>
      <w:r>
        <w:rPr>
          <w:rFonts w:hint="eastAsia" w:cs="Times New Roman"/>
          <w:color w:val="auto"/>
          <w:szCs w:val="24"/>
          <w:highlight w:val="none"/>
          <w:lang w:eastAsia="zh-CN"/>
        </w:rPr>
        <w:t>，</w:t>
      </w:r>
      <w:r>
        <w:rPr>
          <w:rFonts w:hint="eastAsia" w:cs="Times New Roman"/>
          <w:color w:val="auto"/>
          <w:szCs w:val="24"/>
          <w:highlight w:val="none"/>
          <w:lang w:val="en-US" w:eastAsia="zh-CN"/>
        </w:rPr>
        <w:t>位于厂区西侧居民区</w:t>
      </w:r>
      <w:r>
        <w:rPr>
          <w:rFonts w:cs="Times New Roman"/>
          <w:color w:val="auto"/>
          <w:szCs w:val="24"/>
          <w:highlight w:val="none"/>
        </w:rPr>
        <w:t>。根据《环境影响评价技术导则-声环境》（HJ2.4-2021），声环境影响评价工作等级划分依据包括：</w:t>
      </w:r>
    </w:p>
    <w:p w14:paraId="69B2E9AD">
      <w:pPr>
        <w:rPr>
          <w:rFonts w:cs="Times New Roman"/>
          <w:color w:val="auto"/>
          <w:szCs w:val="24"/>
          <w:highlight w:val="none"/>
        </w:rPr>
      </w:pPr>
      <w:r>
        <w:rPr>
          <w:rFonts w:cs="Times New Roman"/>
          <w:color w:val="auto"/>
          <w:szCs w:val="24"/>
          <w:highlight w:val="none"/>
        </w:rPr>
        <w:t>①建设项目所在区域的声环境功能区类别；</w:t>
      </w:r>
    </w:p>
    <w:p w14:paraId="0C3D8A7D">
      <w:pPr>
        <w:rPr>
          <w:rFonts w:cs="Times New Roman"/>
          <w:color w:val="auto"/>
          <w:szCs w:val="24"/>
          <w:highlight w:val="none"/>
        </w:rPr>
      </w:pPr>
      <w:r>
        <w:rPr>
          <w:rFonts w:cs="Times New Roman"/>
          <w:color w:val="auto"/>
          <w:szCs w:val="24"/>
          <w:highlight w:val="none"/>
        </w:rPr>
        <w:t>②建设项目建设前后所在区域的声环境质量变化程度；</w:t>
      </w:r>
    </w:p>
    <w:p w14:paraId="34CF92A9">
      <w:pPr>
        <w:rPr>
          <w:rFonts w:cs="Times New Roman"/>
          <w:color w:val="auto"/>
          <w:szCs w:val="24"/>
          <w:highlight w:val="none"/>
        </w:rPr>
      </w:pPr>
      <w:r>
        <w:rPr>
          <w:rFonts w:cs="Times New Roman"/>
          <w:color w:val="auto"/>
          <w:szCs w:val="24"/>
          <w:highlight w:val="none"/>
        </w:rPr>
        <w:t>③受建设项目影响人口的数量；</w:t>
      </w:r>
    </w:p>
    <w:p w14:paraId="5DC65407">
      <w:pPr>
        <w:rPr>
          <w:rFonts w:cs="Times New Roman"/>
          <w:color w:val="auto"/>
          <w:szCs w:val="24"/>
          <w:highlight w:val="none"/>
        </w:rPr>
      </w:pPr>
      <w:r>
        <w:rPr>
          <w:rFonts w:cs="Times New Roman"/>
          <w:color w:val="auto"/>
          <w:szCs w:val="24"/>
          <w:highlight w:val="none"/>
        </w:rPr>
        <w:t>本项目位于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cs="Times New Roman"/>
          <w:color w:val="auto"/>
          <w:szCs w:val="24"/>
          <w:highlight w:val="none"/>
        </w:rPr>
        <w:t>，</w:t>
      </w:r>
      <w:r>
        <w:rPr>
          <w:rFonts w:cs="Times New Roman"/>
          <w:color w:val="auto"/>
          <w:szCs w:val="24"/>
          <w:highlight w:val="none"/>
          <w:lang w:bidi="ar"/>
        </w:rPr>
        <w:t>属于</w:t>
      </w:r>
      <w:r>
        <w:rPr>
          <w:rFonts w:hint="eastAsia" w:cs="Times New Roman"/>
          <w:color w:val="auto"/>
          <w:szCs w:val="24"/>
          <w:highlight w:val="none"/>
          <w:lang w:val="en-US" w:eastAsia="zh-CN" w:bidi="ar"/>
        </w:rPr>
        <w:t>2</w:t>
      </w:r>
      <w:r>
        <w:rPr>
          <w:rFonts w:cs="Times New Roman"/>
          <w:color w:val="auto"/>
          <w:szCs w:val="24"/>
          <w:highlight w:val="none"/>
          <w:lang w:bidi="ar"/>
        </w:rPr>
        <w:t>类声功能区。根据《环境影响评价技术导则-声环境》（HJ2.4-2021）中“5.</w:t>
      </w:r>
      <w:r>
        <w:rPr>
          <w:rFonts w:hint="eastAsia" w:cs="Times New Roman"/>
          <w:color w:val="auto"/>
          <w:szCs w:val="24"/>
          <w:highlight w:val="none"/>
          <w:lang w:val="en-US" w:eastAsia="zh-CN" w:bidi="ar"/>
        </w:rPr>
        <w:t>1</w:t>
      </w:r>
      <w:r>
        <w:rPr>
          <w:rFonts w:cs="Times New Roman"/>
          <w:color w:val="auto"/>
          <w:szCs w:val="24"/>
          <w:highlight w:val="none"/>
          <w:lang w:bidi="ar"/>
        </w:rPr>
        <w:t>.3建设项目所处的声环境功能区为</w:t>
      </w:r>
      <w:r>
        <w:rPr>
          <w:rFonts w:hint="default" w:cs="Times New Roman"/>
          <w:color w:val="auto"/>
          <w:szCs w:val="24"/>
          <w:highlight w:val="none"/>
          <w:lang w:bidi="ar"/>
        </w:rPr>
        <w:t xml:space="preserve"> GB 3096 规定的 1 类、2 类地区，或建设项目建设前后评价范</w:t>
      </w:r>
      <w:r>
        <w:rPr>
          <w:rFonts w:hint="default" w:cs="Times New Roman"/>
          <w:color w:val="auto"/>
          <w:szCs w:val="24"/>
          <w:highlight w:val="none"/>
          <w:lang w:bidi="ar"/>
        </w:rPr>
        <w:br w:type="textWrapping"/>
      </w:r>
      <w:r>
        <w:rPr>
          <w:rFonts w:hint="default" w:cs="Times New Roman"/>
          <w:color w:val="auto"/>
          <w:szCs w:val="24"/>
          <w:highlight w:val="none"/>
          <w:lang w:bidi="ar"/>
        </w:rPr>
        <w:t>围内声环境保护目标噪声级增量达3 dB</w:t>
      </w:r>
      <w:r>
        <w:rPr>
          <w:rFonts w:cs="Times New Roman"/>
          <w:color w:val="auto"/>
          <w:szCs w:val="24"/>
          <w:highlight w:val="none"/>
          <w:lang w:bidi="ar"/>
        </w:rPr>
        <w:t>(</w:t>
      </w:r>
      <w:r>
        <w:rPr>
          <w:rFonts w:hint="default" w:cs="Times New Roman"/>
          <w:color w:val="auto"/>
          <w:szCs w:val="24"/>
          <w:highlight w:val="none"/>
          <w:lang w:bidi="ar"/>
        </w:rPr>
        <w:t>A)～5 dB(A)，或受噪声影响人口数量增加较多时，按二级评价。</w:t>
      </w:r>
      <w:r>
        <w:rPr>
          <w:rFonts w:cs="Times New Roman"/>
          <w:color w:val="auto"/>
          <w:szCs w:val="24"/>
          <w:highlight w:val="none"/>
          <w:lang w:bidi="ar"/>
        </w:rPr>
        <w:t>”，本项目所在地属于声环境质量功能区中的</w:t>
      </w:r>
      <w:r>
        <w:rPr>
          <w:rFonts w:hint="eastAsia" w:cs="Times New Roman"/>
          <w:color w:val="auto"/>
          <w:szCs w:val="24"/>
          <w:highlight w:val="none"/>
          <w:lang w:val="en-US" w:eastAsia="zh-CN" w:bidi="ar"/>
        </w:rPr>
        <w:t>2</w:t>
      </w:r>
      <w:r>
        <w:rPr>
          <w:rFonts w:cs="Times New Roman"/>
          <w:color w:val="auto"/>
          <w:szCs w:val="24"/>
          <w:highlight w:val="none"/>
          <w:lang w:bidi="ar"/>
        </w:rPr>
        <w:t>类区，评价范围内</w:t>
      </w:r>
      <w:r>
        <w:rPr>
          <w:rFonts w:hint="eastAsia" w:cs="Times New Roman"/>
          <w:color w:val="auto"/>
          <w:szCs w:val="24"/>
          <w:highlight w:val="none"/>
          <w:lang w:val="en-US" w:eastAsia="zh-CN" w:bidi="ar"/>
        </w:rPr>
        <w:t>有</w:t>
      </w:r>
      <w:r>
        <w:rPr>
          <w:rFonts w:cs="Times New Roman"/>
          <w:color w:val="auto"/>
          <w:szCs w:val="24"/>
          <w:highlight w:val="none"/>
          <w:lang w:bidi="ar"/>
        </w:rPr>
        <w:t>敏感目标，因此，确定本项目声环境评价等级为</w:t>
      </w:r>
      <w:r>
        <w:rPr>
          <w:rFonts w:hint="eastAsia" w:cs="Times New Roman"/>
          <w:color w:val="auto"/>
          <w:szCs w:val="24"/>
          <w:highlight w:val="none"/>
          <w:lang w:val="en-US" w:eastAsia="zh-CN" w:bidi="ar"/>
        </w:rPr>
        <w:t>二</w:t>
      </w:r>
      <w:r>
        <w:rPr>
          <w:rFonts w:cs="Times New Roman"/>
          <w:color w:val="auto"/>
          <w:szCs w:val="24"/>
          <w:highlight w:val="none"/>
          <w:lang w:bidi="ar"/>
        </w:rPr>
        <w:t>级评价。</w:t>
      </w:r>
    </w:p>
    <w:p w14:paraId="130DA4A7">
      <w:pPr>
        <w:pStyle w:val="4"/>
        <w:spacing w:after="156"/>
        <w:rPr>
          <w:rFonts w:cs="Times New Roman"/>
          <w:color w:val="auto"/>
          <w:highlight w:val="none"/>
        </w:rPr>
      </w:pPr>
      <w:bookmarkStart w:id="68" w:name="_Toc7803"/>
      <w:r>
        <w:rPr>
          <w:rFonts w:cs="Times New Roman"/>
          <w:color w:val="auto"/>
          <w:highlight w:val="none"/>
        </w:rPr>
        <w:t>2.3.5生态环境</w:t>
      </w:r>
      <w:bookmarkEnd w:id="68"/>
      <w:r>
        <w:rPr>
          <w:rFonts w:cs="Times New Roman"/>
          <w:snapToGrid w:val="0"/>
          <w:color w:val="auto"/>
          <w:szCs w:val="24"/>
          <w:highlight w:val="none"/>
        </w:rPr>
        <w:t>评价等级</w:t>
      </w:r>
    </w:p>
    <w:p w14:paraId="607D92CF">
      <w:pPr>
        <w:rPr>
          <w:rFonts w:cs="Times New Roman"/>
          <w:snapToGrid w:val="0"/>
          <w:color w:val="auto"/>
          <w:kern w:val="0"/>
          <w:highlight w:val="none"/>
        </w:rPr>
      </w:pPr>
      <w:r>
        <w:rPr>
          <w:rFonts w:cs="Times New Roman"/>
          <w:color w:val="auto"/>
          <w:szCs w:val="24"/>
          <w:highlight w:val="none"/>
        </w:rPr>
        <w:t>本项目位于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cs="Times New Roman"/>
          <w:color w:val="auto"/>
          <w:szCs w:val="24"/>
          <w:highlight w:val="none"/>
        </w:rPr>
        <w:t>，</w:t>
      </w:r>
      <w:r>
        <w:rPr>
          <w:rFonts w:hint="default" w:ascii="Times New Roman" w:hAnsi="Times New Roman" w:cs="Times New Roman"/>
          <w:color w:val="auto"/>
          <w:highlight w:val="none"/>
          <w:lang w:val="en-US" w:eastAsia="zh-CN"/>
        </w:rPr>
        <w:t>占地及其周边不涉及国家公园、自然保护区、世界自然遗产、重要生境、自然公园、生态保护红线等区域，</w:t>
      </w:r>
      <w:r>
        <w:rPr>
          <w:rFonts w:hint="default" w:ascii="Times New Roman" w:hAnsi="Times New Roman" w:cs="Times New Roman"/>
          <w:color w:val="auto"/>
          <w:highlight w:val="none"/>
        </w:rPr>
        <w:t>根据《环境影响评价技术导则 生态影响》（HJ19-20</w:t>
      </w:r>
      <w:r>
        <w:rPr>
          <w:rFonts w:hint="default" w:ascii="Times New Roman" w:hAnsi="Times New Roman" w:cs="Times New Roman"/>
          <w:color w:val="auto"/>
          <w:highlight w:val="none"/>
          <w:lang w:val="en-US" w:eastAsia="zh-CN"/>
        </w:rPr>
        <w:t>22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本项目属于除导则6.1.2条中a）、b）、c）、d）、e）、f）以外的情况，因此</w:t>
      </w:r>
      <w:r>
        <w:rPr>
          <w:rFonts w:hint="default" w:ascii="Times New Roman" w:hAnsi="Times New Roman" w:cs="Times New Roman"/>
          <w:color w:val="auto"/>
          <w:highlight w:val="none"/>
        </w:rPr>
        <w:t>生态评价等级定为三级。</w:t>
      </w:r>
    </w:p>
    <w:p w14:paraId="351790C1">
      <w:pPr>
        <w:pStyle w:val="4"/>
        <w:spacing w:after="156"/>
        <w:rPr>
          <w:rFonts w:cs="Times New Roman"/>
          <w:color w:val="auto"/>
          <w:highlight w:val="none"/>
        </w:rPr>
      </w:pPr>
      <w:bookmarkStart w:id="69" w:name="_Toc17214"/>
      <w:r>
        <w:rPr>
          <w:rFonts w:cs="Times New Roman"/>
          <w:color w:val="auto"/>
          <w:highlight w:val="none"/>
        </w:rPr>
        <w:t>2.3.6土壤评价等级</w:t>
      </w:r>
      <w:bookmarkEnd w:id="69"/>
    </w:p>
    <w:p w14:paraId="35ABB893">
      <w:pPr>
        <w:rPr>
          <w:rFonts w:cs="Times New Roman"/>
          <w:snapToGrid w:val="0"/>
          <w:color w:val="auto"/>
          <w:kern w:val="0"/>
          <w:highlight w:val="none"/>
        </w:rPr>
      </w:pPr>
      <w:r>
        <w:rPr>
          <w:rFonts w:cs="Times New Roman"/>
          <w:color w:val="auto"/>
          <w:szCs w:val="24"/>
          <w:highlight w:val="none"/>
        </w:rPr>
        <w:t>本项目类别为牲畜屠宰，对照《环境影响评价技术导则土壤环境（试行）》（HJ964-2018）及附录A土壤环境影响评价项目类别，本项目应属于“其他行业”，项目类别为IV类；故本项目可不开展土壤环境影响评价工作。</w:t>
      </w:r>
    </w:p>
    <w:p w14:paraId="008A90F4">
      <w:pPr>
        <w:pStyle w:val="4"/>
        <w:spacing w:after="156"/>
        <w:rPr>
          <w:rFonts w:cs="Times New Roman"/>
          <w:color w:val="auto"/>
          <w:highlight w:val="none"/>
        </w:rPr>
      </w:pPr>
      <w:bookmarkStart w:id="70" w:name="_Toc28565"/>
      <w:r>
        <w:rPr>
          <w:rFonts w:cs="Times New Roman"/>
          <w:color w:val="auto"/>
          <w:highlight w:val="none"/>
        </w:rPr>
        <w:t>2.3.7风险评价等级</w:t>
      </w:r>
      <w:bookmarkEnd w:id="70"/>
    </w:p>
    <w:p w14:paraId="1E000E38">
      <w:pPr>
        <w:widowControl/>
        <w:rPr>
          <w:rFonts w:cs="Times New Roman"/>
          <w:color w:val="auto"/>
          <w:highlight w:val="none"/>
        </w:rPr>
      </w:pPr>
      <w:r>
        <w:rPr>
          <w:rFonts w:cs="Times New Roman"/>
          <w:color w:val="auto"/>
          <w:kern w:val="0"/>
          <w:szCs w:val="24"/>
          <w:highlight w:val="none"/>
          <w:lang w:bidi="ar"/>
        </w:rPr>
        <w:t>根据</w:t>
      </w:r>
      <w:r>
        <w:rPr>
          <w:rFonts w:cs="Times New Roman"/>
          <w:color w:val="auto"/>
          <w:szCs w:val="24"/>
          <w:highlight w:val="none"/>
        </w:rPr>
        <w:t>《建设项目环境风险评价技术导则》（HJ169-2018）</w:t>
      </w:r>
      <w:r>
        <w:rPr>
          <w:rFonts w:cs="Times New Roman"/>
          <w:color w:val="auto"/>
          <w:kern w:val="0"/>
          <w:szCs w:val="24"/>
          <w:highlight w:val="none"/>
          <w:lang w:bidi="ar"/>
        </w:rPr>
        <w:t>，环境风险评价的工作等级划分为标准见下表。</w:t>
      </w:r>
    </w:p>
    <w:p w14:paraId="4D118064">
      <w:pPr>
        <w:spacing w:line="240" w:lineRule="auto"/>
        <w:ind w:firstLine="482"/>
        <w:jc w:val="center"/>
        <w:rPr>
          <w:rFonts w:cs="Times New Roman"/>
          <w:b/>
          <w:color w:val="auto"/>
          <w:szCs w:val="24"/>
          <w:highlight w:val="none"/>
        </w:rPr>
      </w:pPr>
      <w:r>
        <w:rPr>
          <w:rFonts w:cs="Times New Roman"/>
          <w:b/>
          <w:color w:val="auto"/>
          <w:szCs w:val="24"/>
          <w:highlight w:val="none"/>
        </w:rPr>
        <w:t>表2-3-11  风险评价等级</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1696"/>
        <w:gridCol w:w="1696"/>
        <w:gridCol w:w="1696"/>
        <w:gridCol w:w="1696"/>
      </w:tblGrid>
      <w:tr w14:paraId="3EEE85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696" w:type="dxa"/>
            <w:tcBorders>
              <w:top w:val="single" w:color="auto" w:sz="12" w:space="0"/>
              <w:left w:val="nil"/>
              <w:bottom w:val="single" w:color="auto" w:sz="4" w:space="0"/>
              <w:right w:val="single" w:color="auto" w:sz="4" w:space="0"/>
            </w:tcBorders>
            <w:vAlign w:val="center"/>
          </w:tcPr>
          <w:p w14:paraId="33F50A3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环境风险潜势</w:t>
            </w:r>
          </w:p>
        </w:tc>
        <w:tc>
          <w:tcPr>
            <w:tcW w:w="1696" w:type="dxa"/>
            <w:tcBorders>
              <w:top w:val="single" w:color="auto" w:sz="12" w:space="0"/>
              <w:left w:val="single" w:color="auto" w:sz="4" w:space="0"/>
              <w:bottom w:val="single" w:color="auto" w:sz="4" w:space="0"/>
              <w:right w:val="single" w:color="auto" w:sz="4" w:space="0"/>
            </w:tcBorders>
            <w:vAlign w:val="center"/>
          </w:tcPr>
          <w:p w14:paraId="1ED69C7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Ⅳ、Ⅳ+</w:t>
            </w:r>
          </w:p>
        </w:tc>
        <w:tc>
          <w:tcPr>
            <w:tcW w:w="1696" w:type="dxa"/>
            <w:tcBorders>
              <w:top w:val="single" w:color="auto" w:sz="12" w:space="0"/>
              <w:left w:val="single" w:color="auto" w:sz="4" w:space="0"/>
              <w:bottom w:val="single" w:color="auto" w:sz="4" w:space="0"/>
              <w:right w:val="single" w:color="auto" w:sz="4" w:space="0"/>
            </w:tcBorders>
            <w:vAlign w:val="center"/>
          </w:tcPr>
          <w:p w14:paraId="02E8699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Ⅲ</w:t>
            </w:r>
          </w:p>
        </w:tc>
        <w:tc>
          <w:tcPr>
            <w:tcW w:w="1696" w:type="dxa"/>
            <w:tcBorders>
              <w:top w:val="single" w:color="auto" w:sz="12" w:space="0"/>
              <w:left w:val="single" w:color="auto" w:sz="4" w:space="0"/>
              <w:bottom w:val="single" w:color="auto" w:sz="4" w:space="0"/>
              <w:right w:val="single" w:color="auto" w:sz="4" w:space="0"/>
            </w:tcBorders>
            <w:vAlign w:val="center"/>
          </w:tcPr>
          <w:p w14:paraId="57E14F3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Ⅱ</w:t>
            </w:r>
          </w:p>
        </w:tc>
        <w:tc>
          <w:tcPr>
            <w:tcW w:w="1696" w:type="dxa"/>
            <w:tcBorders>
              <w:top w:val="single" w:color="auto" w:sz="12" w:space="0"/>
              <w:left w:val="single" w:color="auto" w:sz="4" w:space="0"/>
              <w:bottom w:val="single" w:color="auto" w:sz="4" w:space="0"/>
              <w:right w:val="nil"/>
            </w:tcBorders>
            <w:vAlign w:val="center"/>
          </w:tcPr>
          <w:p w14:paraId="1AE2B27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Ⅰ</w:t>
            </w:r>
          </w:p>
        </w:tc>
      </w:tr>
      <w:tr w14:paraId="7DFFC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1696" w:type="dxa"/>
            <w:tcBorders>
              <w:top w:val="single" w:color="auto" w:sz="4" w:space="0"/>
              <w:left w:val="nil"/>
              <w:bottom w:val="single" w:color="auto" w:sz="12" w:space="0"/>
              <w:right w:val="single" w:color="auto" w:sz="4" w:space="0"/>
            </w:tcBorders>
            <w:vAlign w:val="center"/>
          </w:tcPr>
          <w:p w14:paraId="5CB7561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评价工作等级</w:t>
            </w:r>
          </w:p>
        </w:tc>
        <w:tc>
          <w:tcPr>
            <w:tcW w:w="1696" w:type="dxa"/>
            <w:tcBorders>
              <w:top w:val="single" w:color="auto" w:sz="4" w:space="0"/>
              <w:left w:val="single" w:color="auto" w:sz="4" w:space="0"/>
              <w:bottom w:val="single" w:color="auto" w:sz="12" w:space="0"/>
              <w:right w:val="single" w:color="auto" w:sz="4" w:space="0"/>
            </w:tcBorders>
            <w:vAlign w:val="center"/>
          </w:tcPr>
          <w:p w14:paraId="271EE4E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w:t>
            </w:r>
          </w:p>
        </w:tc>
        <w:tc>
          <w:tcPr>
            <w:tcW w:w="1696" w:type="dxa"/>
            <w:tcBorders>
              <w:top w:val="single" w:color="auto" w:sz="4" w:space="0"/>
              <w:left w:val="single" w:color="auto" w:sz="4" w:space="0"/>
              <w:bottom w:val="single" w:color="auto" w:sz="12" w:space="0"/>
              <w:right w:val="single" w:color="auto" w:sz="4" w:space="0"/>
            </w:tcBorders>
            <w:vAlign w:val="center"/>
          </w:tcPr>
          <w:p w14:paraId="6143080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二</w:t>
            </w:r>
          </w:p>
        </w:tc>
        <w:tc>
          <w:tcPr>
            <w:tcW w:w="1696" w:type="dxa"/>
            <w:tcBorders>
              <w:top w:val="single" w:color="auto" w:sz="4" w:space="0"/>
              <w:left w:val="single" w:color="auto" w:sz="4" w:space="0"/>
              <w:bottom w:val="single" w:color="auto" w:sz="12" w:space="0"/>
              <w:right w:val="single" w:color="auto" w:sz="4" w:space="0"/>
            </w:tcBorders>
            <w:vAlign w:val="center"/>
          </w:tcPr>
          <w:p w14:paraId="2854FE1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三</w:t>
            </w:r>
          </w:p>
        </w:tc>
        <w:tc>
          <w:tcPr>
            <w:tcW w:w="1696" w:type="dxa"/>
            <w:tcBorders>
              <w:top w:val="single" w:color="auto" w:sz="4" w:space="0"/>
              <w:left w:val="single" w:color="auto" w:sz="4" w:space="0"/>
              <w:bottom w:val="single" w:color="auto" w:sz="12" w:space="0"/>
              <w:right w:val="nil"/>
            </w:tcBorders>
            <w:vAlign w:val="center"/>
          </w:tcPr>
          <w:p w14:paraId="437E589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简单分析</w:t>
            </w:r>
          </w:p>
        </w:tc>
      </w:tr>
    </w:tbl>
    <w:p w14:paraId="47C59BB7">
      <w:pPr>
        <w:spacing w:before="156" w:beforeLines="50"/>
        <w:rPr>
          <w:rFonts w:ascii="Times New Roman" w:hAnsi="Times New Roman" w:eastAsia="宋体" w:cs="Times New Roman"/>
          <w:color w:val="auto"/>
          <w:szCs w:val="24"/>
          <w:highlight w:val="none"/>
        </w:rPr>
      </w:pPr>
      <w:r>
        <w:rPr>
          <w:rFonts w:cs="Times New Roman"/>
          <w:color w:val="auto"/>
          <w:szCs w:val="24"/>
          <w:highlight w:val="none"/>
        </w:rPr>
        <w:t>本项目涉及的危险物质主要为</w:t>
      </w:r>
      <w:r>
        <w:rPr>
          <w:rFonts w:hint="eastAsia" w:cs="Times New Roman"/>
          <w:color w:val="auto"/>
          <w:kern w:val="0"/>
          <w:highlight w:val="none"/>
          <w:lang w:val="en-US" w:eastAsia="zh-CN"/>
        </w:rPr>
        <w:t>次氯酸钠</w:t>
      </w:r>
      <w:r>
        <w:rPr>
          <w:rFonts w:cs="Times New Roman"/>
          <w:color w:val="auto"/>
          <w:szCs w:val="24"/>
          <w:highlight w:val="none"/>
        </w:rPr>
        <w:t>，</w:t>
      </w:r>
      <w:r>
        <w:rPr>
          <w:rFonts w:hint="eastAsia" w:cs="Times New Roman"/>
          <w:color w:val="auto"/>
          <w:kern w:val="0"/>
          <w:highlight w:val="none"/>
          <w:lang w:val="en-US" w:eastAsia="zh-CN"/>
        </w:rPr>
        <w:t>次氯酸钠</w:t>
      </w:r>
      <w:r>
        <w:rPr>
          <w:rFonts w:cs="Times New Roman"/>
          <w:color w:val="auto"/>
          <w:szCs w:val="24"/>
          <w:highlight w:val="none"/>
        </w:rPr>
        <w:t>厂内最大暂存量为</w:t>
      </w:r>
      <w:r>
        <w:rPr>
          <w:rFonts w:hint="eastAsia" w:cs="Times New Roman"/>
          <w:color w:val="auto"/>
          <w:szCs w:val="24"/>
          <w:highlight w:val="none"/>
          <w:lang w:val="en-US" w:eastAsia="zh-CN"/>
        </w:rPr>
        <w:t>2</w:t>
      </w:r>
      <w:r>
        <w:rPr>
          <w:rFonts w:cs="Times New Roman"/>
          <w:color w:val="auto"/>
          <w:szCs w:val="24"/>
          <w:highlight w:val="none"/>
        </w:rPr>
        <w:t>t，</w:t>
      </w:r>
      <w:r>
        <w:rPr>
          <w:rFonts w:cs="Times New Roman"/>
          <w:color w:val="auto"/>
          <w:highlight w:val="none"/>
        </w:rPr>
        <w:t>，</w:t>
      </w:r>
      <w:r>
        <w:rPr>
          <w:rFonts w:cs="Times New Roman"/>
          <w:color w:val="auto"/>
          <w:szCs w:val="24"/>
          <w:highlight w:val="none"/>
        </w:rPr>
        <w:t>属于《建设项目环境风险评价技术导则》（HJ169-2018）附录B中危险物质。根</w:t>
      </w:r>
      <w:r>
        <w:rPr>
          <w:rFonts w:ascii="Times New Roman" w:hAnsi="Times New Roman" w:eastAsia="宋体" w:cs="Times New Roman"/>
          <w:color w:val="auto"/>
          <w:szCs w:val="24"/>
          <w:highlight w:val="none"/>
        </w:rPr>
        <w:t>据附录B，可知</w:t>
      </w:r>
      <w:r>
        <w:rPr>
          <w:rFonts w:hint="eastAsia" w:cs="Times New Roman"/>
          <w:color w:val="auto"/>
          <w:szCs w:val="24"/>
          <w:highlight w:val="none"/>
          <w:lang w:val="en-US" w:eastAsia="zh-CN"/>
        </w:rPr>
        <w:t>次氯酸钠</w:t>
      </w:r>
      <w:r>
        <w:rPr>
          <w:rFonts w:ascii="Times New Roman" w:hAnsi="Times New Roman" w:eastAsia="宋体" w:cs="Times New Roman"/>
          <w:color w:val="auto"/>
          <w:szCs w:val="24"/>
          <w:highlight w:val="none"/>
        </w:rPr>
        <w:t>临界量为5t，。</w:t>
      </w:r>
    </w:p>
    <w:p w14:paraId="17051A39">
      <w:pPr>
        <w:keepNext w:val="0"/>
        <w:keepLines w:val="0"/>
        <w:pageBreakBefore w:val="0"/>
        <w:widowControl w:val="0"/>
        <w:kinsoku/>
        <w:wordWrap/>
        <w:overflowPunct/>
        <w:topLinePunct w:val="0"/>
        <w:autoSpaceDE/>
        <w:autoSpaceDN/>
        <w:bidi w:val="0"/>
        <w:adjustRightInd w:val="0"/>
        <w:snapToGrid w:val="0"/>
        <w:textAlignment w:val="auto"/>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当只涉及一种危险物质时，计算该物质的总量与其临界量的比值，即为Q；</w:t>
      </w:r>
    </w:p>
    <w:p w14:paraId="60A46B46">
      <w:pPr>
        <w:pStyle w:val="117"/>
        <w:adjustRightInd w:val="0"/>
        <w:snapToGrid w:val="0"/>
        <w:spacing w:line="360" w:lineRule="auto"/>
        <w:ind w:firstLine="0" w:firstLineChars="0"/>
        <w:jc w:val="center"/>
        <w:rPr>
          <w:color w:val="auto"/>
          <w:highlight w:val="none"/>
        </w:rPr>
      </w:pPr>
      <w:r>
        <w:rPr>
          <w:color w:val="auto"/>
          <w:highlight w:val="none"/>
        </w:rPr>
        <w:drawing>
          <wp:inline distT="0" distB="0" distL="114300" distR="114300">
            <wp:extent cx="676275" cy="619125"/>
            <wp:effectExtent l="0" t="0" r="9525" b="9525"/>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21"/>
                    <a:stretch>
                      <a:fillRect/>
                    </a:stretch>
                  </pic:blipFill>
                  <pic:spPr>
                    <a:xfrm>
                      <a:off x="0" y="0"/>
                      <a:ext cx="676275" cy="619125"/>
                    </a:xfrm>
                    <a:prstGeom prst="rect">
                      <a:avLst/>
                    </a:prstGeom>
                    <a:noFill/>
                    <a:ln>
                      <a:noFill/>
                    </a:ln>
                  </pic:spPr>
                </pic:pic>
              </a:graphicData>
            </a:graphic>
          </wp:inline>
        </w:drawing>
      </w:r>
    </w:p>
    <w:p w14:paraId="39EB71A0">
      <w:pPr>
        <w:pStyle w:val="117"/>
        <w:adjustRightInd w:val="0"/>
        <w:snapToGrid w:val="0"/>
        <w:spacing w:line="360" w:lineRule="auto"/>
        <w:ind w:firstLine="480" w:firstLineChars="200"/>
        <w:jc w:val="both"/>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式中：q1—危险物质实际存在总量，t。</w:t>
      </w:r>
    </w:p>
    <w:p w14:paraId="78A3DE13">
      <w:pPr>
        <w:keepNext w:val="0"/>
        <w:keepLines w:val="0"/>
        <w:pageBreakBefore w:val="0"/>
        <w:widowControl w:val="0"/>
        <w:kinsoku/>
        <w:wordWrap/>
        <w:overflowPunct/>
        <w:topLinePunct w:val="0"/>
        <w:autoSpaceDE/>
        <w:autoSpaceDN/>
        <w:bidi w:val="0"/>
        <w:adjustRightInd w:val="0"/>
        <w:snapToGrid w:val="0"/>
        <w:textAlignment w:val="auto"/>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Q1—危险物质的临界量，t。</w:t>
      </w:r>
    </w:p>
    <w:p w14:paraId="06A2927B">
      <w:pPr>
        <w:keepNext w:val="0"/>
        <w:keepLines w:val="0"/>
        <w:pageBreakBefore w:val="0"/>
        <w:widowControl w:val="0"/>
        <w:kinsoku/>
        <w:wordWrap/>
        <w:overflowPunct/>
        <w:topLinePunct w:val="0"/>
        <w:autoSpaceDE/>
        <w:autoSpaceDN/>
        <w:bidi w:val="0"/>
        <w:adjustRightInd w:val="0"/>
        <w:snapToGrid w:val="0"/>
        <w:textAlignment w:val="auto"/>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当Q＜1时，该项目环境风险潜势为</w:t>
      </w:r>
      <w:r>
        <w:rPr>
          <w:rFonts w:ascii="Times New Roman" w:hAnsi="Times New Roman" w:eastAsia="宋体" w:cs="Times New Roman"/>
          <w:color w:val="auto"/>
          <w:szCs w:val="24"/>
          <w:highlight w:val="none"/>
        </w:rPr>
        <w:fldChar w:fldCharType="begin"/>
      </w:r>
      <w:r>
        <w:rPr>
          <w:rFonts w:ascii="Times New Roman" w:hAnsi="Times New Roman" w:eastAsia="宋体" w:cs="Times New Roman"/>
          <w:color w:val="auto"/>
          <w:szCs w:val="24"/>
          <w:highlight w:val="none"/>
        </w:rPr>
        <w:instrText xml:space="preserve"> = 1 \* ROMAN </w:instrText>
      </w:r>
      <w:r>
        <w:rPr>
          <w:rFonts w:ascii="Times New Roman" w:hAnsi="Times New Roman" w:eastAsia="宋体" w:cs="Times New Roman"/>
          <w:color w:val="auto"/>
          <w:szCs w:val="24"/>
          <w:highlight w:val="none"/>
        </w:rPr>
        <w:fldChar w:fldCharType="separate"/>
      </w:r>
      <w:r>
        <w:rPr>
          <w:rFonts w:ascii="Times New Roman" w:hAnsi="Times New Roman" w:eastAsia="宋体" w:cs="Times New Roman"/>
          <w:color w:val="auto"/>
          <w:szCs w:val="24"/>
          <w:highlight w:val="none"/>
        </w:rPr>
        <w:t>I</w:t>
      </w:r>
      <w:r>
        <w:rPr>
          <w:rFonts w:ascii="Times New Roman" w:hAnsi="Times New Roman" w:eastAsia="宋体" w:cs="Times New Roman"/>
          <w:color w:val="auto"/>
          <w:szCs w:val="24"/>
          <w:highlight w:val="none"/>
        </w:rPr>
        <w:fldChar w:fldCharType="end"/>
      </w:r>
      <w:r>
        <w:rPr>
          <w:rFonts w:ascii="Times New Roman" w:hAnsi="Times New Roman" w:eastAsia="宋体" w:cs="Times New Roman"/>
          <w:color w:val="auto"/>
          <w:szCs w:val="24"/>
          <w:highlight w:val="none"/>
        </w:rPr>
        <w:t>。</w:t>
      </w:r>
    </w:p>
    <w:p w14:paraId="49C03456">
      <w:pPr>
        <w:keepNext w:val="0"/>
        <w:keepLines w:val="0"/>
        <w:pageBreakBefore w:val="0"/>
        <w:widowControl w:val="0"/>
        <w:kinsoku/>
        <w:wordWrap/>
        <w:overflowPunct/>
        <w:topLinePunct w:val="0"/>
        <w:autoSpaceDE/>
        <w:autoSpaceDN/>
        <w:bidi w:val="0"/>
        <w:adjustRightInd w:val="0"/>
        <w:snapToGrid w:val="0"/>
        <w:textAlignment w:val="auto"/>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当Q≥1时，将Q值划分为：（1）1≤Q＜10；（2）10≤Q＜100；（3）Q≥100。</w:t>
      </w:r>
    </w:p>
    <w:p w14:paraId="111CD324">
      <w:pPr>
        <w:keepNext w:val="0"/>
        <w:keepLines w:val="0"/>
        <w:pageBreakBefore w:val="0"/>
        <w:widowControl w:val="0"/>
        <w:kinsoku/>
        <w:wordWrap/>
        <w:overflowPunct/>
        <w:topLinePunct w:val="0"/>
        <w:autoSpaceDE/>
        <w:autoSpaceDN/>
        <w:bidi w:val="0"/>
        <w:adjustRightInd w:val="0"/>
        <w:snapToGrid w:val="0"/>
        <w:textAlignment w:val="auto"/>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结果见表2-3-12。</w:t>
      </w:r>
    </w:p>
    <w:p w14:paraId="59B8D20D">
      <w:pPr>
        <w:spacing w:line="240" w:lineRule="auto"/>
        <w:ind w:firstLine="482"/>
        <w:jc w:val="center"/>
        <w:rPr>
          <w:rFonts w:cs="Times New Roman"/>
          <w:b/>
          <w:color w:val="auto"/>
          <w:szCs w:val="24"/>
          <w:highlight w:val="none"/>
        </w:rPr>
      </w:pPr>
      <w:r>
        <w:rPr>
          <w:rFonts w:cs="Times New Roman"/>
          <w:b/>
          <w:color w:val="auto"/>
          <w:szCs w:val="24"/>
          <w:highlight w:val="none"/>
        </w:rPr>
        <w:t>表2-3-12  危险物质数量与临界量比值</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70"/>
        <w:gridCol w:w="1627"/>
        <w:gridCol w:w="1186"/>
        <w:gridCol w:w="2391"/>
        <w:gridCol w:w="1264"/>
        <w:gridCol w:w="1221"/>
      </w:tblGrid>
      <w:tr w14:paraId="1DB633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97" w:hRule="atLeast"/>
          <w:jc w:val="center"/>
        </w:trPr>
        <w:tc>
          <w:tcPr>
            <w:tcW w:w="401" w:type="pct"/>
            <w:vAlign w:val="center"/>
          </w:tcPr>
          <w:p w14:paraId="444E33C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序号</w:t>
            </w:r>
          </w:p>
        </w:tc>
        <w:tc>
          <w:tcPr>
            <w:tcW w:w="973" w:type="pct"/>
            <w:vAlign w:val="center"/>
          </w:tcPr>
          <w:p w14:paraId="12DC960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危险物质名称</w:t>
            </w:r>
          </w:p>
        </w:tc>
        <w:tc>
          <w:tcPr>
            <w:tcW w:w="709" w:type="pct"/>
            <w:vAlign w:val="center"/>
          </w:tcPr>
          <w:p w14:paraId="6F210A6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CAS号</w:t>
            </w:r>
          </w:p>
        </w:tc>
        <w:tc>
          <w:tcPr>
            <w:tcW w:w="1430" w:type="pct"/>
            <w:vAlign w:val="center"/>
          </w:tcPr>
          <w:p w14:paraId="5E6D32B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最大存在总量（qn/t）</w:t>
            </w:r>
          </w:p>
        </w:tc>
        <w:tc>
          <w:tcPr>
            <w:tcW w:w="755" w:type="pct"/>
            <w:vAlign w:val="center"/>
          </w:tcPr>
          <w:p w14:paraId="3544671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临界量（t）</w:t>
            </w:r>
          </w:p>
        </w:tc>
        <w:tc>
          <w:tcPr>
            <w:tcW w:w="730" w:type="pct"/>
            <w:vAlign w:val="center"/>
          </w:tcPr>
          <w:p w14:paraId="449562C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Q值</w:t>
            </w:r>
          </w:p>
        </w:tc>
      </w:tr>
      <w:tr w14:paraId="542E0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71" w:hRule="atLeast"/>
          <w:jc w:val="center"/>
        </w:trPr>
        <w:tc>
          <w:tcPr>
            <w:tcW w:w="401" w:type="pct"/>
            <w:vAlign w:val="center"/>
          </w:tcPr>
          <w:p w14:paraId="07AF2DB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973" w:type="pct"/>
            <w:vAlign w:val="center"/>
          </w:tcPr>
          <w:p w14:paraId="3A600843">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次氯酸钠</w:t>
            </w:r>
          </w:p>
        </w:tc>
        <w:tc>
          <w:tcPr>
            <w:tcW w:w="709" w:type="pct"/>
            <w:vAlign w:val="center"/>
          </w:tcPr>
          <w:p w14:paraId="0C6DE3D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10049-04-4</w:t>
            </w:r>
          </w:p>
        </w:tc>
        <w:tc>
          <w:tcPr>
            <w:tcW w:w="1430" w:type="pct"/>
            <w:vAlign w:val="center"/>
          </w:tcPr>
          <w:p w14:paraId="3C048FD7">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2</w:t>
            </w:r>
          </w:p>
        </w:tc>
        <w:tc>
          <w:tcPr>
            <w:tcW w:w="755" w:type="pct"/>
            <w:vAlign w:val="center"/>
          </w:tcPr>
          <w:p w14:paraId="63B9CB39">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5</w:t>
            </w:r>
          </w:p>
        </w:tc>
        <w:tc>
          <w:tcPr>
            <w:tcW w:w="730" w:type="pct"/>
            <w:vAlign w:val="center"/>
          </w:tcPr>
          <w:p w14:paraId="1E6507F7">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0.</w:t>
            </w:r>
            <w:r>
              <w:rPr>
                <w:rFonts w:hint="eastAsia" w:cs="Times New Roman"/>
                <w:color w:val="auto"/>
                <w:sz w:val="21"/>
                <w:szCs w:val="21"/>
                <w:highlight w:val="none"/>
                <w:lang w:val="en-US" w:eastAsia="zh-CN"/>
              </w:rPr>
              <w:t>4</w:t>
            </w:r>
          </w:p>
        </w:tc>
      </w:tr>
      <w:tr w14:paraId="2E829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09" w:hRule="atLeast"/>
          <w:jc w:val="center"/>
        </w:trPr>
        <w:tc>
          <w:tcPr>
            <w:tcW w:w="4269" w:type="pct"/>
            <w:gridSpan w:val="5"/>
            <w:vAlign w:val="center"/>
          </w:tcPr>
          <w:p w14:paraId="65418A2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合计</w:t>
            </w:r>
          </w:p>
        </w:tc>
        <w:tc>
          <w:tcPr>
            <w:tcW w:w="730" w:type="pct"/>
            <w:vAlign w:val="center"/>
          </w:tcPr>
          <w:p w14:paraId="0D295351">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0.</w:t>
            </w:r>
            <w:r>
              <w:rPr>
                <w:rFonts w:hint="eastAsia" w:cs="Times New Roman"/>
                <w:color w:val="auto"/>
                <w:sz w:val="21"/>
                <w:szCs w:val="21"/>
                <w:highlight w:val="none"/>
                <w:lang w:val="en-US" w:eastAsia="zh-CN"/>
              </w:rPr>
              <w:t>4</w:t>
            </w:r>
          </w:p>
        </w:tc>
      </w:tr>
    </w:tbl>
    <w:p w14:paraId="2DA12207">
      <w:pPr>
        <w:rPr>
          <w:rFonts w:cs="Times New Roman"/>
          <w:color w:val="auto"/>
          <w:szCs w:val="24"/>
          <w:highlight w:val="none"/>
        </w:rPr>
      </w:pPr>
      <w:r>
        <w:rPr>
          <w:rFonts w:cs="Times New Roman"/>
          <w:color w:val="auto"/>
          <w:highlight w:val="none"/>
        </w:rPr>
        <w:t>本项目Q=0.</w:t>
      </w:r>
      <w:r>
        <w:rPr>
          <w:rFonts w:hint="eastAsia" w:cs="Times New Roman"/>
          <w:color w:val="auto"/>
          <w:highlight w:val="none"/>
          <w:lang w:val="en-US" w:eastAsia="zh-CN"/>
        </w:rPr>
        <w:t>4</w:t>
      </w:r>
      <w:r>
        <w:rPr>
          <w:rFonts w:cs="Times New Roman"/>
          <w:color w:val="auto"/>
          <w:highlight w:val="none"/>
        </w:rPr>
        <w:t>＜1，因此，本项目风险潜势为</w:t>
      </w:r>
      <w:r>
        <w:rPr>
          <w:rFonts w:cs="Times New Roman"/>
          <w:color w:val="auto"/>
          <w:highlight w:val="none"/>
        </w:rPr>
        <w:fldChar w:fldCharType="begin"/>
      </w:r>
      <w:r>
        <w:rPr>
          <w:rFonts w:cs="Times New Roman"/>
          <w:color w:val="auto"/>
          <w:highlight w:val="none"/>
        </w:rPr>
        <w:instrText xml:space="preserve"> = 1 \* ROMAN </w:instrText>
      </w:r>
      <w:r>
        <w:rPr>
          <w:rFonts w:cs="Times New Roman"/>
          <w:color w:val="auto"/>
          <w:highlight w:val="none"/>
        </w:rPr>
        <w:fldChar w:fldCharType="separate"/>
      </w:r>
      <w:r>
        <w:rPr>
          <w:rFonts w:cs="Times New Roman"/>
          <w:color w:val="auto"/>
          <w:highlight w:val="none"/>
        </w:rPr>
        <w:t>I</w:t>
      </w:r>
      <w:r>
        <w:rPr>
          <w:rFonts w:cs="Times New Roman"/>
          <w:color w:val="auto"/>
          <w:highlight w:val="none"/>
        </w:rPr>
        <w:fldChar w:fldCharType="end"/>
      </w:r>
      <w:r>
        <w:rPr>
          <w:rFonts w:cs="Times New Roman"/>
          <w:color w:val="auto"/>
          <w:highlight w:val="none"/>
        </w:rPr>
        <w:t>，根据《建设项目环境风险评价技术导则》(HJ169-2018)中表1的评价分级原则，风险潜势为</w:t>
      </w:r>
      <w:r>
        <w:rPr>
          <w:rFonts w:cs="Times New Roman"/>
          <w:color w:val="auto"/>
          <w:highlight w:val="none"/>
        </w:rPr>
        <w:fldChar w:fldCharType="begin"/>
      </w:r>
      <w:r>
        <w:rPr>
          <w:rFonts w:cs="Times New Roman"/>
          <w:color w:val="auto"/>
          <w:highlight w:val="none"/>
        </w:rPr>
        <w:instrText xml:space="preserve"> = 1 \* ROMAN </w:instrText>
      </w:r>
      <w:r>
        <w:rPr>
          <w:rFonts w:cs="Times New Roman"/>
          <w:color w:val="auto"/>
          <w:highlight w:val="none"/>
        </w:rPr>
        <w:fldChar w:fldCharType="separate"/>
      </w:r>
      <w:r>
        <w:rPr>
          <w:rFonts w:cs="Times New Roman"/>
          <w:color w:val="auto"/>
          <w:highlight w:val="none"/>
        </w:rPr>
        <w:t>I</w:t>
      </w:r>
      <w:r>
        <w:rPr>
          <w:rFonts w:cs="Times New Roman"/>
          <w:color w:val="auto"/>
          <w:highlight w:val="none"/>
        </w:rPr>
        <w:fldChar w:fldCharType="end"/>
      </w:r>
      <w:r>
        <w:rPr>
          <w:rFonts w:cs="Times New Roman"/>
          <w:color w:val="auto"/>
          <w:highlight w:val="none"/>
        </w:rPr>
        <w:t>仅开展简单分析</w:t>
      </w:r>
      <w:r>
        <w:rPr>
          <w:rFonts w:cs="Times New Roman"/>
          <w:color w:val="auto"/>
          <w:szCs w:val="24"/>
          <w:highlight w:val="none"/>
        </w:rPr>
        <w:t>。</w:t>
      </w:r>
    </w:p>
    <w:p w14:paraId="2FD35BF6">
      <w:pPr>
        <w:pStyle w:val="3"/>
        <w:spacing w:before="156" w:after="156"/>
        <w:rPr>
          <w:rFonts w:cs="Times New Roman"/>
          <w:color w:val="auto"/>
          <w:highlight w:val="none"/>
        </w:rPr>
      </w:pPr>
      <w:bookmarkStart w:id="71" w:name="_Toc27553"/>
      <w:bookmarkStart w:id="72" w:name="_Toc61529194"/>
      <w:r>
        <w:rPr>
          <w:rFonts w:cs="Times New Roman"/>
          <w:color w:val="auto"/>
          <w:highlight w:val="none"/>
        </w:rPr>
        <w:t>2.4 评价范围</w:t>
      </w:r>
      <w:bookmarkEnd w:id="71"/>
      <w:bookmarkEnd w:id="72"/>
    </w:p>
    <w:p w14:paraId="0276DC6E">
      <w:pPr>
        <w:rPr>
          <w:rFonts w:cs="Times New Roman"/>
          <w:color w:val="auto"/>
          <w:szCs w:val="24"/>
          <w:highlight w:val="none"/>
        </w:rPr>
      </w:pPr>
      <w:r>
        <w:rPr>
          <w:rFonts w:cs="Times New Roman"/>
          <w:color w:val="auto"/>
          <w:szCs w:val="24"/>
          <w:highlight w:val="none"/>
        </w:rPr>
        <w:t>按照《环境影响评价技术导则》的要求，依据本项目的工程特点和评价工作等级，确定了本次环境影响评价范围。</w:t>
      </w:r>
    </w:p>
    <w:p w14:paraId="14A08A7D">
      <w:pPr>
        <w:pStyle w:val="4"/>
        <w:spacing w:after="156"/>
        <w:rPr>
          <w:rFonts w:cs="Times New Roman"/>
          <w:color w:val="auto"/>
          <w:highlight w:val="none"/>
        </w:rPr>
      </w:pPr>
      <w:bookmarkStart w:id="73" w:name="_Toc16760"/>
      <w:r>
        <w:rPr>
          <w:rFonts w:cs="Times New Roman"/>
          <w:color w:val="auto"/>
          <w:highlight w:val="none"/>
        </w:rPr>
        <w:t>2.4.1 大气评价范围</w:t>
      </w:r>
      <w:bookmarkEnd w:id="73"/>
    </w:p>
    <w:p w14:paraId="7A28E9E8">
      <w:pPr>
        <w:rPr>
          <w:rFonts w:cs="Times New Roman"/>
          <w:color w:val="auto"/>
          <w:highlight w:val="none"/>
        </w:rPr>
      </w:pPr>
      <w:r>
        <w:rPr>
          <w:rFonts w:cs="Times New Roman"/>
          <w:color w:val="auto"/>
          <w:szCs w:val="24"/>
          <w:highlight w:val="none"/>
        </w:rPr>
        <w:t>根据《环境影响评价技术导则-大气环境》（HJ2.2-2018）大气二级评价工作的要求，确定本项目大气环境评价范围为</w:t>
      </w:r>
      <w:r>
        <w:rPr>
          <w:rFonts w:hint="eastAsia" w:cs="Times New Roman"/>
          <w:color w:val="auto"/>
          <w:szCs w:val="24"/>
          <w:highlight w:val="none"/>
          <w:lang w:val="en-US" w:eastAsia="zh-CN"/>
        </w:rPr>
        <w:t>以项目厂址为</w:t>
      </w:r>
      <w:r>
        <w:rPr>
          <w:rFonts w:cs="Times New Roman"/>
          <w:color w:val="auto"/>
          <w:szCs w:val="24"/>
          <w:highlight w:val="none"/>
        </w:rPr>
        <w:t>中心边长为5km的矩形区域。</w:t>
      </w:r>
    </w:p>
    <w:p w14:paraId="72FD4652">
      <w:pPr>
        <w:pStyle w:val="4"/>
        <w:spacing w:after="156"/>
        <w:rPr>
          <w:rFonts w:cs="Times New Roman"/>
          <w:color w:val="auto"/>
          <w:highlight w:val="none"/>
        </w:rPr>
      </w:pPr>
      <w:bookmarkStart w:id="74" w:name="_Toc14961"/>
      <w:r>
        <w:rPr>
          <w:rFonts w:cs="Times New Roman"/>
          <w:color w:val="auto"/>
          <w:highlight w:val="none"/>
        </w:rPr>
        <w:t>2.4.2 水环境评价范围</w:t>
      </w:r>
      <w:bookmarkEnd w:id="74"/>
    </w:p>
    <w:p w14:paraId="0E731C62">
      <w:pPr>
        <w:pStyle w:val="5"/>
        <w:bidi w:val="0"/>
        <w:rPr>
          <w:color w:val="auto"/>
          <w:highlight w:val="none"/>
        </w:rPr>
      </w:pPr>
      <w:bookmarkStart w:id="75" w:name="_Toc703"/>
      <w:bookmarkStart w:id="76" w:name="_Toc5031"/>
      <w:bookmarkStart w:id="77" w:name="_Toc5819"/>
      <w:r>
        <w:rPr>
          <w:color w:val="auto"/>
          <w:highlight w:val="none"/>
        </w:rPr>
        <w:t>2.4.2.1 地表水环境评价范围</w:t>
      </w:r>
      <w:bookmarkEnd w:id="75"/>
      <w:bookmarkEnd w:id="76"/>
      <w:bookmarkEnd w:id="77"/>
    </w:p>
    <w:p w14:paraId="3BC6B13C">
      <w:pPr>
        <w:rPr>
          <w:rFonts w:cs="Times New Roman"/>
          <w:color w:val="auto"/>
          <w:szCs w:val="24"/>
          <w:highlight w:val="none"/>
        </w:rPr>
      </w:pPr>
      <w:r>
        <w:rPr>
          <w:rFonts w:cs="Times New Roman"/>
          <w:color w:val="auto"/>
          <w:szCs w:val="24"/>
          <w:highlight w:val="none"/>
        </w:rPr>
        <w:t>本项目地表水环境影响评价工作等级为三级B，因此本评价</w:t>
      </w:r>
      <w:r>
        <w:rPr>
          <w:rFonts w:cs="Times New Roman"/>
          <w:snapToGrid w:val="0"/>
          <w:color w:val="auto"/>
          <w:szCs w:val="24"/>
          <w:highlight w:val="none"/>
        </w:rPr>
        <w:t>主要针对地表水环境影响现状以及</w:t>
      </w:r>
      <w:r>
        <w:rPr>
          <w:rFonts w:cs="Times New Roman"/>
          <w:color w:val="auto"/>
          <w:szCs w:val="24"/>
          <w:highlight w:val="none"/>
        </w:rPr>
        <w:t>产生的废水能否满足国家、地方的排放标准要求，做简单的废水达标可行性分析，不设地表水环境影响评价范围。</w:t>
      </w:r>
      <w:bookmarkStart w:id="78" w:name="_Toc18475"/>
      <w:bookmarkStart w:id="79" w:name="_Toc2672"/>
      <w:bookmarkStart w:id="80" w:name="_Toc8452"/>
    </w:p>
    <w:p w14:paraId="6244303C">
      <w:pPr>
        <w:pStyle w:val="5"/>
        <w:bidi w:val="0"/>
        <w:rPr>
          <w:color w:val="auto"/>
          <w:highlight w:val="none"/>
        </w:rPr>
      </w:pPr>
      <w:r>
        <w:rPr>
          <w:color w:val="auto"/>
          <w:highlight w:val="none"/>
        </w:rPr>
        <w:t>2.4.2.2 地下水环境评价范围</w:t>
      </w:r>
      <w:bookmarkEnd w:id="78"/>
      <w:bookmarkEnd w:id="79"/>
      <w:bookmarkEnd w:id="80"/>
    </w:p>
    <w:p w14:paraId="468C11A4">
      <w:pPr>
        <w:rPr>
          <w:rFonts w:cs="Times New Roman"/>
          <w:color w:val="auto"/>
          <w:szCs w:val="24"/>
          <w:highlight w:val="none"/>
        </w:rPr>
      </w:pPr>
      <w:r>
        <w:rPr>
          <w:rFonts w:cs="Times New Roman"/>
          <w:color w:val="auto"/>
          <w:szCs w:val="24"/>
          <w:highlight w:val="none"/>
        </w:rPr>
        <w:t>本次评价地下水调查范围采用查表法确定。</w:t>
      </w:r>
    </w:p>
    <w:p w14:paraId="37096B75">
      <w:pPr>
        <w:spacing w:line="240" w:lineRule="auto"/>
        <w:ind w:firstLine="482"/>
        <w:jc w:val="center"/>
        <w:rPr>
          <w:rFonts w:cs="Times New Roman"/>
          <w:b/>
          <w:bCs/>
          <w:color w:val="auto"/>
          <w:szCs w:val="24"/>
          <w:highlight w:val="none"/>
        </w:rPr>
      </w:pPr>
      <w:r>
        <w:rPr>
          <w:rFonts w:cs="Times New Roman"/>
          <w:b/>
          <w:bCs/>
          <w:color w:val="auto"/>
          <w:szCs w:val="24"/>
          <w:highlight w:val="none"/>
        </w:rPr>
        <w:t>表2-4-1  地下水环境现状调查评价范围参照表</w:t>
      </w:r>
    </w:p>
    <w:tbl>
      <w:tblPr>
        <w:tblStyle w:val="47"/>
        <w:tblW w:w="851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3254"/>
        <w:gridCol w:w="4003"/>
      </w:tblGrid>
      <w:tr w14:paraId="04D786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1262" w:type="dxa"/>
            <w:shd w:val="clear" w:color="auto" w:fill="auto"/>
            <w:vAlign w:val="center"/>
          </w:tcPr>
          <w:p w14:paraId="4000775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评价等级</w:t>
            </w:r>
          </w:p>
        </w:tc>
        <w:tc>
          <w:tcPr>
            <w:tcW w:w="3254" w:type="dxa"/>
            <w:shd w:val="clear" w:color="auto" w:fill="auto"/>
            <w:vAlign w:val="center"/>
          </w:tcPr>
          <w:p w14:paraId="05726DF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调查评价范围（km</w:t>
            </w:r>
            <w:r>
              <w:rPr>
                <w:rFonts w:cs="Times New Roman"/>
                <w:color w:val="auto"/>
                <w:sz w:val="21"/>
                <w:szCs w:val="21"/>
                <w:highlight w:val="none"/>
                <w:vertAlign w:val="superscript"/>
              </w:rPr>
              <w:t>2</w:t>
            </w:r>
            <w:r>
              <w:rPr>
                <w:rFonts w:cs="Times New Roman"/>
                <w:color w:val="auto"/>
                <w:sz w:val="21"/>
                <w:szCs w:val="21"/>
                <w:highlight w:val="none"/>
              </w:rPr>
              <w:t>）</w:t>
            </w:r>
          </w:p>
        </w:tc>
        <w:tc>
          <w:tcPr>
            <w:tcW w:w="4003" w:type="dxa"/>
            <w:shd w:val="clear" w:color="auto" w:fill="auto"/>
            <w:vAlign w:val="center"/>
          </w:tcPr>
          <w:p w14:paraId="3E485D0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备注</w:t>
            </w:r>
          </w:p>
        </w:tc>
      </w:tr>
      <w:tr w14:paraId="33805C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62" w:type="dxa"/>
            <w:shd w:val="clear" w:color="auto" w:fill="auto"/>
            <w:vAlign w:val="center"/>
          </w:tcPr>
          <w:p w14:paraId="58BA4D7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一级</w:t>
            </w:r>
          </w:p>
        </w:tc>
        <w:tc>
          <w:tcPr>
            <w:tcW w:w="3254" w:type="dxa"/>
            <w:shd w:val="clear" w:color="auto" w:fill="auto"/>
            <w:vAlign w:val="center"/>
          </w:tcPr>
          <w:p w14:paraId="4F18D2E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≧20</w:t>
            </w:r>
          </w:p>
        </w:tc>
        <w:tc>
          <w:tcPr>
            <w:tcW w:w="4003" w:type="dxa"/>
            <w:vMerge w:val="restart"/>
            <w:shd w:val="clear" w:color="auto" w:fill="auto"/>
            <w:vAlign w:val="center"/>
          </w:tcPr>
          <w:p w14:paraId="59D1BD8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应包括重要的地下水环境保护目标，必要时适当扩大范围</w:t>
            </w:r>
          </w:p>
        </w:tc>
      </w:tr>
      <w:tr w14:paraId="6409C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262" w:type="dxa"/>
            <w:shd w:val="clear" w:color="auto" w:fill="auto"/>
            <w:vAlign w:val="center"/>
          </w:tcPr>
          <w:p w14:paraId="2009906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二级</w:t>
            </w:r>
          </w:p>
        </w:tc>
        <w:tc>
          <w:tcPr>
            <w:tcW w:w="3254" w:type="dxa"/>
            <w:shd w:val="clear" w:color="auto" w:fill="auto"/>
            <w:vAlign w:val="center"/>
          </w:tcPr>
          <w:p w14:paraId="750A792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6-20</w:t>
            </w:r>
          </w:p>
        </w:tc>
        <w:tc>
          <w:tcPr>
            <w:tcW w:w="4003" w:type="dxa"/>
            <w:vMerge w:val="continue"/>
            <w:shd w:val="clear" w:color="auto" w:fill="auto"/>
            <w:vAlign w:val="center"/>
          </w:tcPr>
          <w:p w14:paraId="5D282681">
            <w:pPr>
              <w:pStyle w:val="119"/>
              <w:adjustRightInd w:val="0"/>
              <w:snapToGrid w:val="0"/>
              <w:spacing w:line="360" w:lineRule="exact"/>
              <w:ind w:firstLine="0" w:firstLineChars="0"/>
              <w:jc w:val="center"/>
              <w:rPr>
                <w:rFonts w:ascii="Times New Roman" w:hAnsi="Times New Roman" w:cs="Times New Roman"/>
                <w:color w:val="auto"/>
                <w:sz w:val="21"/>
                <w:szCs w:val="21"/>
                <w:highlight w:val="none"/>
              </w:rPr>
            </w:pPr>
          </w:p>
        </w:tc>
      </w:tr>
      <w:tr w14:paraId="7C6AA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1262" w:type="dxa"/>
            <w:shd w:val="clear" w:color="auto" w:fill="auto"/>
            <w:vAlign w:val="center"/>
          </w:tcPr>
          <w:p w14:paraId="1083178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三级</w:t>
            </w:r>
          </w:p>
        </w:tc>
        <w:tc>
          <w:tcPr>
            <w:tcW w:w="3254" w:type="dxa"/>
            <w:shd w:val="clear" w:color="auto" w:fill="auto"/>
            <w:vAlign w:val="center"/>
          </w:tcPr>
          <w:p w14:paraId="4772F4E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≤6</w:t>
            </w:r>
          </w:p>
        </w:tc>
        <w:tc>
          <w:tcPr>
            <w:tcW w:w="4003" w:type="dxa"/>
            <w:vMerge w:val="continue"/>
            <w:shd w:val="clear" w:color="auto" w:fill="auto"/>
            <w:vAlign w:val="center"/>
          </w:tcPr>
          <w:p w14:paraId="5DB5B8DC">
            <w:pPr>
              <w:pStyle w:val="119"/>
              <w:adjustRightInd w:val="0"/>
              <w:snapToGrid w:val="0"/>
              <w:spacing w:line="360" w:lineRule="exact"/>
              <w:ind w:firstLine="0" w:firstLineChars="0"/>
              <w:jc w:val="center"/>
              <w:rPr>
                <w:rFonts w:ascii="Times New Roman" w:hAnsi="Times New Roman" w:cs="Times New Roman"/>
                <w:color w:val="auto"/>
                <w:sz w:val="21"/>
                <w:szCs w:val="21"/>
                <w:highlight w:val="none"/>
              </w:rPr>
            </w:pPr>
          </w:p>
        </w:tc>
      </w:tr>
    </w:tbl>
    <w:p w14:paraId="53D34CF4">
      <w:pPr>
        <w:ind w:firstLine="528"/>
        <w:rPr>
          <w:rFonts w:cs="Times New Roman"/>
          <w:color w:val="auto"/>
          <w:szCs w:val="24"/>
          <w:highlight w:val="none"/>
        </w:rPr>
      </w:pPr>
      <w:r>
        <w:rPr>
          <w:rFonts w:hint="eastAsia" w:ascii="Times New Roman"/>
          <w:color w:val="auto"/>
          <w:highlight w:val="none"/>
        </w:rPr>
        <w:t>根据《环境影响评价技术导则 地下水环境》（HJ610-2016），综合考虑评价区域水文地质单元的完整性和边界条件的概化，</w:t>
      </w:r>
      <w:r>
        <w:rPr>
          <w:rFonts w:hint="eastAsia" w:ascii="Times New Roman"/>
          <w:color w:val="auto"/>
          <w:highlight w:val="none"/>
          <w:lang w:val="zh-TW" w:eastAsia="zh-TW"/>
        </w:rPr>
        <w:t>结合周边</w:t>
      </w:r>
      <w:r>
        <w:rPr>
          <w:rFonts w:hint="eastAsia" w:ascii="Times New Roman"/>
          <w:color w:val="auto"/>
          <w:highlight w:val="none"/>
        </w:rPr>
        <w:t>敏感目标</w:t>
      </w:r>
      <w:r>
        <w:rPr>
          <w:rFonts w:hint="eastAsia" w:ascii="Times New Roman"/>
          <w:color w:val="auto"/>
          <w:highlight w:val="none"/>
          <w:lang w:val="zh-TW" w:eastAsia="zh-TW"/>
        </w:rPr>
        <w:t>分布和地下水流向确定评价范围，</w:t>
      </w:r>
      <w:r>
        <w:rPr>
          <w:rFonts w:hint="eastAsia" w:ascii="Times New Roman"/>
          <w:color w:val="auto"/>
          <w:highlight w:val="none"/>
          <w:lang w:val="en-US" w:eastAsia="zh-CN"/>
        </w:rPr>
        <w:t>本项目</w:t>
      </w:r>
      <w:r>
        <w:rPr>
          <w:rFonts w:hint="eastAsia" w:ascii="Times New Roman"/>
          <w:color w:val="auto"/>
          <w:highlight w:val="none"/>
        </w:rPr>
        <w:t>采用自定义法结合计算法、查表法，确定以项目区外扩面积</w:t>
      </w:r>
      <w:r>
        <w:rPr>
          <w:rFonts w:hint="eastAsia" w:ascii="Times New Roman"/>
          <w:color w:val="auto"/>
          <w:highlight w:val="none"/>
          <w:lang w:val="en-US" w:eastAsia="zh-CN"/>
        </w:rPr>
        <w:t>6</w:t>
      </w:r>
      <w:r>
        <w:rPr>
          <w:rFonts w:hint="eastAsia" w:ascii="Times New Roman"/>
          <w:color w:val="auto"/>
          <w:highlight w:val="none"/>
        </w:rPr>
        <w:t>.0km</w:t>
      </w:r>
      <w:r>
        <w:rPr>
          <w:rFonts w:hint="eastAsia" w:ascii="Times New Roman"/>
          <w:color w:val="auto"/>
          <w:highlight w:val="none"/>
          <w:vertAlign w:val="superscript"/>
        </w:rPr>
        <w:t>2</w:t>
      </w:r>
      <w:r>
        <w:rPr>
          <w:rFonts w:hint="eastAsia" w:ascii="Times New Roman"/>
          <w:color w:val="auto"/>
          <w:highlight w:val="none"/>
        </w:rPr>
        <w:t>范围为地下水调查评价范围。</w:t>
      </w:r>
    </w:p>
    <w:p w14:paraId="6102496D">
      <w:pPr>
        <w:pStyle w:val="4"/>
        <w:spacing w:after="156"/>
        <w:rPr>
          <w:rFonts w:cs="Times New Roman"/>
          <w:color w:val="auto"/>
          <w:highlight w:val="none"/>
        </w:rPr>
      </w:pPr>
      <w:bookmarkStart w:id="81" w:name="_Toc19747"/>
      <w:r>
        <w:rPr>
          <w:rFonts w:cs="Times New Roman"/>
          <w:color w:val="auto"/>
          <w:highlight w:val="none"/>
        </w:rPr>
        <w:t>2.4.3 声环境评价范围</w:t>
      </w:r>
      <w:bookmarkEnd w:id="81"/>
    </w:p>
    <w:p w14:paraId="34C964B0">
      <w:pPr>
        <w:rPr>
          <w:rFonts w:cs="Times New Roman"/>
          <w:color w:val="auto"/>
          <w:szCs w:val="24"/>
          <w:highlight w:val="none"/>
        </w:rPr>
      </w:pPr>
      <w:r>
        <w:rPr>
          <w:rFonts w:cs="Times New Roman"/>
          <w:color w:val="auto"/>
          <w:szCs w:val="24"/>
          <w:highlight w:val="none"/>
        </w:rPr>
        <w:t>根据《环境影响评价技术导则-声环境》（HJ2.4-2021）对评价工作的要求，从该项目周围环境具体情况出发，对噪声现状调查及影响分析，确定声环境评价范围为</w:t>
      </w:r>
      <w:r>
        <w:rPr>
          <w:rFonts w:cs="Times New Roman"/>
          <w:bCs/>
          <w:color w:val="auto"/>
          <w:szCs w:val="24"/>
          <w:highlight w:val="none"/>
        </w:rPr>
        <w:t>本项目厂区边界外200m范围。</w:t>
      </w:r>
    </w:p>
    <w:p w14:paraId="74298279">
      <w:pPr>
        <w:pStyle w:val="4"/>
        <w:spacing w:after="156"/>
        <w:rPr>
          <w:rFonts w:cs="Times New Roman"/>
          <w:color w:val="auto"/>
          <w:highlight w:val="none"/>
        </w:rPr>
      </w:pPr>
      <w:bookmarkStart w:id="82" w:name="_Toc28115"/>
      <w:r>
        <w:rPr>
          <w:rFonts w:cs="Times New Roman"/>
          <w:color w:val="auto"/>
          <w:highlight w:val="none"/>
        </w:rPr>
        <w:t>2.4.4 风险评价范围</w:t>
      </w:r>
      <w:bookmarkEnd w:id="82"/>
    </w:p>
    <w:p w14:paraId="576B9B23">
      <w:pPr>
        <w:rPr>
          <w:rFonts w:cs="Times New Roman"/>
          <w:color w:val="auto"/>
          <w:szCs w:val="24"/>
          <w:highlight w:val="none"/>
        </w:rPr>
      </w:pPr>
      <w:r>
        <w:rPr>
          <w:rFonts w:cs="Times New Roman"/>
          <w:color w:val="auto"/>
          <w:szCs w:val="24"/>
          <w:highlight w:val="none"/>
        </w:rPr>
        <w:t>按《建设项目环境风险评价技术导则》（HJ169-2018）要求，不设风险环境影响评价范围。</w:t>
      </w:r>
    </w:p>
    <w:p w14:paraId="4E8A25C4">
      <w:pPr>
        <w:pStyle w:val="3"/>
        <w:spacing w:before="156" w:after="156"/>
        <w:rPr>
          <w:rFonts w:cs="Times New Roman"/>
          <w:color w:val="auto"/>
          <w:highlight w:val="none"/>
        </w:rPr>
      </w:pPr>
      <w:bookmarkStart w:id="83" w:name="_Toc20056"/>
      <w:bookmarkStart w:id="84" w:name="_Toc56"/>
      <w:bookmarkStart w:id="85" w:name="_Toc61529195"/>
      <w:r>
        <w:rPr>
          <w:rFonts w:cs="Times New Roman"/>
          <w:color w:val="auto"/>
          <w:highlight w:val="none"/>
        </w:rPr>
        <w:t>2.5 评价重点与环境保护目标</w:t>
      </w:r>
      <w:bookmarkEnd w:id="83"/>
      <w:bookmarkEnd w:id="84"/>
      <w:bookmarkEnd w:id="85"/>
    </w:p>
    <w:p w14:paraId="07E07198">
      <w:pPr>
        <w:pStyle w:val="4"/>
        <w:spacing w:after="156"/>
        <w:rPr>
          <w:rFonts w:cs="Times New Roman"/>
          <w:color w:val="auto"/>
          <w:highlight w:val="none"/>
        </w:rPr>
      </w:pPr>
      <w:bookmarkStart w:id="86" w:name="_Toc17360"/>
      <w:bookmarkStart w:id="87" w:name="_Toc12258"/>
      <w:r>
        <w:rPr>
          <w:rFonts w:cs="Times New Roman"/>
          <w:color w:val="auto"/>
          <w:highlight w:val="none"/>
        </w:rPr>
        <w:t>2.5.1 评价重点</w:t>
      </w:r>
      <w:bookmarkEnd w:id="86"/>
      <w:bookmarkEnd w:id="87"/>
    </w:p>
    <w:p w14:paraId="3FA0123D">
      <w:pPr>
        <w:rPr>
          <w:rFonts w:cs="Times New Roman"/>
          <w:color w:val="auto"/>
          <w:szCs w:val="24"/>
          <w:highlight w:val="none"/>
        </w:rPr>
      </w:pPr>
      <w:r>
        <w:rPr>
          <w:rFonts w:cs="Times New Roman"/>
          <w:color w:val="auto"/>
          <w:szCs w:val="24"/>
          <w:highlight w:val="none"/>
        </w:rPr>
        <w:t>通过前述环境影响因子识别、评价因子的确定和评价等级的确定，并根据项目工程特点，确定本项目环境影响评价工作的重点和主要内容如下：</w:t>
      </w:r>
    </w:p>
    <w:p w14:paraId="6B8D60D6">
      <w:pPr>
        <w:rPr>
          <w:rFonts w:cs="Times New Roman"/>
          <w:color w:val="auto"/>
          <w:szCs w:val="24"/>
          <w:highlight w:val="none"/>
        </w:rPr>
      </w:pPr>
      <w:r>
        <w:rPr>
          <w:rFonts w:cs="Times New Roman"/>
          <w:color w:val="auto"/>
          <w:szCs w:val="24"/>
          <w:highlight w:val="none"/>
        </w:rPr>
        <w:t>①工程所在区域环境质量现状调查。</w:t>
      </w:r>
    </w:p>
    <w:p w14:paraId="35BAD632">
      <w:pPr>
        <w:rPr>
          <w:rFonts w:cs="Times New Roman"/>
          <w:color w:val="auto"/>
          <w:szCs w:val="24"/>
          <w:highlight w:val="none"/>
        </w:rPr>
      </w:pPr>
      <w:r>
        <w:rPr>
          <w:rFonts w:cs="Times New Roman"/>
          <w:color w:val="auto"/>
          <w:szCs w:val="24"/>
          <w:highlight w:val="none"/>
        </w:rPr>
        <w:t>②对项目进行详实的工程分析。通过充分的调查和分析，结合生产工艺流程，查清各生产环节产生的污染源种类、排放方式和排放源强等。</w:t>
      </w:r>
    </w:p>
    <w:p w14:paraId="1532C80B">
      <w:pPr>
        <w:rPr>
          <w:rFonts w:cs="Times New Roman"/>
          <w:color w:val="auto"/>
          <w:szCs w:val="24"/>
          <w:highlight w:val="none"/>
        </w:rPr>
      </w:pPr>
      <w:r>
        <w:rPr>
          <w:rFonts w:cs="Times New Roman"/>
          <w:color w:val="auto"/>
          <w:szCs w:val="24"/>
          <w:highlight w:val="none"/>
        </w:rPr>
        <w:t>③根据污染源监测数据和相关环保要求，并通过预测分析，论证项目采取的环境保护治理措施实施的适用性和有效性，确定是否符合相关环保要求。</w:t>
      </w:r>
    </w:p>
    <w:p w14:paraId="530542DD">
      <w:pPr>
        <w:pStyle w:val="4"/>
        <w:spacing w:after="156"/>
        <w:ind w:firstLine="480" w:firstLineChars="200"/>
        <w:rPr>
          <w:rFonts w:cs="Times New Roman"/>
          <w:color w:val="auto"/>
          <w:highlight w:val="none"/>
        </w:rPr>
      </w:pPr>
      <w:bookmarkStart w:id="88" w:name="_Toc21505"/>
      <w:r>
        <w:rPr>
          <w:rFonts w:cs="Times New Roman"/>
          <w:color w:val="auto"/>
          <w:highlight w:val="none"/>
        </w:rPr>
        <w:t>2.5.2 环境保护目标</w:t>
      </w:r>
      <w:bookmarkEnd w:id="88"/>
    </w:p>
    <w:p w14:paraId="1C0C472F">
      <w:pPr>
        <w:pStyle w:val="16"/>
        <w:jc w:val="both"/>
        <w:rPr>
          <w:rFonts w:cs="Times New Roman"/>
          <w:color w:val="auto"/>
          <w:szCs w:val="24"/>
          <w:highlight w:val="none"/>
        </w:rPr>
      </w:pPr>
      <w:r>
        <w:rPr>
          <w:rFonts w:cs="Times New Roman"/>
          <w:bCs/>
          <w:color w:val="auto"/>
          <w:szCs w:val="24"/>
          <w:highlight w:val="none"/>
        </w:rPr>
        <w:t>根据现场踏勘结果，项目评价范围内</w:t>
      </w:r>
      <w:r>
        <w:rPr>
          <w:rFonts w:cs="Times New Roman"/>
          <w:color w:val="auto"/>
          <w:szCs w:val="24"/>
          <w:highlight w:val="none"/>
        </w:rPr>
        <w:t>无自然保护区、风景名胜区和文物古迹，</w:t>
      </w:r>
      <w:r>
        <w:rPr>
          <w:rFonts w:hint="eastAsia" w:cs="Times New Roman"/>
          <w:color w:val="auto"/>
          <w:szCs w:val="24"/>
          <w:highlight w:val="none"/>
        </w:rPr>
        <w:t>无</w:t>
      </w:r>
      <w:r>
        <w:rPr>
          <w:rFonts w:cs="Times New Roman"/>
          <w:color w:val="auto"/>
          <w:szCs w:val="24"/>
          <w:highlight w:val="none"/>
        </w:rPr>
        <w:t>饮用水水源地等需要特殊保护的环境敏感对象，厂界200m范围内</w:t>
      </w:r>
      <w:r>
        <w:rPr>
          <w:rFonts w:hint="eastAsia" w:cs="Times New Roman"/>
          <w:color w:val="auto"/>
          <w:szCs w:val="24"/>
          <w:highlight w:val="none"/>
          <w:lang w:val="en-US" w:eastAsia="zh-CN"/>
        </w:rPr>
        <w:t>有</w:t>
      </w:r>
      <w:r>
        <w:rPr>
          <w:rFonts w:cs="Times New Roman"/>
          <w:color w:val="auto"/>
          <w:szCs w:val="24"/>
          <w:highlight w:val="none"/>
        </w:rPr>
        <w:t>声环境敏感目标；无风险环境保护目标</w:t>
      </w:r>
      <w:r>
        <w:rPr>
          <w:rFonts w:cs="Times New Roman"/>
          <w:color w:val="auto"/>
          <w:highlight w:val="none"/>
        </w:rPr>
        <w:t>。</w:t>
      </w:r>
      <w:r>
        <w:rPr>
          <w:rFonts w:cs="Times New Roman"/>
          <w:color w:val="auto"/>
          <w:szCs w:val="24"/>
          <w:highlight w:val="none"/>
        </w:rPr>
        <w:t>根据本地区环境规划要求，结合本工程的主要污染物特征，明确本工程控制污染与环境保护目标如下：</w:t>
      </w:r>
    </w:p>
    <w:p w14:paraId="69B5BC2A">
      <w:pPr>
        <w:spacing w:line="240" w:lineRule="auto"/>
        <w:ind w:firstLine="0" w:firstLineChars="0"/>
        <w:jc w:val="center"/>
        <w:rPr>
          <w:rFonts w:cs="Times New Roman"/>
          <w:b/>
          <w:color w:val="auto"/>
          <w:szCs w:val="24"/>
          <w:highlight w:val="none"/>
        </w:rPr>
      </w:pPr>
      <w:r>
        <w:rPr>
          <w:rFonts w:cs="Times New Roman"/>
          <w:b/>
          <w:color w:val="auto"/>
          <w:szCs w:val="24"/>
          <w:highlight w:val="none"/>
        </w:rPr>
        <w:t>表2-5-1  主要环境保护目标一览表</w:t>
      </w:r>
    </w:p>
    <w:tbl>
      <w:tblPr>
        <w:tblStyle w:val="47"/>
        <w:tblW w:w="903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0"/>
        <w:gridCol w:w="1088"/>
        <w:gridCol w:w="1343"/>
        <w:gridCol w:w="1225"/>
        <w:gridCol w:w="1039"/>
        <w:gridCol w:w="689"/>
        <w:gridCol w:w="1729"/>
        <w:gridCol w:w="708"/>
        <w:gridCol w:w="710"/>
      </w:tblGrid>
      <w:tr w14:paraId="63643E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500" w:type="dxa"/>
            <w:vMerge w:val="restart"/>
            <w:vAlign w:val="center"/>
          </w:tcPr>
          <w:p w14:paraId="54593DD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环境要素</w:t>
            </w:r>
          </w:p>
        </w:tc>
        <w:tc>
          <w:tcPr>
            <w:tcW w:w="1088" w:type="dxa"/>
            <w:vMerge w:val="restart"/>
            <w:vAlign w:val="center"/>
          </w:tcPr>
          <w:p w14:paraId="2EB8A0B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名称</w:t>
            </w:r>
          </w:p>
        </w:tc>
        <w:tc>
          <w:tcPr>
            <w:tcW w:w="2568" w:type="dxa"/>
            <w:gridSpan w:val="2"/>
            <w:vAlign w:val="center"/>
          </w:tcPr>
          <w:p w14:paraId="5CD0C59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坐标</w:t>
            </w:r>
          </w:p>
        </w:tc>
        <w:tc>
          <w:tcPr>
            <w:tcW w:w="1039" w:type="dxa"/>
            <w:vMerge w:val="restart"/>
            <w:vAlign w:val="center"/>
          </w:tcPr>
          <w:p w14:paraId="020FFE7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保护对象</w:t>
            </w:r>
          </w:p>
        </w:tc>
        <w:tc>
          <w:tcPr>
            <w:tcW w:w="689" w:type="dxa"/>
            <w:vMerge w:val="restart"/>
            <w:vAlign w:val="center"/>
          </w:tcPr>
          <w:p w14:paraId="4315681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保护内容</w:t>
            </w:r>
          </w:p>
        </w:tc>
        <w:tc>
          <w:tcPr>
            <w:tcW w:w="1729" w:type="dxa"/>
            <w:vMerge w:val="restart"/>
            <w:vAlign w:val="center"/>
          </w:tcPr>
          <w:p w14:paraId="4FC415E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环境功能区</w:t>
            </w:r>
          </w:p>
        </w:tc>
        <w:tc>
          <w:tcPr>
            <w:tcW w:w="708" w:type="dxa"/>
            <w:vMerge w:val="restart"/>
            <w:vAlign w:val="center"/>
          </w:tcPr>
          <w:p w14:paraId="6DD4003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相对厂址方位</w:t>
            </w:r>
          </w:p>
        </w:tc>
        <w:tc>
          <w:tcPr>
            <w:tcW w:w="710" w:type="dxa"/>
            <w:vMerge w:val="restart"/>
            <w:vAlign w:val="center"/>
          </w:tcPr>
          <w:p w14:paraId="0281259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相对厂界距离/m</w:t>
            </w:r>
          </w:p>
        </w:tc>
      </w:tr>
      <w:tr w14:paraId="0022FE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500" w:type="dxa"/>
            <w:vMerge w:val="continue"/>
            <w:vAlign w:val="center"/>
          </w:tcPr>
          <w:p w14:paraId="4AFF9FB9">
            <w:pPr>
              <w:widowControl/>
              <w:spacing w:line="360" w:lineRule="exact"/>
              <w:ind w:firstLine="0" w:firstLineChars="0"/>
              <w:jc w:val="center"/>
              <w:rPr>
                <w:rFonts w:cs="Times New Roman"/>
                <w:color w:val="auto"/>
                <w:sz w:val="21"/>
                <w:szCs w:val="21"/>
                <w:highlight w:val="none"/>
              </w:rPr>
            </w:pPr>
          </w:p>
        </w:tc>
        <w:tc>
          <w:tcPr>
            <w:tcW w:w="1088" w:type="dxa"/>
            <w:vMerge w:val="continue"/>
            <w:vAlign w:val="center"/>
          </w:tcPr>
          <w:p w14:paraId="69C609F0">
            <w:pPr>
              <w:widowControl/>
              <w:spacing w:line="360" w:lineRule="exact"/>
              <w:ind w:firstLine="0" w:firstLineChars="0"/>
              <w:jc w:val="center"/>
              <w:rPr>
                <w:rFonts w:cs="Times New Roman"/>
                <w:color w:val="auto"/>
                <w:sz w:val="21"/>
                <w:szCs w:val="21"/>
                <w:highlight w:val="none"/>
              </w:rPr>
            </w:pPr>
          </w:p>
        </w:tc>
        <w:tc>
          <w:tcPr>
            <w:tcW w:w="1343" w:type="dxa"/>
            <w:shd w:val="clear" w:color="auto" w:fill="auto"/>
            <w:vAlign w:val="center"/>
          </w:tcPr>
          <w:p w14:paraId="13BB74B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经度/°</w:t>
            </w:r>
          </w:p>
        </w:tc>
        <w:tc>
          <w:tcPr>
            <w:tcW w:w="1225" w:type="dxa"/>
            <w:shd w:val="clear" w:color="auto" w:fill="auto"/>
            <w:vAlign w:val="center"/>
          </w:tcPr>
          <w:p w14:paraId="6561B93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纬度/°</w:t>
            </w:r>
          </w:p>
        </w:tc>
        <w:tc>
          <w:tcPr>
            <w:tcW w:w="1039" w:type="dxa"/>
            <w:vMerge w:val="continue"/>
            <w:vAlign w:val="center"/>
          </w:tcPr>
          <w:p w14:paraId="06E69323">
            <w:pPr>
              <w:widowControl/>
              <w:spacing w:line="360" w:lineRule="exact"/>
              <w:ind w:firstLine="0" w:firstLineChars="0"/>
              <w:jc w:val="center"/>
              <w:rPr>
                <w:rFonts w:cs="Times New Roman"/>
                <w:color w:val="auto"/>
                <w:sz w:val="21"/>
                <w:szCs w:val="21"/>
                <w:highlight w:val="none"/>
              </w:rPr>
            </w:pPr>
          </w:p>
        </w:tc>
        <w:tc>
          <w:tcPr>
            <w:tcW w:w="689" w:type="dxa"/>
            <w:vMerge w:val="continue"/>
            <w:vAlign w:val="center"/>
          </w:tcPr>
          <w:p w14:paraId="79DA2361">
            <w:pPr>
              <w:widowControl/>
              <w:spacing w:line="360" w:lineRule="exact"/>
              <w:ind w:firstLine="0" w:firstLineChars="0"/>
              <w:jc w:val="center"/>
              <w:rPr>
                <w:rFonts w:cs="Times New Roman"/>
                <w:color w:val="auto"/>
                <w:sz w:val="21"/>
                <w:szCs w:val="21"/>
                <w:highlight w:val="none"/>
              </w:rPr>
            </w:pPr>
          </w:p>
        </w:tc>
        <w:tc>
          <w:tcPr>
            <w:tcW w:w="1729" w:type="dxa"/>
            <w:vMerge w:val="continue"/>
            <w:vAlign w:val="center"/>
          </w:tcPr>
          <w:p w14:paraId="1669DA3E">
            <w:pPr>
              <w:widowControl/>
              <w:spacing w:line="360" w:lineRule="exact"/>
              <w:ind w:firstLine="0" w:firstLineChars="0"/>
              <w:jc w:val="center"/>
              <w:rPr>
                <w:rFonts w:cs="Times New Roman"/>
                <w:color w:val="auto"/>
                <w:sz w:val="21"/>
                <w:szCs w:val="21"/>
                <w:highlight w:val="none"/>
              </w:rPr>
            </w:pPr>
          </w:p>
        </w:tc>
        <w:tc>
          <w:tcPr>
            <w:tcW w:w="708" w:type="dxa"/>
            <w:vMerge w:val="continue"/>
            <w:vAlign w:val="center"/>
          </w:tcPr>
          <w:p w14:paraId="18DFD4C1">
            <w:pPr>
              <w:widowControl/>
              <w:spacing w:line="360" w:lineRule="exact"/>
              <w:ind w:firstLine="0" w:firstLineChars="0"/>
              <w:jc w:val="center"/>
              <w:rPr>
                <w:rFonts w:cs="Times New Roman"/>
                <w:color w:val="auto"/>
                <w:sz w:val="21"/>
                <w:szCs w:val="21"/>
                <w:highlight w:val="none"/>
              </w:rPr>
            </w:pPr>
          </w:p>
        </w:tc>
        <w:tc>
          <w:tcPr>
            <w:tcW w:w="710" w:type="dxa"/>
            <w:vMerge w:val="continue"/>
            <w:vAlign w:val="center"/>
          </w:tcPr>
          <w:p w14:paraId="13E09B0A">
            <w:pPr>
              <w:widowControl/>
              <w:spacing w:line="360" w:lineRule="exact"/>
              <w:ind w:firstLine="0" w:firstLineChars="0"/>
              <w:jc w:val="center"/>
              <w:rPr>
                <w:rFonts w:cs="Times New Roman"/>
                <w:color w:val="auto"/>
                <w:sz w:val="21"/>
                <w:szCs w:val="21"/>
                <w:highlight w:val="none"/>
              </w:rPr>
            </w:pPr>
          </w:p>
        </w:tc>
      </w:tr>
      <w:tr w14:paraId="3E8615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500" w:type="dxa"/>
            <w:vMerge w:val="restart"/>
            <w:vAlign w:val="center"/>
          </w:tcPr>
          <w:p w14:paraId="796C61C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环境空气</w:t>
            </w:r>
          </w:p>
        </w:tc>
        <w:tc>
          <w:tcPr>
            <w:tcW w:w="1088" w:type="dxa"/>
            <w:vAlign w:val="center"/>
          </w:tcPr>
          <w:p w14:paraId="29752BB7">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小区居民楼</w:t>
            </w:r>
          </w:p>
        </w:tc>
        <w:tc>
          <w:tcPr>
            <w:tcW w:w="1343" w:type="dxa"/>
            <w:vAlign w:val="center"/>
          </w:tcPr>
          <w:p w14:paraId="787EE427">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131.151582</w:t>
            </w:r>
          </w:p>
        </w:tc>
        <w:tc>
          <w:tcPr>
            <w:tcW w:w="1225" w:type="dxa"/>
            <w:vAlign w:val="center"/>
          </w:tcPr>
          <w:p w14:paraId="57353BAE">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46.578089</w:t>
            </w:r>
          </w:p>
        </w:tc>
        <w:tc>
          <w:tcPr>
            <w:tcW w:w="1039" w:type="dxa"/>
            <w:vMerge w:val="restart"/>
            <w:vAlign w:val="center"/>
          </w:tcPr>
          <w:p w14:paraId="17A6936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农村人群集中区</w:t>
            </w:r>
          </w:p>
        </w:tc>
        <w:tc>
          <w:tcPr>
            <w:tcW w:w="689" w:type="dxa"/>
            <w:vMerge w:val="restart"/>
            <w:vAlign w:val="center"/>
          </w:tcPr>
          <w:p w14:paraId="48DB1A0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群众</w:t>
            </w:r>
          </w:p>
        </w:tc>
        <w:tc>
          <w:tcPr>
            <w:tcW w:w="1729" w:type="dxa"/>
            <w:vMerge w:val="restart"/>
            <w:vAlign w:val="center"/>
          </w:tcPr>
          <w:p w14:paraId="7EBE154B">
            <w:pPr>
              <w:widowControl/>
              <w:spacing w:line="360" w:lineRule="exact"/>
              <w:ind w:firstLine="0" w:firstLineChars="0"/>
              <w:jc w:val="center"/>
              <w:rPr>
                <w:rFonts w:cs="Times New Roman"/>
                <w:color w:val="auto"/>
                <w:sz w:val="21"/>
                <w:szCs w:val="21"/>
                <w:highlight w:val="none"/>
              </w:rPr>
            </w:pPr>
            <w:r>
              <w:rPr>
                <w:rFonts w:ascii="Times New Roman" w:hAnsi="Times New Roman" w:eastAsia="宋体" w:cs="Times New Roman"/>
                <w:color w:val="auto"/>
                <w:sz w:val="21"/>
                <w:szCs w:val="21"/>
                <w:highlight w:val="none"/>
              </w:rPr>
              <w:t>GB3095-2012二类区</w:t>
            </w:r>
          </w:p>
        </w:tc>
        <w:tc>
          <w:tcPr>
            <w:tcW w:w="708" w:type="dxa"/>
            <w:vAlign w:val="center"/>
          </w:tcPr>
          <w:p w14:paraId="0B7F1D39">
            <w:pPr>
              <w:widowControl/>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N</w:t>
            </w:r>
          </w:p>
        </w:tc>
        <w:tc>
          <w:tcPr>
            <w:tcW w:w="710" w:type="dxa"/>
            <w:vAlign w:val="center"/>
          </w:tcPr>
          <w:p w14:paraId="21A3C4F2">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1950</w:t>
            </w:r>
          </w:p>
        </w:tc>
      </w:tr>
      <w:tr w14:paraId="055DB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0" w:type="dxa"/>
            <w:vMerge w:val="continue"/>
            <w:vAlign w:val="center"/>
          </w:tcPr>
          <w:p w14:paraId="1D20E6F5">
            <w:pPr>
              <w:spacing w:line="360" w:lineRule="exact"/>
              <w:ind w:firstLine="0" w:firstLineChars="0"/>
              <w:jc w:val="center"/>
              <w:rPr>
                <w:rFonts w:cs="Times New Roman"/>
                <w:color w:val="auto"/>
                <w:sz w:val="21"/>
                <w:szCs w:val="21"/>
                <w:highlight w:val="none"/>
              </w:rPr>
            </w:pPr>
          </w:p>
        </w:tc>
        <w:tc>
          <w:tcPr>
            <w:tcW w:w="1088" w:type="dxa"/>
            <w:vAlign w:val="center"/>
          </w:tcPr>
          <w:p w14:paraId="3D3E7B08">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岭东八村</w:t>
            </w:r>
          </w:p>
        </w:tc>
        <w:tc>
          <w:tcPr>
            <w:tcW w:w="1343" w:type="dxa"/>
            <w:vAlign w:val="center"/>
          </w:tcPr>
          <w:p w14:paraId="50D17E3A">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131.129126</w:t>
            </w:r>
          </w:p>
        </w:tc>
        <w:tc>
          <w:tcPr>
            <w:tcW w:w="1225" w:type="dxa"/>
            <w:vAlign w:val="center"/>
          </w:tcPr>
          <w:p w14:paraId="6979CFD2">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46.575314</w:t>
            </w:r>
          </w:p>
        </w:tc>
        <w:tc>
          <w:tcPr>
            <w:tcW w:w="1039" w:type="dxa"/>
            <w:vMerge w:val="continue"/>
            <w:vAlign w:val="center"/>
          </w:tcPr>
          <w:p w14:paraId="01FFA6FE">
            <w:pPr>
              <w:spacing w:line="360" w:lineRule="exact"/>
              <w:ind w:firstLine="0" w:firstLineChars="0"/>
              <w:jc w:val="center"/>
              <w:rPr>
                <w:rFonts w:cs="Times New Roman"/>
                <w:color w:val="auto"/>
                <w:sz w:val="21"/>
                <w:szCs w:val="21"/>
                <w:highlight w:val="none"/>
              </w:rPr>
            </w:pPr>
          </w:p>
        </w:tc>
        <w:tc>
          <w:tcPr>
            <w:tcW w:w="689" w:type="dxa"/>
            <w:vMerge w:val="continue"/>
            <w:vAlign w:val="center"/>
          </w:tcPr>
          <w:p w14:paraId="7C4CE7B6">
            <w:pPr>
              <w:spacing w:line="360" w:lineRule="exact"/>
              <w:ind w:firstLine="0" w:firstLineChars="0"/>
              <w:jc w:val="center"/>
              <w:rPr>
                <w:rFonts w:cs="Times New Roman"/>
                <w:color w:val="auto"/>
                <w:sz w:val="21"/>
                <w:szCs w:val="21"/>
                <w:highlight w:val="none"/>
              </w:rPr>
            </w:pPr>
          </w:p>
        </w:tc>
        <w:tc>
          <w:tcPr>
            <w:tcW w:w="1729" w:type="dxa"/>
            <w:vMerge w:val="continue"/>
            <w:vAlign w:val="center"/>
          </w:tcPr>
          <w:p w14:paraId="581E1CFA">
            <w:pPr>
              <w:widowControl/>
              <w:spacing w:line="360" w:lineRule="exact"/>
              <w:ind w:firstLine="0" w:firstLineChars="0"/>
              <w:jc w:val="center"/>
              <w:rPr>
                <w:rFonts w:cs="Times New Roman"/>
                <w:color w:val="auto"/>
                <w:sz w:val="21"/>
                <w:szCs w:val="21"/>
                <w:highlight w:val="none"/>
              </w:rPr>
            </w:pPr>
          </w:p>
        </w:tc>
        <w:tc>
          <w:tcPr>
            <w:tcW w:w="708" w:type="dxa"/>
            <w:vAlign w:val="center"/>
          </w:tcPr>
          <w:p w14:paraId="51FEF00C">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WN</w:t>
            </w:r>
          </w:p>
        </w:tc>
        <w:tc>
          <w:tcPr>
            <w:tcW w:w="710" w:type="dxa"/>
            <w:vAlign w:val="center"/>
          </w:tcPr>
          <w:p w14:paraId="3B434EC2">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2355</w:t>
            </w:r>
          </w:p>
        </w:tc>
      </w:tr>
      <w:tr w14:paraId="5B329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0" w:type="dxa"/>
            <w:vMerge w:val="continue"/>
            <w:vAlign w:val="center"/>
          </w:tcPr>
          <w:p w14:paraId="23EF61A7">
            <w:pPr>
              <w:spacing w:line="360" w:lineRule="exact"/>
              <w:ind w:firstLine="0" w:firstLineChars="0"/>
              <w:jc w:val="center"/>
              <w:rPr>
                <w:rFonts w:cs="Times New Roman"/>
                <w:color w:val="auto"/>
                <w:sz w:val="21"/>
                <w:szCs w:val="21"/>
                <w:highlight w:val="none"/>
              </w:rPr>
            </w:pPr>
          </w:p>
        </w:tc>
        <w:tc>
          <w:tcPr>
            <w:tcW w:w="1088" w:type="dxa"/>
            <w:vAlign w:val="center"/>
          </w:tcPr>
          <w:p w14:paraId="50EC646A">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东湖旅游度假区</w:t>
            </w:r>
          </w:p>
        </w:tc>
        <w:tc>
          <w:tcPr>
            <w:tcW w:w="1343" w:type="dxa"/>
            <w:vAlign w:val="center"/>
          </w:tcPr>
          <w:p w14:paraId="3D728558">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131.129296</w:t>
            </w:r>
          </w:p>
        </w:tc>
        <w:tc>
          <w:tcPr>
            <w:tcW w:w="1225" w:type="dxa"/>
            <w:vAlign w:val="center"/>
          </w:tcPr>
          <w:p w14:paraId="266B79E1">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46.569205</w:t>
            </w:r>
          </w:p>
        </w:tc>
        <w:tc>
          <w:tcPr>
            <w:tcW w:w="1039" w:type="dxa"/>
            <w:vMerge w:val="continue"/>
            <w:vAlign w:val="center"/>
          </w:tcPr>
          <w:p w14:paraId="64246D26">
            <w:pPr>
              <w:spacing w:line="360" w:lineRule="exact"/>
              <w:ind w:firstLine="0" w:firstLineChars="0"/>
              <w:jc w:val="center"/>
              <w:rPr>
                <w:rFonts w:cs="Times New Roman"/>
                <w:color w:val="auto"/>
                <w:sz w:val="21"/>
                <w:szCs w:val="21"/>
                <w:highlight w:val="none"/>
              </w:rPr>
            </w:pPr>
          </w:p>
        </w:tc>
        <w:tc>
          <w:tcPr>
            <w:tcW w:w="689" w:type="dxa"/>
            <w:vMerge w:val="continue"/>
            <w:vAlign w:val="center"/>
          </w:tcPr>
          <w:p w14:paraId="14BFAF21">
            <w:pPr>
              <w:spacing w:line="360" w:lineRule="exact"/>
              <w:ind w:firstLine="0" w:firstLineChars="0"/>
              <w:jc w:val="center"/>
              <w:rPr>
                <w:rFonts w:cs="Times New Roman"/>
                <w:color w:val="auto"/>
                <w:sz w:val="21"/>
                <w:szCs w:val="21"/>
                <w:highlight w:val="none"/>
              </w:rPr>
            </w:pPr>
          </w:p>
        </w:tc>
        <w:tc>
          <w:tcPr>
            <w:tcW w:w="1729" w:type="dxa"/>
            <w:vMerge w:val="continue"/>
            <w:vAlign w:val="center"/>
          </w:tcPr>
          <w:p w14:paraId="43686E83">
            <w:pPr>
              <w:widowControl/>
              <w:spacing w:line="360" w:lineRule="exact"/>
              <w:ind w:firstLine="0" w:firstLineChars="0"/>
              <w:jc w:val="center"/>
              <w:rPr>
                <w:rFonts w:cs="Times New Roman"/>
                <w:color w:val="auto"/>
                <w:sz w:val="21"/>
                <w:szCs w:val="21"/>
                <w:highlight w:val="none"/>
              </w:rPr>
            </w:pPr>
          </w:p>
        </w:tc>
        <w:tc>
          <w:tcPr>
            <w:tcW w:w="708" w:type="dxa"/>
            <w:vAlign w:val="center"/>
          </w:tcPr>
          <w:p w14:paraId="33F47209">
            <w:pPr>
              <w:widowControl/>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WN</w:t>
            </w:r>
          </w:p>
        </w:tc>
        <w:tc>
          <w:tcPr>
            <w:tcW w:w="710" w:type="dxa"/>
            <w:vAlign w:val="center"/>
          </w:tcPr>
          <w:p w14:paraId="3EEF506D">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1865</w:t>
            </w:r>
          </w:p>
        </w:tc>
      </w:tr>
      <w:tr w14:paraId="7D9A0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0" w:type="dxa"/>
            <w:vMerge w:val="continue"/>
            <w:vAlign w:val="center"/>
          </w:tcPr>
          <w:p w14:paraId="612929F3">
            <w:pPr>
              <w:spacing w:line="360" w:lineRule="exact"/>
              <w:ind w:firstLine="0" w:firstLineChars="0"/>
              <w:jc w:val="center"/>
              <w:rPr>
                <w:rFonts w:cs="Times New Roman"/>
                <w:color w:val="auto"/>
                <w:sz w:val="21"/>
                <w:szCs w:val="21"/>
                <w:highlight w:val="none"/>
              </w:rPr>
            </w:pPr>
          </w:p>
        </w:tc>
        <w:tc>
          <w:tcPr>
            <w:tcW w:w="1088" w:type="dxa"/>
            <w:vAlign w:val="center"/>
          </w:tcPr>
          <w:p w14:paraId="5F9927A3">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东湖福园小区</w:t>
            </w:r>
          </w:p>
        </w:tc>
        <w:tc>
          <w:tcPr>
            <w:tcW w:w="1343" w:type="dxa"/>
            <w:vAlign w:val="center"/>
          </w:tcPr>
          <w:p w14:paraId="41F92A00">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131.131952</w:t>
            </w:r>
          </w:p>
        </w:tc>
        <w:tc>
          <w:tcPr>
            <w:tcW w:w="1225" w:type="dxa"/>
            <w:vAlign w:val="center"/>
          </w:tcPr>
          <w:p w14:paraId="5ED6B8E5">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46.556984</w:t>
            </w:r>
          </w:p>
        </w:tc>
        <w:tc>
          <w:tcPr>
            <w:tcW w:w="1039" w:type="dxa"/>
            <w:vMerge w:val="continue"/>
            <w:vAlign w:val="center"/>
          </w:tcPr>
          <w:p w14:paraId="788FBF76">
            <w:pPr>
              <w:spacing w:line="360" w:lineRule="exact"/>
              <w:ind w:firstLine="0" w:firstLineChars="0"/>
              <w:jc w:val="center"/>
              <w:rPr>
                <w:rFonts w:cs="Times New Roman"/>
                <w:color w:val="auto"/>
                <w:sz w:val="21"/>
                <w:szCs w:val="21"/>
                <w:highlight w:val="none"/>
              </w:rPr>
            </w:pPr>
          </w:p>
        </w:tc>
        <w:tc>
          <w:tcPr>
            <w:tcW w:w="689" w:type="dxa"/>
            <w:vMerge w:val="continue"/>
            <w:vAlign w:val="center"/>
          </w:tcPr>
          <w:p w14:paraId="29A94E5D">
            <w:pPr>
              <w:spacing w:line="360" w:lineRule="exact"/>
              <w:ind w:firstLine="0" w:firstLineChars="0"/>
              <w:jc w:val="center"/>
              <w:rPr>
                <w:rFonts w:cs="Times New Roman"/>
                <w:color w:val="auto"/>
                <w:sz w:val="21"/>
                <w:szCs w:val="21"/>
                <w:highlight w:val="none"/>
              </w:rPr>
            </w:pPr>
          </w:p>
        </w:tc>
        <w:tc>
          <w:tcPr>
            <w:tcW w:w="1729" w:type="dxa"/>
            <w:vMerge w:val="continue"/>
            <w:vAlign w:val="center"/>
          </w:tcPr>
          <w:p w14:paraId="04F7BD61">
            <w:pPr>
              <w:widowControl/>
              <w:spacing w:line="360" w:lineRule="exact"/>
              <w:ind w:firstLine="0" w:firstLineChars="0"/>
              <w:jc w:val="center"/>
              <w:rPr>
                <w:rFonts w:cs="Times New Roman"/>
                <w:color w:val="auto"/>
                <w:sz w:val="21"/>
                <w:szCs w:val="21"/>
                <w:highlight w:val="none"/>
              </w:rPr>
            </w:pPr>
          </w:p>
        </w:tc>
        <w:tc>
          <w:tcPr>
            <w:tcW w:w="708" w:type="dxa"/>
            <w:vAlign w:val="center"/>
          </w:tcPr>
          <w:p w14:paraId="785D443C">
            <w:pPr>
              <w:widowControl/>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w:t>
            </w:r>
          </w:p>
        </w:tc>
        <w:tc>
          <w:tcPr>
            <w:tcW w:w="710" w:type="dxa"/>
            <w:vAlign w:val="center"/>
          </w:tcPr>
          <w:p w14:paraId="134FF0F5">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1290</w:t>
            </w:r>
          </w:p>
        </w:tc>
      </w:tr>
      <w:tr w14:paraId="73ACA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0" w:type="dxa"/>
            <w:vMerge w:val="continue"/>
            <w:vAlign w:val="center"/>
          </w:tcPr>
          <w:p w14:paraId="706F8B60">
            <w:pPr>
              <w:spacing w:line="360" w:lineRule="exact"/>
              <w:ind w:firstLine="0" w:firstLineChars="0"/>
              <w:jc w:val="center"/>
              <w:rPr>
                <w:rFonts w:cs="Times New Roman"/>
                <w:color w:val="auto"/>
                <w:sz w:val="21"/>
                <w:szCs w:val="21"/>
                <w:highlight w:val="none"/>
              </w:rPr>
            </w:pPr>
          </w:p>
        </w:tc>
        <w:tc>
          <w:tcPr>
            <w:tcW w:w="1088" w:type="dxa"/>
            <w:vAlign w:val="center"/>
          </w:tcPr>
          <w:p w14:paraId="269B2C09">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青山社区</w:t>
            </w:r>
          </w:p>
        </w:tc>
        <w:tc>
          <w:tcPr>
            <w:tcW w:w="1343" w:type="dxa"/>
            <w:vAlign w:val="center"/>
          </w:tcPr>
          <w:p w14:paraId="261EFA7F">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131.132208</w:t>
            </w:r>
          </w:p>
        </w:tc>
        <w:tc>
          <w:tcPr>
            <w:tcW w:w="1225" w:type="dxa"/>
            <w:vAlign w:val="center"/>
          </w:tcPr>
          <w:p w14:paraId="2E985C8B">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46.551493</w:t>
            </w:r>
          </w:p>
        </w:tc>
        <w:tc>
          <w:tcPr>
            <w:tcW w:w="1039" w:type="dxa"/>
            <w:vMerge w:val="continue"/>
            <w:vAlign w:val="center"/>
          </w:tcPr>
          <w:p w14:paraId="7586E6FE">
            <w:pPr>
              <w:spacing w:line="360" w:lineRule="exact"/>
              <w:ind w:firstLine="0" w:firstLineChars="0"/>
              <w:jc w:val="center"/>
              <w:rPr>
                <w:rFonts w:cs="Times New Roman"/>
                <w:color w:val="auto"/>
                <w:sz w:val="21"/>
                <w:szCs w:val="21"/>
                <w:highlight w:val="none"/>
              </w:rPr>
            </w:pPr>
          </w:p>
        </w:tc>
        <w:tc>
          <w:tcPr>
            <w:tcW w:w="689" w:type="dxa"/>
            <w:vMerge w:val="continue"/>
            <w:vAlign w:val="center"/>
          </w:tcPr>
          <w:p w14:paraId="581040C3">
            <w:pPr>
              <w:spacing w:line="360" w:lineRule="exact"/>
              <w:ind w:firstLine="0" w:firstLineChars="0"/>
              <w:jc w:val="center"/>
              <w:rPr>
                <w:rFonts w:cs="Times New Roman"/>
                <w:color w:val="auto"/>
                <w:sz w:val="21"/>
                <w:szCs w:val="21"/>
                <w:highlight w:val="none"/>
              </w:rPr>
            </w:pPr>
          </w:p>
        </w:tc>
        <w:tc>
          <w:tcPr>
            <w:tcW w:w="1729" w:type="dxa"/>
            <w:vMerge w:val="continue"/>
            <w:vAlign w:val="center"/>
          </w:tcPr>
          <w:p w14:paraId="318428E1">
            <w:pPr>
              <w:widowControl/>
              <w:spacing w:line="360" w:lineRule="exact"/>
              <w:ind w:firstLine="0" w:firstLineChars="0"/>
              <w:jc w:val="center"/>
              <w:rPr>
                <w:rFonts w:cs="Times New Roman"/>
                <w:color w:val="auto"/>
                <w:sz w:val="21"/>
                <w:szCs w:val="21"/>
                <w:highlight w:val="none"/>
              </w:rPr>
            </w:pPr>
          </w:p>
        </w:tc>
        <w:tc>
          <w:tcPr>
            <w:tcW w:w="708" w:type="dxa"/>
            <w:vAlign w:val="center"/>
          </w:tcPr>
          <w:p w14:paraId="46C39950">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WS</w:t>
            </w:r>
          </w:p>
        </w:tc>
        <w:tc>
          <w:tcPr>
            <w:tcW w:w="710" w:type="dxa"/>
            <w:vAlign w:val="center"/>
          </w:tcPr>
          <w:p w14:paraId="2595876E">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1400</w:t>
            </w:r>
          </w:p>
        </w:tc>
      </w:tr>
      <w:tr w14:paraId="5F8DC0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0" w:type="dxa"/>
            <w:vMerge w:val="continue"/>
            <w:vAlign w:val="center"/>
          </w:tcPr>
          <w:p w14:paraId="0FE858DF">
            <w:pPr>
              <w:spacing w:line="360" w:lineRule="exact"/>
              <w:ind w:firstLine="0" w:firstLineChars="0"/>
              <w:jc w:val="center"/>
              <w:rPr>
                <w:rFonts w:cs="Times New Roman"/>
                <w:color w:val="auto"/>
                <w:sz w:val="21"/>
                <w:szCs w:val="21"/>
                <w:highlight w:val="none"/>
              </w:rPr>
            </w:pPr>
          </w:p>
        </w:tc>
        <w:tc>
          <w:tcPr>
            <w:tcW w:w="1088" w:type="dxa"/>
            <w:vAlign w:val="center"/>
          </w:tcPr>
          <w:p w14:paraId="061966E5">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厂区西侧平房</w:t>
            </w:r>
          </w:p>
        </w:tc>
        <w:tc>
          <w:tcPr>
            <w:tcW w:w="1343" w:type="dxa"/>
            <w:vAlign w:val="center"/>
          </w:tcPr>
          <w:p w14:paraId="7E85C43E">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131.147294</w:t>
            </w:r>
          </w:p>
        </w:tc>
        <w:tc>
          <w:tcPr>
            <w:tcW w:w="1225" w:type="dxa"/>
            <w:vAlign w:val="center"/>
          </w:tcPr>
          <w:p w14:paraId="4404ADDD">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46.557614</w:t>
            </w:r>
          </w:p>
        </w:tc>
        <w:tc>
          <w:tcPr>
            <w:tcW w:w="1039" w:type="dxa"/>
            <w:vMerge w:val="continue"/>
            <w:vAlign w:val="center"/>
          </w:tcPr>
          <w:p w14:paraId="6860AEFF">
            <w:pPr>
              <w:spacing w:line="360" w:lineRule="exact"/>
              <w:ind w:firstLine="0" w:firstLineChars="0"/>
              <w:jc w:val="center"/>
              <w:rPr>
                <w:rFonts w:cs="Times New Roman"/>
                <w:color w:val="auto"/>
                <w:sz w:val="21"/>
                <w:szCs w:val="21"/>
                <w:highlight w:val="none"/>
              </w:rPr>
            </w:pPr>
          </w:p>
        </w:tc>
        <w:tc>
          <w:tcPr>
            <w:tcW w:w="689" w:type="dxa"/>
            <w:vMerge w:val="continue"/>
            <w:vAlign w:val="center"/>
          </w:tcPr>
          <w:p w14:paraId="618D0F68">
            <w:pPr>
              <w:spacing w:line="360" w:lineRule="exact"/>
              <w:ind w:firstLine="0" w:firstLineChars="0"/>
              <w:jc w:val="center"/>
              <w:rPr>
                <w:rFonts w:cs="Times New Roman"/>
                <w:color w:val="auto"/>
                <w:sz w:val="21"/>
                <w:szCs w:val="21"/>
                <w:highlight w:val="none"/>
              </w:rPr>
            </w:pPr>
          </w:p>
        </w:tc>
        <w:tc>
          <w:tcPr>
            <w:tcW w:w="1729" w:type="dxa"/>
            <w:vMerge w:val="continue"/>
            <w:vAlign w:val="center"/>
          </w:tcPr>
          <w:p w14:paraId="71043160">
            <w:pPr>
              <w:widowControl/>
              <w:spacing w:line="360" w:lineRule="exact"/>
              <w:ind w:firstLine="0" w:firstLineChars="0"/>
              <w:jc w:val="center"/>
              <w:rPr>
                <w:rFonts w:cs="Times New Roman"/>
                <w:color w:val="auto"/>
                <w:sz w:val="21"/>
                <w:szCs w:val="21"/>
                <w:highlight w:val="none"/>
              </w:rPr>
            </w:pPr>
          </w:p>
        </w:tc>
        <w:tc>
          <w:tcPr>
            <w:tcW w:w="708" w:type="dxa"/>
            <w:vAlign w:val="center"/>
          </w:tcPr>
          <w:p w14:paraId="17B863AC">
            <w:pPr>
              <w:widowControl/>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w:t>
            </w:r>
          </w:p>
        </w:tc>
        <w:tc>
          <w:tcPr>
            <w:tcW w:w="710" w:type="dxa"/>
            <w:vAlign w:val="center"/>
          </w:tcPr>
          <w:p w14:paraId="4B46E955">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r>
      <w:tr w14:paraId="61ED2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0" w:type="dxa"/>
            <w:vMerge w:val="continue"/>
            <w:vAlign w:val="center"/>
          </w:tcPr>
          <w:p w14:paraId="7817343F">
            <w:pPr>
              <w:spacing w:line="360" w:lineRule="exact"/>
              <w:ind w:firstLine="0" w:firstLineChars="0"/>
              <w:jc w:val="center"/>
              <w:rPr>
                <w:rFonts w:cs="Times New Roman"/>
                <w:color w:val="auto"/>
                <w:sz w:val="21"/>
                <w:szCs w:val="21"/>
                <w:highlight w:val="none"/>
              </w:rPr>
            </w:pPr>
          </w:p>
        </w:tc>
        <w:tc>
          <w:tcPr>
            <w:tcW w:w="1088" w:type="dxa"/>
            <w:vAlign w:val="center"/>
          </w:tcPr>
          <w:p w14:paraId="36DB3837">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长胜乡人民政府</w:t>
            </w:r>
          </w:p>
        </w:tc>
        <w:tc>
          <w:tcPr>
            <w:tcW w:w="1343" w:type="dxa"/>
            <w:vAlign w:val="center"/>
          </w:tcPr>
          <w:p w14:paraId="5FE28DCC">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131.147981</w:t>
            </w:r>
          </w:p>
        </w:tc>
        <w:tc>
          <w:tcPr>
            <w:tcW w:w="1225" w:type="dxa"/>
            <w:vAlign w:val="center"/>
          </w:tcPr>
          <w:p w14:paraId="7F15F5FB">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46.564697</w:t>
            </w:r>
          </w:p>
        </w:tc>
        <w:tc>
          <w:tcPr>
            <w:tcW w:w="1039" w:type="dxa"/>
            <w:vMerge w:val="continue"/>
            <w:vAlign w:val="center"/>
          </w:tcPr>
          <w:p w14:paraId="4DA932B5">
            <w:pPr>
              <w:spacing w:line="360" w:lineRule="exact"/>
              <w:ind w:firstLine="0" w:firstLineChars="0"/>
              <w:jc w:val="center"/>
              <w:rPr>
                <w:rFonts w:cs="Times New Roman"/>
                <w:color w:val="auto"/>
                <w:sz w:val="21"/>
                <w:szCs w:val="21"/>
                <w:highlight w:val="none"/>
              </w:rPr>
            </w:pPr>
          </w:p>
        </w:tc>
        <w:tc>
          <w:tcPr>
            <w:tcW w:w="689" w:type="dxa"/>
            <w:vMerge w:val="continue"/>
            <w:vAlign w:val="center"/>
          </w:tcPr>
          <w:p w14:paraId="3052E523">
            <w:pPr>
              <w:spacing w:line="360" w:lineRule="exact"/>
              <w:ind w:firstLine="0" w:firstLineChars="0"/>
              <w:jc w:val="center"/>
              <w:rPr>
                <w:rFonts w:cs="Times New Roman"/>
                <w:color w:val="auto"/>
                <w:sz w:val="21"/>
                <w:szCs w:val="21"/>
                <w:highlight w:val="none"/>
              </w:rPr>
            </w:pPr>
          </w:p>
        </w:tc>
        <w:tc>
          <w:tcPr>
            <w:tcW w:w="1729" w:type="dxa"/>
            <w:vMerge w:val="continue"/>
            <w:vAlign w:val="center"/>
          </w:tcPr>
          <w:p w14:paraId="19DEC189">
            <w:pPr>
              <w:widowControl/>
              <w:spacing w:line="360" w:lineRule="exact"/>
              <w:ind w:firstLine="0" w:firstLineChars="0"/>
              <w:jc w:val="center"/>
              <w:rPr>
                <w:rFonts w:cs="Times New Roman"/>
                <w:color w:val="auto"/>
                <w:sz w:val="21"/>
                <w:szCs w:val="21"/>
                <w:highlight w:val="none"/>
              </w:rPr>
            </w:pPr>
          </w:p>
        </w:tc>
        <w:tc>
          <w:tcPr>
            <w:tcW w:w="708" w:type="dxa"/>
            <w:vAlign w:val="center"/>
          </w:tcPr>
          <w:p w14:paraId="0344039D">
            <w:pPr>
              <w:widowControl/>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w:t>
            </w:r>
          </w:p>
        </w:tc>
        <w:tc>
          <w:tcPr>
            <w:tcW w:w="710" w:type="dxa"/>
            <w:vAlign w:val="center"/>
          </w:tcPr>
          <w:p w14:paraId="69096322">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310</w:t>
            </w:r>
          </w:p>
        </w:tc>
      </w:tr>
      <w:tr w14:paraId="710DF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0" w:type="dxa"/>
            <w:vMerge w:val="continue"/>
            <w:vAlign w:val="center"/>
          </w:tcPr>
          <w:p w14:paraId="48A09B0F">
            <w:pPr>
              <w:spacing w:line="360" w:lineRule="exact"/>
              <w:ind w:firstLine="0" w:firstLineChars="0"/>
              <w:jc w:val="center"/>
              <w:rPr>
                <w:rFonts w:cs="Times New Roman"/>
                <w:color w:val="auto"/>
                <w:sz w:val="21"/>
                <w:szCs w:val="21"/>
                <w:highlight w:val="none"/>
              </w:rPr>
            </w:pPr>
          </w:p>
        </w:tc>
        <w:tc>
          <w:tcPr>
            <w:tcW w:w="1088" w:type="dxa"/>
            <w:vAlign w:val="center"/>
          </w:tcPr>
          <w:p w14:paraId="272D563C">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小北屯</w:t>
            </w:r>
          </w:p>
        </w:tc>
        <w:tc>
          <w:tcPr>
            <w:tcW w:w="1343" w:type="dxa"/>
            <w:vAlign w:val="center"/>
          </w:tcPr>
          <w:p w14:paraId="55AEFD78">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131.156713</w:t>
            </w:r>
          </w:p>
        </w:tc>
        <w:tc>
          <w:tcPr>
            <w:tcW w:w="1225" w:type="dxa"/>
            <w:vAlign w:val="center"/>
          </w:tcPr>
          <w:p w14:paraId="73620327">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46.536461</w:t>
            </w:r>
          </w:p>
        </w:tc>
        <w:tc>
          <w:tcPr>
            <w:tcW w:w="1039" w:type="dxa"/>
            <w:vMerge w:val="continue"/>
            <w:vAlign w:val="center"/>
          </w:tcPr>
          <w:p w14:paraId="197E9A98">
            <w:pPr>
              <w:spacing w:line="360" w:lineRule="exact"/>
              <w:ind w:firstLine="0" w:firstLineChars="0"/>
              <w:jc w:val="center"/>
              <w:rPr>
                <w:rFonts w:cs="Times New Roman"/>
                <w:color w:val="auto"/>
                <w:sz w:val="21"/>
                <w:szCs w:val="21"/>
                <w:highlight w:val="none"/>
              </w:rPr>
            </w:pPr>
          </w:p>
        </w:tc>
        <w:tc>
          <w:tcPr>
            <w:tcW w:w="689" w:type="dxa"/>
            <w:vMerge w:val="continue"/>
            <w:vAlign w:val="center"/>
          </w:tcPr>
          <w:p w14:paraId="53D9C277">
            <w:pPr>
              <w:spacing w:line="360" w:lineRule="exact"/>
              <w:ind w:firstLine="0" w:firstLineChars="0"/>
              <w:jc w:val="center"/>
              <w:rPr>
                <w:rFonts w:cs="Times New Roman"/>
                <w:color w:val="auto"/>
                <w:sz w:val="21"/>
                <w:szCs w:val="21"/>
                <w:highlight w:val="none"/>
              </w:rPr>
            </w:pPr>
          </w:p>
        </w:tc>
        <w:tc>
          <w:tcPr>
            <w:tcW w:w="1729" w:type="dxa"/>
            <w:vMerge w:val="continue"/>
            <w:vAlign w:val="center"/>
          </w:tcPr>
          <w:p w14:paraId="3F453F13">
            <w:pPr>
              <w:widowControl/>
              <w:spacing w:line="360" w:lineRule="exact"/>
              <w:ind w:firstLine="0" w:firstLineChars="0"/>
              <w:jc w:val="center"/>
              <w:rPr>
                <w:rFonts w:cs="Times New Roman"/>
                <w:color w:val="auto"/>
                <w:sz w:val="21"/>
                <w:szCs w:val="21"/>
                <w:highlight w:val="none"/>
              </w:rPr>
            </w:pPr>
          </w:p>
        </w:tc>
        <w:tc>
          <w:tcPr>
            <w:tcW w:w="708" w:type="dxa"/>
            <w:vAlign w:val="center"/>
          </w:tcPr>
          <w:p w14:paraId="6DC53969">
            <w:pPr>
              <w:widowControl/>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S</w:t>
            </w:r>
          </w:p>
        </w:tc>
        <w:tc>
          <w:tcPr>
            <w:tcW w:w="710" w:type="dxa"/>
            <w:vAlign w:val="center"/>
          </w:tcPr>
          <w:p w14:paraId="3F0CA594">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1990</w:t>
            </w:r>
          </w:p>
        </w:tc>
      </w:tr>
      <w:tr w14:paraId="4A94E4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500" w:type="dxa"/>
            <w:vAlign w:val="center"/>
          </w:tcPr>
          <w:p w14:paraId="086A2A35">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地下水</w:t>
            </w:r>
          </w:p>
        </w:tc>
        <w:tc>
          <w:tcPr>
            <w:tcW w:w="3656" w:type="dxa"/>
            <w:gridSpan w:val="3"/>
            <w:vAlign w:val="center"/>
          </w:tcPr>
          <w:p w14:paraId="497D3DD0">
            <w:pPr>
              <w:spacing w:line="360" w:lineRule="exact"/>
              <w:ind w:firstLine="0" w:firstLineChars="0"/>
              <w:jc w:val="center"/>
              <w:rPr>
                <w:rFonts w:cs="Times New Roman"/>
                <w:color w:val="auto"/>
                <w:sz w:val="21"/>
                <w:szCs w:val="21"/>
                <w:highlight w:val="none"/>
              </w:rPr>
            </w:pPr>
            <w:r>
              <w:rPr>
                <w:rFonts w:hint="eastAsia" w:ascii="Times New Roman"/>
                <w:color w:val="auto"/>
                <w:sz w:val="21"/>
                <w:highlight w:val="none"/>
              </w:rPr>
              <w:t>潜水含水层和可能受建设项目影响且具有饮用水开发利用价值的含水层</w:t>
            </w:r>
          </w:p>
        </w:tc>
        <w:tc>
          <w:tcPr>
            <w:tcW w:w="1728" w:type="dxa"/>
            <w:gridSpan w:val="2"/>
            <w:vAlign w:val="center"/>
          </w:tcPr>
          <w:p w14:paraId="12A1F4A7">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地下水</w:t>
            </w:r>
            <w:r>
              <w:rPr>
                <w:rFonts w:cs="Times New Roman"/>
                <w:color w:val="auto"/>
                <w:sz w:val="21"/>
                <w:szCs w:val="21"/>
                <w:highlight w:val="none"/>
              </w:rPr>
              <w:t>潜水</w:t>
            </w:r>
          </w:p>
          <w:p w14:paraId="223E284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含水层</w:t>
            </w:r>
          </w:p>
        </w:tc>
        <w:tc>
          <w:tcPr>
            <w:tcW w:w="3147" w:type="dxa"/>
            <w:gridSpan w:val="3"/>
            <w:vAlign w:val="center"/>
          </w:tcPr>
          <w:p w14:paraId="668BF613">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GB/T14848-2017Ⅲ类</w:t>
            </w:r>
          </w:p>
        </w:tc>
      </w:tr>
      <w:tr w14:paraId="11935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500" w:type="dxa"/>
            <w:vAlign w:val="center"/>
          </w:tcPr>
          <w:p w14:paraId="5CEA4A39">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声环境</w:t>
            </w:r>
          </w:p>
        </w:tc>
        <w:tc>
          <w:tcPr>
            <w:tcW w:w="1088" w:type="dxa"/>
            <w:shd w:val="clear" w:color="auto" w:fill="auto"/>
            <w:vAlign w:val="center"/>
          </w:tcPr>
          <w:p w14:paraId="0948424C">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厂区西侧平房</w:t>
            </w:r>
          </w:p>
        </w:tc>
        <w:tc>
          <w:tcPr>
            <w:tcW w:w="1343" w:type="dxa"/>
            <w:shd w:val="clear" w:color="auto" w:fill="auto"/>
            <w:vAlign w:val="center"/>
          </w:tcPr>
          <w:p w14:paraId="5B7764A5">
            <w:pPr>
              <w:spacing w:line="360" w:lineRule="exact"/>
              <w:ind w:firstLine="0" w:firstLineChars="0"/>
              <w:jc w:val="center"/>
              <w:rPr>
                <w:rFonts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rPr>
              <w:t>131.147294</w:t>
            </w:r>
          </w:p>
        </w:tc>
        <w:tc>
          <w:tcPr>
            <w:tcW w:w="1225" w:type="dxa"/>
            <w:shd w:val="clear" w:color="auto" w:fill="auto"/>
            <w:vAlign w:val="center"/>
          </w:tcPr>
          <w:p w14:paraId="12E42EF6">
            <w:pPr>
              <w:spacing w:line="360" w:lineRule="exact"/>
              <w:ind w:firstLine="0" w:firstLineChars="0"/>
              <w:jc w:val="center"/>
              <w:rPr>
                <w:rFonts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rPr>
              <w:t>46.557614</w:t>
            </w:r>
          </w:p>
        </w:tc>
        <w:tc>
          <w:tcPr>
            <w:tcW w:w="1728" w:type="dxa"/>
            <w:gridSpan w:val="2"/>
            <w:vAlign w:val="center"/>
          </w:tcPr>
          <w:p w14:paraId="76694184">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居民</w:t>
            </w:r>
          </w:p>
        </w:tc>
        <w:tc>
          <w:tcPr>
            <w:tcW w:w="1729" w:type="dxa"/>
            <w:vAlign w:val="center"/>
          </w:tcPr>
          <w:p w14:paraId="43FDF79E">
            <w:pPr>
              <w:widowControl/>
              <w:spacing w:line="36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GB/T3096-2008</w:t>
            </w:r>
          </w:p>
          <w:p w14:paraId="21AA18B8">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fldChar w:fldCharType="begin"/>
            </w:r>
            <w:r>
              <w:rPr>
                <w:rFonts w:hint="eastAsia" w:cs="Times New Roman"/>
                <w:color w:val="auto"/>
                <w:sz w:val="21"/>
                <w:szCs w:val="21"/>
                <w:highlight w:val="none"/>
                <w:lang w:val="en-US" w:eastAsia="zh-CN"/>
              </w:rPr>
              <w:instrText xml:space="preserve"> = 1 \* ROMAN \* MERGEFORMAT </w:instrText>
            </w:r>
            <w:r>
              <w:rPr>
                <w:rFonts w:hint="eastAsia" w:cs="Times New Roman"/>
                <w:color w:val="auto"/>
                <w:sz w:val="21"/>
                <w:szCs w:val="21"/>
                <w:highlight w:val="none"/>
                <w:lang w:val="en-US" w:eastAsia="zh-CN"/>
              </w:rPr>
              <w:fldChar w:fldCharType="separate"/>
            </w:r>
            <w:r>
              <w:rPr>
                <w:color w:val="auto"/>
                <w:highlight w:val="none"/>
              </w:rPr>
              <w:t>I</w:t>
            </w:r>
            <w:r>
              <w:rPr>
                <w:rFonts w:hint="eastAsia" w:cs="Times New Roman"/>
                <w:color w:val="auto"/>
                <w:sz w:val="21"/>
                <w:szCs w:val="21"/>
                <w:highlight w:val="none"/>
                <w:lang w:val="en-US" w:eastAsia="zh-CN"/>
              </w:rPr>
              <w:fldChar w:fldCharType="end"/>
            </w:r>
            <w:r>
              <w:rPr>
                <w:rFonts w:hint="eastAsia" w:cs="Times New Roman"/>
                <w:color w:val="auto"/>
                <w:sz w:val="21"/>
                <w:szCs w:val="21"/>
                <w:highlight w:val="none"/>
                <w:lang w:val="en-US" w:eastAsia="zh-CN"/>
              </w:rPr>
              <w:t>类</w:t>
            </w:r>
          </w:p>
        </w:tc>
        <w:tc>
          <w:tcPr>
            <w:tcW w:w="708" w:type="dxa"/>
            <w:shd w:val="clear" w:color="auto" w:fill="auto"/>
            <w:vAlign w:val="center"/>
          </w:tcPr>
          <w:p w14:paraId="625B7BD1">
            <w:pPr>
              <w:widowControl/>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w:t>
            </w:r>
          </w:p>
        </w:tc>
        <w:tc>
          <w:tcPr>
            <w:tcW w:w="710" w:type="dxa"/>
            <w:shd w:val="clear" w:color="auto" w:fill="auto"/>
            <w:vAlign w:val="center"/>
          </w:tcPr>
          <w:p w14:paraId="42221966">
            <w:pPr>
              <w:widowControl/>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100</w:t>
            </w:r>
          </w:p>
        </w:tc>
      </w:tr>
      <w:tr w14:paraId="36CEEA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500" w:type="dxa"/>
            <w:vAlign w:val="center"/>
          </w:tcPr>
          <w:p w14:paraId="33550653">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生态环境</w:t>
            </w:r>
          </w:p>
        </w:tc>
        <w:tc>
          <w:tcPr>
            <w:tcW w:w="1088" w:type="dxa"/>
            <w:vAlign w:val="center"/>
          </w:tcPr>
          <w:p w14:paraId="71262827">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厂区</w:t>
            </w:r>
          </w:p>
        </w:tc>
        <w:tc>
          <w:tcPr>
            <w:tcW w:w="1343" w:type="dxa"/>
            <w:vAlign w:val="center"/>
          </w:tcPr>
          <w:p w14:paraId="3858D80C">
            <w:pPr>
              <w:spacing w:line="360" w:lineRule="exact"/>
              <w:ind w:firstLine="0" w:firstLineChars="0"/>
              <w:jc w:val="center"/>
              <w:textAlignment w:val="baseline"/>
              <w:rPr>
                <w:rFonts w:cs="Times New Roman"/>
                <w:color w:val="auto"/>
                <w:sz w:val="21"/>
                <w:szCs w:val="21"/>
                <w:highlight w:val="none"/>
              </w:rPr>
            </w:pPr>
            <w:r>
              <w:rPr>
                <w:rFonts w:hint="eastAsia" w:cs="Times New Roman"/>
                <w:color w:val="auto"/>
                <w:kern w:val="0"/>
                <w:sz w:val="21"/>
                <w:szCs w:val="21"/>
                <w:highlight w:val="none"/>
              </w:rPr>
              <w:t>131.149719</w:t>
            </w:r>
          </w:p>
        </w:tc>
        <w:tc>
          <w:tcPr>
            <w:tcW w:w="1225" w:type="dxa"/>
            <w:vAlign w:val="center"/>
          </w:tcPr>
          <w:p w14:paraId="6B7AA45D">
            <w:pPr>
              <w:spacing w:line="360" w:lineRule="exact"/>
              <w:ind w:firstLine="0" w:firstLineChars="0"/>
              <w:jc w:val="center"/>
              <w:textAlignment w:val="baseline"/>
              <w:rPr>
                <w:rFonts w:cs="Times New Roman"/>
                <w:color w:val="auto"/>
                <w:sz w:val="21"/>
                <w:szCs w:val="21"/>
                <w:highlight w:val="none"/>
              </w:rPr>
            </w:pPr>
            <w:r>
              <w:rPr>
                <w:rFonts w:hint="eastAsia" w:cs="Times New Roman"/>
                <w:color w:val="auto"/>
                <w:kern w:val="0"/>
                <w:sz w:val="21"/>
                <w:szCs w:val="21"/>
                <w:highlight w:val="none"/>
              </w:rPr>
              <w:t>46.556854</w:t>
            </w:r>
          </w:p>
        </w:tc>
        <w:tc>
          <w:tcPr>
            <w:tcW w:w="3457" w:type="dxa"/>
            <w:gridSpan w:val="3"/>
            <w:vAlign w:val="center"/>
          </w:tcPr>
          <w:p w14:paraId="65713307">
            <w:pPr>
              <w:widowControl/>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占地范围内表土及表土堆存</w:t>
            </w:r>
          </w:p>
        </w:tc>
        <w:tc>
          <w:tcPr>
            <w:tcW w:w="708" w:type="dxa"/>
            <w:vAlign w:val="center"/>
          </w:tcPr>
          <w:p w14:paraId="4F80DDF8">
            <w:pPr>
              <w:widowControl/>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10" w:type="dxa"/>
            <w:vAlign w:val="center"/>
          </w:tcPr>
          <w:p w14:paraId="394CED86">
            <w:pPr>
              <w:widowControl/>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24558E00">
      <w:pPr>
        <w:ind w:firstLine="0" w:firstLineChars="0"/>
        <w:rPr>
          <w:rFonts w:cs="Times New Roman"/>
          <w:bCs/>
          <w:color w:val="auto"/>
          <w:szCs w:val="24"/>
          <w:highlight w:val="none"/>
        </w:rPr>
      </w:pPr>
    </w:p>
    <w:p w14:paraId="31C1B0E0">
      <w:pPr>
        <w:ind w:firstLine="0" w:firstLineChars="0"/>
        <w:rPr>
          <w:rFonts w:cs="Times New Roman"/>
          <w:bCs/>
          <w:color w:val="auto"/>
          <w:szCs w:val="24"/>
          <w:highlight w:val="none"/>
        </w:rPr>
      </w:pPr>
    </w:p>
    <w:p w14:paraId="07540F32">
      <w:pPr>
        <w:pStyle w:val="82"/>
        <w:ind w:firstLine="0" w:firstLineChars="0"/>
        <w:rPr>
          <w:rFonts w:ascii="Times New Roman" w:hAnsi="Times New Roman" w:cs="Times New Roman"/>
          <w:bCs/>
          <w:color w:val="auto"/>
          <w:sz w:val="24"/>
          <w:szCs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A2D68D3">
      <w:pPr>
        <w:spacing w:line="240" w:lineRule="auto"/>
        <w:ind w:firstLine="0" w:firstLineChars="0"/>
        <w:jc w:val="center"/>
        <w:rPr>
          <w:rFonts w:hint="eastAsia"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705344" behindDoc="0" locked="0" layoutInCell="1" allowOverlap="1">
                <wp:simplePos x="0" y="0"/>
                <wp:positionH relativeFrom="column">
                  <wp:posOffset>3769995</wp:posOffset>
                </wp:positionH>
                <wp:positionV relativeFrom="paragraph">
                  <wp:posOffset>1704975</wp:posOffset>
                </wp:positionV>
                <wp:extent cx="400050" cy="685800"/>
                <wp:effectExtent l="4445" t="4445" r="14605" b="14605"/>
                <wp:wrapNone/>
                <wp:docPr id="144" name="任意多边形 144"/>
                <wp:cNvGraphicFramePr/>
                <a:graphic xmlns:a="http://schemas.openxmlformats.org/drawingml/2006/main">
                  <a:graphicData uri="http://schemas.microsoft.com/office/word/2010/wordprocessingShape">
                    <wps:wsp>
                      <wps:cNvSpPr/>
                      <wps:spPr>
                        <a:xfrm>
                          <a:off x="4637405" y="2607310"/>
                          <a:ext cx="400050" cy="685800"/>
                        </a:xfrm>
                        <a:custGeom>
                          <a:avLst/>
                          <a:gdLst>
                            <a:gd name="connisteX0" fmla="*/ 76200 w 400050"/>
                            <a:gd name="connsiteY0" fmla="*/ 0 h 685800"/>
                            <a:gd name="connisteX1" fmla="*/ 0 w 400050"/>
                            <a:gd name="connsiteY1" fmla="*/ 685800 h 685800"/>
                            <a:gd name="connisteX2" fmla="*/ 228600 w 400050"/>
                            <a:gd name="connsiteY2" fmla="*/ 647700 h 685800"/>
                            <a:gd name="connisteX3" fmla="*/ 400050 w 400050"/>
                            <a:gd name="connsiteY3" fmla="*/ 542925 h 685800"/>
                            <a:gd name="connisteX4" fmla="*/ 314325 w 400050"/>
                            <a:gd name="connsiteY4" fmla="*/ 9525 h 685800"/>
                            <a:gd name="connisteX5" fmla="*/ 76200 w 400050"/>
                            <a:gd name="connsiteY5" fmla="*/ 0 h 685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00050" h="685800">
                              <a:moveTo>
                                <a:pt x="76200" y="0"/>
                              </a:moveTo>
                              <a:lnTo>
                                <a:pt x="0" y="685800"/>
                              </a:lnTo>
                              <a:lnTo>
                                <a:pt x="228600" y="647700"/>
                              </a:lnTo>
                              <a:lnTo>
                                <a:pt x="400050" y="542925"/>
                              </a:lnTo>
                              <a:lnTo>
                                <a:pt x="314325" y="9525"/>
                              </a:lnTo>
                              <a:lnTo>
                                <a:pt x="76200" y="0"/>
                              </a:lnTo>
                              <a:close/>
                            </a:path>
                          </a:pathLst>
                        </a:custGeom>
                        <a:solidFill>
                          <a:schemeClr val="accent6">
                            <a:alpha val="50000"/>
                          </a:schemeClr>
                        </a:solidFill>
                        <a:ln w="3175">
                          <a:gradFill>
                            <a:gsLst>
                              <a:gs pos="50000">
                                <a:schemeClr val="accent6"/>
                              </a:gs>
                              <a:gs pos="0">
                                <a:schemeClr val="accent6">
                                  <a:lumMod val="25000"/>
                                  <a:lumOff val="75000"/>
                                </a:schemeClr>
                              </a:gs>
                              <a:gs pos="100000">
                                <a:schemeClr val="accent6">
                                  <a:lumMod val="85000"/>
                                </a:schemeClr>
                              </a:gs>
                            </a:gsLst>
                            <a:lin ang="5400000" scaled="0"/>
                          </a:gra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296.85pt;margin-top:134.25pt;height:54pt;width:31.5pt;z-index:251705344;v-text-anchor:middle;mso-width-relative:page;mso-height-relative:page;" fillcolor="#F79646 [3209]" filled="t" stroked="t" coordsize="400050,685800" o:gfxdata="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" path="m76200,0l0,685800,228600,647700,400050,542925,314325,9525,76200,0xe">
                <v:path o:connectlocs="76200,0;0,685800;228600,647700;400050,542925;314325,9525;76200,0" o:connectangles="0,0,0,0,0,0"/>
                <v:fill on="t" opacity="32768f" focussize="0,0"/>
                <v:stroke weight="0.25pt" color="#000000"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04320" behindDoc="0" locked="0" layoutInCell="1" allowOverlap="1">
                <wp:simplePos x="0" y="0"/>
                <wp:positionH relativeFrom="column">
                  <wp:posOffset>4311015</wp:posOffset>
                </wp:positionH>
                <wp:positionV relativeFrom="paragraph">
                  <wp:posOffset>4782820</wp:posOffset>
                </wp:positionV>
                <wp:extent cx="1000125" cy="504825"/>
                <wp:effectExtent l="4445" t="4445" r="5080" b="5080"/>
                <wp:wrapNone/>
                <wp:docPr id="142" name="任意多边形 142"/>
                <wp:cNvGraphicFramePr/>
                <a:graphic xmlns:a="http://schemas.openxmlformats.org/drawingml/2006/main">
                  <a:graphicData uri="http://schemas.microsoft.com/office/word/2010/wordprocessingShape">
                    <wps:wsp>
                      <wps:cNvSpPr/>
                      <wps:spPr>
                        <a:xfrm>
                          <a:off x="5104130" y="5512435"/>
                          <a:ext cx="1000125" cy="504825"/>
                        </a:xfrm>
                        <a:custGeom>
                          <a:avLst/>
                          <a:gdLst>
                            <a:gd name="connisteX0" fmla="*/ 152400 w 1000125"/>
                            <a:gd name="connsiteY0" fmla="*/ 0 h 504825"/>
                            <a:gd name="connisteX1" fmla="*/ 0 w 1000125"/>
                            <a:gd name="connsiteY1" fmla="*/ 123825 h 504825"/>
                            <a:gd name="connisteX2" fmla="*/ 333375 w 1000125"/>
                            <a:gd name="connsiteY2" fmla="*/ 457200 h 504825"/>
                            <a:gd name="connisteX3" fmla="*/ 476250 w 1000125"/>
                            <a:gd name="connsiteY3" fmla="*/ 333375 h 504825"/>
                            <a:gd name="connisteX4" fmla="*/ 657225 w 1000125"/>
                            <a:gd name="connsiteY4" fmla="*/ 504825 h 504825"/>
                            <a:gd name="connisteX5" fmla="*/ 1000125 w 1000125"/>
                            <a:gd name="connsiteY5" fmla="*/ 371475 h 504825"/>
                            <a:gd name="connisteX6" fmla="*/ 923925 w 1000125"/>
                            <a:gd name="connsiteY6" fmla="*/ 247650 h 504825"/>
                            <a:gd name="connisteX7" fmla="*/ 733425 w 1000125"/>
                            <a:gd name="connsiteY7" fmla="*/ 371475 h 504825"/>
                            <a:gd name="connisteX8" fmla="*/ 466725 w 1000125"/>
                            <a:gd name="connsiteY8" fmla="*/ 104775 h 504825"/>
                            <a:gd name="connisteX9" fmla="*/ 314325 w 1000125"/>
                            <a:gd name="connsiteY9" fmla="*/ 142875 h 504825"/>
                            <a:gd name="connisteX10" fmla="*/ 152400 w 1000125"/>
                            <a:gd name="connsiteY10" fmla="*/ 0 h 5048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000125" h="504825">
                              <a:moveTo>
                                <a:pt x="152400" y="0"/>
                              </a:moveTo>
                              <a:lnTo>
                                <a:pt x="0" y="123825"/>
                              </a:lnTo>
                              <a:lnTo>
                                <a:pt x="333375" y="457200"/>
                              </a:lnTo>
                              <a:lnTo>
                                <a:pt x="476250" y="333375"/>
                              </a:lnTo>
                              <a:lnTo>
                                <a:pt x="657225" y="504825"/>
                              </a:lnTo>
                              <a:lnTo>
                                <a:pt x="1000125" y="371475"/>
                              </a:lnTo>
                              <a:lnTo>
                                <a:pt x="923925" y="247650"/>
                              </a:lnTo>
                              <a:lnTo>
                                <a:pt x="733425" y="371475"/>
                              </a:lnTo>
                              <a:lnTo>
                                <a:pt x="466725" y="104775"/>
                              </a:lnTo>
                              <a:lnTo>
                                <a:pt x="314325" y="142875"/>
                              </a:lnTo>
                              <a:lnTo>
                                <a:pt x="152400" y="0"/>
                              </a:lnTo>
                              <a:close/>
                            </a:path>
                          </a:pathLst>
                        </a:custGeom>
                        <a:solidFill>
                          <a:schemeClr val="accent6">
                            <a:alpha val="50000"/>
                          </a:schemeClr>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339.45pt;margin-top:376.6pt;height:39.75pt;width:78.75pt;z-index:251704320;v-text-anchor:middle;mso-width-relative:page;mso-height-relative:page;" fillcolor="#F79646 [3209]" filled="t" stroked="t" coordsize="1000125,504825" o:gfxdata="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" path="m152400,0l0,123825,333375,457200,476250,333375,657225,504825,1000125,371475,923925,247650,733425,371475,466725,104775,314325,142875,152400,0xe">
                <v:path o:connectlocs="152400,0;0,123825;333375,457200;476250,333375;657225,504825;1000125,371475;923925,247650;733425,371475;466725,104775;314325,142875;152400,0" o:connectangles="0,0,0,0,0,0,0,0,0,0,0"/>
                <v:fill on="t" opacity="32768f" focussize="0,0"/>
                <v:stroke weight="0.25pt" color="#F79646 [3209]"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03296" behindDoc="0" locked="0" layoutInCell="1" allowOverlap="1">
                <wp:simplePos x="0" y="0"/>
                <wp:positionH relativeFrom="column">
                  <wp:posOffset>2589530</wp:posOffset>
                </wp:positionH>
                <wp:positionV relativeFrom="paragraph">
                  <wp:posOffset>3183255</wp:posOffset>
                </wp:positionV>
                <wp:extent cx="361950" cy="552450"/>
                <wp:effectExtent l="4445" t="4445" r="14605" b="14605"/>
                <wp:wrapNone/>
                <wp:docPr id="122" name="任意多边形 122"/>
                <wp:cNvGraphicFramePr/>
                <a:graphic xmlns:a="http://schemas.openxmlformats.org/drawingml/2006/main">
                  <a:graphicData uri="http://schemas.microsoft.com/office/word/2010/wordprocessingShape">
                    <wps:wsp>
                      <wps:cNvSpPr/>
                      <wps:spPr>
                        <a:xfrm>
                          <a:off x="3494405" y="4007485"/>
                          <a:ext cx="361950" cy="552450"/>
                        </a:xfrm>
                        <a:custGeom>
                          <a:avLst/>
                          <a:gdLst>
                            <a:gd name="connisteX0" fmla="*/ 0 w 361950"/>
                            <a:gd name="connsiteY0" fmla="*/ 0 h 552450"/>
                            <a:gd name="connisteX1" fmla="*/ 85725 w 361950"/>
                            <a:gd name="connsiteY1" fmla="*/ 419100 h 552450"/>
                            <a:gd name="connisteX2" fmla="*/ 190500 w 361950"/>
                            <a:gd name="connsiteY2" fmla="*/ 552450 h 552450"/>
                            <a:gd name="connisteX3" fmla="*/ 361950 w 361950"/>
                            <a:gd name="connsiteY3" fmla="*/ 409575 h 552450"/>
                            <a:gd name="connisteX4" fmla="*/ 142875 w 361950"/>
                            <a:gd name="connsiteY4" fmla="*/ 9525 h 552450"/>
                            <a:gd name="connisteX5" fmla="*/ 0 w 361950"/>
                            <a:gd name="connsiteY5" fmla="*/ 0 h 5524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361950" h="552450">
                              <a:moveTo>
                                <a:pt x="0" y="0"/>
                              </a:moveTo>
                              <a:lnTo>
                                <a:pt x="85725" y="419100"/>
                              </a:lnTo>
                              <a:lnTo>
                                <a:pt x="190500" y="552450"/>
                              </a:lnTo>
                              <a:lnTo>
                                <a:pt x="361950" y="409575"/>
                              </a:lnTo>
                              <a:lnTo>
                                <a:pt x="142875" y="9525"/>
                              </a:lnTo>
                              <a:lnTo>
                                <a:pt x="0" y="0"/>
                              </a:lnTo>
                              <a:close/>
                            </a:path>
                          </a:pathLst>
                        </a:custGeom>
                        <a:solidFill>
                          <a:schemeClr val="accent6">
                            <a:alpha val="50000"/>
                          </a:schemeClr>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203.9pt;margin-top:250.65pt;height:43.5pt;width:28.5pt;z-index:251703296;v-text-anchor:middle;mso-width-relative:page;mso-height-relative:page;" fillcolor="#F79646 [3209]" filled="t" stroked="t" coordsize="361950,552450" o:gfxdata="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" path="m0,0l85725,419100,190500,552450,361950,409575,142875,9525,0,0xe">
                <v:path o:connectlocs="0,0;85725,419100;190500,552450;361950,409575;142875,9525;0,0" o:connectangles="0,0,0,0,0,0"/>
                <v:fill on="t" opacity="32768f" focussize="0,0"/>
                <v:stroke weight="0.25pt" color="#F79646 [3209]"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2428875</wp:posOffset>
                </wp:positionH>
                <wp:positionV relativeFrom="paragraph">
                  <wp:posOffset>2626360</wp:posOffset>
                </wp:positionV>
                <wp:extent cx="495300" cy="323850"/>
                <wp:effectExtent l="4445" t="4445" r="14605" b="14605"/>
                <wp:wrapNone/>
                <wp:docPr id="104" name="任意多边形 104"/>
                <wp:cNvGraphicFramePr/>
                <a:graphic xmlns:a="http://schemas.openxmlformats.org/drawingml/2006/main">
                  <a:graphicData uri="http://schemas.microsoft.com/office/word/2010/wordprocessingShape">
                    <wps:wsp>
                      <wps:cNvSpPr/>
                      <wps:spPr>
                        <a:xfrm>
                          <a:off x="3399155" y="3540760"/>
                          <a:ext cx="495300" cy="323850"/>
                        </a:xfrm>
                        <a:custGeom>
                          <a:avLst/>
                          <a:gdLst>
                            <a:gd name="connisteX0" fmla="*/ 0 w 495300"/>
                            <a:gd name="connsiteY0" fmla="*/ 200025 h 323850"/>
                            <a:gd name="connisteX1" fmla="*/ 200025 w 495300"/>
                            <a:gd name="connsiteY1" fmla="*/ 314325 h 323850"/>
                            <a:gd name="connisteX2" fmla="*/ 361950 w 495300"/>
                            <a:gd name="connsiteY2" fmla="*/ 323850 h 323850"/>
                            <a:gd name="connisteX3" fmla="*/ 485775 w 495300"/>
                            <a:gd name="connsiteY3" fmla="*/ 171450 h 323850"/>
                            <a:gd name="connisteX4" fmla="*/ 495300 w 495300"/>
                            <a:gd name="connsiteY4" fmla="*/ 28575 h 323850"/>
                            <a:gd name="connisteX5" fmla="*/ 171450 w 495300"/>
                            <a:gd name="connsiteY5" fmla="*/ 0 h 323850"/>
                            <a:gd name="connisteX6" fmla="*/ 0 w 495300"/>
                            <a:gd name="connsiteY6" fmla="*/ 200025 h 3238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495300" h="323850">
                              <a:moveTo>
                                <a:pt x="0" y="200025"/>
                              </a:moveTo>
                              <a:lnTo>
                                <a:pt x="200025" y="314325"/>
                              </a:lnTo>
                              <a:lnTo>
                                <a:pt x="361950" y="323850"/>
                              </a:lnTo>
                              <a:lnTo>
                                <a:pt x="485775" y="171450"/>
                              </a:lnTo>
                              <a:lnTo>
                                <a:pt x="495300" y="28575"/>
                              </a:lnTo>
                              <a:lnTo>
                                <a:pt x="171450" y="0"/>
                              </a:lnTo>
                              <a:lnTo>
                                <a:pt x="0" y="200025"/>
                              </a:lnTo>
                              <a:close/>
                            </a:path>
                          </a:pathLst>
                        </a:custGeom>
                        <a:solidFill>
                          <a:schemeClr val="accent6">
                            <a:alpha val="50000"/>
                          </a:schemeClr>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91.25pt;margin-top:206.8pt;height:25.5pt;width:39pt;z-index:251702272;v-text-anchor:middle;mso-width-relative:page;mso-height-relative:page;" fillcolor="#F79646 [3209]" filled="t" stroked="t" coordsize="495300,323850" o:gfxdata="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" path="m0,200025l200025,314325,361950,323850,485775,171450,495300,28575,171450,0,0,200025xe">
                <v:path o:connectlocs="0,200025;200025,314325;361950,323850;485775,171450;495300,28575;171450,0;0,200025" o:connectangles="0,0,0,0,0,0,0"/>
                <v:fill on="t" opacity="32768f" focussize="0,0"/>
                <v:stroke weight="0.25pt" color="#F79646 [3209]" joinstyle="round"/>
                <v:imagedata o:title=""/>
                <o:lock v:ext="edit" aspectratio="f"/>
              </v:shape>
            </w:pict>
          </mc:Fallback>
        </mc:AlternateContent>
      </w:r>
      <w:r>
        <w:rPr>
          <w:rFonts w:cs="Times New Roman"/>
          <w:color w:val="auto"/>
          <w:highlight w:val="none"/>
        </w:rPr>
        <mc:AlternateContent>
          <mc:Choice Requires="wps">
            <w:drawing>
              <wp:anchor distT="0" distB="0" distL="114300" distR="114300" simplePos="0" relativeHeight="251710464" behindDoc="0" locked="0" layoutInCell="1" allowOverlap="1">
                <wp:simplePos x="0" y="0"/>
                <wp:positionH relativeFrom="column">
                  <wp:posOffset>2325370</wp:posOffset>
                </wp:positionH>
                <wp:positionV relativeFrom="paragraph">
                  <wp:posOffset>2666365</wp:posOffset>
                </wp:positionV>
                <wp:extent cx="1027430" cy="27432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1027430" cy="274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668D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东湖福园小区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1pt;margin-top:209.95pt;height:21.6pt;width:80.9pt;z-index:251710464;mso-width-relative:page;mso-height-relative:page;" filled="f" stroked="f" coordsize="21600,21600" o:gfxdata="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GFivTbAAAACwEAAA8AAAAAAAAAAQAgAAAAIgAAAGRy&#10;cy9kb3ducmV2LnhtbFBLAQIUABQAAAAIAIdO4kCDEZXaOwIAAGoEAAAOAAAAAAAAAAEAIAAAACoB&#10;AABkcnMvZTJvRG9jLnhtbFBLBQYAAAAABgAGAFkBAADXBQAAAAA=&#10;">
                <v:fill on="f" focussize="0,0"/>
                <v:stroke on="f" weight="0.5pt"/>
                <v:imagedata o:title=""/>
                <o:lock v:ext="edit" aspectratio="f"/>
                <v:textbox>
                  <w:txbxContent>
                    <w:p w14:paraId="40668D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东湖福园小区</w:t>
                      </w:r>
                    </w:p>
                  </w:txbxContent>
                </v:textbox>
              </v:shape>
            </w:pict>
          </mc:Fallback>
        </mc:AlternateContent>
      </w:r>
      <w:r>
        <w:rPr>
          <w:rFonts w:cs="Times New Roman"/>
          <w:color w:val="auto"/>
          <w:highlight w:val="none"/>
        </w:rPr>
        <mc:AlternateContent>
          <mc:Choice Requires="wps">
            <w:drawing>
              <wp:anchor distT="0" distB="0" distL="114300" distR="114300" simplePos="0" relativeHeight="251708416" behindDoc="0" locked="0" layoutInCell="1" allowOverlap="1">
                <wp:simplePos x="0" y="0"/>
                <wp:positionH relativeFrom="column">
                  <wp:posOffset>2117090</wp:posOffset>
                </wp:positionH>
                <wp:positionV relativeFrom="paragraph">
                  <wp:posOffset>846455</wp:posOffset>
                </wp:positionV>
                <wp:extent cx="779780" cy="27432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779780" cy="274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8240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岭东八村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7pt;margin-top:66.65pt;height:21.6pt;width:61.4pt;z-index:251708416;mso-width-relative:page;mso-height-relative:page;" filled="f" stroked="f" coordsize="21600,21600" o:gfxdata="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&#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Xml/HbAAAACwEAAA8AAAAAAAAAAQAgAAAAIgAA&#10;AGRycy9kb3ducmV2LnhtbFBLAQIUABQAAAAIAIdO4kBtYU+JPgIAAGkEAAAOAAAAAAAAAAEAIAAA&#10;ACoBAABkcnMvZTJvRG9jLnhtbFBLBQYAAAAABgAGAFkBAADaBQAAAAA=&#10;">
                <v:fill on="f" focussize="0,0"/>
                <v:stroke on="f" weight="0.5pt"/>
                <v:imagedata o:title=""/>
                <o:lock v:ext="edit" aspectratio="f"/>
                <v:textbox>
                  <w:txbxContent>
                    <w:p w14:paraId="168240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岭东八村</w:t>
                      </w:r>
                    </w:p>
                  </w:txbxContent>
                </v:textbox>
              </v:shape>
            </w:pict>
          </mc:Fallback>
        </mc:AlternateContent>
      </w:r>
      <w:r>
        <w:rPr>
          <w:color w:val="auto"/>
          <w:sz w:val="24"/>
          <w:highlight w:val="none"/>
        </w:rPr>
        <mc:AlternateContent>
          <mc:Choice Requires="wps">
            <w:drawing>
              <wp:anchor distT="0" distB="0" distL="114300" distR="114300" simplePos="0" relativeHeight="251700224" behindDoc="0" locked="0" layoutInCell="1" allowOverlap="1">
                <wp:simplePos x="0" y="0"/>
                <wp:positionH relativeFrom="column">
                  <wp:posOffset>2212975</wp:posOffset>
                </wp:positionH>
                <wp:positionV relativeFrom="paragraph">
                  <wp:posOffset>711835</wp:posOffset>
                </wp:positionV>
                <wp:extent cx="485775" cy="476250"/>
                <wp:effectExtent l="4445" t="4445" r="5080" b="14605"/>
                <wp:wrapNone/>
                <wp:docPr id="102" name="任意多边形 102"/>
                <wp:cNvGraphicFramePr/>
                <a:graphic xmlns:a="http://schemas.openxmlformats.org/drawingml/2006/main">
                  <a:graphicData uri="http://schemas.microsoft.com/office/word/2010/wordprocessingShape">
                    <wps:wsp>
                      <wps:cNvSpPr/>
                      <wps:spPr>
                        <a:xfrm>
                          <a:off x="3303905" y="1740535"/>
                          <a:ext cx="485775" cy="476250"/>
                        </a:xfrm>
                        <a:custGeom>
                          <a:avLst/>
                          <a:gdLst>
                            <a:gd name="connisteX0" fmla="*/ 209550 w 485775"/>
                            <a:gd name="connsiteY0" fmla="*/ 0 h 476250"/>
                            <a:gd name="connisteX1" fmla="*/ 0 w 485775"/>
                            <a:gd name="connsiteY1" fmla="*/ 371475 h 476250"/>
                            <a:gd name="connisteX2" fmla="*/ 142875 w 485775"/>
                            <a:gd name="connsiteY2" fmla="*/ 476250 h 476250"/>
                            <a:gd name="connisteX3" fmla="*/ 485775 w 485775"/>
                            <a:gd name="connsiteY3" fmla="*/ 171450 h 476250"/>
                            <a:gd name="connisteX4" fmla="*/ 209550 w 485775"/>
                            <a:gd name="connsiteY4" fmla="*/ 0 h 4762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85775" h="476250">
                              <a:moveTo>
                                <a:pt x="209550" y="0"/>
                              </a:moveTo>
                              <a:lnTo>
                                <a:pt x="0" y="371475"/>
                              </a:lnTo>
                              <a:lnTo>
                                <a:pt x="142875" y="476250"/>
                              </a:lnTo>
                              <a:lnTo>
                                <a:pt x="485775" y="171450"/>
                              </a:lnTo>
                              <a:lnTo>
                                <a:pt x="209550" y="0"/>
                              </a:lnTo>
                              <a:close/>
                            </a:path>
                          </a:pathLst>
                        </a:custGeom>
                        <a:solidFill>
                          <a:schemeClr val="accent6">
                            <a:alpha val="50000"/>
                          </a:schemeClr>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74.25pt;margin-top:56.05pt;height:37.5pt;width:38.25pt;z-index:251700224;v-text-anchor:middle;mso-width-relative:page;mso-height-relative:page;" fillcolor="#F79646 [3209]" filled="t" stroked="t" coordsize="485775,476250" o:gfxdata="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" path="m209550,0l0,371475,142875,476250,485775,171450,209550,0xe">
                <v:path o:connectlocs="209550,0;0,371475;142875,476250;485775,171450;209550,0" o:connectangles="0,0,0,0,0"/>
                <v:fill on="t" opacity="32768f" focussize="0,0"/>
                <v:stroke weight="0.25pt" color="#F79646 [3209]" joinstyle="round"/>
                <v:imagedata o:title=""/>
                <o:lock v:ext="edit" aspectratio="f"/>
              </v:shape>
            </w:pict>
          </mc:Fallback>
        </mc:AlternateContent>
      </w:r>
      <w:r>
        <w:rPr>
          <w:rFonts w:cs="Times New Roman"/>
          <w:color w:val="auto"/>
          <w:highlight w:val="none"/>
        </w:rPr>
        <mc:AlternateContent>
          <mc:Choice Requires="wps">
            <w:drawing>
              <wp:anchor distT="0" distB="0" distL="114300" distR="114300" simplePos="0" relativeHeight="251709440" behindDoc="0" locked="0" layoutInCell="1" allowOverlap="1">
                <wp:simplePos x="0" y="0"/>
                <wp:positionH relativeFrom="column">
                  <wp:posOffset>2175510</wp:posOffset>
                </wp:positionH>
                <wp:positionV relativeFrom="paragraph">
                  <wp:posOffset>1374140</wp:posOffset>
                </wp:positionV>
                <wp:extent cx="779780" cy="274320"/>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779780" cy="274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5ADF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21"/>
                                <w:szCs w:val="20"/>
                                <w:lang w:val="en-US" w:eastAsia="zh-CN"/>
                              </w:rPr>
                              <w:t>度假区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3pt;margin-top:108.2pt;height:21.6pt;width:61.4pt;z-index:251709440;mso-width-relative:page;mso-height-relative:page;" filled="f" stroked="f" coordsize="21600,21600" o:gfxdata="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&#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0YisZNsAAAALAQAADwAAAAAAAAABACAAAAAiAAAA&#10;ZHJzL2Rvd25yZXYueG1sUEsBAhQAFAAAAAgAh07iQOc1tmA9AgAAaQQAAA4AAAAAAAAAAQAgAAAA&#10;KgEAAGRycy9lMm9Eb2MueG1sUEsFBgAAAAAGAAYAWQEAANkFAAAAAA==&#10;">
                <v:fill on="f" focussize="0,0"/>
                <v:stroke on="f" weight="0.5pt"/>
                <v:imagedata o:title=""/>
                <o:lock v:ext="edit" aspectratio="f"/>
                <v:textbox>
                  <w:txbxContent>
                    <w:p w14:paraId="725ADF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21"/>
                          <w:szCs w:val="20"/>
                          <w:lang w:val="en-US" w:eastAsia="zh-CN"/>
                        </w:rPr>
                        <w:t>度假区</w:t>
                      </w:r>
                    </w:p>
                  </w:txbxContent>
                </v:textbox>
              </v:shape>
            </w:pict>
          </mc:Fallback>
        </mc:AlternateContent>
      </w:r>
      <w:r>
        <w:rPr>
          <w:color w:val="auto"/>
          <w:sz w:val="24"/>
          <w:highlight w:val="none"/>
        </w:rPr>
        <mc:AlternateContent>
          <mc:Choice Requires="wps">
            <w:drawing>
              <wp:anchor distT="0" distB="0" distL="114300" distR="114300" simplePos="0" relativeHeight="251701248" behindDoc="0" locked="0" layoutInCell="1" allowOverlap="1">
                <wp:simplePos x="0" y="0"/>
                <wp:positionH relativeFrom="column">
                  <wp:posOffset>2278380</wp:posOffset>
                </wp:positionH>
                <wp:positionV relativeFrom="paragraph">
                  <wp:posOffset>1270000</wp:posOffset>
                </wp:positionV>
                <wp:extent cx="485775" cy="409575"/>
                <wp:effectExtent l="4445" t="4445" r="5080" b="5080"/>
                <wp:wrapNone/>
                <wp:docPr id="103" name="任意多边形 103"/>
                <wp:cNvGraphicFramePr/>
                <a:graphic xmlns:a="http://schemas.openxmlformats.org/drawingml/2006/main">
                  <a:graphicData uri="http://schemas.microsoft.com/office/word/2010/wordprocessingShape">
                    <wps:wsp>
                      <wps:cNvSpPr/>
                      <wps:spPr>
                        <a:xfrm>
                          <a:off x="3265805" y="2254885"/>
                          <a:ext cx="485775" cy="409575"/>
                        </a:xfrm>
                        <a:custGeom>
                          <a:avLst/>
                          <a:gdLst>
                            <a:gd name="connisteX0" fmla="*/ 0 w 485775"/>
                            <a:gd name="connsiteY0" fmla="*/ 247650 h 409575"/>
                            <a:gd name="connisteX1" fmla="*/ 257175 w 485775"/>
                            <a:gd name="connsiteY1" fmla="*/ 409575 h 409575"/>
                            <a:gd name="connisteX2" fmla="*/ 485775 w 485775"/>
                            <a:gd name="connsiteY2" fmla="*/ 66675 h 409575"/>
                            <a:gd name="connisteX3" fmla="*/ 190500 w 485775"/>
                            <a:gd name="connsiteY3" fmla="*/ 0 h 409575"/>
                            <a:gd name="connisteX4" fmla="*/ 0 w 485775"/>
                            <a:gd name="connsiteY4" fmla="*/ 247650 h 4095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85775" h="409575">
                              <a:moveTo>
                                <a:pt x="0" y="247650"/>
                              </a:moveTo>
                              <a:lnTo>
                                <a:pt x="257175" y="409575"/>
                              </a:lnTo>
                              <a:lnTo>
                                <a:pt x="485775" y="66675"/>
                              </a:lnTo>
                              <a:lnTo>
                                <a:pt x="190500" y="0"/>
                              </a:lnTo>
                              <a:lnTo>
                                <a:pt x="0" y="247650"/>
                              </a:lnTo>
                              <a:close/>
                            </a:path>
                          </a:pathLst>
                        </a:custGeom>
                        <a:solidFill>
                          <a:schemeClr val="accent6">
                            <a:alpha val="50000"/>
                          </a:schemeClr>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79.4pt;margin-top:100pt;height:32.25pt;width:38.25pt;z-index:251701248;v-text-anchor:middle;mso-width-relative:page;mso-height-relative:page;" fillcolor="#F79646 [3209]" filled="t" stroked="t" coordsize="485775,409575" o:gfxdata="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" path="m0,247650l257175,409575,485775,66675,190500,0,0,247650xe">
                <v:path o:connectlocs="0,247650;257175,409575;485775,66675;190500,0;0,247650" o:connectangles="0,0,0,0,0"/>
                <v:fill on="t" opacity="32768f" focussize="0,0"/>
                <v:stroke weight="0.25pt" color="#F79646 [3209]" joinstyle="round"/>
                <v:imagedata o:title=""/>
                <o:lock v:ext="edit" aspectratio="f"/>
              </v:shape>
            </w:pict>
          </mc:Fallback>
        </mc:AlternateContent>
      </w:r>
      <w:r>
        <w:rPr>
          <w:rFonts w:cs="Times New Roman"/>
          <w:color w:val="auto"/>
          <w:highlight w:val="none"/>
        </w:rPr>
        <mc:AlternateContent>
          <mc:Choice Requires="wps">
            <w:drawing>
              <wp:anchor distT="0" distB="0" distL="114300" distR="114300" simplePos="0" relativeHeight="251707392" behindDoc="0" locked="0" layoutInCell="1" allowOverlap="1">
                <wp:simplePos x="0" y="0"/>
                <wp:positionH relativeFrom="column">
                  <wp:posOffset>3693160</wp:posOffset>
                </wp:positionH>
                <wp:positionV relativeFrom="paragraph">
                  <wp:posOffset>284480</wp:posOffset>
                </wp:positionV>
                <wp:extent cx="956310" cy="27432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956310" cy="274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5B9B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小区居民楼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8pt;margin-top:22.4pt;height:21.6pt;width:75.3pt;z-index:251707392;mso-width-relative:page;mso-height-relative:page;" filled="f" stroked="f" coordsize="21600,21600" o:gfxdata="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&#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sB5y9oAAAAJAQAADwAAAAAAAAABACAAAAAiAAAA&#10;ZHJzL2Rvd25yZXYueG1sUEsBAhQAFAAAAAgAh07iQFYRf8s+AgAAaQQAAA4AAAAAAAAAAQAgAAAA&#10;KQEAAGRycy9lMm9Eb2MueG1sUEsFBgAAAAAGAAYAWQEAANkFAAAAAA==&#10;">
                <v:fill on="f" focussize="0,0"/>
                <v:stroke on="f" weight="0.5pt"/>
                <v:imagedata o:title=""/>
                <o:lock v:ext="edit" aspectratio="f"/>
                <v:textbox>
                  <w:txbxContent>
                    <w:p w14:paraId="025B9B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小区居民楼</w:t>
                      </w:r>
                    </w:p>
                  </w:txbxContent>
                </v:textbox>
              </v:shape>
            </w:pict>
          </mc:Fallback>
        </mc:AlternateContent>
      </w:r>
      <w:r>
        <w:rPr>
          <w:color w:val="auto"/>
          <w:sz w:val="24"/>
          <w:highlight w:val="none"/>
        </w:rPr>
        <mc:AlternateContent>
          <mc:Choice Requires="wps">
            <w:drawing>
              <wp:anchor distT="0" distB="0" distL="114300" distR="114300" simplePos="0" relativeHeight="251699200" behindDoc="0" locked="0" layoutInCell="1" allowOverlap="1">
                <wp:simplePos x="0" y="0"/>
                <wp:positionH relativeFrom="column">
                  <wp:posOffset>3606800</wp:posOffset>
                </wp:positionH>
                <wp:positionV relativeFrom="paragraph">
                  <wp:posOffset>283210</wp:posOffset>
                </wp:positionV>
                <wp:extent cx="1228725" cy="638175"/>
                <wp:effectExtent l="0" t="4445" r="9525" b="5080"/>
                <wp:wrapNone/>
                <wp:docPr id="101" name="任意多边形 101"/>
                <wp:cNvGraphicFramePr/>
                <a:graphic xmlns:a="http://schemas.openxmlformats.org/drawingml/2006/main">
                  <a:graphicData uri="http://schemas.microsoft.com/office/word/2010/wordprocessingShape">
                    <wps:wsp>
                      <wps:cNvSpPr/>
                      <wps:spPr>
                        <a:xfrm>
                          <a:off x="4427855" y="1416685"/>
                          <a:ext cx="1228725" cy="638175"/>
                        </a:xfrm>
                        <a:custGeom>
                          <a:avLst/>
                          <a:gdLst>
                            <a:gd name="connisteX0" fmla="*/ 9525 w 1228725"/>
                            <a:gd name="connsiteY0" fmla="*/ 38100 h 638175"/>
                            <a:gd name="connisteX1" fmla="*/ 85725 w 1228725"/>
                            <a:gd name="connsiteY1" fmla="*/ 285750 h 638175"/>
                            <a:gd name="connisteX2" fmla="*/ 314325 w 1228725"/>
                            <a:gd name="connsiteY2" fmla="*/ 638175 h 638175"/>
                            <a:gd name="connisteX3" fmla="*/ 609600 w 1228725"/>
                            <a:gd name="connsiteY3" fmla="*/ 142875 h 638175"/>
                            <a:gd name="connisteX4" fmla="*/ 1076325 w 1228725"/>
                            <a:gd name="connsiteY4" fmla="*/ 333375 h 638175"/>
                            <a:gd name="connisteX5" fmla="*/ 1228725 w 1228725"/>
                            <a:gd name="connsiteY5" fmla="*/ 9525 h 638175"/>
                            <a:gd name="connisteX6" fmla="*/ 0 w 1228725"/>
                            <a:gd name="connsiteY6" fmla="*/ 0 h 6381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228725" h="638175">
                              <a:moveTo>
                                <a:pt x="9525" y="38100"/>
                              </a:moveTo>
                              <a:lnTo>
                                <a:pt x="85725" y="285750"/>
                              </a:lnTo>
                              <a:lnTo>
                                <a:pt x="314325" y="638175"/>
                              </a:lnTo>
                              <a:lnTo>
                                <a:pt x="609600" y="142875"/>
                              </a:lnTo>
                              <a:lnTo>
                                <a:pt x="1076325" y="333375"/>
                              </a:lnTo>
                              <a:lnTo>
                                <a:pt x="1228725" y="9525"/>
                              </a:lnTo>
                              <a:lnTo>
                                <a:pt x="0" y="0"/>
                              </a:lnTo>
                            </a:path>
                          </a:pathLst>
                        </a:custGeom>
                        <a:solidFill>
                          <a:schemeClr val="accent6">
                            <a:alpha val="50000"/>
                          </a:schemeClr>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284pt;margin-top:22.3pt;height:50.25pt;width:96.75pt;z-index:251699200;v-text-anchor:middle;mso-width-relative:page;mso-height-relative:page;" fillcolor="#F79646 [3209]" filled="t" stroked="t" coordsize="1228725,638175" o:gfxdata="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" path="m9525,38100l85725,285750,314325,638175,609600,142875,1076325,333375,1228725,9525,0,0e">
                <v:path o:connectlocs="9525,38100;85725,285750;314325,638175;609600,142875;1076325,333375;1228725,9525;0,0" o:connectangles="0,0,0,0,0,0,0"/>
                <v:fill on="t" opacity="32768f" focussize="0,0"/>
                <v:stroke weight="0.25pt" color="#F79646 [3209]" joinstyle="round"/>
                <v:imagedata o:title=""/>
                <o:lock v:ext="edit" aspectratio="f"/>
              </v:shape>
            </w:pict>
          </mc:Fallback>
        </mc:AlternateContent>
      </w:r>
      <w:r>
        <w:rPr>
          <w:rFonts w:cs="Times New Roman"/>
          <w:color w:val="auto"/>
          <w:highlight w:val="none"/>
        </w:rPr>
        <mc:AlternateContent>
          <mc:Choice Requires="wps">
            <w:drawing>
              <wp:anchor distT="0" distB="0" distL="114300" distR="114300" simplePos="0" relativeHeight="251713536" behindDoc="0" locked="0" layoutInCell="1" allowOverlap="1">
                <wp:simplePos x="0" y="0"/>
                <wp:positionH relativeFrom="column">
                  <wp:posOffset>3399790</wp:posOffset>
                </wp:positionH>
                <wp:positionV relativeFrom="paragraph">
                  <wp:posOffset>1892935</wp:posOffset>
                </wp:positionV>
                <wp:extent cx="1236980" cy="27432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1236980" cy="274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3A1E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长胜乡人民政府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7pt;margin-top:149.05pt;height:21.6pt;width:97.4pt;z-index:251713536;mso-width-relative:page;mso-height-relative:page;" filled="f" stroked="f" coordsize="21600,21600" o:gfxdata="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RScmTcAAAACwEAAA8AAAAAAAAAAQAgAAAAIgAA&#10;AGRycy9kb3ducmV2LnhtbFBLAQIUABQAAAAIAIdO4kBYnfnMPQIAAGoEAAAOAAAAAAAAAAEAIAAA&#10;ACsBAABkcnMvZTJvRG9jLnhtbFBLBQYAAAAABgAGAFkBAADaBQAAAAA=&#10;">
                <v:fill on="f" focussize="0,0"/>
                <v:stroke on="f" weight="0.5pt"/>
                <v:imagedata o:title=""/>
                <o:lock v:ext="edit" aspectratio="f"/>
                <v:textbox>
                  <w:txbxContent>
                    <w:p w14:paraId="2F3A1E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长胜乡人民政府</w:t>
                      </w:r>
                    </w:p>
                  </w:txbxContent>
                </v:textbox>
              </v:shape>
            </w:pict>
          </mc:Fallback>
        </mc:AlternateContent>
      </w:r>
      <w:r>
        <w:rPr>
          <w:rFonts w:cs="Times New Roman"/>
          <w:color w:val="auto"/>
          <w:highlight w:val="none"/>
        </w:rPr>
        <mc:AlternateContent>
          <mc:Choice Requires="wps">
            <w:drawing>
              <wp:anchor distT="0" distB="0" distL="114300" distR="114300" simplePos="0" relativeHeight="251711488" behindDoc="0" locked="0" layoutInCell="1" allowOverlap="1">
                <wp:simplePos x="0" y="0"/>
                <wp:positionH relativeFrom="column">
                  <wp:posOffset>2351405</wp:posOffset>
                </wp:positionH>
                <wp:positionV relativeFrom="paragraph">
                  <wp:posOffset>3274695</wp:posOffset>
                </wp:positionV>
                <wp:extent cx="779780" cy="274320"/>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779780" cy="274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04C3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青山社区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5.15pt;margin-top:257.85pt;height:21.6pt;width:61.4pt;z-index:251711488;mso-width-relative:page;mso-height-relative:page;" filled="f" stroked="f" coordsize="21600,21600" o:gfxdata="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&#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wadAe3AAAAAsBAAAPAAAAAAAAAAEAIAAAACIAAABk&#10;cnMvZG93bnJldi54bWxQSwECFAAUAAAACACHTuJAXKg4mDsCAABpBAAADgAAAAAAAAABACAAAAAr&#10;AQAAZHJzL2Uyb0RvYy54bWxQSwUGAAAAAAYABgBZAQAA2AUAAAAA&#10;">
                <v:fill on="f" focussize="0,0"/>
                <v:stroke on="f" weight="0.5pt"/>
                <v:imagedata o:title=""/>
                <o:lock v:ext="edit" aspectratio="f"/>
                <v:textbox>
                  <w:txbxContent>
                    <w:p w14:paraId="3304C3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8"/>
                          <w:szCs w:val="16"/>
                          <w:lang w:val="en-US" w:eastAsia="zh-CN"/>
                        </w:rPr>
                      </w:pPr>
                      <w:r>
                        <w:rPr>
                          <w:rFonts w:hint="eastAsia"/>
                          <w:b/>
                          <w:bCs/>
                          <w:color w:val="auto"/>
                          <w:sz w:val="18"/>
                          <w:szCs w:val="16"/>
                          <w:lang w:val="en-US" w:eastAsia="zh-CN"/>
                        </w:rPr>
                        <w:t>青山社区</w:t>
                      </w:r>
                    </w:p>
                  </w:txbxContent>
                </v:textbox>
              </v:shape>
            </w:pict>
          </mc:Fallback>
        </mc:AlternateContent>
      </w:r>
      <w:r>
        <w:rPr>
          <w:rFonts w:cs="Times New Roman"/>
          <w:color w:val="auto"/>
          <w:highlight w:val="none"/>
        </w:rPr>
        <mc:AlternateContent>
          <mc:Choice Requires="wps">
            <w:drawing>
              <wp:anchor distT="0" distB="0" distL="114300" distR="114300" simplePos="0" relativeHeight="251712512" behindDoc="0" locked="0" layoutInCell="1" allowOverlap="1">
                <wp:simplePos x="0" y="0"/>
                <wp:positionH relativeFrom="column">
                  <wp:posOffset>4260850</wp:posOffset>
                </wp:positionH>
                <wp:positionV relativeFrom="paragraph">
                  <wp:posOffset>4832350</wp:posOffset>
                </wp:positionV>
                <wp:extent cx="779780" cy="27432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779780" cy="274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68AF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21"/>
                                <w:szCs w:val="20"/>
                                <w:lang w:val="en-US" w:eastAsia="zh-CN"/>
                              </w:rPr>
                            </w:pPr>
                            <w:r>
                              <w:rPr>
                                <w:rFonts w:hint="eastAsia"/>
                                <w:b/>
                                <w:bCs/>
                                <w:color w:val="auto"/>
                                <w:sz w:val="21"/>
                                <w:szCs w:val="20"/>
                                <w:lang w:val="en-US" w:eastAsia="zh-CN"/>
                              </w:rPr>
                              <w:t>小北屯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5pt;margin-top:380.5pt;height:21.6pt;width:61.4pt;z-index:251712512;mso-width-relative:page;mso-height-relative:page;" filled="f" stroked="f" coordsize="21600,21600" o:gfxdata="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&#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Qn26dsAAAALAQAADwAAAAAAAAABACAAAAAiAAAA&#10;ZHJzL2Rvd25yZXYueG1sUEsBAhQAFAAAAAgAh07iQNGnIK49AgAAaQQAAA4AAAAAAAAAAQAgAAAA&#10;KgEAAGRycy9lMm9Eb2MueG1sUEsFBgAAAAAGAAYAWQEAANkFAAAAAA==&#10;">
                <v:fill on="f" focussize="0,0"/>
                <v:stroke on="f" weight="0.5pt"/>
                <v:imagedata o:title=""/>
                <o:lock v:ext="edit" aspectratio="f"/>
                <v:textbox>
                  <w:txbxContent>
                    <w:p w14:paraId="6368AF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21"/>
                          <w:szCs w:val="20"/>
                          <w:lang w:val="en-US" w:eastAsia="zh-CN"/>
                        </w:rPr>
                      </w:pPr>
                      <w:r>
                        <w:rPr>
                          <w:rFonts w:hint="eastAsia"/>
                          <w:b/>
                          <w:bCs/>
                          <w:color w:val="auto"/>
                          <w:sz w:val="21"/>
                          <w:szCs w:val="20"/>
                          <w:lang w:val="en-US" w:eastAsia="zh-CN"/>
                        </w:rPr>
                        <w:t>小北屯</w:t>
                      </w:r>
                    </w:p>
                  </w:txbxContent>
                </v:textbox>
              </v:shape>
            </w:pict>
          </mc:Fallback>
        </mc:AlternateContent>
      </w:r>
      <w:r>
        <w:rPr>
          <w:rFonts w:cs="Times New Roman"/>
          <w:color w:val="auto"/>
          <w:highlight w:val="none"/>
        </w:rPr>
        <mc:AlternateContent>
          <mc:Choice Requires="wps">
            <w:drawing>
              <wp:anchor distT="0" distB="0" distL="114300" distR="114300" simplePos="0" relativeHeight="251713536" behindDoc="0" locked="0" layoutInCell="1" allowOverlap="1">
                <wp:simplePos x="0" y="0"/>
                <wp:positionH relativeFrom="column">
                  <wp:posOffset>3409315</wp:posOffset>
                </wp:positionH>
                <wp:positionV relativeFrom="paragraph">
                  <wp:posOffset>2679700</wp:posOffset>
                </wp:positionV>
                <wp:extent cx="517525" cy="274320"/>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517525" cy="2743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82E7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6"/>
                                <w:szCs w:val="15"/>
                                <w:lang w:val="en-US" w:eastAsia="zh-CN"/>
                              </w:rPr>
                            </w:pPr>
                            <w:r>
                              <w:rPr>
                                <w:rFonts w:hint="eastAsia"/>
                                <w:b/>
                                <w:bCs/>
                                <w:color w:val="auto"/>
                                <w:sz w:val="16"/>
                                <w:szCs w:val="15"/>
                                <w:lang w:val="en-US" w:eastAsia="zh-CN"/>
                              </w:rPr>
                              <w:t>平房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45pt;margin-top:211pt;height:21.6pt;width:40.75pt;z-index:251713536;mso-width-relative:page;mso-height-relative:page;" filled="f" stroked="f" coordsize="21600,21600" o:gfxdata="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LnVWHbAAAACwEAAA8AAAAAAAAAAQAgAAAAIgAA&#10;AGRycy9kb3ducmV2LnhtbFBLAQIUABQAAAAIAIdO4kB/yLNUPgIAAGkEAAAOAAAAAAAAAAEAIAAA&#10;ACoBAABkcnMvZTJvRG9jLnhtbFBLBQYAAAAABgAGAFkBAADaBQAAAAA=&#10;">
                <v:fill on="f" focussize="0,0"/>
                <v:stroke on="f" weight="0.5pt"/>
                <v:imagedata o:title=""/>
                <o:lock v:ext="edit" aspectratio="f"/>
                <v:textbox>
                  <w:txbxContent>
                    <w:p w14:paraId="7C82E7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b/>
                          <w:bCs/>
                          <w:color w:val="auto"/>
                          <w:sz w:val="16"/>
                          <w:szCs w:val="15"/>
                          <w:lang w:val="en-US" w:eastAsia="zh-CN"/>
                        </w:rPr>
                      </w:pPr>
                      <w:r>
                        <w:rPr>
                          <w:rFonts w:hint="eastAsia"/>
                          <w:b/>
                          <w:bCs/>
                          <w:color w:val="auto"/>
                          <w:sz w:val="16"/>
                          <w:szCs w:val="15"/>
                          <w:lang w:val="en-US" w:eastAsia="zh-CN"/>
                        </w:rPr>
                        <w:t>平房</w:t>
                      </w:r>
                    </w:p>
                  </w:txbxContent>
                </v:textbox>
              </v:shape>
            </w:pict>
          </mc:Fallback>
        </mc:AlternateContent>
      </w:r>
      <w:r>
        <w:rPr>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3551555</wp:posOffset>
                </wp:positionH>
                <wp:positionV relativeFrom="paragraph">
                  <wp:posOffset>2693035</wp:posOffset>
                </wp:positionV>
                <wp:extent cx="104775" cy="171450"/>
                <wp:effectExtent l="4445" t="4445" r="5080" b="14605"/>
                <wp:wrapNone/>
                <wp:docPr id="145" name="任意多边形 145"/>
                <wp:cNvGraphicFramePr/>
                <a:graphic xmlns:a="http://schemas.openxmlformats.org/drawingml/2006/main">
                  <a:graphicData uri="http://schemas.microsoft.com/office/word/2010/wordprocessingShape">
                    <wps:wsp>
                      <wps:cNvSpPr/>
                      <wps:spPr>
                        <a:xfrm>
                          <a:off x="4694555" y="3607435"/>
                          <a:ext cx="104775" cy="171450"/>
                        </a:xfrm>
                        <a:custGeom>
                          <a:avLst/>
                          <a:gdLst>
                            <a:gd name="connisteX0" fmla="*/ 47625 w 104775"/>
                            <a:gd name="connsiteY0" fmla="*/ 0 h 171450"/>
                            <a:gd name="connisteX1" fmla="*/ 0 w 104775"/>
                            <a:gd name="connsiteY1" fmla="*/ 47625 h 171450"/>
                            <a:gd name="connisteX2" fmla="*/ 38100 w 104775"/>
                            <a:gd name="connsiteY2" fmla="*/ 171450 h 171450"/>
                            <a:gd name="connisteX3" fmla="*/ 104775 w 104775"/>
                            <a:gd name="connsiteY3" fmla="*/ 152400 h 171450"/>
                            <a:gd name="connisteX4" fmla="*/ 47625 w 104775"/>
                            <a:gd name="connsiteY4" fmla="*/ 0 h 1714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04775" h="171450">
                              <a:moveTo>
                                <a:pt x="47625" y="0"/>
                              </a:moveTo>
                              <a:lnTo>
                                <a:pt x="0" y="47625"/>
                              </a:lnTo>
                              <a:lnTo>
                                <a:pt x="38100" y="171450"/>
                              </a:lnTo>
                              <a:lnTo>
                                <a:pt x="104775" y="152400"/>
                              </a:lnTo>
                              <a:lnTo>
                                <a:pt x="47625" y="0"/>
                              </a:lnTo>
                              <a:close/>
                            </a:path>
                          </a:pathLst>
                        </a:custGeom>
                        <a:solidFill>
                          <a:schemeClr val="accent6">
                            <a:alpha val="50000"/>
                          </a:schemeClr>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279.65pt;margin-top:212.05pt;height:13.5pt;width:8.25pt;z-index:251706368;v-text-anchor:middle;mso-width-relative:page;mso-height-relative:page;" fillcolor="#F79646 [3209]" filled="t" stroked="t" coordsize="104775,171450" o:gfxdata="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" path="m47625,0l0,47625,38100,171450,104775,152400,47625,0xe">
                <v:path o:connectlocs="47625,0;0,47625;38100,171450;104775,152400;47625,0" o:connectangles="0,0,0,0,0"/>
                <v:fill on="t" opacity="32768f" focussize="0,0"/>
                <v:stroke weight="0.25pt" color="#F79646 [3209]" joinstyle="round"/>
                <v:imagedata o:title=""/>
                <o:lock v:ext="edit" aspectratio="f"/>
              </v:shape>
            </w:pict>
          </mc:Fallback>
        </mc:AlternateContent>
      </w:r>
      <w:r>
        <w:rPr>
          <w:rFonts w:cs="Times New Roman"/>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4513580</wp:posOffset>
                </wp:positionH>
                <wp:positionV relativeFrom="paragraph">
                  <wp:posOffset>2195195</wp:posOffset>
                </wp:positionV>
                <wp:extent cx="960120" cy="321310"/>
                <wp:effectExtent l="0" t="0" r="0" b="0"/>
                <wp:wrapNone/>
                <wp:docPr id="317" name="文本框 317"/>
                <wp:cNvGraphicFramePr/>
                <a:graphic xmlns:a="http://schemas.openxmlformats.org/drawingml/2006/main">
                  <a:graphicData uri="http://schemas.microsoft.com/office/word/2010/wordprocessingShape">
                    <wps:wsp>
                      <wps:cNvSpPr txBox="1"/>
                      <wps:spPr>
                        <a:xfrm>
                          <a:off x="3289935" y="4282440"/>
                          <a:ext cx="960120"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424A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bCs/>
                                <w:color w:val="92D050"/>
                              </w:rPr>
                            </w:pPr>
                            <w:r>
                              <w:rPr>
                                <w:rFonts w:hint="eastAsia"/>
                                <w:b/>
                                <w:bCs/>
                                <w:color w:val="92D050"/>
                              </w:rPr>
                              <w:t>地下水流向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4pt;margin-top:172.85pt;height:25.3pt;width:75.6pt;z-index:251665408;mso-width-relative:page;mso-height-relative:page;" filled="f" stroked="f" coordsize="21600,21600" o:gfxdata="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W+odz3AAAAAsBAAAPAAAA&#10;AAAAAAEAIAAAACIAAABkcnMvZG93bnJldi54bWxQSwECFAAUAAAACACHTuJASmPz/UoCAAB1BAAA&#10;DgAAAAAAAAABACAAAAArAQAAZHJzL2Uyb0RvYy54bWxQSwUGAAAAAAYABgBZAQAA5wUAAAAA&#10;">
                <v:fill on="f" focussize="0,0"/>
                <v:stroke on="f" weight="0.5pt"/>
                <v:imagedata o:title=""/>
                <o:lock v:ext="edit" aspectratio="f"/>
                <v:textbox>
                  <w:txbxContent>
                    <w:p w14:paraId="1E424A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bCs/>
                          <w:color w:val="92D050"/>
                        </w:rPr>
                      </w:pPr>
                      <w:r>
                        <w:rPr>
                          <w:rFonts w:hint="eastAsia"/>
                          <w:b/>
                          <w:bCs/>
                          <w:color w:val="92D050"/>
                        </w:rPr>
                        <w:t>地下水流向</w:t>
                      </w:r>
                    </w:p>
                  </w:txbxContent>
                </v:textbox>
              </v:shape>
            </w:pict>
          </mc:Fallback>
        </mc:AlternateContent>
      </w:r>
      <w:r>
        <w:rPr>
          <w:rFonts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4456430</wp:posOffset>
                </wp:positionH>
                <wp:positionV relativeFrom="paragraph">
                  <wp:posOffset>1931035</wp:posOffset>
                </wp:positionV>
                <wp:extent cx="118110" cy="814705"/>
                <wp:effectExtent l="40005" t="0" r="32385" b="4445"/>
                <wp:wrapNone/>
                <wp:docPr id="316" name="直接箭头连接符 316"/>
                <wp:cNvGraphicFramePr/>
                <a:graphic xmlns:a="http://schemas.openxmlformats.org/drawingml/2006/main">
                  <a:graphicData uri="http://schemas.microsoft.com/office/word/2010/wordprocessingShape">
                    <wps:wsp>
                      <wps:cNvCnPr/>
                      <wps:spPr>
                        <a:xfrm flipH="1" flipV="1">
                          <a:off x="3437255" y="3667760"/>
                          <a:ext cx="118110" cy="814705"/>
                        </a:xfrm>
                        <a:prstGeom prst="straightConnector1">
                          <a:avLst/>
                        </a:prstGeom>
                        <a:ln w="38100">
                          <a:solidFill>
                            <a:srgbClr val="92D050"/>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50.9pt;margin-top:152.05pt;height:64.15pt;width:9.3pt;z-index:251664384;mso-width-relative:page;mso-height-relative:page;" filled="f" stroked="t" coordsize="21600,21600" o:gfxdata="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NLBoe2AAAAAsBAAAPAAAAAAAAAAEAIAAAACIAAABkcnMvZG93bnJldi54bWxQ&#10;SwECFAAUAAAACACHTuJA6kp4gTACAAAdBAAADgAAAAAAAAABACAAAAAnAQAAZHJzL2Uyb0RvYy54&#10;bWxQSwUGAAAAAAYABgBZAQAAyQUAAAAA&#10;">
                <v:fill on="f" focussize="0,0"/>
                <v:stroke weight="3pt" color="#92D050 [3204]" joinstyle="round" endarrow="block"/>
                <v:imagedata o:title=""/>
                <o:lock v:ext="edit" aspectratio="f"/>
              </v:shape>
            </w:pict>
          </mc:Fallback>
        </mc:AlternateContent>
      </w:r>
      <w:r>
        <w:rPr>
          <w:color w:val="auto"/>
          <w:sz w:val="24"/>
          <w:highlight w:val="none"/>
        </w:rPr>
        <mc:AlternateContent>
          <mc:Choice Requires="wpg">
            <w:drawing>
              <wp:anchor distT="0" distB="0" distL="114300" distR="114300" simplePos="0" relativeHeight="251677696" behindDoc="0" locked="0" layoutInCell="1" allowOverlap="1">
                <wp:simplePos x="0" y="0"/>
                <wp:positionH relativeFrom="column">
                  <wp:posOffset>6911340</wp:posOffset>
                </wp:positionH>
                <wp:positionV relativeFrom="paragraph">
                  <wp:posOffset>3756660</wp:posOffset>
                </wp:positionV>
                <wp:extent cx="147955" cy="1090295"/>
                <wp:effectExtent l="9525" t="9525" r="13970" b="24130"/>
                <wp:wrapNone/>
                <wp:docPr id="159" name="组合 159"/>
                <wp:cNvGraphicFramePr/>
                <a:graphic xmlns:a="http://schemas.openxmlformats.org/drawingml/2006/main">
                  <a:graphicData uri="http://schemas.microsoft.com/office/word/2010/wordprocessingGroup">
                    <wpg:wgp>
                      <wpg:cNvGrpSpPr/>
                      <wpg:grpSpPr>
                        <a:xfrm>
                          <a:off x="0" y="0"/>
                          <a:ext cx="147955" cy="1090295"/>
                          <a:chOff x="12544" y="957068"/>
                          <a:chExt cx="233" cy="1717"/>
                        </a:xfrm>
                      </wpg:grpSpPr>
                      <wps:wsp>
                        <wps:cNvPr id="70" name="矩形 70"/>
                        <wps:cNvSpPr/>
                        <wps:spPr>
                          <a:xfrm>
                            <a:off x="12564" y="957441"/>
                            <a:ext cx="213" cy="145"/>
                          </a:xfrm>
                          <a:prstGeom prst="rect">
                            <a:avLst/>
                          </a:pr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2927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 name="矩形 71"/>
                        <wps:cNvSpPr/>
                        <wps:spPr>
                          <a:xfrm>
                            <a:off x="12560" y="957866"/>
                            <a:ext cx="213" cy="14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4E46C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4" name="矩形 164"/>
                        <wps:cNvSpPr/>
                        <wps:spPr>
                          <a:xfrm>
                            <a:off x="12555" y="958228"/>
                            <a:ext cx="213" cy="1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5D0790">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14" name="矩形 314"/>
                        <wps:cNvSpPr/>
                        <wps:spPr>
                          <a:xfrm>
                            <a:off x="12544" y="958641"/>
                            <a:ext cx="213" cy="145"/>
                          </a:xfrm>
                          <a:prstGeom prst="rect">
                            <a:avLst/>
                          </a:prstGeom>
                          <a:solidFill>
                            <a:srgbClr val="F79646">
                              <a:alpha val="62000"/>
                            </a:srgbClr>
                          </a:solid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F7DF2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 name="矩形 9"/>
                        <wps:cNvSpPr/>
                        <wps:spPr>
                          <a:xfrm>
                            <a:off x="12565" y="957068"/>
                            <a:ext cx="213" cy="145"/>
                          </a:xfrm>
                          <a:prstGeom prst="rect">
                            <a:avLst/>
                          </a:prstGeom>
                          <a:solidFill>
                            <a:schemeClr val="accent1"/>
                          </a:solidFill>
                          <a:ln w="19050">
                            <a:solidFill>
                              <a:srgbClr val="4233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C6C03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44.2pt;margin-top:295.8pt;height:85.85pt;width:11.65pt;z-index:251677696;mso-width-relative:page;mso-height-relative:page;" coordorigin="12544,957068" coordsize="233,1717" o:gfxdata="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">
                <o:lock v:ext="edit" aspectratio="f"/>
                <v:rect id="_x0000_s1026" o:spid="_x0000_s1026" o:spt="1" style="position:absolute;left:12564;top:957441;height:145;width:213;v-text-anchor:middle;" filled="f" stroked="t" coordsize="21600,21600" o:gfxdata="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O64O8AAAA&#10;2wAAAA8AAAAAAAAAAQAgAAAAIgAAAGRycy9kb3ducmV2LnhtbFBLAQIUABQAAAAIAIdO4kAzLwWe&#10;OwAAADkAAAAQAAAAAAAAAAEAIAAAAAsBAABkcnMvc2hhcGV4bWwueG1sUEsFBgAAAAAGAAYAWwEA&#10;ALUDAAAAAA==&#10;">
                  <v:fill on="f" focussize="0,0"/>
                  <v:stroke weight="1.5pt" color="#FFC000 [3204]" joinstyle="round"/>
                  <v:imagedata o:title=""/>
                  <o:lock v:ext="edit" aspectratio="f"/>
                  <v:textbox>
                    <w:txbxContent>
                      <w:p w14:paraId="43E29275">
                        <w:pPr>
                          <w:jc w:val="center"/>
                        </w:pPr>
                      </w:p>
                    </w:txbxContent>
                  </v:textbox>
                </v:rect>
                <v:rect id="_x0000_s1026" o:spid="_x0000_s1026" o:spt="1" style="position:absolute;left:12560;top:957866;height:145;width:213;v-text-anchor:middle;" filled="f" stroked="t" coordsize="21600,21600" o:gfxdata="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0kaUugAAANsA&#10;AAAPAAAAAAAAAAEAIAAAACIAAABkcnMvZG93bnJldi54bWxQSwECFAAUAAAACACHTuJAMy8FnjsA&#10;AAA5AAAAEAAAAAAAAAABACAAAAAJAQAAZHJzL3NoYXBleG1sLnhtbFBLBQYAAAAABgAGAFsBAACz&#10;AwAAAAA=&#10;">
                  <v:fill on="f" focussize="0,0"/>
                  <v:stroke weight="1.5pt" color="#00B050 [3204]" joinstyle="round"/>
                  <v:imagedata o:title=""/>
                  <o:lock v:ext="edit" aspectratio="f"/>
                  <v:textbox>
                    <w:txbxContent>
                      <w:p w14:paraId="374E46CC">
                        <w:pPr>
                          <w:jc w:val="center"/>
                        </w:pPr>
                      </w:p>
                    </w:txbxContent>
                  </v:textbox>
                </v:rect>
                <v:rect id="_x0000_s1026" o:spid="_x0000_s1026" o:spt="1" style="position:absolute;left:12555;top:958228;height:145;width:213;v-text-anchor:middle;" filled="f" stroked="t" coordsize="21600,21600" o:gfxdata="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LKlrsAAADc&#10;AAAADwAAAAAAAAABACAAAAAiAAAAZHJzL2Rvd25yZXYueG1sUEsBAhQAFAAAAAgAh07iQDMvBZ47&#10;AAAAOQAAABAAAAAAAAAAAQAgAAAACgEAAGRycy9zaGFwZXhtbC54bWxQSwUGAAAAAAYABgBbAQAA&#10;tAMAAAAA&#10;">
                  <v:fill on="f" focussize="0,0"/>
                  <v:stroke weight="1.5pt" color="#FF0000 [3204]" joinstyle="round"/>
                  <v:imagedata o:title=""/>
                  <o:lock v:ext="edit" aspectratio="f"/>
                  <v:textbox>
                    <w:txbxContent>
                      <w:p w14:paraId="3B5D0790">
                        <w:pPr>
                          <w:jc w:val="center"/>
                        </w:pPr>
                      </w:p>
                    </w:txbxContent>
                  </v:textbox>
                </v:rect>
                <v:rect id="_x0000_s1026" o:spid="_x0000_s1026" o:spt="1" style="position:absolute;left:12544;top:958641;height:145;width:213;v-text-anchor:middle;" fillcolor="#F79646" filled="t" stroked="t" coordsize="21600,21600" o:gfxdata="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20YBvQAA&#10;ANwAAAAPAAAAAAAAAAEAIAAAACIAAABkcnMvZG93bnJldi54bWxQSwECFAAUAAAACACHTuJAMy8F&#10;njsAAAA5AAAAEAAAAAAAAAABACAAAAAMAQAAZHJzL3NoYXBleG1sLnhtbFBLBQYAAAAABgAGAFsB&#10;AAC2AwAAAAA=&#10;">
                  <v:fill on="t" opacity="40632f" focussize="0,0"/>
                  <v:stroke weight="1.5pt" color="#F79646 [3209]" joinstyle="round"/>
                  <v:imagedata o:title=""/>
                  <o:lock v:ext="edit" aspectratio="f"/>
                  <v:textbox>
                    <w:txbxContent>
                      <w:p w14:paraId="5AF7DF27">
                        <w:pPr>
                          <w:jc w:val="center"/>
                        </w:pPr>
                      </w:p>
                    </w:txbxContent>
                  </v:textbox>
                </v:rect>
                <v:rect id="_x0000_s1026" o:spid="_x0000_s1026" o:spt="1" style="position:absolute;left:12565;top:957068;height:145;width:213;v-text-anchor:middle;" fillcolor="#4F81BD [3204]" filled="t" stroked="t" coordsize="21600,21600" o:gfxdata="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qcI68AAAA&#10;2gAAAA8AAAAAAAAAAQAgAAAAIgAAAGRycy9kb3ducmV2LnhtbFBLAQIUABQAAAAIAIdO4kAzLwWe&#10;OwAAADkAAAAQAAAAAAAAAAEAIAAAAAsBAABkcnMvc2hhcGV4bWwueG1sUEsFBgAAAAAGAAYAWwEA&#10;ALUDAAAAAA==&#10;">
                  <v:fill on="t" focussize="0,0"/>
                  <v:stroke weight="1.5pt" color="#4233B5 [3204]" joinstyle="round"/>
                  <v:imagedata o:title=""/>
                  <o:lock v:ext="edit" aspectratio="f"/>
                  <v:textbox>
                    <w:txbxContent>
                      <w:p w14:paraId="07C6C039">
                        <w:pPr>
                          <w:jc w:val="center"/>
                        </w:pPr>
                      </w:p>
                    </w:txbxContent>
                  </v:textbox>
                </v:rect>
              </v:group>
            </w:pict>
          </mc:Fallback>
        </mc:AlternateContent>
      </w:r>
      <w:r>
        <w:rPr>
          <w:rFonts w:cs="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6847840</wp:posOffset>
                </wp:positionH>
                <wp:positionV relativeFrom="paragraph">
                  <wp:posOffset>3360420</wp:posOffset>
                </wp:positionV>
                <wp:extent cx="1520190" cy="1854835"/>
                <wp:effectExtent l="4445" t="4445" r="18415" b="7620"/>
                <wp:wrapNone/>
                <wp:docPr id="68" name="文本框 68"/>
                <wp:cNvGraphicFramePr/>
                <a:graphic xmlns:a="http://schemas.openxmlformats.org/drawingml/2006/main">
                  <a:graphicData uri="http://schemas.microsoft.com/office/word/2010/wordprocessingShape">
                    <wps:wsp>
                      <wps:cNvSpPr txBox="1"/>
                      <wps:spPr>
                        <a:xfrm>
                          <a:off x="7505700" y="4840605"/>
                          <a:ext cx="1520190" cy="18548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AA8D90B">
                            <w:pPr>
                              <w:spacing w:line="400" w:lineRule="exact"/>
                              <w:ind w:firstLine="0" w:firstLineChars="0"/>
                              <w:jc w:val="center"/>
                              <w:rPr>
                                <w:b/>
                                <w:bCs/>
                                <w:szCs w:val="24"/>
                              </w:rPr>
                            </w:pPr>
                            <w:r>
                              <w:rPr>
                                <w:rFonts w:hint="eastAsia"/>
                                <w:b/>
                                <w:bCs/>
                                <w:szCs w:val="24"/>
                              </w:rPr>
                              <w:t>图  例</w:t>
                            </w:r>
                          </w:p>
                          <w:p w14:paraId="2FD29215">
                            <w:pPr>
                              <w:pStyle w:val="82"/>
                              <w:spacing w:line="400" w:lineRule="exact"/>
                              <w:ind w:left="0" w:leftChars="0" w:firstLine="240" w:firstLineChars="100"/>
                              <w:rPr>
                                <w:sz w:val="24"/>
                                <w:szCs w:val="24"/>
                              </w:rPr>
                            </w:pPr>
                            <w:r>
                              <w:rPr>
                                <w:rFonts w:hint="eastAsia"/>
                                <w:sz w:val="24"/>
                                <w:szCs w:val="24"/>
                              </w:rPr>
                              <w:t>项目所在地</w:t>
                            </w:r>
                          </w:p>
                          <w:p w14:paraId="3BF61EA1">
                            <w:pPr>
                              <w:pStyle w:val="82"/>
                              <w:spacing w:line="400" w:lineRule="exact"/>
                              <w:ind w:left="0" w:leftChars="0" w:firstLine="240" w:firstLineChars="100"/>
                              <w:rPr>
                                <w:sz w:val="24"/>
                                <w:szCs w:val="24"/>
                              </w:rPr>
                            </w:pPr>
                            <w:r>
                              <w:rPr>
                                <w:rFonts w:hint="eastAsia"/>
                                <w:sz w:val="24"/>
                                <w:szCs w:val="24"/>
                              </w:rPr>
                              <w:t>大气评价范围</w:t>
                            </w:r>
                          </w:p>
                          <w:p w14:paraId="3CFAE188">
                            <w:pPr>
                              <w:pStyle w:val="82"/>
                              <w:spacing w:line="400" w:lineRule="exact"/>
                              <w:ind w:left="0" w:leftChars="0" w:firstLine="240" w:firstLineChars="100"/>
                              <w:rPr>
                                <w:sz w:val="24"/>
                                <w:szCs w:val="24"/>
                              </w:rPr>
                            </w:pPr>
                            <w:r>
                              <w:rPr>
                                <w:rFonts w:hint="eastAsia"/>
                                <w:sz w:val="24"/>
                                <w:szCs w:val="24"/>
                              </w:rPr>
                              <w:t>地下水评价范围</w:t>
                            </w:r>
                          </w:p>
                          <w:p w14:paraId="290714DF">
                            <w:pPr>
                              <w:pStyle w:val="82"/>
                              <w:spacing w:line="400" w:lineRule="exact"/>
                              <w:ind w:firstLine="240" w:firstLineChars="100"/>
                              <w:rPr>
                                <w:sz w:val="24"/>
                                <w:szCs w:val="24"/>
                              </w:rPr>
                            </w:pPr>
                            <w:r>
                              <w:rPr>
                                <w:rFonts w:hint="eastAsia"/>
                                <w:sz w:val="24"/>
                                <w:szCs w:val="24"/>
                              </w:rPr>
                              <w:t>声评价范围</w:t>
                            </w:r>
                          </w:p>
                          <w:p w14:paraId="6B4AA20E">
                            <w:pPr>
                              <w:pStyle w:val="82"/>
                              <w:spacing w:line="400" w:lineRule="exact"/>
                              <w:ind w:firstLine="240" w:firstLineChars="100"/>
                              <w:rPr>
                                <w:rFonts w:hint="eastAsia" w:ascii="宋体" w:hAnsi="宋体" w:eastAsia="宋体"/>
                                <w:sz w:val="24"/>
                                <w:szCs w:val="24"/>
                              </w:rPr>
                            </w:pPr>
                            <w:r>
                              <w:rPr>
                                <w:rFonts w:hint="eastAsia"/>
                                <w:sz w:val="24"/>
                                <w:szCs w:val="24"/>
                              </w:rPr>
                              <w:t>环境保护</w:t>
                            </w:r>
                            <w:r>
                              <w:rPr>
                                <w:rFonts w:hint="eastAsia" w:ascii="宋体" w:hAnsi="宋体" w:eastAsia="宋体"/>
                                <w:sz w:val="24"/>
                                <w:szCs w:val="24"/>
                              </w:rPr>
                              <w:t>目标</w:t>
                            </w:r>
                          </w:p>
                          <w:p w14:paraId="62D07D99">
                            <w:pPr>
                              <w:pStyle w:val="82"/>
                              <w:spacing w:line="400" w:lineRule="exact"/>
                              <w:ind w:firstLine="240" w:firstLineChars="100"/>
                              <w:rPr>
                                <w:rFonts w:hint="default" w:ascii="宋体" w:hAnsi="宋体" w:eastAsia="宋体"/>
                                <w:sz w:val="24"/>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9.2pt;margin-top:264.6pt;height:146.05pt;width:119.7pt;z-index:251662336;mso-width-relative:page;mso-height-relative:page;" fillcolor="#FFFFFF [3201]" filled="t" stroked="t" coordsize="21600,21600" o:gfxdata="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1P49J2AAAAA0BAAAPAAAAAAAAAAEAIAAAACIAAABkcnMvZG93bnJldi54bWxQSwEC&#10;FAAUAAAACACHTuJA0qkIWGYCAADGBAAADgAAAAAAAAABACAAAAAnAQAAZHJzL2Uyb0RvYy54bWxQ&#10;SwUGAAAAAAYABgBZAQAA/wUAAAAA&#10;">
                <v:fill on="t" focussize="0,0"/>
                <v:stroke weight="0.5pt" color="#000000 [3204]" joinstyle="round"/>
                <v:imagedata o:title=""/>
                <o:lock v:ext="edit" aspectratio="f"/>
                <v:textbox>
                  <w:txbxContent>
                    <w:p w14:paraId="5AA8D90B">
                      <w:pPr>
                        <w:spacing w:line="400" w:lineRule="exact"/>
                        <w:ind w:firstLine="0" w:firstLineChars="0"/>
                        <w:jc w:val="center"/>
                        <w:rPr>
                          <w:b/>
                          <w:bCs/>
                          <w:szCs w:val="24"/>
                        </w:rPr>
                      </w:pPr>
                      <w:r>
                        <w:rPr>
                          <w:rFonts w:hint="eastAsia"/>
                          <w:b/>
                          <w:bCs/>
                          <w:szCs w:val="24"/>
                        </w:rPr>
                        <w:t>图  例</w:t>
                      </w:r>
                    </w:p>
                    <w:p w14:paraId="2FD29215">
                      <w:pPr>
                        <w:pStyle w:val="82"/>
                        <w:spacing w:line="400" w:lineRule="exact"/>
                        <w:ind w:left="0" w:leftChars="0" w:firstLine="240" w:firstLineChars="100"/>
                        <w:rPr>
                          <w:sz w:val="24"/>
                          <w:szCs w:val="24"/>
                        </w:rPr>
                      </w:pPr>
                      <w:r>
                        <w:rPr>
                          <w:rFonts w:hint="eastAsia"/>
                          <w:sz w:val="24"/>
                          <w:szCs w:val="24"/>
                        </w:rPr>
                        <w:t>项目所在地</w:t>
                      </w:r>
                    </w:p>
                    <w:p w14:paraId="3BF61EA1">
                      <w:pPr>
                        <w:pStyle w:val="82"/>
                        <w:spacing w:line="400" w:lineRule="exact"/>
                        <w:ind w:left="0" w:leftChars="0" w:firstLine="240" w:firstLineChars="100"/>
                        <w:rPr>
                          <w:sz w:val="24"/>
                          <w:szCs w:val="24"/>
                        </w:rPr>
                      </w:pPr>
                      <w:r>
                        <w:rPr>
                          <w:rFonts w:hint="eastAsia"/>
                          <w:sz w:val="24"/>
                          <w:szCs w:val="24"/>
                        </w:rPr>
                        <w:t>大气评价范围</w:t>
                      </w:r>
                    </w:p>
                    <w:p w14:paraId="3CFAE188">
                      <w:pPr>
                        <w:pStyle w:val="82"/>
                        <w:spacing w:line="400" w:lineRule="exact"/>
                        <w:ind w:left="0" w:leftChars="0" w:firstLine="240" w:firstLineChars="100"/>
                        <w:rPr>
                          <w:sz w:val="24"/>
                          <w:szCs w:val="24"/>
                        </w:rPr>
                      </w:pPr>
                      <w:r>
                        <w:rPr>
                          <w:rFonts w:hint="eastAsia"/>
                          <w:sz w:val="24"/>
                          <w:szCs w:val="24"/>
                        </w:rPr>
                        <w:t>地下水评价范围</w:t>
                      </w:r>
                    </w:p>
                    <w:p w14:paraId="290714DF">
                      <w:pPr>
                        <w:pStyle w:val="82"/>
                        <w:spacing w:line="400" w:lineRule="exact"/>
                        <w:ind w:firstLine="240" w:firstLineChars="100"/>
                        <w:rPr>
                          <w:sz w:val="24"/>
                          <w:szCs w:val="24"/>
                        </w:rPr>
                      </w:pPr>
                      <w:r>
                        <w:rPr>
                          <w:rFonts w:hint="eastAsia"/>
                          <w:sz w:val="24"/>
                          <w:szCs w:val="24"/>
                        </w:rPr>
                        <w:t>声评价范围</w:t>
                      </w:r>
                    </w:p>
                    <w:p w14:paraId="6B4AA20E">
                      <w:pPr>
                        <w:pStyle w:val="82"/>
                        <w:spacing w:line="400" w:lineRule="exact"/>
                        <w:ind w:firstLine="240" w:firstLineChars="100"/>
                        <w:rPr>
                          <w:rFonts w:hint="eastAsia" w:ascii="宋体" w:hAnsi="宋体" w:eastAsia="宋体"/>
                          <w:sz w:val="24"/>
                          <w:szCs w:val="24"/>
                        </w:rPr>
                      </w:pPr>
                      <w:r>
                        <w:rPr>
                          <w:rFonts w:hint="eastAsia"/>
                          <w:sz w:val="24"/>
                          <w:szCs w:val="24"/>
                        </w:rPr>
                        <w:t>环境保护</w:t>
                      </w:r>
                      <w:r>
                        <w:rPr>
                          <w:rFonts w:hint="eastAsia" w:ascii="宋体" w:hAnsi="宋体" w:eastAsia="宋体"/>
                          <w:sz w:val="24"/>
                          <w:szCs w:val="24"/>
                        </w:rPr>
                        <w:t>目标</w:t>
                      </w:r>
                    </w:p>
                    <w:p w14:paraId="62D07D99">
                      <w:pPr>
                        <w:pStyle w:val="82"/>
                        <w:spacing w:line="400" w:lineRule="exact"/>
                        <w:ind w:firstLine="240" w:firstLineChars="100"/>
                        <w:rPr>
                          <w:rFonts w:hint="default" w:ascii="宋体" w:hAnsi="宋体" w:eastAsia="宋体"/>
                          <w:sz w:val="24"/>
                          <w:szCs w:val="24"/>
                          <w:lang w:val="en-US" w:eastAsia="zh-CN"/>
                        </w:rPr>
                      </w:pPr>
                    </w:p>
                  </w:txbxContent>
                </v:textbox>
              </v:shape>
            </w:pict>
          </mc:Fallback>
        </mc:AlternateContent>
      </w:r>
      <w:r>
        <w:rPr>
          <w:rFonts w:cs="Times New Roman"/>
          <w:color w:val="auto"/>
          <w:highlight w:val="none"/>
        </w:rPr>
        <w:drawing>
          <wp:anchor distT="0" distB="0" distL="114300" distR="114300" simplePos="0" relativeHeight="251676672" behindDoc="0" locked="0" layoutInCell="1" allowOverlap="1">
            <wp:simplePos x="0" y="0"/>
            <wp:positionH relativeFrom="column">
              <wp:posOffset>7510780</wp:posOffset>
            </wp:positionH>
            <wp:positionV relativeFrom="paragraph">
              <wp:posOffset>-6985</wp:posOffset>
            </wp:positionV>
            <wp:extent cx="862965" cy="873125"/>
            <wp:effectExtent l="0" t="0" r="13335" b="3175"/>
            <wp:wrapNone/>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22"/>
                    <a:stretch>
                      <a:fillRect/>
                    </a:stretch>
                  </pic:blipFill>
                  <pic:spPr>
                    <a:xfrm>
                      <a:off x="0" y="0"/>
                      <a:ext cx="862965" cy="873125"/>
                    </a:xfrm>
                    <a:prstGeom prst="rect">
                      <a:avLst/>
                    </a:prstGeom>
                    <a:noFill/>
                    <a:ln>
                      <a:noFill/>
                    </a:ln>
                  </pic:spPr>
                </pic:pic>
              </a:graphicData>
            </a:graphic>
          </wp:anchor>
        </w:drawing>
      </w:r>
      <w:r>
        <w:rPr>
          <w:color w:val="auto"/>
          <w:highlight w:val="none"/>
        </w:rPr>
        <w:drawing>
          <wp:inline distT="0" distB="0" distL="114300" distR="114300">
            <wp:extent cx="8399145" cy="5462905"/>
            <wp:effectExtent l="0" t="0" r="1905" b="444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23"/>
                    <a:stretch>
                      <a:fillRect/>
                    </a:stretch>
                  </pic:blipFill>
                  <pic:spPr>
                    <a:xfrm>
                      <a:off x="0" y="0"/>
                      <a:ext cx="8399145" cy="5462905"/>
                    </a:xfrm>
                    <a:prstGeom prst="rect">
                      <a:avLst/>
                    </a:prstGeom>
                    <a:noFill/>
                    <a:ln>
                      <a:noFill/>
                    </a:ln>
                  </pic:spPr>
                </pic:pic>
              </a:graphicData>
            </a:graphic>
          </wp:inline>
        </w:drawing>
      </w:r>
    </w:p>
    <w:p w14:paraId="44BF3A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auto"/>
          <w:szCs w:val="24"/>
          <w:highlight w:val="none"/>
        </w:rPr>
      </w:pPr>
      <w:r>
        <w:rPr>
          <w:rFonts w:cs="Times New Roman"/>
          <w:b/>
          <w:bCs/>
          <w:snapToGrid w:val="0"/>
          <w:color w:val="auto"/>
          <w:kern w:val="0"/>
          <w:szCs w:val="24"/>
          <w:highlight w:val="none"/>
        </w:rPr>
        <w:t>图2.5-1  评价范围及环境保护目标图</w:t>
      </w:r>
    </w:p>
    <w:p w14:paraId="1542DEB9">
      <w:pPr>
        <w:adjustRightInd/>
        <w:snapToGrid/>
        <w:spacing w:line="500" w:lineRule="exact"/>
        <w:ind w:firstLine="0" w:firstLineChars="0"/>
        <w:rPr>
          <w:rFonts w:cs="Times New Roman"/>
          <w:snapToGrid w:val="0"/>
          <w:color w:val="auto"/>
          <w:kern w:val="0"/>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9DAF661">
      <w:pPr>
        <w:pStyle w:val="2"/>
        <w:rPr>
          <w:rFonts w:cs="Times New Roman"/>
          <w:color w:val="auto"/>
          <w:highlight w:val="none"/>
        </w:rPr>
      </w:pPr>
      <w:bookmarkStart w:id="89" w:name="_Toc8733"/>
      <w:bookmarkStart w:id="90" w:name="_Toc480447660"/>
      <w:r>
        <w:rPr>
          <w:rFonts w:cs="Times New Roman"/>
          <w:color w:val="auto"/>
          <w:highlight w:val="none"/>
        </w:rPr>
        <w:t>3工程分析</w:t>
      </w:r>
      <w:bookmarkEnd w:id="89"/>
      <w:bookmarkEnd w:id="90"/>
    </w:p>
    <w:p w14:paraId="52FD418D">
      <w:pPr>
        <w:pStyle w:val="3"/>
        <w:spacing w:before="156" w:after="156"/>
        <w:rPr>
          <w:rFonts w:cs="Times New Roman"/>
          <w:color w:val="auto"/>
          <w:highlight w:val="none"/>
        </w:rPr>
      </w:pPr>
      <w:bookmarkStart w:id="91" w:name="_Toc480447661"/>
      <w:bookmarkStart w:id="92" w:name="_Toc118086777"/>
      <w:bookmarkStart w:id="93" w:name="_Toc2640"/>
      <w:bookmarkStart w:id="94" w:name="_Toc182022278"/>
      <w:bookmarkStart w:id="95" w:name="_Toc456590361"/>
      <w:bookmarkStart w:id="96" w:name="_Toc113078918"/>
      <w:bookmarkStart w:id="97" w:name="_Toc112420348"/>
      <w:r>
        <w:rPr>
          <w:rFonts w:cs="Times New Roman"/>
          <w:color w:val="auto"/>
          <w:highlight w:val="none"/>
        </w:rPr>
        <w:t>3.1项目概况</w:t>
      </w:r>
      <w:bookmarkEnd w:id="91"/>
      <w:bookmarkEnd w:id="92"/>
      <w:bookmarkEnd w:id="93"/>
      <w:bookmarkEnd w:id="94"/>
      <w:bookmarkEnd w:id="95"/>
      <w:bookmarkEnd w:id="96"/>
      <w:bookmarkEnd w:id="97"/>
    </w:p>
    <w:p w14:paraId="2C6DC8C1">
      <w:pPr>
        <w:pStyle w:val="4"/>
        <w:spacing w:after="156"/>
        <w:rPr>
          <w:rFonts w:cs="Times New Roman"/>
          <w:color w:val="auto"/>
          <w:highlight w:val="none"/>
        </w:rPr>
      </w:pPr>
      <w:bookmarkStart w:id="98" w:name="_Toc113078920"/>
      <w:bookmarkStart w:id="99" w:name="_Toc182022280"/>
      <w:bookmarkStart w:id="100" w:name="_Toc118086779"/>
      <w:bookmarkStart w:id="101" w:name="_Toc112420350"/>
      <w:bookmarkStart w:id="102" w:name="_Toc5197"/>
      <w:r>
        <w:rPr>
          <w:rFonts w:cs="Times New Roman"/>
          <w:color w:val="auto"/>
          <w:highlight w:val="none"/>
        </w:rPr>
        <w:t>3.1.1</w:t>
      </w:r>
      <w:bookmarkEnd w:id="98"/>
      <w:bookmarkEnd w:id="99"/>
      <w:bookmarkEnd w:id="100"/>
      <w:bookmarkEnd w:id="101"/>
      <w:r>
        <w:rPr>
          <w:rFonts w:cs="Times New Roman"/>
          <w:color w:val="auto"/>
          <w:highlight w:val="none"/>
        </w:rPr>
        <w:t>项目名称及基本组成</w:t>
      </w:r>
      <w:bookmarkEnd w:id="102"/>
    </w:p>
    <w:p w14:paraId="28F93E11">
      <w:pPr>
        <w:rPr>
          <w:rFonts w:hint="eastAsia" w:eastAsia="宋体" w:cs="Times New Roman"/>
          <w:snapToGrid w:val="0"/>
          <w:color w:val="auto"/>
          <w:kern w:val="0"/>
          <w:highlight w:val="none"/>
          <w:lang w:eastAsia="zh-CN"/>
        </w:rPr>
      </w:pPr>
      <w:r>
        <w:rPr>
          <w:rFonts w:cs="Times New Roman"/>
          <w:snapToGrid w:val="0"/>
          <w:color w:val="auto"/>
          <w:kern w:val="0"/>
          <w:highlight w:val="none"/>
        </w:rPr>
        <w:t>项目名称：</w:t>
      </w:r>
      <w:r>
        <w:rPr>
          <w:rFonts w:hint="eastAsia" w:cs="Times New Roman"/>
          <w:color w:val="auto"/>
          <w:szCs w:val="24"/>
          <w:highlight w:val="none"/>
          <w:lang w:eastAsia="zh-CN"/>
        </w:rPr>
        <w:t>双鸭山市兴昌屠宰有限公司建设项目</w:t>
      </w:r>
    </w:p>
    <w:p w14:paraId="5ABFA9C9">
      <w:pPr>
        <w:rPr>
          <w:rFonts w:hint="eastAsia" w:eastAsia="宋体" w:cs="Times New Roman"/>
          <w:snapToGrid w:val="0"/>
          <w:color w:val="auto"/>
          <w:kern w:val="0"/>
          <w:highlight w:val="none"/>
          <w:lang w:eastAsia="zh-CN"/>
        </w:rPr>
      </w:pPr>
      <w:r>
        <w:rPr>
          <w:rFonts w:cs="Times New Roman"/>
          <w:snapToGrid w:val="0"/>
          <w:color w:val="auto"/>
          <w:kern w:val="0"/>
          <w:highlight w:val="none"/>
        </w:rPr>
        <w:t>建设单位：</w:t>
      </w:r>
      <w:r>
        <w:rPr>
          <w:rFonts w:hint="eastAsia" w:cs="Times New Roman"/>
          <w:color w:val="auto"/>
          <w:szCs w:val="24"/>
          <w:highlight w:val="none"/>
          <w:lang w:eastAsia="zh-CN"/>
        </w:rPr>
        <w:t>双鸭山市兴昌屠宰有限公司</w:t>
      </w:r>
    </w:p>
    <w:p w14:paraId="00812423">
      <w:pPr>
        <w:rPr>
          <w:rFonts w:cs="Times New Roman"/>
          <w:snapToGrid w:val="0"/>
          <w:color w:val="auto"/>
          <w:kern w:val="0"/>
          <w:highlight w:val="none"/>
        </w:rPr>
      </w:pPr>
      <w:r>
        <w:rPr>
          <w:rFonts w:cs="Times New Roman"/>
          <w:snapToGrid w:val="0"/>
          <w:color w:val="auto"/>
          <w:kern w:val="0"/>
          <w:highlight w:val="none"/>
        </w:rPr>
        <w:t>建设地点：</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cs="Times New Roman"/>
          <w:color w:val="auto"/>
          <w:szCs w:val="24"/>
          <w:highlight w:val="none"/>
        </w:rPr>
        <w:t>，中心地理坐标经度为</w:t>
      </w:r>
      <w:r>
        <w:rPr>
          <w:rFonts w:hint="eastAsia" w:cs="Times New Roman"/>
          <w:color w:val="auto"/>
          <w:highlight w:val="none"/>
          <w:lang w:val="en-US" w:eastAsia="zh-CN"/>
        </w:rPr>
        <w:t>131.149639°</w:t>
      </w:r>
      <w:r>
        <w:rPr>
          <w:rFonts w:cs="Times New Roman"/>
          <w:color w:val="auto"/>
          <w:szCs w:val="24"/>
          <w:highlight w:val="none"/>
        </w:rPr>
        <w:t>，纬度为</w:t>
      </w:r>
      <w:r>
        <w:rPr>
          <w:rFonts w:hint="eastAsia" w:cs="Times New Roman"/>
          <w:color w:val="auto"/>
          <w:highlight w:val="none"/>
        </w:rPr>
        <w:t>46.557116</w:t>
      </w:r>
      <w:r>
        <w:rPr>
          <w:rFonts w:hint="eastAsia" w:cs="Times New Roman"/>
          <w:color w:val="auto"/>
          <w:highlight w:val="none"/>
          <w:lang w:val="en-US" w:eastAsia="zh-CN"/>
        </w:rPr>
        <w:t>°</w:t>
      </w:r>
      <w:r>
        <w:rPr>
          <w:rFonts w:cs="Times New Roman"/>
          <w:color w:val="auto"/>
          <w:szCs w:val="24"/>
          <w:highlight w:val="none"/>
        </w:rPr>
        <w:t>。地理位置图详见附图1。</w:t>
      </w:r>
    </w:p>
    <w:p w14:paraId="3960EDB2">
      <w:pPr>
        <w:rPr>
          <w:rFonts w:cs="Times New Roman"/>
          <w:snapToGrid w:val="0"/>
          <w:color w:val="auto"/>
          <w:kern w:val="0"/>
          <w:highlight w:val="none"/>
        </w:rPr>
      </w:pPr>
      <w:r>
        <w:rPr>
          <w:rFonts w:cs="Times New Roman"/>
          <w:snapToGrid w:val="0"/>
          <w:color w:val="auto"/>
          <w:kern w:val="0"/>
          <w:highlight w:val="none"/>
        </w:rPr>
        <w:t>建设性质：新建</w:t>
      </w:r>
    </w:p>
    <w:p w14:paraId="289EFABF">
      <w:pPr>
        <w:rPr>
          <w:rFonts w:cs="Times New Roman"/>
          <w:snapToGrid w:val="0"/>
          <w:color w:val="auto"/>
          <w:kern w:val="0"/>
          <w:highlight w:val="none"/>
        </w:rPr>
      </w:pPr>
      <w:r>
        <w:rPr>
          <w:rFonts w:cs="Times New Roman"/>
          <w:snapToGrid w:val="0"/>
          <w:color w:val="auto"/>
          <w:kern w:val="0"/>
          <w:highlight w:val="none"/>
        </w:rPr>
        <w:t>建设规模：肉牛</w:t>
      </w:r>
      <w:r>
        <w:rPr>
          <w:rFonts w:hint="eastAsia" w:cs="Times New Roman"/>
          <w:snapToGrid w:val="0"/>
          <w:color w:val="auto"/>
          <w:kern w:val="0"/>
          <w:highlight w:val="none"/>
          <w:lang w:val="en-US" w:eastAsia="zh-CN"/>
        </w:rPr>
        <w:t>1</w:t>
      </w:r>
      <w:r>
        <w:rPr>
          <w:rFonts w:cs="Times New Roman"/>
          <w:snapToGrid w:val="0"/>
          <w:color w:val="auto"/>
          <w:kern w:val="0"/>
          <w:highlight w:val="none"/>
        </w:rPr>
        <w:t>0</w:t>
      </w:r>
      <w:r>
        <w:rPr>
          <w:rFonts w:hint="eastAsia" w:cs="Times New Roman"/>
          <w:snapToGrid w:val="0"/>
          <w:color w:val="auto"/>
          <w:kern w:val="0"/>
          <w:highlight w:val="none"/>
          <w:lang w:val="en-US" w:eastAsia="zh-CN"/>
        </w:rPr>
        <w:t>0</w:t>
      </w:r>
      <w:r>
        <w:rPr>
          <w:rFonts w:cs="Times New Roman"/>
          <w:snapToGrid w:val="0"/>
          <w:color w:val="auto"/>
          <w:kern w:val="0"/>
          <w:highlight w:val="none"/>
        </w:rPr>
        <w:t>头/d，肉羊</w:t>
      </w:r>
      <w:r>
        <w:rPr>
          <w:rFonts w:hint="eastAsia" w:cs="Times New Roman"/>
          <w:snapToGrid w:val="0"/>
          <w:color w:val="auto"/>
          <w:kern w:val="0"/>
          <w:highlight w:val="none"/>
          <w:lang w:val="en-US" w:eastAsia="zh-CN"/>
        </w:rPr>
        <w:t>500</w:t>
      </w:r>
      <w:r>
        <w:rPr>
          <w:rFonts w:cs="Times New Roman"/>
          <w:snapToGrid w:val="0"/>
          <w:color w:val="auto"/>
          <w:kern w:val="0"/>
          <w:highlight w:val="none"/>
        </w:rPr>
        <w:t>只/d</w:t>
      </w:r>
    </w:p>
    <w:p w14:paraId="6437236A">
      <w:pPr>
        <w:rPr>
          <w:rFonts w:cs="Times New Roman"/>
          <w:snapToGrid w:val="0"/>
          <w:color w:val="auto"/>
          <w:kern w:val="0"/>
          <w:highlight w:val="none"/>
        </w:rPr>
      </w:pPr>
      <w:r>
        <w:rPr>
          <w:rFonts w:cs="Times New Roman"/>
          <w:snapToGrid w:val="0"/>
          <w:color w:val="auto"/>
          <w:kern w:val="0"/>
          <w:highlight w:val="none"/>
        </w:rPr>
        <w:t>总占地面积：</w:t>
      </w:r>
      <w:r>
        <w:rPr>
          <w:rFonts w:hint="eastAsia" w:ascii="Times New Roman" w:hAnsi="Times New Roman" w:cs="Times New Roman"/>
          <w:snapToGrid w:val="0"/>
          <w:color w:val="auto"/>
          <w:kern w:val="0"/>
          <w:szCs w:val="24"/>
          <w:highlight w:val="none"/>
          <w:lang w:val="en-US" w:eastAsia="zh-CN"/>
        </w:rPr>
        <w:t>36031</w:t>
      </w:r>
      <w:r>
        <w:rPr>
          <w:rFonts w:cs="Times New Roman"/>
          <w:snapToGrid w:val="0"/>
          <w:color w:val="auto"/>
          <w:kern w:val="0"/>
          <w:highlight w:val="none"/>
        </w:rPr>
        <w:t>m</w:t>
      </w:r>
      <w:r>
        <w:rPr>
          <w:rFonts w:cs="Times New Roman"/>
          <w:snapToGrid w:val="0"/>
          <w:color w:val="auto"/>
          <w:kern w:val="0"/>
          <w:highlight w:val="none"/>
          <w:vertAlign w:val="superscript"/>
        </w:rPr>
        <w:t>2</w:t>
      </w:r>
    </w:p>
    <w:p w14:paraId="38597A3D">
      <w:pPr>
        <w:rPr>
          <w:rFonts w:cs="Times New Roman"/>
          <w:snapToGrid w:val="0"/>
          <w:color w:val="auto"/>
          <w:kern w:val="0"/>
          <w:highlight w:val="none"/>
        </w:rPr>
      </w:pPr>
      <w:r>
        <w:rPr>
          <w:rFonts w:cs="Times New Roman"/>
          <w:snapToGrid w:val="0"/>
          <w:color w:val="auto"/>
          <w:kern w:val="0"/>
          <w:highlight w:val="none"/>
        </w:rPr>
        <w:t>工程投资：</w:t>
      </w:r>
      <w:r>
        <w:rPr>
          <w:rFonts w:hint="eastAsia" w:cs="Times New Roman"/>
          <w:snapToGrid w:val="0"/>
          <w:color w:val="auto"/>
          <w:kern w:val="0"/>
          <w:highlight w:val="none"/>
          <w:lang w:val="en-US" w:eastAsia="zh-CN"/>
        </w:rPr>
        <w:t>2600</w:t>
      </w:r>
      <w:r>
        <w:rPr>
          <w:rFonts w:cs="Times New Roman"/>
          <w:snapToGrid w:val="0"/>
          <w:color w:val="auto"/>
          <w:kern w:val="0"/>
          <w:highlight w:val="none"/>
        </w:rPr>
        <w:t>万元</w:t>
      </w:r>
    </w:p>
    <w:p w14:paraId="5CDD6B9F">
      <w:pPr>
        <w:rPr>
          <w:rFonts w:cs="Times New Roman"/>
          <w:snapToGrid w:val="0"/>
          <w:color w:val="auto"/>
          <w:kern w:val="0"/>
          <w:highlight w:val="none"/>
        </w:rPr>
      </w:pPr>
      <w:r>
        <w:rPr>
          <w:rFonts w:cs="Times New Roman"/>
          <w:snapToGrid w:val="0"/>
          <w:color w:val="auto"/>
          <w:kern w:val="0"/>
          <w:highlight w:val="none"/>
        </w:rPr>
        <w:t>劳动定员及工作制度：</w:t>
      </w:r>
      <w:r>
        <w:rPr>
          <w:rFonts w:hint="eastAsia" w:cs="Times New Roman"/>
          <w:snapToGrid w:val="0"/>
          <w:color w:val="auto"/>
          <w:kern w:val="0"/>
          <w:highlight w:val="none"/>
          <w:lang w:val="en-US" w:eastAsia="zh-CN"/>
        </w:rPr>
        <w:t>30</w:t>
      </w:r>
      <w:r>
        <w:rPr>
          <w:rFonts w:cs="Times New Roman"/>
          <w:snapToGrid w:val="0"/>
          <w:color w:val="auto"/>
          <w:kern w:val="0"/>
          <w:highlight w:val="none"/>
        </w:rPr>
        <w:t>人，全年工作天数为3</w:t>
      </w:r>
      <w:r>
        <w:rPr>
          <w:rFonts w:hint="eastAsia" w:cs="Times New Roman"/>
          <w:snapToGrid w:val="0"/>
          <w:color w:val="auto"/>
          <w:kern w:val="0"/>
          <w:highlight w:val="none"/>
          <w:lang w:val="en-US" w:eastAsia="zh-CN"/>
        </w:rPr>
        <w:t>0</w:t>
      </w:r>
      <w:r>
        <w:rPr>
          <w:rFonts w:cs="Times New Roman"/>
          <w:snapToGrid w:val="0"/>
          <w:color w:val="auto"/>
          <w:kern w:val="0"/>
          <w:highlight w:val="none"/>
        </w:rPr>
        <w:t>0天，实行</w:t>
      </w:r>
      <w:r>
        <w:rPr>
          <w:rFonts w:hint="eastAsia" w:cs="Times New Roman"/>
          <w:snapToGrid w:val="0"/>
          <w:color w:val="auto"/>
          <w:kern w:val="0"/>
          <w:highlight w:val="none"/>
          <w:lang w:val="en-US" w:eastAsia="zh-CN"/>
        </w:rPr>
        <w:t>1</w:t>
      </w:r>
      <w:r>
        <w:rPr>
          <w:rFonts w:cs="Times New Roman"/>
          <w:snapToGrid w:val="0"/>
          <w:color w:val="auto"/>
          <w:kern w:val="0"/>
          <w:highlight w:val="none"/>
        </w:rPr>
        <w:t>班制，</w:t>
      </w:r>
      <w:r>
        <w:rPr>
          <w:rFonts w:hint="eastAsia" w:cs="Times New Roman"/>
          <w:snapToGrid w:val="0"/>
          <w:color w:val="auto"/>
          <w:kern w:val="0"/>
          <w:highlight w:val="none"/>
          <w:lang w:val="en-US" w:eastAsia="zh-CN"/>
        </w:rPr>
        <w:t xml:space="preserve"> 日工作</w:t>
      </w:r>
      <w:r>
        <w:rPr>
          <w:rFonts w:cs="Times New Roman"/>
          <w:snapToGrid w:val="0"/>
          <w:color w:val="auto"/>
          <w:kern w:val="0"/>
          <w:highlight w:val="none"/>
        </w:rPr>
        <w:t>8小时。</w:t>
      </w:r>
    </w:p>
    <w:p w14:paraId="0D893872">
      <w:pPr>
        <w:rPr>
          <w:rFonts w:cs="Times New Roman"/>
          <w:snapToGrid w:val="0"/>
          <w:color w:val="auto"/>
          <w:kern w:val="0"/>
          <w:highlight w:val="none"/>
        </w:rPr>
      </w:pPr>
      <w:r>
        <w:rPr>
          <w:rFonts w:cs="Times New Roman"/>
          <w:snapToGrid w:val="0"/>
          <w:color w:val="auto"/>
          <w:kern w:val="0"/>
          <w:highlight w:val="none"/>
        </w:rPr>
        <w:t>预计投产日期：202</w:t>
      </w:r>
      <w:r>
        <w:rPr>
          <w:rFonts w:hint="eastAsia" w:cs="Times New Roman"/>
          <w:snapToGrid w:val="0"/>
          <w:color w:val="auto"/>
          <w:kern w:val="0"/>
          <w:highlight w:val="none"/>
          <w:lang w:val="en-US" w:eastAsia="zh-CN"/>
        </w:rPr>
        <w:t>5</w:t>
      </w:r>
      <w:r>
        <w:rPr>
          <w:rFonts w:cs="Times New Roman"/>
          <w:snapToGrid w:val="0"/>
          <w:color w:val="auto"/>
          <w:kern w:val="0"/>
          <w:highlight w:val="none"/>
        </w:rPr>
        <w:t>年</w:t>
      </w:r>
      <w:r>
        <w:rPr>
          <w:rFonts w:hint="eastAsia" w:cs="Times New Roman"/>
          <w:snapToGrid w:val="0"/>
          <w:color w:val="auto"/>
          <w:kern w:val="0"/>
          <w:highlight w:val="none"/>
          <w:lang w:val="en-US" w:eastAsia="zh-CN"/>
        </w:rPr>
        <w:t>12</w:t>
      </w:r>
      <w:r>
        <w:rPr>
          <w:rFonts w:cs="Times New Roman"/>
          <w:snapToGrid w:val="0"/>
          <w:color w:val="auto"/>
          <w:kern w:val="0"/>
          <w:highlight w:val="none"/>
        </w:rPr>
        <w:t>月</w:t>
      </w:r>
    </w:p>
    <w:p w14:paraId="400901F6">
      <w:pPr>
        <w:pStyle w:val="4"/>
        <w:spacing w:after="156"/>
        <w:rPr>
          <w:rFonts w:cs="Times New Roman"/>
          <w:color w:val="auto"/>
          <w:highlight w:val="none"/>
        </w:rPr>
      </w:pPr>
      <w:bookmarkStart w:id="103" w:name="_Toc16391"/>
      <w:r>
        <w:rPr>
          <w:rFonts w:cs="Times New Roman"/>
          <w:color w:val="auto"/>
          <w:highlight w:val="none"/>
        </w:rPr>
        <w:t>3.1.2建设内容及规模</w:t>
      </w:r>
      <w:bookmarkEnd w:id="103"/>
    </w:p>
    <w:p w14:paraId="3991E7B5">
      <w:pPr>
        <w:rPr>
          <w:rFonts w:cs="Times New Roman"/>
          <w:snapToGrid w:val="0"/>
          <w:color w:val="auto"/>
          <w:kern w:val="0"/>
          <w:highlight w:val="none"/>
        </w:rPr>
      </w:pPr>
      <w:r>
        <w:rPr>
          <w:rFonts w:cs="Times New Roman"/>
          <w:snapToGrid w:val="0"/>
          <w:color w:val="auto"/>
          <w:kern w:val="0"/>
          <w:highlight w:val="none"/>
        </w:rPr>
        <w:t>本项目总占地面积为</w:t>
      </w:r>
      <w:r>
        <w:rPr>
          <w:rFonts w:hint="eastAsia" w:cs="Times New Roman"/>
          <w:snapToGrid w:val="0"/>
          <w:color w:val="auto"/>
          <w:kern w:val="0"/>
          <w:highlight w:val="none"/>
          <w:lang w:val="en-US" w:eastAsia="zh-CN"/>
        </w:rPr>
        <w:t>36031</w:t>
      </w:r>
      <w:r>
        <w:rPr>
          <w:rFonts w:cs="Times New Roman"/>
          <w:snapToGrid w:val="0"/>
          <w:color w:val="auto"/>
          <w:kern w:val="0"/>
          <w:highlight w:val="none"/>
        </w:rPr>
        <w:t>m</w:t>
      </w:r>
      <w:r>
        <w:rPr>
          <w:rFonts w:cs="Times New Roman"/>
          <w:snapToGrid w:val="0"/>
          <w:color w:val="auto"/>
          <w:kern w:val="0"/>
          <w:highlight w:val="none"/>
          <w:vertAlign w:val="superscript"/>
        </w:rPr>
        <w:t>2</w:t>
      </w:r>
      <w:r>
        <w:rPr>
          <w:rFonts w:cs="Times New Roman"/>
          <w:snapToGrid w:val="0"/>
          <w:color w:val="auto"/>
          <w:kern w:val="0"/>
          <w:highlight w:val="none"/>
        </w:rPr>
        <w:t>，总建筑面积为</w:t>
      </w:r>
      <w:r>
        <w:rPr>
          <w:rFonts w:hint="eastAsia" w:cs="Times New Roman"/>
          <w:snapToGrid w:val="0"/>
          <w:color w:val="auto"/>
          <w:kern w:val="0"/>
          <w:highlight w:val="none"/>
          <w:lang w:val="en-US" w:eastAsia="zh-CN"/>
        </w:rPr>
        <w:t>5789</w:t>
      </w:r>
      <w:r>
        <w:rPr>
          <w:rFonts w:cs="Times New Roman"/>
          <w:snapToGrid w:val="0"/>
          <w:color w:val="auto"/>
          <w:kern w:val="0"/>
          <w:highlight w:val="none"/>
        </w:rPr>
        <w:t>m</w:t>
      </w:r>
      <w:r>
        <w:rPr>
          <w:rFonts w:cs="Times New Roman"/>
          <w:snapToGrid w:val="0"/>
          <w:color w:val="auto"/>
          <w:kern w:val="0"/>
          <w:highlight w:val="none"/>
          <w:vertAlign w:val="superscript"/>
        </w:rPr>
        <w:t>2</w:t>
      </w:r>
      <w:r>
        <w:rPr>
          <w:rFonts w:cs="Times New Roman"/>
          <w:snapToGrid w:val="0"/>
          <w:color w:val="auto"/>
          <w:kern w:val="0"/>
          <w:highlight w:val="none"/>
        </w:rPr>
        <w:t>。主要建设内容为</w:t>
      </w:r>
      <w:r>
        <w:rPr>
          <w:rFonts w:hint="eastAsia" w:cs="Times New Roman"/>
          <w:snapToGrid w:val="0"/>
          <w:color w:val="auto"/>
          <w:kern w:val="0"/>
          <w:szCs w:val="24"/>
          <w:highlight w:val="none"/>
          <w:lang w:val="en-US" w:eastAsia="zh-CN"/>
        </w:rPr>
        <w:t>待宰圈</w:t>
      </w:r>
      <w:r>
        <w:rPr>
          <w:rFonts w:hint="eastAsia" w:ascii="Times New Roman" w:hAnsi="Times New Roman" w:cs="Times New Roman"/>
          <w:snapToGrid w:val="0"/>
          <w:color w:val="auto"/>
          <w:kern w:val="0"/>
          <w:szCs w:val="24"/>
          <w:highlight w:val="none"/>
          <w:lang w:val="en-US" w:eastAsia="zh-CN"/>
        </w:rPr>
        <w:t>、屠宰车间、急宰间、污水处理设施、检疫检验室、冷库</w:t>
      </w:r>
      <w:r>
        <w:rPr>
          <w:rFonts w:cs="Times New Roman"/>
          <w:snapToGrid w:val="0"/>
          <w:color w:val="auto"/>
          <w:kern w:val="0"/>
          <w:highlight w:val="none"/>
        </w:rPr>
        <w:t>等，生产车间设置1条牛</w:t>
      </w:r>
      <w:r>
        <w:rPr>
          <w:rFonts w:hint="eastAsia" w:cs="Times New Roman"/>
          <w:snapToGrid w:val="0"/>
          <w:color w:val="auto"/>
          <w:kern w:val="0"/>
          <w:highlight w:val="none"/>
          <w:lang w:val="en-US" w:eastAsia="zh-CN"/>
        </w:rPr>
        <w:t>屠宰生产线、1条羊</w:t>
      </w:r>
      <w:r>
        <w:rPr>
          <w:rFonts w:cs="Times New Roman"/>
          <w:snapToGrid w:val="0"/>
          <w:color w:val="auto"/>
          <w:kern w:val="0"/>
          <w:highlight w:val="none"/>
        </w:rPr>
        <w:t>屠宰生产线，项目建成后</w:t>
      </w:r>
      <w:r>
        <w:rPr>
          <w:rFonts w:hint="eastAsia" w:cs="Times New Roman"/>
          <w:snapToGrid w:val="0"/>
          <w:color w:val="auto"/>
          <w:kern w:val="0"/>
          <w:highlight w:val="none"/>
          <w:lang w:eastAsia="zh-CN"/>
        </w:rPr>
        <w:t>，</w:t>
      </w:r>
      <w:r>
        <w:rPr>
          <w:rFonts w:hint="eastAsia" w:cs="Times New Roman"/>
          <w:color w:val="auto"/>
          <w:highlight w:val="none"/>
        </w:rPr>
        <w:t>屠宰量为</w:t>
      </w:r>
      <w:r>
        <w:rPr>
          <w:rFonts w:cs="Times New Roman"/>
          <w:color w:val="auto"/>
          <w:highlight w:val="none"/>
        </w:rPr>
        <w:t>肉牛</w:t>
      </w:r>
      <w:r>
        <w:rPr>
          <w:rFonts w:hint="eastAsia" w:cs="Times New Roman"/>
          <w:color w:val="auto"/>
          <w:highlight w:val="none"/>
          <w:lang w:val="en-US" w:eastAsia="zh-CN"/>
        </w:rPr>
        <w:t>100</w:t>
      </w:r>
      <w:r>
        <w:rPr>
          <w:rFonts w:cs="Times New Roman"/>
          <w:color w:val="auto"/>
          <w:highlight w:val="none"/>
        </w:rPr>
        <w:t>头/d，肉羊</w:t>
      </w:r>
      <w:r>
        <w:rPr>
          <w:rFonts w:hint="eastAsia" w:cs="Times New Roman"/>
          <w:color w:val="auto"/>
          <w:highlight w:val="none"/>
          <w:lang w:val="en-US" w:eastAsia="zh-CN"/>
        </w:rPr>
        <w:t>500</w:t>
      </w:r>
      <w:r>
        <w:rPr>
          <w:rFonts w:cs="Times New Roman"/>
          <w:color w:val="auto"/>
          <w:highlight w:val="none"/>
        </w:rPr>
        <w:t>只/d</w:t>
      </w:r>
      <w:r>
        <w:rPr>
          <w:rFonts w:cs="Times New Roman"/>
          <w:snapToGrid w:val="0"/>
          <w:color w:val="auto"/>
          <w:kern w:val="0"/>
          <w:highlight w:val="none"/>
        </w:rPr>
        <w:t>。</w:t>
      </w:r>
    </w:p>
    <w:p w14:paraId="24C0C3FE">
      <w:pPr>
        <w:rPr>
          <w:rFonts w:hint="eastAsia" w:eastAsia="宋体" w:cs="Times New Roman"/>
          <w:snapToGrid w:val="0"/>
          <w:color w:val="auto"/>
          <w:kern w:val="0"/>
          <w:highlight w:val="none"/>
          <w:lang w:val="en-US" w:eastAsia="zh-CN"/>
        </w:rPr>
      </w:pPr>
      <w:r>
        <w:rPr>
          <w:rFonts w:cs="Times New Roman"/>
          <w:snapToGrid w:val="0"/>
          <w:color w:val="auto"/>
          <w:kern w:val="0"/>
          <w:highlight w:val="none"/>
        </w:rPr>
        <w:t>项目组成一览表见表</w:t>
      </w:r>
      <w:r>
        <w:rPr>
          <w:rFonts w:hint="eastAsia" w:cs="Times New Roman"/>
          <w:snapToGrid w:val="0"/>
          <w:color w:val="auto"/>
          <w:kern w:val="0"/>
          <w:highlight w:val="none"/>
        </w:rPr>
        <w:t>3-1-</w:t>
      </w:r>
      <w:r>
        <w:rPr>
          <w:rFonts w:cs="Times New Roman"/>
          <w:snapToGrid w:val="0"/>
          <w:color w:val="auto"/>
          <w:kern w:val="0"/>
          <w:highlight w:val="none"/>
        </w:rPr>
        <w:t>1。</w:t>
      </w:r>
      <w:r>
        <w:rPr>
          <w:rFonts w:hint="eastAsia" w:cs="Times New Roman"/>
          <w:snapToGrid w:val="0"/>
          <w:color w:val="auto"/>
          <w:kern w:val="0"/>
          <w:highlight w:val="none"/>
          <w:lang w:val="en-US" w:eastAsia="zh-CN"/>
        </w:rPr>
        <w:t xml:space="preserve"> </w:t>
      </w:r>
    </w:p>
    <w:p w14:paraId="24931E79">
      <w:pPr>
        <w:spacing w:line="240" w:lineRule="auto"/>
        <w:ind w:firstLine="0" w:firstLineChars="0"/>
        <w:jc w:val="center"/>
        <w:rPr>
          <w:rFonts w:eastAsia="黑体" w:cs="Times New Roman"/>
          <w:snapToGrid w:val="0"/>
          <w:color w:val="auto"/>
          <w:kern w:val="0"/>
          <w:szCs w:val="24"/>
          <w:highlight w:val="none"/>
          <w:lang w:val="zh-CN"/>
        </w:rPr>
      </w:pPr>
      <w:r>
        <w:rPr>
          <w:rFonts w:eastAsia="黑体" w:cs="Times New Roman"/>
          <w:snapToGrid w:val="0"/>
          <w:color w:val="auto"/>
          <w:kern w:val="0"/>
          <w:szCs w:val="24"/>
          <w:highlight w:val="none"/>
          <w:lang w:val="zh-CN"/>
        </w:rPr>
        <w:t>表</w:t>
      </w:r>
      <w:r>
        <w:rPr>
          <w:rFonts w:hint="eastAsia" w:eastAsia="黑体" w:cs="Times New Roman"/>
          <w:snapToGrid w:val="0"/>
          <w:color w:val="auto"/>
          <w:kern w:val="0"/>
          <w:szCs w:val="24"/>
          <w:highlight w:val="none"/>
          <w:lang w:val="zh-CN"/>
        </w:rPr>
        <w:t>3-1-</w:t>
      </w:r>
      <w:r>
        <w:rPr>
          <w:rFonts w:eastAsia="黑体" w:cs="Times New Roman"/>
          <w:snapToGrid w:val="0"/>
          <w:color w:val="auto"/>
          <w:kern w:val="0"/>
          <w:szCs w:val="24"/>
          <w:highlight w:val="none"/>
          <w:lang w:val="zh-CN"/>
        </w:rPr>
        <w:t>1</w:t>
      </w:r>
      <w:r>
        <w:rPr>
          <w:rFonts w:eastAsia="黑体" w:cs="Times New Roman"/>
          <w:snapToGrid w:val="0"/>
          <w:color w:val="auto"/>
          <w:kern w:val="0"/>
          <w:szCs w:val="24"/>
          <w:highlight w:val="none"/>
        </w:rPr>
        <w:t xml:space="preserve">  </w:t>
      </w:r>
      <w:r>
        <w:rPr>
          <w:rFonts w:eastAsia="黑体" w:cs="Times New Roman"/>
          <w:snapToGrid w:val="0"/>
          <w:color w:val="auto"/>
          <w:kern w:val="0"/>
          <w:szCs w:val="24"/>
          <w:highlight w:val="none"/>
          <w:lang w:val="zh-CN"/>
        </w:rPr>
        <w:t>工程组成一览表</w:t>
      </w:r>
    </w:p>
    <w:tbl>
      <w:tblPr>
        <w:tblStyle w:val="398"/>
        <w:tblW w:w="504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556"/>
        <w:gridCol w:w="703"/>
        <w:gridCol w:w="5874"/>
        <w:gridCol w:w="736"/>
      </w:tblGrid>
      <w:tr w14:paraId="5F1EA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23" w:type="pct"/>
            <w:vAlign w:val="center"/>
          </w:tcPr>
          <w:p w14:paraId="042EA1A6">
            <w:pPr>
              <w:pStyle w:val="73"/>
              <w:rPr>
                <w:rFonts w:cs="Times New Roman"/>
                <w:snapToGrid w:val="0"/>
                <w:color w:val="auto"/>
                <w:highlight w:val="none"/>
              </w:rPr>
            </w:pPr>
            <w:r>
              <w:rPr>
                <w:rFonts w:cs="Times New Roman"/>
                <w:snapToGrid w:val="0"/>
                <w:color w:val="auto"/>
                <w:highlight w:val="none"/>
              </w:rPr>
              <w:t>工程</w:t>
            </w:r>
          </w:p>
          <w:p w14:paraId="4023573A">
            <w:pPr>
              <w:pStyle w:val="73"/>
              <w:rPr>
                <w:rFonts w:cs="Times New Roman"/>
                <w:snapToGrid w:val="0"/>
                <w:color w:val="auto"/>
                <w:highlight w:val="none"/>
              </w:rPr>
            </w:pPr>
            <w:r>
              <w:rPr>
                <w:rFonts w:cs="Times New Roman"/>
                <w:snapToGrid w:val="0"/>
                <w:color w:val="auto"/>
                <w:highlight w:val="none"/>
              </w:rPr>
              <w:t>组成</w:t>
            </w:r>
          </w:p>
        </w:tc>
        <w:tc>
          <w:tcPr>
            <w:tcW w:w="732" w:type="pct"/>
            <w:gridSpan w:val="2"/>
            <w:vAlign w:val="center"/>
          </w:tcPr>
          <w:p w14:paraId="726C99F6">
            <w:pPr>
              <w:pStyle w:val="73"/>
              <w:rPr>
                <w:rFonts w:cs="Times New Roman"/>
                <w:snapToGrid w:val="0"/>
                <w:color w:val="auto"/>
                <w:highlight w:val="none"/>
              </w:rPr>
            </w:pPr>
            <w:r>
              <w:rPr>
                <w:rFonts w:cs="Times New Roman"/>
                <w:snapToGrid w:val="0"/>
                <w:color w:val="auto"/>
                <w:highlight w:val="none"/>
              </w:rPr>
              <w:t>车间名称</w:t>
            </w:r>
          </w:p>
        </w:tc>
        <w:tc>
          <w:tcPr>
            <w:tcW w:w="3416" w:type="pct"/>
            <w:vAlign w:val="center"/>
          </w:tcPr>
          <w:p w14:paraId="1199AD3B">
            <w:pPr>
              <w:pStyle w:val="73"/>
              <w:rPr>
                <w:rFonts w:cs="Times New Roman"/>
                <w:snapToGrid w:val="0"/>
                <w:color w:val="auto"/>
                <w:highlight w:val="none"/>
              </w:rPr>
            </w:pPr>
            <w:r>
              <w:rPr>
                <w:rFonts w:cs="Times New Roman"/>
                <w:snapToGrid w:val="0"/>
                <w:color w:val="auto"/>
                <w:highlight w:val="none"/>
              </w:rPr>
              <w:t>规格</w:t>
            </w:r>
          </w:p>
        </w:tc>
        <w:tc>
          <w:tcPr>
            <w:tcW w:w="428" w:type="pct"/>
            <w:vAlign w:val="center"/>
          </w:tcPr>
          <w:p w14:paraId="157AFE33">
            <w:pPr>
              <w:pStyle w:val="73"/>
              <w:rPr>
                <w:rFonts w:cs="Times New Roman"/>
                <w:snapToGrid w:val="0"/>
                <w:color w:val="auto"/>
                <w:highlight w:val="none"/>
              </w:rPr>
            </w:pPr>
            <w:r>
              <w:rPr>
                <w:rFonts w:cs="Times New Roman"/>
                <w:snapToGrid w:val="0"/>
                <w:color w:val="auto"/>
                <w:highlight w:val="none"/>
              </w:rPr>
              <w:t>建设情况</w:t>
            </w:r>
          </w:p>
        </w:tc>
      </w:tr>
      <w:tr w14:paraId="41224E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23" w:type="pct"/>
            <w:vAlign w:val="center"/>
          </w:tcPr>
          <w:p w14:paraId="1ACCB9F1">
            <w:pPr>
              <w:pStyle w:val="73"/>
              <w:rPr>
                <w:rFonts w:cs="Times New Roman"/>
                <w:snapToGrid w:val="0"/>
                <w:color w:val="auto"/>
                <w:highlight w:val="none"/>
              </w:rPr>
            </w:pPr>
            <w:r>
              <w:rPr>
                <w:rFonts w:cs="Times New Roman"/>
                <w:snapToGrid w:val="0"/>
                <w:color w:val="auto"/>
                <w:highlight w:val="none"/>
              </w:rPr>
              <w:t>主体</w:t>
            </w:r>
          </w:p>
          <w:p w14:paraId="751844DA">
            <w:pPr>
              <w:pStyle w:val="73"/>
              <w:rPr>
                <w:rFonts w:cs="Times New Roman"/>
                <w:snapToGrid w:val="0"/>
                <w:color w:val="auto"/>
                <w:highlight w:val="none"/>
              </w:rPr>
            </w:pPr>
            <w:r>
              <w:rPr>
                <w:rFonts w:cs="Times New Roman"/>
                <w:snapToGrid w:val="0"/>
                <w:color w:val="auto"/>
                <w:highlight w:val="none"/>
              </w:rPr>
              <w:t>工程</w:t>
            </w:r>
          </w:p>
        </w:tc>
        <w:tc>
          <w:tcPr>
            <w:tcW w:w="732" w:type="pct"/>
            <w:gridSpan w:val="2"/>
            <w:vAlign w:val="center"/>
          </w:tcPr>
          <w:p w14:paraId="3D337FD5">
            <w:pPr>
              <w:pStyle w:val="73"/>
              <w:rPr>
                <w:rFonts w:cs="Times New Roman"/>
                <w:snapToGrid w:val="0"/>
                <w:color w:val="auto"/>
                <w:highlight w:val="none"/>
              </w:rPr>
            </w:pPr>
            <w:r>
              <w:rPr>
                <w:rFonts w:cs="Times New Roman"/>
                <w:snapToGrid w:val="0"/>
                <w:color w:val="auto"/>
                <w:highlight w:val="none"/>
              </w:rPr>
              <w:t>生产车间</w:t>
            </w:r>
          </w:p>
        </w:tc>
        <w:tc>
          <w:tcPr>
            <w:tcW w:w="3416" w:type="pct"/>
            <w:vAlign w:val="center"/>
          </w:tcPr>
          <w:p w14:paraId="1377DC39">
            <w:pPr>
              <w:pStyle w:val="73"/>
              <w:rPr>
                <w:rFonts w:hint="default" w:cs="Times New Roman"/>
                <w:snapToGrid w:val="0"/>
                <w:color w:val="auto"/>
                <w:highlight w:val="none"/>
                <w:lang w:val="en-US"/>
              </w:rPr>
            </w:pPr>
            <w:r>
              <w:rPr>
                <w:rFonts w:cs="Times New Roman"/>
                <w:snapToGrid w:val="0"/>
                <w:color w:val="auto"/>
                <w:highlight w:val="none"/>
                <w:lang w:val="en-US"/>
              </w:rPr>
              <w:t>位于</w:t>
            </w:r>
            <w:r>
              <w:rPr>
                <w:rFonts w:hint="eastAsia" w:cs="Times New Roman"/>
                <w:snapToGrid w:val="0"/>
                <w:color w:val="auto"/>
                <w:highlight w:val="none"/>
                <w:lang w:val="en-US" w:eastAsia="zh-CN"/>
              </w:rPr>
              <w:t>厂区南侧</w:t>
            </w:r>
            <w:r>
              <w:rPr>
                <w:rFonts w:cs="Times New Roman"/>
                <w:snapToGrid w:val="0"/>
                <w:color w:val="auto"/>
                <w:highlight w:val="none"/>
                <w:lang w:val="en-US"/>
              </w:rPr>
              <w:t>，</w:t>
            </w:r>
            <w:r>
              <w:rPr>
                <w:rFonts w:cs="Times New Roman"/>
                <w:snapToGrid w:val="0"/>
                <w:color w:val="auto"/>
                <w:highlight w:val="none"/>
              </w:rPr>
              <w:t>建筑面积为</w:t>
            </w:r>
            <w:r>
              <w:rPr>
                <w:rFonts w:hint="eastAsia" w:cs="Times New Roman"/>
                <w:snapToGrid w:val="0"/>
                <w:color w:val="auto"/>
                <w:highlight w:val="none"/>
                <w:lang w:val="en-US" w:eastAsia="zh-CN"/>
              </w:rPr>
              <w:t>2125</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高12m，</w:t>
            </w:r>
            <w:r>
              <w:rPr>
                <w:rFonts w:cs="Times New Roman"/>
                <w:snapToGrid w:val="0"/>
                <w:color w:val="auto"/>
                <w:highlight w:val="none"/>
                <w:lang w:val="en-US"/>
              </w:rPr>
              <w:t>内设</w:t>
            </w:r>
            <w:r>
              <w:rPr>
                <w:rFonts w:cs="Times New Roman"/>
                <w:snapToGrid w:val="0"/>
                <w:color w:val="auto"/>
                <w:highlight w:val="none"/>
              </w:rPr>
              <w:t>牛、羊屠宰生产线</w:t>
            </w:r>
            <w:r>
              <w:rPr>
                <w:rFonts w:cs="Times New Roman"/>
                <w:snapToGrid w:val="0"/>
                <w:color w:val="auto"/>
                <w:highlight w:val="none"/>
                <w:lang w:val="en-US"/>
              </w:rPr>
              <w:t>各一条、</w:t>
            </w:r>
            <w:r>
              <w:rPr>
                <w:rFonts w:hint="eastAsia" w:cs="Times New Roman"/>
                <w:snapToGrid w:val="0"/>
                <w:color w:val="auto"/>
                <w:kern w:val="0"/>
                <w:highlight w:val="none"/>
                <w:lang w:val="en-US"/>
              </w:rPr>
              <w:t>屠宰量为肉牛</w:t>
            </w:r>
            <w:r>
              <w:rPr>
                <w:rFonts w:hint="eastAsia" w:cs="Times New Roman"/>
                <w:snapToGrid w:val="0"/>
                <w:color w:val="auto"/>
                <w:kern w:val="0"/>
                <w:highlight w:val="none"/>
                <w:lang w:val="en-US" w:eastAsia="zh-CN"/>
              </w:rPr>
              <w:t>100</w:t>
            </w:r>
            <w:r>
              <w:rPr>
                <w:rFonts w:hint="eastAsia" w:cs="Times New Roman"/>
                <w:snapToGrid w:val="0"/>
                <w:color w:val="auto"/>
                <w:kern w:val="0"/>
                <w:highlight w:val="none"/>
                <w:lang w:val="en-US"/>
              </w:rPr>
              <w:t>头/d，肉羊</w:t>
            </w:r>
            <w:r>
              <w:rPr>
                <w:rFonts w:hint="eastAsia" w:cs="Times New Roman"/>
                <w:snapToGrid w:val="0"/>
                <w:color w:val="auto"/>
                <w:kern w:val="0"/>
                <w:highlight w:val="none"/>
                <w:lang w:val="en-US" w:eastAsia="zh-CN"/>
              </w:rPr>
              <w:t>500</w:t>
            </w:r>
            <w:r>
              <w:rPr>
                <w:rFonts w:hint="eastAsia" w:cs="Times New Roman"/>
                <w:snapToGrid w:val="0"/>
                <w:color w:val="auto"/>
                <w:kern w:val="0"/>
                <w:highlight w:val="none"/>
                <w:lang w:val="en-US"/>
              </w:rPr>
              <w:t>只/d</w:t>
            </w:r>
            <w:r>
              <w:rPr>
                <w:rFonts w:cs="Times New Roman"/>
                <w:snapToGrid w:val="0"/>
                <w:color w:val="auto"/>
                <w:kern w:val="0"/>
                <w:highlight w:val="none"/>
              </w:rPr>
              <w:t>。</w:t>
            </w:r>
            <w:r>
              <w:rPr>
                <w:rFonts w:cs="Times New Roman"/>
                <w:snapToGrid w:val="0"/>
                <w:color w:val="auto"/>
                <w:highlight w:val="none"/>
                <w:lang w:val="en-US"/>
              </w:rPr>
              <w:t>车间由</w:t>
            </w:r>
            <w:r>
              <w:rPr>
                <w:rFonts w:hint="eastAsia" w:cs="Times New Roman"/>
                <w:snapToGrid w:val="0"/>
                <w:color w:val="auto"/>
                <w:highlight w:val="none"/>
                <w:lang w:val="en-US" w:eastAsia="zh-CN"/>
              </w:rPr>
              <w:t>西</w:t>
            </w:r>
            <w:r>
              <w:rPr>
                <w:rFonts w:cs="Times New Roman"/>
                <w:snapToGrid w:val="0"/>
                <w:color w:val="auto"/>
                <w:highlight w:val="none"/>
                <w:lang w:val="en-US"/>
              </w:rPr>
              <w:t>向</w:t>
            </w:r>
            <w:r>
              <w:rPr>
                <w:rFonts w:hint="eastAsia" w:cs="Times New Roman"/>
                <w:snapToGrid w:val="0"/>
                <w:color w:val="auto"/>
                <w:highlight w:val="none"/>
                <w:lang w:val="en-US" w:eastAsia="zh-CN"/>
              </w:rPr>
              <w:t>东</w:t>
            </w:r>
            <w:r>
              <w:rPr>
                <w:rFonts w:cs="Times New Roman"/>
                <w:snapToGrid w:val="0"/>
                <w:color w:val="auto"/>
                <w:highlight w:val="none"/>
                <w:lang w:val="en-US"/>
              </w:rPr>
              <w:t>分别设置了</w:t>
            </w:r>
            <w:r>
              <w:rPr>
                <w:rFonts w:hint="eastAsia" w:cs="Times New Roman"/>
                <w:snapToGrid w:val="0"/>
                <w:color w:val="auto"/>
                <w:highlight w:val="none"/>
                <w:lang w:val="en-US" w:eastAsia="zh-CN"/>
              </w:rPr>
              <w:t>更衣室、待宰圈</w:t>
            </w:r>
            <w:r>
              <w:rPr>
                <w:rFonts w:cs="Times New Roman"/>
                <w:snapToGrid w:val="0"/>
                <w:color w:val="auto"/>
                <w:highlight w:val="none"/>
                <w:lang w:val="en-US"/>
              </w:rPr>
              <w:t>、生产线（屠宰车间）</w:t>
            </w:r>
            <w:r>
              <w:rPr>
                <w:rFonts w:cs="Times New Roman"/>
                <w:snapToGrid w:val="0"/>
                <w:color w:val="auto"/>
                <w:highlight w:val="none"/>
              </w:rPr>
              <w:t>、</w:t>
            </w:r>
            <w:r>
              <w:rPr>
                <w:rFonts w:hint="eastAsia" w:cs="Times New Roman"/>
                <w:snapToGrid w:val="0"/>
                <w:color w:val="auto"/>
                <w:highlight w:val="none"/>
                <w:lang w:val="en-US" w:eastAsia="zh-CN"/>
              </w:rPr>
              <w:t>排酸间、</w:t>
            </w:r>
            <w:r>
              <w:rPr>
                <w:rFonts w:cs="Times New Roman"/>
                <w:snapToGrid w:val="0"/>
                <w:color w:val="auto"/>
                <w:highlight w:val="none"/>
                <w:lang w:val="en-US"/>
              </w:rPr>
              <w:t>头蹄间、皮</w:t>
            </w:r>
            <w:r>
              <w:rPr>
                <w:rFonts w:hint="eastAsia" w:cs="Times New Roman"/>
                <w:snapToGrid w:val="0"/>
                <w:color w:val="auto"/>
                <w:highlight w:val="none"/>
                <w:lang w:val="en-US" w:eastAsia="zh-CN"/>
              </w:rPr>
              <w:t>张</w:t>
            </w:r>
            <w:r>
              <w:rPr>
                <w:rFonts w:cs="Times New Roman"/>
                <w:snapToGrid w:val="0"/>
                <w:color w:val="auto"/>
                <w:highlight w:val="none"/>
                <w:lang w:val="en-US"/>
              </w:rPr>
              <w:t>间</w:t>
            </w:r>
            <w:r>
              <w:rPr>
                <w:rFonts w:cs="Times New Roman"/>
                <w:snapToGrid w:val="0"/>
                <w:color w:val="auto"/>
                <w:highlight w:val="none"/>
              </w:rPr>
              <w:t>、</w:t>
            </w:r>
            <w:r>
              <w:rPr>
                <w:rFonts w:hint="eastAsia" w:cs="Times New Roman"/>
                <w:snapToGrid w:val="0"/>
                <w:color w:val="auto"/>
                <w:highlight w:val="none"/>
                <w:lang w:val="en-US" w:eastAsia="zh-CN"/>
              </w:rPr>
              <w:t>白脏</w:t>
            </w:r>
            <w:r>
              <w:rPr>
                <w:rFonts w:cs="Times New Roman"/>
                <w:snapToGrid w:val="0"/>
                <w:color w:val="auto"/>
                <w:highlight w:val="none"/>
                <w:lang w:val="en-US"/>
              </w:rPr>
              <w:t>间、</w:t>
            </w:r>
            <w:r>
              <w:rPr>
                <w:rFonts w:hint="eastAsia" w:cs="Times New Roman"/>
                <w:snapToGrid w:val="0"/>
                <w:color w:val="auto"/>
                <w:highlight w:val="none"/>
                <w:lang w:val="en-US" w:eastAsia="zh-CN"/>
              </w:rPr>
              <w:t>红脏间、</w:t>
            </w:r>
            <w:r>
              <w:rPr>
                <w:rFonts w:cs="Times New Roman"/>
                <w:snapToGrid w:val="0"/>
                <w:color w:val="auto"/>
                <w:highlight w:val="none"/>
                <w:lang w:val="en-US"/>
              </w:rPr>
              <w:t>检疫室、</w:t>
            </w:r>
            <w:r>
              <w:rPr>
                <w:rFonts w:hint="eastAsia" w:cs="Times New Roman"/>
                <w:snapToGrid w:val="0"/>
                <w:color w:val="auto"/>
                <w:highlight w:val="none"/>
                <w:lang w:val="en-US" w:eastAsia="zh-CN"/>
              </w:rPr>
              <w:t>病体间</w:t>
            </w:r>
            <w:r>
              <w:rPr>
                <w:rFonts w:cs="Times New Roman"/>
                <w:snapToGrid w:val="0"/>
                <w:color w:val="auto"/>
                <w:highlight w:val="none"/>
                <w:lang w:val="en-US"/>
              </w:rPr>
              <w:t>、分割</w:t>
            </w:r>
            <w:r>
              <w:rPr>
                <w:rFonts w:hint="eastAsia" w:cs="Times New Roman"/>
                <w:snapToGrid w:val="0"/>
                <w:color w:val="auto"/>
                <w:highlight w:val="none"/>
                <w:lang w:val="en-US" w:eastAsia="zh-CN"/>
              </w:rPr>
              <w:t>间</w:t>
            </w:r>
            <w:r>
              <w:rPr>
                <w:rFonts w:cs="Times New Roman"/>
                <w:snapToGrid w:val="0"/>
                <w:color w:val="auto"/>
                <w:highlight w:val="none"/>
              </w:rPr>
              <w:t>、</w:t>
            </w:r>
            <w:r>
              <w:rPr>
                <w:rFonts w:cs="Times New Roman"/>
                <w:snapToGrid w:val="0"/>
                <w:color w:val="auto"/>
                <w:highlight w:val="none"/>
                <w:lang w:val="en-US"/>
              </w:rPr>
              <w:t>速冻库</w:t>
            </w:r>
            <w:r>
              <w:rPr>
                <w:rFonts w:hint="eastAsia" w:cs="Times New Roman"/>
                <w:snapToGrid w:val="0"/>
                <w:color w:val="auto"/>
                <w:highlight w:val="none"/>
                <w:lang w:val="en-US" w:eastAsia="zh-CN"/>
              </w:rPr>
              <w:t>及</w:t>
            </w:r>
            <w:r>
              <w:rPr>
                <w:rFonts w:cs="Times New Roman"/>
                <w:snapToGrid w:val="0"/>
                <w:color w:val="auto"/>
                <w:highlight w:val="none"/>
                <w:lang w:val="en-US"/>
              </w:rPr>
              <w:t>冷藏库</w:t>
            </w:r>
            <w:r>
              <w:rPr>
                <w:rFonts w:cs="Times New Roman"/>
                <w:snapToGrid w:val="0"/>
                <w:color w:val="auto"/>
                <w:highlight w:val="none"/>
              </w:rPr>
              <w:t>等。</w:t>
            </w:r>
            <w:r>
              <w:rPr>
                <w:rFonts w:hint="eastAsia" w:cs="Times New Roman"/>
                <w:snapToGrid w:val="0"/>
                <w:color w:val="auto"/>
                <w:highlight w:val="none"/>
                <w:lang w:val="en-US" w:eastAsia="zh-CN"/>
              </w:rPr>
              <w:t>年产出产品量</w:t>
            </w:r>
            <w:r>
              <w:rPr>
                <w:rFonts w:hint="eastAsia" w:cs="Times New Roman"/>
                <w:snapToGrid w:val="0"/>
                <w:color w:val="auto"/>
                <w:highlight w:val="none"/>
                <w:lang w:val="en-US" w:eastAsia="zh-CN"/>
              </w:rPr>
              <w:t>21100t/a。</w:t>
            </w:r>
          </w:p>
        </w:tc>
        <w:tc>
          <w:tcPr>
            <w:tcW w:w="428" w:type="pct"/>
            <w:vAlign w:val="center"/>
          </w:tcPr>
          <w:p w14:paraId="1E899E13">
            <w:pPr>
              <w:pStyle w:val="73"/>
              <w:rPr>
                <w:rFonts w:cs="Times New Roman"/>
                <w:snapToGrid w:val="0"/>
                <w:color w:val="auto"/>
                <w:highlight w:val="none"/>
              </w:rPr>
            </w:pPr>
            <w:r>
              <w:rPr>
                <w:rFonts w:cs="Times New Roman"/>
                <w:snapToGrid w:val="0"/>
                <w:color w:val="auto"/>
                <w:highlight w:val="none"/>
              </w:rPr>
              <w:t>新建</w:t>
            </w:r>
          </w:p>
        </w:tc>
      </w:tr>
      <w:tr w14:paraId="611E0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restart"/>
            <w:vAlign w:val="center"/>
          </w:tcPr>
          <w:p w14:paraId="122191B3">
            <w:pPr>
              <w:pStyle w:val="73"/>
              <w:rPr>
                <w:rFonts w:cs="Times New Roman"/>
                <w:snapToGrid w:val="0"/>
                <w:color w:val="auto"/>
                <w:highlight w:val="none"/>
              </w:rPr>
            </w:pPr>
            <w:r>
              <w:rPr>
                <w:rFonts w:cs="Times New Roman"/>
                <w:snapToGrid w:val="0"/>
                <w:color w:val="auto"/>
                <w:highlight w:val="none"/>
              </w:rPr>
              <w:t>储运</w:t>
            </w:r>
          </w:p>
          <w:p w14:paraId="0884B911">
            <w:pPr>
              <w:pStyle w:val="73"/>
              <w:rPr>
                <w:rFonts w:cs="Times New Roman"/>
                <w:snapToGrid w:val="0"/>
                <w:color w:val="auto"/>
                <w:highlight w:val="none"/>
              </w:rPr>
            </w:pPr>
            <w:r>
              <w:rPr>
                <w:rFonts w:cs="Times New Roman"/>
                <w:snapToGrid w:val="0"/>
                <w:color w:val="auto"/>
                <w:highlight w:val="none"/>
              </w:rPr>
              <w:t>工程</w:t>
            </w:r>
          </w:p>
        </w:tc>
        <w:tc>
          <w:tcPr>
            <w:tcW w:w="732" w:type="pct"/>
            <w:gridSpan w:val="2"/>
            <w:vAlign w:val="center"/>
          </w:tcPr>
          <w:p w14:paraId="1F61ED65">
            <w:pPr>
              <w:pStyle w:val="73"/>
              <w:rPr>
                <w:rFonts w:cs="Times New Roman"/>
                <w:snapToGrid w:val="0"/>
                <w:color w:val="auto"/>
                <w:highlight w:val="none"/>
              </w:rPr>
            </w:pPr>
            <w:r>
              <w:rPr>
                <w:rFonts w:cs="Times New Roman"/>
                <w:snapToGrid w:val="0"/>
                <w:color w:val="auto"/>
                <w:highlight w:val="none"/>
                <w:lang w:val="en-US"/>
              </w:rPr>
              <w:t>冷藏库</w:t>
            </w:r>
          </w:p>
        </w:tc>
        <w:tc>
          <w:tcPr>
            <w:tcW w:w="3416" w:type="pct"/>
            <w:vAlign w:val="center"/>
          </w:tcPr>
          <w:p w14:paraId="01D29E71">
            <w:pPr>
              <w:pStyle w:val="73"/>
              <w:rPr>
                <w:rFonts w:hint="eastAsia" w:eastAsia="宋体" w:cs="Times New Roman"/>
                <w:snapToGrid w:val="0"/>
                <w:color w:val="auto"/>
                <w:highlight w:val="none"/>
                <w:lang w:val="en-US" w:eastAsia="zh-CN"/>
              </w:rPr>
            </w:pPr>
            <w:r>
              <w:rPr>
                <w:rFonts w:cs="Times New Roman"/>
                <w:snapToGrid w:val="0"/>
                <w:color w:val="auto"/>
                <w:highlight w:val="none"/>
                <w:lang w:val="en-US"/>
              </w:rPr>
              <w:t>位于生产车间</w:t>
            </w:r>
            <w:r>
              <w:rPr>
                <w:rFonts w:hint="eastAsia" w:cs="Times New Roman"/>
                <w:snapToGrid w:val="0"/>
                <w:color w:val="auto"/>
                <w:highlight w:val="none"/>
                <w:lang w:val="en-US" w:eastAsia="zh-CN"/>
              </w:rPr>
              <w:t>东侧</w:t>
            </w:r>
            <w:r>
              <w:rPr>
                <w:rFonts w:cs="Times New Roman"/>
                <w:snapToGrid w:val="0"/>
                <w:color w:val="auto"/>
                <w:highlight w:val="none"/>
                <w:lang w:val="en-US"/>
              </w:rPr>
              <w:t>，</w:t>
            </w:r>
            <w:r>
              <w:rPr>
                <w:rFonts w:hint="eastAsia" w:cs="Times New Roman"/>
                <w:snapToGrid w:val="0"/>
                <w:color w:val="auto"/>
                <w:highlight w:val="none"/>
                <w:lang w:val="en-US" w:eastAsia="zh-CN"/>
              </w:rPr>
              <w:t>3</w:t>
            </w:r>
            <w:r>
              <w:rPr>
                <w:rFonts w:cs="Times New Roman"/>
                <w:snapToGrid w:val="0"/>
                <w:color w:val="auto"/>
                <w:highlight w:val="none"/>
                <w:lang w:val="en-US"/>
              </w:rPr>
              <w:t>个，建筑面积分别为</w:t>
            </w:r>
            <w:r>
              <w:rPr>
                <w:rFonts w:hint="eastAsia" w:cs="Times New Roman"/>
                <w:snapToGrid w:val="0"/>
                <w:color w:val="auto"/>
                <w:highlight w:val="none"/>
                <w:lang w:val="en-US" w:eastAsia="zh-CN"/>
              </w:rPr>
              <w:t>84</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40</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30</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高4.5m，</w:t>
            </w:r>
            <w:r>
              <w:rPr>
                <w:rFonts w:cs="Times New Roman"/>
                <w:snapToGrid w:val="0"/>
                <w:color w:val="auto"/>
                <w:highlight w:val="none"/>
                <w:lang w:val="en-US"/>
              </w:rPr>
              <w:t>冷藏库最大储存量分别为</w:t>
            </w:r>
            <w:r>
              <w:rPr>
                <w:rFonts w:hint="eastAsia" w:cs="Times New Roman"/>
                <w:snapToGrid w:val="0"/>
                <w:color w:val="auto"/>
                <w:highlight w:val="none"/>
                <w:lang w:val="en-US" w:eastAsia="zh-CN"/>
              </w:rPr>
              <w:t>378</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w:t>
            </w:r>
            <w:r>
              <w:rPr>
                <w:rFonts w:hint="eastAsia" w:cs="Times New Roman"/>
                <w:snapToGrid w:val="0"/>
                <w:color w:val="auto"/>
                <w:highlight w:val="none"/>
                <w:lang w:val="en-US" w:eastAsia="zh-CN"/>
              </w:rPr>
              <w:t>180</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w:t>
            </w:r>
            <w:r>
              <w:rPr>
                <w:rFonts w:hint="eastAsia" w:cs="Times New Roman"/>
                <w:snapToGrid w:val="0"/>
                <w:color w:val="auto"/>
                <w:highlight w:val="none"/>
                <w:lang w:val="en-US" w:eastAsia="zh-CN"/>
              </w:rPr>
              <w:t>135</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，用于冷藏产品</w:t>
            </w:r>
            <w:r>
              <w:rPr>
                <w:rFonts w:hint="eastAsia"/>
                <w:snapToGrid w:val="0"/>
                <w:color w:val="auto"/>
                <w:highlight w:val="none"/>
                <w:lang w:eastAsia="zh-CN"/>
              </w:rPr>
              <w:t>，</w:t>
            </w:r>
            <w:r>
              <w:rPr>
                <w:rFonts w:cs="Times New Roman"/>
                <w:snapToGrid w:val="0"/>
                <w:color w:val="auto"/>
                <w:highlight w:val="none"/>
              </w:rPr>
              <w:t>制冷剂为R410A</w:t>
            </w:r>
          </w:p>
        </w:tc>
        <w:tc>
          <w:tcPr>
            <w:tcW w:w="428" w:type="pct"/>
            <w:vMerge w:val="restart"/>
            <w:vAlign w:val="center"/>
          </w:tcPr>
          <w:p w14:paraId="52EE5DBC">
            <w:pPr>
              <w:pStyle w:val="73"/>
              <w:rPr>
                <w:rFonts w:cs="Times New Roman"/>
                <w:snapToGrid w:val="0"/>
                <w:color w:val="auto"/>
                <w:highlight w:val="none"/>
              </w:rPr>
            </w:pPr>
            <w:r>
              <w:rPr>
                <w:rFonts w:cs="Times New Roman"/>
                <w:snapToGrid w:val="0"/>
                <w:color w:val="auto"/>
                <w:highlight w:val="none"/>
              </w:rPr>
              <w:t>新建</w:t>
            </w:r>
          </w:p>
        </w:tc>
      </w:tr>
      <w:tr w14:paraId="7F54AA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1D2BE264">
            <w:pPr>
              <w:pStyle w:val="73"/>
              <w:rPr>
                <w:rFonts w:cs="Times New Roman"/>
                <w:snapToGrid w:val="0"/>
                <w:color w:val="auto"/>
                <w:highlight w:val="none"/>
              </w:rPr>
            </w:pPr>
          </w:p>
        </w:tc>
        <w:tc>
          <w:tcPr>
            <w:tcW w:w="732" w:type="pct"/>
            <w:gridSpan w:val="2"/>
            <w:vAlign w:val="center"/>
          </w:tcPr>
          <w:p w14:paraId="655194F0">
            <w:pPr>
              <w:pStyle w:val="73"/>
              <w:rPr>
                <w:rFonts w:cs="Times New Roman"/>
                <w:snapToGrid w:val="0"/>
                <w:color w:val="auto"/>
                <w:highlight w:val="none"/>
                <w:lang w:val="en-US"/>
              </w:rPr>
            </w:pPr>
            <w:r>
              <w:rPr>
                <w:rFonts w:cs="Times New Roman"/>
                <w:snapToGrid w:val="0"/>
                <w:color w:val="auto"/>
                <w:highlight w:val="none"/>
                <w:lang w:val="en-US"/>
              </w:rPr>
              <w:t>速冻库</w:t>
            </w:r>
          </w:p>
        </w:tc>
        <w:tc>
          <w:tcPr>
            <w:tcW w:w="3416" w:type="pct"/>
            <w:vAlign w:val="center"/>
          </w:tcPr>
          <w:p w14:paraId="4C57C3C5">
            <w:pPr>
              <w:pStyle w:val="73"/>
              <w:rPr>
                <w:rFonts w:hint="eastAsia" w:eastAsia="宋体" w:cs="Times New Roman"/>
                <w:snapToGrid w:val="0"/>
                <w:color w:val="auto"/>
                <w:highlight w:val="none"/>
                <w:lang w:val="en-US" w:eastAsia="zh-CN"/>
              </w:rPr>
            </w:pPr>
            <w:r>
              <w:rPr>
                <w:rFonts w:cs="Times New Roman"/>
                <w:snapToGrid w:val="0"/>
                <w:color w:val="auto"/>
                <w:highlight w:val="none"/>
                <w:lang w:val="en-US"/>
              </w:rPr>
              <w:t>位于生产车间东南角，2个，建筑面积均为</w:t>
            </w:r>
            <w:r>
              <w:rPr>
                <w:rFonts w:hint="eastAsia" w:cs="Times New Roman"/>
                <w:snapToGrid w:val="0"/>
                <w:color w:val="auto"/>
                <w:highlight w:val="none"/>
                <w:lang w:val="en-US" w:eastAsia="zh-CN"/>
              </w:rPr>
              <w:t>30</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高4.5m，</w:t>
            </w:r>
            <w:r>
              <w:rPr>
                <w:rFonts w:cs="Times New Roman"/>
                <w:snapToGrid w:val="0"/>
                <w:color w:val="auto"/>
                <w:highlight w:val="none"/>
                <w:lang w:val="en-US"/>
              </w:rPr>
              <w:t>每个速冻库最大储存量为</w:t>
            </w:r>
            <w:r>
              <w:rPr>
                <w:rFonts w:hint="eastAsia" w:cs="Times New Roman"/>
                <w:snapToGrid w:val="0"/>
                <w:color w:val="auto"/>
                <w:highlight w:val="none"/>
                <w:lang w:val="en-US" w:eastAsia="zh-CN"/>
              </w:rPr>
              <w:t>135</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，用于产品速冻</w:t>
            </w:r>
            <w:r>
              <w:rPr>
                <w:rFonts w:hint="eastAsia"/>
                <w:snapToGrid w:val="0"/>
                <w:color w:val="auto"/>
                <w:highlight w:val="none"/>
                <w:lang w:eastAsia="zh-CN"/>
              </w:rPr>
              <w:t>，</w:t>
            </w:r>
            <w:r>
              <w:rPr>
                <w:rFonts w:cs="Times New Roman"/>
                <w:snapToGrid w:val="0"/>
                <w:color w:val="auto"/>
                <w:highlight w:val="none"/>
              </w:rPr>
              <w:t>制冷剂为R410A</w:t>
            </w:r>
          </w:p>
        </w:tc>
        <w:tc>
          <w:tcPr>
            <w:tcW w:w="428" w:type="pct"/>
            <w:vMerge w:val="continue"/>
            <w:vAlign w:val="center"/>
          </w:tcPr>
          <w:p w14:paraId="0849E7D0">
            <w:pPr>
              <w:pStyle w:val="73"/>
              <w:rPr>
                <w:rFonts w:cs="Times New Roman"/>
                <w:snapToGrid w:val="0"/>
                <w:color w:val="auto"/>
                <w:highlight w:val="none"/>
              </w:rPr>
            </w:pPr>
          </w:p>
        </w:tc>
      </w:tr>
      <w:tr w14:paraId="0D00F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6E72C6FD">
            <w:pPr>
              <w:pStyle w:val="73"/>
              <w:rPr>
                <w:rFonts w:cs="Times New Roman"/>
                <w:snapToGrid w:val="0"/>
                <w:color w:val="auto"/>
                <w:highlight w:val="none"/>
              </w:rPr>
            </w:pPr>
          </w:p>
        </w:tc>
        <w:tc>
          <w:tcPr>
            <w:tcW w:w="732" w:type="pct"/>
            <w:gridSpan w:val="2"/>
            <w:vAlign w:val="center"/>
          </w:tcPr>
          <w:p w14:paraId="7FEAD888">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分割间</w:t>
            </w:r>
          </w:p>
        </w:tc>
        <w:tc>
          <w:tcPr>
            <w:tcW w:w="3416" w:type="pct"/>
            <w:vAlign w:val="center"/>
          </w:tcPr>
          <w:p w14:paraId="6431FFE8">
            <w:pPr>
              <w:pStyle w:val="73"/>
              <w:rPr>
                <w:rFonts w:hint="default" w:eastAsia="宋体" w:cs="Times New Roman"/>
                <w:snapToGrid w:val="0"/>
                <w:color w:val="auto"/>
                <w:highlight w:val="none"/>
                <w:lang w:val="en-US" w:eastAsia="zh-CN"/>
              </w:rPr>
            </w:pPr>
            <w:r>
              <w:rPr>
                <w:rFonts w:cs="Times New Roman"/>
                <w:snapToGrid w:val="0"/>
                <w:color w:val="auto"/>
                <w:highlight w:val="none"/>
                <w:lang w:val="en-US"/>
              </w:rPr>
              <w:t>位于生产车间</w:t>
            </w:r>
            <w:r>
              <w:rPr>
                <w:rFonts w:hint="eastAsia" w:cs="Times New Roman"/>
                <w:snapToGrid w:val="0"/>
                <w:color w:val="auto"/>
                <w:highlight w:val="none"/>
                <w:lang w:val="en-US" w:eastAsia="zh-CN"/>
              </w:rPr>
              <w:t>中东部</w:t>
            </w:r>
            <w:r>
              <w:rPr>
                <w:rFonts w:cs="Times New Roman"/>
                <w:snapToGrid w:val="0"/>
                <w:color w:val="auto"/>
                <w:highlight w:val="none"/>
                <w:lang w:val="en-US"/>
              </w:rPr>
              <w:t>，1个，建筑面积为</w:t>
            </w:r>
            <w:r>
              <w:rPr>
                <w:rFonts w:hint="eastAsia" w:cs="Times New Roman"/>
                <w:snapToGrid w:val="0"/>
                <w:color w:val="auto"/>
                <w:highlight w:val="none"/>
                <w:lang w:val="en-US" w:eastAsia="zh-CN"/>
              </w:rPr>
              <w:t>572</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高4.5m，分割量为每天的屠宰量</w:t>
            </w:r>
            <w:r>
              <w:rPr>
                <w:rFonts w:cs="Times New Roman"/>
                <w:snapToGrid w:val="0"/>
                <w:color w:val="auto"/>
                <w:highlight w:val="none"/>
                <w:lang w:val="en-US"/>
              </w:rPr>
              <w:t>，</w:t>
            </w:r>
            <w:r>
              <w:rPr>
                <w:rFonts w:hint="eastAsia" w:cs="Times New Roman"/>
                <w:snapToGrid w:val="0"/>
                <w:color w:val="auto"/>
                <w:highlight w:val="none"/>
                <w:lang w:val="en-US" w:eastAsia="zh-CN"/>
              </w:rPr>
              <w:t>分割后根据需要存于冷藏间或速冻库。</w:t>
            </w:r>
          </w:p>
        </w:tc>
        <w:tc>
          <w:tcPr>
            <w:tcW w:w="428" w:type="pct"/>
            <w:vMerge w:val="continue"/>
            <w:vAlign w:val="center"/>
          </w:tcPr>
          <w:p w14:paraId="624D5B99">
            <w:pPr>
              <w:pStyle w:val="73"/>
              <w:rPr>
                <w:rFonts w:cs="Times New Roman"/>
                <w:snapToGrid w:val="0"/>
                <w:color w:val="auto"/>
                <w:highlight w:val="none"/>
              </w:rPr>
            </w:pPr>
          </w:p>
        </w:tc>
      </w:tr>
      <w:tr w14:paraId="5EB65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5B083997">
            <w:pPr>
              <w:pStyle w:val="73"/>
              <w:rPr>
                <w:rFonts w:cs="Times New Roman"/>
                <w:snapToGrid w:val="0"/>
                <w:color w:val="auto"/>
                <w:highlight w:val="none"/>
              </w:rPr>
            </w:pPr>
          </w:p>
        </w:tc>
        <w:tc>
          <w:tcPr>
            <w:tcW w:w="732" w:type="pct"/>
            <w:gridSpan w:val="2"/>
            <w:vAlign w:val="center"/>
          </w:tcPr>
          <w:p w14:paraId="3FD32BEE">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分割间更衣室</w:t>
            </w:r>
          </w:p>
        </w:tc>
        <w:tc>
          <w:tcPr>
            <w:tcW w:w="3416" w:type="pct"/>
            <w:vAlign w:val="center"/>
          </w:tcPr>
          <w:p w14:paraId="10228A41">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紧邻分割间北侧，建筑面积90</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用于分割工人更换衣物。</w:t>
            </w:r>
          </w:p>
        </w:tc>
        <w:tc>
          <w:tcPr>
            <w:tcW w:w="428" w:type="pct"/>
            <w:vMerge w:val="continue"/>
            <w:vAlign w:val="center"/>
          </w:tcPr>
          <w:p w14:paraId="720A6D51">
            <w:pPr>
              <w:pStyle w:val="73"/>
              <w:rPr>
                <w:rFonts w:cs="Times New Roman"/>
                <w:snapToGrid w:val="0"/>
                <w:color w:val="auto"/>
                <w:highlight w:val="none"/>
              </w:rPr>
            </w:pPr>
          </w:p>
        </w:tc>
      </w:tr>
      <w:tr w14:paraId="5B9C54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72E6454E">
            <w:pPr>
              <w:pStyle w:val="73"/>
              <w:rPr>
                <w:rFonts w:cs="Times New Roman"/>
                <w:snapToGrid w:val="0"/>
                <w:color w:val="auto"/>
                <w:highlight w:val="none"/>
              </w:rPr>
            </w:pPr>
          </w:p>
        </w:tc>
        <w:tc>
          <w:tcPr>
            <w:tcW w:w="732" w:type="pct"/>
            <w:gridSpan w:val="2"/>
            <w:vAlign w:val="center"/>
          </w:tcPr>
          <w:p w14:paraId="6AB8DFEE">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白脏间</w:t>
            </w:r>
          </w:p>
        </w:tc>
        <w:tc>
          <w:tcPr>
            <w:tcW w:w="3416" w:type="pct"/>
            <w:vAlign w:val="center"/>
          </w:tcPr>
          <w:p w14:paraId="2853CF23">
            <w:pPr>
              <w:pStyle w:val="73"/>
              <w:rPr>
                <w:rFonts w:hint="default" w:eastAsia="宋体" w:cs="Times New Roman"/>
                <w:snapToGrid w:val="0"/>
                <w:color w:val="auto"/>
                <w:highlight w:val="none"/>
                <w:lang w:val="en-US" w:eastAsia="zh-CN"/>
              </w:rPr>
            </w:pPr>
            <w:r>
              <w:rPr>
                <w:rFonts w:cs="Times New Roman"/>
                <w:snapToGrid w:val="0"/>
                <w:color w:val="auto"/>
                <w:highlight w:val="none"/>
                <w:lang w:val="en-US"/>
              </w:rPr>
              <w:t>位于生产车间南侧，1个，建筑面积为</w:t>
            </w:r>
            <w:r>
              <w:rPr>
                <w:rFonts w:hint="eastAsia" w:cs="Times New Roman"/>
                <w:snapToGrid w:val="0"/>
                <w:color w:val="auto"/>
                <w:highlight w:val="none"/>
                <w:lang w:val="en-US" w:eastAsia="zh-CN"/>
              </w:rPr>
              <w:t>36</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w:t>
            </w:r>
            <w:r>
              <w:rPr>
                <w:rFonts w:cs="Times New Roman"/>
                <w:snapToGrid w:val="0"/>
                <w:color w:val="auto"/>
                <w:highlight w:val="none"/>
                <w:lang w:val="en-US"/>
              </w:rPr>
              <w:t>最大储存量为</w:t>
            </w:r>
            <w:r>
              <w:rPr>
                <w:rFonts w:hint="eastAsia" w:cs="Times New Roman"/>
                <w:snapToGrid w:val="0"/>
                <w:color w:val="auto"/>
                <w:highlight w:val="none"/>
                <w:lang w:val="en-US" w:eastAsia="zh-CN"/>
              </w:rPr>
              <w:t>108</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，用于暂存</w:t>
            </w:r>
            <w:r>
              <w:rPr>
                <w:rFonts w:hint="eastAsia" w:cs="Times New Roman"/>
                <w:snapToGrid w:val="0"/>
                <w:color w:val="auto"/>
                <w:highlight w:val="none"/>
                <w:lang w:val="en-US" w:eastAsia="zh-CN"/>
              </w:rPr>
              <w:t>牛羊肚肠等白色内脏</w:t>
            </w:r>
          </w:p>
        </w:tc>
        <w:tc>
          <w:tcPr>
            <w:tcW w:w="428" w:type="pct"/>
            <w:vMerge w:val="continue"/>
            <w:vAlign w:val="center"/>
          </w:tcPr>
          <w:p w14:paraId="6C0B0503">
            <w:pPr>
              <w:pStyle w:val="73"/>
              <w:rPr>
                <w:rFonts w:cs="Times New Roman"/>
                <w:snapToGrid w:val="0"/>
                <w:color w:val="auto"/>
                <w:highlight w:val="none"/>
              </w:rPr>
            </w:pPr>
          </w:p>
        </w:tc>
      </w:tr>
      <w:tr w14:paraId="2DF83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3775CEF6">
            <w:pPr>
              <w:pStyle w:val="73"/>
              <w:rPr>
                <w:rFonts w:cs="Times New Roman"/>
                <w:snapToGrid w:val="0"/>
                <w:color w:val="auto"/>
                <w:highlight w:val="none"/>
              </w:rPr>
            </w:pPr>
          </w:p>
        </w:tc>
        <w:tc>
          <w:tcPr>
            <w:tcW w:w="732" w:type="pct"/>
            <w:gridSpan w:val="2"/>
            <w:vAlign w:val="center"/>
          </w:tcPr>
          <w:p w14:paraId="62865CDD">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红脏间</w:t>
            </w:r>
          </w:p>
        </w:tc>
        <w:tc>
          <w:tcPr>
            <w:tcW w:w="3416" w:type="pct"/>
            <w:vAlign w:val="center"/>
          </w:tcPr>
          <w:p w14:paraId="0438DB40">
            <w:pPr>
              <w:pStyle w:val="73"/>
              <w:rPr>
                <w:rFonts w:hint="default" w:eastAsia="宋体" w:cs="Times New Roman"/>
                <w:snapToGrid w:val="0"/>
                <w:color w:val="auto"/>
                <w:highlight w:val="none"/>
                <w:lang w:val="en-US" w:eastAsia="zh-CN"/>
              </w:rPr>
            </w:pPr>
            <w:r>
              <w:rPr>
                <w:rFonts w:cs="Times New Roman"/>
                <w:snapToGrid w:val="0"/>
                <w:color w:val="auto"/>
                <w:highlight w:val="none"/>
                <w:lang w:val="en-US"/>
              </w:rPr>
              <w:t>位于生产车间南侧，1个，建筑面积为</w:t>
            </w:r>
            <w:r>
              <w:rPr>
                <w:rFonts w:hint="eastAsia" w:cs="Times New Roman"/>
                <w:snapToGrid w:val="0"/>
                <w:color w:val="auto"/>
                <w:highlight w:val="none"/>
                <w:lang w:val="en-US" w:eastAsia="zh-CN"/>
              </w:rPr>
              <w:t>24</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w:t>
            </w:r>
            <w:r>
              <w:rPr>
                <w:rFonts w:cs="Times New Roman"/>
                <w:snapToGrid w:val="0"/>
                <w:color w:val="auto"/>
                <w:highlight w:val="none"/>
                <w:lang w:val="en-US"/>
              </w:rPr>
              <w:t>最大储存量为</w:t>
            </w:r>
            <w:r>
              <w:rPr>
                <w:rFonts w:hint="eastAsia" w:cs="Times New Roman"/>
                <w:snapToGrid w:val="0"/>
                <w:color w:val="auto"/>
                <w:highlight w:val="none"/>
                <w:lang w:val="en-US" w:eastAsia="zh-CN"/>
              </w:rPr>
              <w:t>72</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，用于暂存</w:t>
            </w:r>
            <w:r>
              <w:rPr>
                <w:rFonts w:hint="eastAsia" w:cs="Times New Roman"/>
                <w:snapToGrid w:val="0"/>
                <w:color w:val="auto"/>
                <w:highlight w:val="none"/>
                <w:lang w:val="en-US" w:eastAsia="zh-CN"/>
              </w:rPr>
              <w:t>牛羊心肝脾肾等红色内脏</w:t>
            </w:r>
          </w:p>
        </w:tc>
        <w:tc>
          <w:tcPr>
            <w:tcW w:w="428" w:type="pct"/>
            <w:vMerge w:val="continue"/>
            <w:vAlign w:val="center"/>
          </w:tcPr>
          <w:p w14:paraId="2A9D2BB1">
            <w:pPr>
              <w:pStyle w:val="73"/>
              <w:rPr>
                <w:rFonts w:cs="Times New Roman"/>
                <w:snapToGrid w:val="0"/>
                <w:color w:val="auto"/>
                <w:highlight w:val="none"/>
              </w:rPr>
            </w:pPr>
          </w:p>
        </w:tc>
      </w:tr>
      <w:tr w14:paraId="6EFEC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4363CF02">
            <w:pPr>
              <w:pStyle w:val="73"/>
              <w:rPr>
                <w:rFonts w:cs="Times New Roman"/>
                <w:snapToGrid w:val="0"/>
                <w:color w:val="auto"/>
                <w:highlight w:val="none"/>
              </w:rPr>
            </w:pPr>
          </w:p>
        </w:tc>
        <w:tc>
          <w:tcPr>
            <w:tcW w:w="732" w:type="pct"/>
            <w:gridSpan w:val="2"/>
            <w:vAlign w:val="center"/>
          </w:tcPr>
          <w:p w14:paraId="4791D0F7">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头蹄间</w:t>
            </w:r>
          </w:p>
        </w:tc>
        <w:tc>
          <w:tcPr>
            <w:tcW w:w="3416" w:type="pct"/>
            <w:vAlign w:val="center"/>
          </w:tcPr>
          <w:p w14:paraId="1C3189E9">
            <w:pPr>
              <w:pStyle w:val="73"/>
              <w:rPr>
                <w:rFonts w:hint="default" w:cs="Times New Roman"/>
                <w:snapToGrid w:val="0"/>
                <w:color w:val="auto"/>
                <w:highlight w:val="none"/>
                <w:lang w:val="en-US"/>
              </w:rPr>
            </w:pPr>
            <w:r>
              <w:rPr>
                <w:rFonts w:cs="Times New Roman"/>
                <w:snapToGrid w:val="0"/>
                <w:color w:val="auto"/>
                <w:highlight w:val="none"/>
                <w:lang w:val="en-US"/>
              </w:rPr>
              <w:t>位于生产车间南侧，1个，建筑面积为</w:t>
            </w:r>
            <w:r>
              <w:rPr>
                <w:rFonts w:hint="eastAsia" w:cs="Times New Roman"/>
                <w:snapToGrid w:val="0"/>
                <w:color w:val="auto"/>
                <w:highlight w:val="none"/>
                <w:lang w:val="en-US" w:eastAsia="zh-CN"/>
              </w:rPr>
              <w:t>36</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w:t>
            </w:r>
            <w:r>
              <w:rPr>
                <w:rFonts w:cs="Times New Roman"/>
                <w:snapToGrid w:val="0"/>
                <w:color w:val="auto"/>
                <w:highlight w:val="none"/>
                <w:lang w:val="en-US"/>
              </w:rPr>
              <w:t>最大储存量为</w:t>
            </w:r>
            <w:r>
              <w:rPr>
                <w:rFonts w:hint="eastAsia" w:cs="Times New Roman"/>
                <w:snapToGrid w:val="0"/>
                <w:color w:val="auto"/>
                <w:highlight w:val="none"/>
                <w:lang w:val="en-US" w:eastAsia="zh-CN"/>
              </w:rPr>
              <w:t>108</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，用于暂存</w:t>
            </w:r>
            <w:r>
              <w:rPr>
                <w:rFonts w:hint="eastAsia" w:cs="Times New Roman"/>
                <w:snapToGrid w:val="0"/>
                <w:color w:val="auto"/>
                <w:highlight w:val="none"/>
                <w:lang w:val="en-US" w:eastAsia="zh-CN"/>
              </w:rPr>
              <w:t>牛羊头部和蹄部</w:t>
            </w:r>
          </w:p>
        </w:tc>
        <w:tc>
          <w:tcPr>
            <w:tcW w:w="428" w:type="pct"/>
            <w:vMerge w:val="continue"/>
            <w:vAlign w:val="center"/>
          </w:tcPr>
          <w:p w14:paraId="786EDA99">
            <w:pPr>
              <w:pStyle w:val="73"/>
              <w:rPr>
                <w:rFonts w:cs="Times New Roman"/>
                <w:snapToGrid w:val="0"/>
                <w:color w:val="auto"/>
                <w:highlight w:val="none"/>
              </w:rPr>
            </w:pPr>
          </w:p>
        </w:tc>
      </w:tr>
      <w:tr w14:paraId="11195D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7E878C6E">
            <w:pPr>
              <w:pStyle w:val="73"/>
              <w:rPr>
                <w:rFonts w:cs="Times New Roman"/>
                <w:snapToGrid w:val="0"/>
                <w:color w:val="auto"/>
                <w:highlight w:val="none"/>
              </w:rPr>
            </w:pPr>
          </w:p>
        </w:tc>
        <w:tc>
          <w:tcPr>
            <w:tcW w:w="732" w:type="pct"/>
            <w:gridSpan w:val="2"/>
            <w:vAlign w:val="center"/>
          </w:tcPr>
          <w:p w14:paraId="64A13ABB">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积血间</w:t>
            </w:r>
          </w:p>
        </w:tc>
        <w:tc>
          <w:tcPr>
            <w:tcW w:w="3416" w:type="pct"/>
            <w:vAlign w:val="center"/>
          </w:tcPr>
          <w:p w14:paraId="0ECA01F3">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位于生产车间西北侧，1个建筑面积37</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用于收集和处理屠宰时放出的血。</w:t>
            </w:r>
          </w:p>
        </w:tc>
        <w:tc>
          <w:tcPr>
            <w:tcW w:w="428" w:type="pct"/>
            <w:vMerge w:val="continue"/>
            <w:vAlign w:val="center"/>
          </w:tcPr>
          <w:p w14:paraId="6BBEEDCD">
            <w:pPr>
              <w:pStyle w:val="73"/>
              <w:rPr>
                <w:rFonts w:cs="Times New Roman"/>
                <w:snapToGrid w:val="0"/>
                <w:color w:val="auto"/>
                <w:highlight w:val="none"/>
              </w:rPr>
            </w:pPr>
          </w:p>
        </w:tc>
      </w:tr>
      <w:tr w14:paraId="09DBA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0435B145">
            <w:pPr>
              <w:pStyle w:val="73"/>
              <w:rPr>
                <w:rFonts w:cs="Times New Roman"/>
                <w:snapToGrid w:val="0"/>
                <w:color w:val="auto"/>
                <w:highlight w:val="none"/>
              </w:rPr>
            </w:pPr>
          </w:p>
        </w:tc>
        <w:tc>
          <w:tcPr>
            <w:tcW w:w="732" w:type="pct"/>
            <w:gridSpan w:val="2"/>
            <w:vAlign w:val="center"/>
          </w:tcPr>
          <w:p w14:paraId="261B7AD2">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高温间</w:t>
            </w:r>
          </w:p>
        </w:tc>
        <w:tc>
          <w:tcPr>
            <w:tcW w:w="3416" w:type="pct"/>
            <w:vAlign w:val="center"/>
          </w:tcPr>
          <w:p w14:paraId="4CC6BBCC">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位于生产车间北侧，1个建筑面积50m</w:t>
            </w:r>
            <w:r>
              <w:rPr>
                <w:rFonts w:hint="eastAsia" w:cs="Times New Roman"/>
                <w:snapToGrid w:val="0"/>
                <w:color w:val="auto"/>
                <w:highlight w:val="none"/>
                <w:vertAlign w:val="superscript"/>
                <w:lang w:val="en-US" w:eastAsia="zh-CN"/>
              </w:rPr>
              <w:t>2</w:t>
            </w:r>
            <w:r>
              <w:rPr>
                <w:rFonts w:hint="eastAsia" w:cs="Times New Roman"/>
                <w:snapToGrid w:val="0"/>
                <w:color w:val="auto"/>
                <w:highlight w:val="none"/>
                <w:lang w:val="en-US" w:eastAsia="zh-CN"/>
              </w:rPr>
              <w:t>，对屠宰产生的废弃物（如不可食用油脂等）采用电加热进行高温高压处理，彻底杀灭细菌等</w:t>
            </w:r>
          </w:p>
        </w:tc>
        <w:tc>
          <w:tcPr>
            <w:tcW w:w="428" w:type="pct"/>
            <w:vMerge w:val="continue"/>
            <w:vAlign w:val="center"/>
          </w:tcPr>
          <w:p w14:paraId="1A33D450">
            <w:pPr>
              <w:pStyle w:val="73"/>
              <w:rPr>
                <w:rFonts w:cs="Times New Roman"/>
                <w:snapToGrid w:val="0"/>
                <w:color w:val="auto"/>
                <w:highlight w:val="none"/>
              </w:rPr>
            </w:pPr>
          </w:p>
        </w:tc>
      </w:tr>
      <w:tr w14:paraId="1BAECD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4B63EBEE">
            <w:pPr>
              <w:pStyle w:val="73"/>
              <w:rPr>
                <w:rFonts w:cs="Times New Roman"/>
                <w:snapToGrid w:val="0"/>
                <w:color w:val="auto"/>
                <w:highlight w:val="none"/>
              </w:rPr>
            </w:pPr>
          </w:p>
        </w:tc>
        <w:tc>
          <w:tcPr>
            <w:tcW w:w="732" w:type="pct"/>
            <w:gridSpan w:val="2"/>
            <w:vAlign w:val="center"/>
          </w:tcPr>
          <w:p w14:paraId="7F380E14">
            <w:pPr>
              <w:pStyle w:val="73"/>
              <w:rPr>
                <w:rFonts w:hint="eastAsia" w:eastAsia="宋体" w:cs="Times New Roman"/>
                <w:snapToGrid w:val="0"/>
                <w:color w:val="auto"/>
                <w:highlight w:val="none"/>
                <w:lang w:val="en-US" w:eastAsia="zh-CN"/>
              </w:rPr>
            </w:pPr>
            <w:r>
              <w:rPr>
                <w:rFonts w:cs="Times New Roman"/>
                <w:snapToGrid w:val="0"/>
                <w:color w:val="auto"/>
                <w:highlight w:val="none"/>
                <w:lang w:val="en-US"/>
              </w:rPr>
              <w:t>排酸</w:t>
            </w:r>
            <w:r>
              <w:rPr>
                <w:rFonts w:hint="eastAsia" w:cs="Times New Roman"/>
                <w:snapToGrid w:val="0"/>
                <w:color w:val="auto"/>
                <w:highlight w:val="none"/>
                <w:lang w:val="en-US" w:eastAsia="zh-CN"/>
              </w:rPr>
              <w:t>间</w:t>
            </w:r>
          </w:p>
        </w:tc>
        <w:tc>
          <w:tcPr>
            <w:tcW w:w="3416" w:type="pct"/>
            <w:vAlign w:val="center"/>
          </w:tcPr>
          <w:p w14:paraId="228932B9">
            <w:pPr>
              <w:pStyle w:val="73"/>
              <w:rPr>
                <w:rFonts w:cs="Times New Roman"/>
                <w:snapToGrid w:val="0"/>
                <w:color w:val="auto"/>
                <w:highlight w:val="none"/>
                <w:lang w:val="en-US"/>
              </w:rPr>
            </w:pPr>
            <w:r>
              <w:rPr>
                <w:rFonts w:cs="Times New Roman"/>
                <w:snapToGrid w:val="0"/>
                <w:color w:val="auto"/>
                <w:highlight w:val="none"/>
                <w:lang w:val="en-US"/>
              </w:rPr>
              <w:t>位于生产车间</w:t>
            </w:r>
            <w:r>
              <w:rPr>
                <w:rFonts w:hint="eastAsia" w:cs="Times New Roman"/>
                <w:snapToGrid w:val="0"/>
                <w:color w:val="auto"/>
                <w:highlight w:val="none"/>
                <w:lang w:val="en-US" w:eastAsia="zh-CN"/>
              </w:rPr>
              <w:t>西北侧</w:t>
            </w:r>
            <w:r>
              <w:rPr>
                <w:rFonts w:cs="Times New Roman"/>
                <w:snapToGrid w:val="0"/>
                <w:color w:val="auto"/>
                <w:highlight w:val="none"/>
                <w:lang w:val="en-US"/>
              </w:rPr>
              <w:t>，2个，建筑面积均为</w:t>
            </w:r>
            <w:r>
              <w:rPr>
                <w:rFonts w:hint="eastAsia" w:cs="Times New Roman"/>
                <w:snapToGrid w:val="0"/>
                <w:color w:val="auto"/>
                <w:highlight w:val="none"/>
                <w:lang w:val="en-US" w:eastAsia="zh-CN"/>
              </w:rPr>
              <w:t>84</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高4.3m，</w:t>
            </w:r>
            <w:r>
              <w:rPr>
                <w:rFonts w:cs="Times New Roman"/>
                <w:snapToGrid w:val="0"/>
                <w:color w:val="auto"/>
                <w:highlight w:val="none"/>
                <w:lang w:val="en-US"/>
              </w:rPr>
              <w:t>最大储存量均为</w:t>
            </w:r>
            <w:r>
              <w:rPr>
                <w:rFonts w:hint="eastAsia" w:cs="Times New Roman"/>
                <w:snapToGrid w:val="0"/>
                <w:color w:val="auto"/>
                <w:highlight w:val="none"/>
                <w:lang w:val="en-US" w:eastAsia="zh-CN"/>
              </w:rPr>
              <w:t>361</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，分别用于羊排酸和牛排酸</w:t>
            </w:r>
          </w:p>
        </w:tc>
        <w:tc>
          <w:tcPr>
            <w:tcW w:w="428" w:type="pct"/>
            <w:vMerge w:val="continue"/>
            <w:vAlign w:val="center"/>
          </w:tcPr>
          <w:p w14:paraId="6BD4E54D">
            <w:pPr>
              <w:pStyle w:val="73"/>
              <w:rPr>
                <w:rFonts w:cs="Times New Roman"/>
                <w:snapToGrid w:val="0"/>
                <w:color w:val="auto"/>
                <w:highlight w:val="none"/>
              </w:rPr>
            </w:pPr>
          </w:p>
        </w:tc>
      </w:tr>
      <w:tr w14:paraId="7BA8E0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5CB0A205">
            <w:pPr>
              <w:pStyle w:val="73"/>
              <w:rPr>
                <w:rFonts w:cs="Times New Roman"/>
                <w:snapToGrid w:val="0"/>
                <w:color w:val="auto"/>
                <w:highlight w:val="none"/>
              </w:rPr>
            </w:pPr>
          </w:p>
        </w:tc>
        <w:tc>
          <w:tcPr>
            <w:tcW w:w="732" w:type="pct"/>
            <w:gridSpan w:val="2"/>
            <w:vAlign w:val="center"/>
          </w:tcPr>
          <w:p w14:paraId="43201F55">
            <w:pPr>
              <w:pStyle w:val="73"/>
              <w:rPr>
                <w:rFonts w:cs="Times New Roman"/>
                <w:snapToGrid w:val="0"/>
                <w:color w:val="auto"/>
                <w:highlight w:val="none"/>
                <w:lang w:val="en-US"/>
              </w:rPr>
            </w:pPr>
            <w:r>
              <w:rPr>
                <w:rFonts w:cs="Times New Roman"/>
                <w:snapToGrid w:val="0"/>
                <w:color w:val="auto"/>
                <w:highlight w:val="none"/>
                <w:lang w:val="en-US"/>
              </w:rPr>
              <w:t>皮</w:t>
            </w:r>
            <w:r>
              <w:rPr>
                <w:rFonts w:hint="eastAsia" w:cs="Times New Roman"/>
                <w:snapToGrid w:val="0"/>
                <w:color w:val="auto"/>
                <w:highlight w:val="none"/>
                <w:lang w:val="en-US" w:eastAsia="zh-CN"/>
              </w:rPr>
              <w:t>张</w:t>
            </w:r>
            <w:r>
              <w:rPr>
                <w:rFonts w:cs="Times New Roman"/>
                <w:snapToGrid w:val="0"/>
                <w:color w:val="auto"/>
                <w:highlight w:val="none"/>
                <w:lang w:val="en-US"/>
              </w:rPr>
              <w:t>间</w:t>
            </w:r>
          </w:p>
        </w:tc>
        <w:tc>
          <w:tcPr>
            <w:tcW w:w="3416" w:type="pct"/>
            <w:vAlign w:val="center"/>
          </w:tcPr>
          <w:p w14:paraId="75E662E5">
            <w:pPr>
              <w:pStyle w:val="73"/>
              <w:rPr>
                <w:rFonts w:cs="Times New Roman"/>
                <w:snapToGrid w:val="0"/>
                <w:color w:val="auto"/>
                <w:highlight w:val="none"/>
                <w:lang w:val="en-US"/>
              </w:rPr>
            </w:pPr>
            <w:r>
              <w:rPr>
                <w:rFonts w:cs="Times New Roman"/>
                <w:snapToGrid w:val="0"/>
                <w:color w:val="auto"/>
                <w:highlight w:val="none"/>
                <w:lang w:val="en-US"/>
              </w:rPr>
              <w:t>位于生产车间南侧，1个，建筑面积为</w:t>
            </w:r>
            <w:r>
              <w:rPr>
                <w:rFonts w:hint="eastAsia" w:cs="Times New Roman"/>
                <w:snapToGrid w:val="0"/>
                <w:color w:val="auto"/>
                <w:highlight w:val="none"/>
                <w:lang w:val="en-US" w:eastAsia="zh-CN"/>
              </w:rPr>
              <w:t>18</w:t>
            </w:r>
            <w:r>
              <w:rPr>
                <w:rFonts w:cs="Times New Roman"/>
                <w:snapToGrid w:val="0"/>
                <w:color w:val="auto"/>
                <w:highlight w:val="none"/>
                <w:lang w:val="en-US"/>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w:t>
            </w:r>
            <w:r>
              <w:rPr>
                <w:rFonts w:cs="Times New Roman"/>
                <w:snapToGrid w:val="0"/>
                <w:color w:val="auto"/>
                <w:highlight w:val="none"/>
                <w:lang w:val="en-US"/>
              </w:rPr>
              <w:t>最大储存量为</w:t>
            </w:r>
            <w:r>
              <w:rPr>
                <w:rFonts w:hint="eastAsia" w:cs="Times New Roman"/>
                <w:snapToGrid w:val="0"/>
                <w:color w:val="auto"/>
                <w:highlight w:val="none"/>
                <w:lang w:val="en-US" w:eastAsia="zh-CN"/>
              </w:rPr>
              <w:t>54</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，用于暂存羊皮、牛皮</w:t>
            </w:r>
          </w:p>
        </w:tc>
        <w:tc>
          <w:tcPr>
            <w:tcW w:w="428" w:type="pct"/>
            <w:vMerge w:val="continue"/>
            <w:vAlign w:val="center"/>
          </w:tcPr>
          <w:p w14:paraId="429CBCC0">
            <w:pPr>
              <w:pStyle w:val="73"/>
              <w:rPr>
                <w:rFonts w:cs="Times New Roman"/>
                <w:snapToGrid w:val="0"/>
                <w:color w:val="auto"/>
                <w:highlight w:val="none"/>
              </w:rPr>
            </w:pPr>
          </w:p>
        </w:tc>
      </w:tr>
      <w:tr w14:paraId="44F80B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20C707A0">
            <w:pPr>
              <w:pStyle w:val="73"/>
              <w:rPr>
                <w:rFonts w:cs="Times New Roman"/>
                <w:snapToGrid w:val="0"/>
                <w:color w:val="auto"/>
                <w:highlight w:val="none"/>
              </w:rPr>
            </w:pPr>
          </w:p>
        </w:tc>
        <w:tc>
          <w:tcPr>
            <w:tcW w:w="732" w:type="pct"/>
            <w:gridSpan w:val="2"/>
            <w:vAlign w:val="center"/>
          </w:tcPr>
          <w:p w14:paraId="23A4D70F">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检验室</w:t>
            </w:r>
          </w:p>
        </w:tc>
        <w:tc>
          <w:tcPr>
            <w:tcW w:w="3416" w:type="pct"/>
            <w:vAlign w:val="center"/>
          </w:tcPr>
          <w:p w14:paraId="7AD85517">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位于车间东南侧，1个建筑面积18</w:t>
            </w:r>
            <w:r>
              <w:rPr>
                <w:rFonts w:cs="Times New Roman"/>
                <w:snapToGrid w:val="0"/>
                <w:color w:val="auto"/>
                <w:highlight w:val="none"/>
                <w:lang w:val="en-US"/>
              </w:rPr>
              <w:t>m</w:t>
            </w:r>
            <w:r>
              <w:rPr>
                <w:rFonts w:cs="Times New Roman"/>
                <w:snapToGrid w:val="0"/>
                <w:color w:val="auto"/>
                <w:highlight w:val="none"/>
                <w:vertAlign w:val="superscript"/>
              </w:rPr>
              <w:t>2</w:t>
            </w:r>
            <w:r>
              <w:rPr>
                <w:rFonts w:hint="eastAsia" w:cs="Times New Roman"/>
                <w:snapToGrid w:val="0"/>
                <w:color w:val="auto"/>
                <w:highlight w:val="none"/>
                <w:lang w:val="en-US" w:eastAsia="zh-CN"/>
              </w:rPr>
              <w:t>，高3m，用于</w:t>
            </w:r>
            <w:r>
              <w:rPr>
                <w:rFonts w:hint="eastAsia" w:ascii="Times New Roman" w:hAnsi="Times New Roman" w:eastAsia="宋体"/>
                <w:snapToGrid w:val="0"/>
                <w:color w:val="auto"/>
                <w:highlight w:val="none"/>
                <w:lang w:val="en-US" w:eastAsia="zh-CN"/>
              </w:rPr>
              <w:t>寄生虫检疫</w:t>
            </w:r>
            <w:r>
              <w:rPr>
                <w:rFonts w:hint="eastAsia"/>
                <w:snapToGrid w:val="0"/>
                <w:color w:val="auto"/>
                <w:highlight w:val="none"/>
                <w:lang w:val="en-US" w:eastAsia="zh-CN"/>
              </w:rPr>
              <w:t>，</w:t>
            </w:r>
            <w:r>
              <w:rPr>
                <w:rFonts w:hint="eastAsia" w:ascii="Times New Roman" w:hAnsi="Times New Roman" w:eastAsia="宋体"/>
                <w:snapToGrid w:val="0"/>
                <w:color w:val="auto"/>
                <w:highlight w:val="none"/>
                <w:lang w:val="en-US" w:eastAsia="zh-CN"/>
              </w:rPr>
              <w:t>需制成载玻片以显微镜检疫，项目检验不涉及药品使用</w:t>
            </w:r>
          </w:p>
        </w:tc>
        <w:tc>
          <w:tcPr>
            <w:tcW w:w="428" w:type="pct"/>
            <w:vMerge w:val="continue"/>
            <w:vAlign w:val="center"/>
          </w:tcPr>
          <w:p w14:paraId="00D2BC83">
            <w:pPr>
              <w:pStyle w:val="73"/>
              <w:rPr>
                <w:rFonts w:cs="Times New Roman"/>
                <w:snapToGrid w:val="0"/>
                <w:color w:val="auto"/>
                <w:highlight w:val="none"/>
              </w:rPr>
            </w:pPr>
          </w:p>
        </w:tc>
      </w:tr>
      <w:tr w14:paraId="3601AE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2D75D6E7">
            <w:pPr>
              <w:pStyle w:val="73"/>
              <w:rPr>
                <w:rFonts w:cs="Times New Roman"/>
                <w:snapToGrid w:val="0"/>
                <w:color w:val="auto"/>
                <w:highlight w:val="none"/>
              </w:rPr>
            </w:pPr>
          </w:p>
        </w:tc>
        <w:tc>
          <w:tcPr>
            <w:tcW w:w="732" w:type="pct"/>
            <w:gridSpan w:val="2"/>
            <w:vAlign w:val="center"/>
          </w:tcPr>
          <w:p w14:paraId="0B84AA19">
            <w:pPr>
              <w:pStyle w:val="73"/>
              <w:rPr>
                <w:rFonts w:cs="Times New Roman"/>
                <w:snapToGrid w:val="0"/>
                <w:color w:val="auto"/>
                <w:highlight w:val="none"/>
                <w:lang w:val="en-US"/>
              </w:rPr>
            </w:pPr>
            <w:r>
              <w:rPr>
                <w:rFonts w:hint="eastAsia" w:cs="Times New Roman"/>
                <w:snapToGrid w:val="0"/>
                <w:color w:val="auto"/>
                <w:kern w:val="0"/>
                <w:szCs w:val="21"/>
                <w:highlight w:val="none"/>
                <w:lang w:val="en-US" w:eastAsia="zh-CN"/>
              </w:rPr>
              <w:t>危险废物暂存点</w:t>
            </w:r>
          </w:p>
        </w:tc>
        <w:tc>
          <w:tcPr>
            <w:tcW w:w="3416" w:type="pct"/>
            <w:vAlign w:val="center"/>
          </w:tcPr>
          <w:p w14:paraId="5E7E6F48">
            <w:pPr>
              <w:pStyle w:val="73"/>
              <w:rPr>
                <w:rFonts w:hint="eastAsia" w:eastAsia="宋体" w:cs="Times New Roman"/>
                <w:snapToGrid w:val="0"/>
                <w:color w:val="auto"/>
                <w:highlight w:val="none"/>
                <w:lang w:val="en-US" w:eastAsia="zh-CN"/>
              </w:rPr>
            </w:pPr>
            <w:r>
              <w:rPr>
                <w:rFonts w:hint="eastAsia" w:cs="Times New Roman"/>
                <w:snapToGrid w:val="0"/>
                <w:color w:val="auto"/>
                <w:kern w:val="0"/>
                <w:szCs w:val="21"/>
                <w:highlight w:val="none"/>
                <w:lang w:val="en-US" w:eastAsia="zh-CN"/>
              </w:rPr>
              <w:t>危险废物暂存点</w:t>
            </w:r>
            <w:r>
              <w:rPr>
                <w:rFonts w:hint="eastAsia" w:cs="Times New Roman"/>
                <w:snapToGrid w:val="0"/>
                <w:color w:val="auto"/>
                <w:kern w:val="0"/>
                <w:szCs w:val="21"/>
                <w:highlight w:val="none"/>
                <w:lang w:val="en-US" w:eastAsia="zh-CN"/>
              </w:rPr>
              <w:t>位于待宰圈内，1个，建筑面积为20m</w:t>
            </w:r>
            <w:r>
              <w:rPr>
                <w:rFonts w:hint="eastAsia" w:cs="Times New Roman"/>
                <w:snapToGrid w:val="0"/>
                <w:color w:val="auto"/>
                <w:kern w:val="0"/>
                <w:szCs w:val="21"/>
                <w:highlight w:val="none"/>
                <w:vertAlign w:val="superscript"/>
                <w:lang w:val="en-US" w:eastAsia="zh-CN"/>
              </w:rPr>
              <w:t>2</w:t>
            </w:r>
            <w:r>
              <w:rPr>
                <w:rFonts w:hint="eastAsia" w:cs="Times New Roman"/>
                <w:snapToGrid w:val="0"/>
                <w:color w:val="auto"/>
                <w:kern w:val="0"/>
                <w:szCs w:val="21"/>
                <w:highlight w:val="none"/>
                <w:lang w:val="en-US" w:eastAsia="zh-CN"/>
              </w:rPr>
              <w:t>，</w:t>
            </w:r>
            <w:r>
              <w:rPr>
                <w:rFonts w:hint="eastAsia" w:cs="Times New Roman"/>
                <w:snapToGrid w:val="0"/>
                <w:color w:val="auto"/>
                <w:highlight w:val="none"/>
                <w:lang w:val="en-US" w:eastAsia="zh-CN"/>
              </w:rPr>
              <w:t>高3m，</w:t>
            </w:r>
            <w:r>
              <w:rPr>
                <w:rFonts w:hint="eastAsia" w:cs="Times New Roman"/>
                <w:snapToGrid w:val="0"/>
                <w:color w:val="auto"/>
                <w:kern w:val="0"/>
                <w:szCs w:val="21"/>
                <w:highlight w:val="none"/>
                <w:lang w:val="en-US" w:eastAsia="zh-CN"/>
              </w:rPr>
              <w:t>主要暂存检疫废物（HW49其他废物，代码900-041-49），最大暂存量为60t。危险废物暂存点采用重点防渗措施：参照《危险废物贮存污染控制标准》（GB18597-2023）执行，基础必须防渗，防渗层为至少1m厚粘土层（渗透系数≤10</w:t>
            </w:r>
            <w:r>
              <w:rPr>
                <w:rFonts w:hint="eastAsia" w:cs="Times New Roman"/>
                <w:snapToGrid w:val="0"/>
                <w:color w:val="auto"/>
                <w:kern w:val="0"/>
                <w:szCs w:val="21"/>
                <w:highlight w:val="none"/>
                <w:vertAlign w:val="superscript"/>
                <w:lang w:val="en-US" w:eastAsia="zh-CN"/>
              </w:rPr>
              <w:t>-7</w:t>
            </w:r>
            <w:r>
              <w:rPr>
                <w:rFonts w:hint="eastAsia" w:cs="Times New Roman"/>
                <w:snapToGrid w:val="0"/>
                <w:color w:val="auto"/>
                <w:kern w:val="0"/>
                <w:szCs w:val="21"/>
                <w:highlight w:val="none"/>
                <w:lang w:val="en-US" w:eastAsia="zh-CN"/>
              </w:rPr>
              <w:t>cm/s），或2mm厚高密度聚乙烯，或至少2mm厚的其它人工材料，渗透系数≤10</w:t>
            </w:r>
            <w:r>
              <w:rPr>
                <w:rFonts w:hint="eastAsia" w:cs="Times New Roman"/>
                <w:snapToGrid w:val="0"/>
                <w:color w:val="auto"/>
                <w:kern w:val="0"/>
                <w:szCs w:val="21"/>
                <w:highlight w:val="none"/>
                <w:vertAlign w:val="superscript"/>
                <w:lang w:val="en-US" w:eastAsia="zh-CN"/>
              </w:rPr>
              <w:t>-10</w:t>
            </w:r>
            <w:r>
              <w:rPr>
                <w:rFonts w:hint="eastAsia" w:cs="Times New Roman"/>
                <w:snapToGrid w:val="0"/>
                <w:color w:val="auto"/>
                <w:kern w:val="0"/>
                <w:szCs w:val="21"/>
                <w:highlight w:val="none"/>
                <w:lang w:val="en-US" w:eastAsia="zh-CN"/>
              </w:rPr>
              <w:t>cm/s</w:t>
            </w:r>
          </w:p>
        </w:tc>
        <w:tc>
          <w:tcPr>
            <w:tcW w:w="428" w:type="pct"/>
            <w:vMerge w:val="continue"/>
            <w:vAlign w:val="center"/>
          </w:tcPr>
          <w:p w14:paraId="26357732">
            <w:pPr>
              <w:pStyle w:val="73"/>
              <w:rPr>
                <w:rFonts w:cs="Times New Roman"/>
                <w:snapToGrid w:val="0"/>
                <w:color w:val="auto"/>
                <w:highlight w:val="none"/>
              </w:rPr>
            </w:pPr>
          </w:p>
        </w:tc>
      </w:tr>
      <w:tr w14:paraId="257B1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417F22A8">
            <w:pPr>
              <w:pStyle w:val="73"/>
              <w:rPr>
                <w:rFonts w:cs="Times New Roman"/>
                <w:snapToGrid w:val="0"/>
                <w:color w:val="auto"/>
                <w:highlight w:val="none"/>
              </w:rPr>
            </w:pPr>
          </w:p>
        </w:tc>
        <w:tc>
          <w:tcPr>
            <w:tcW w:w="732" w:type="pct"/>
            <w:gridSpan w:val="2"/>
            <w:vAlign w:val="center"/>
          </w:tcPr>
          <w:p w14:paraId="6EBD555A">
            <w:pPr>
              <w:pStyle w:val="73"/>
              <w:ind w:firstLine="0" w:firstLineChars="0"/>
              <w:rPr>
                <w:rFonts w:hint="eastAsia" w:cs="Times New Roman"/>
                <w:snapToGrid w:val="0"/>
                <w:color w:val="auto"/>
                <w:kern w:val="0"/>
                <w:szCs w:val="21"/>
                <w:highlight w:val="none"/>
                <w:lang w:val="en-US" w:eastAsia="zh-CN"/>
              </w:rPr>
            </w:pPr>
            <w:r>
              <w:rPr>
                <w:rFonts w:hint="eastAsia" w:cs="Times New Roman"/>
                <w:snapToGrid w:val="0"/>
                <w:color w:val="auto"/>
                <w:highlight w:val="none"/>
                <w:lang w:val="en-US" w:eastAsia="zh-CN"/>
              </w:rPr>
              <w:t>一般</w:t>
            </w:r>
            <w:r>
              <w:rPr>
                <w:rFonts w:cs="Times New Roman"/>
                <w:snapToGrid w:val="0"/>
                <w:color w:val="auto"/>
                <w:highlight w:val="none"/>
                <w:lang w:val="en-US"/>
              </w:rPr>
              <w:t>固体废物暂存间</w:t>
            </w:r>
          </w:p>
        </w:tc>
        <w:tc>
          <w:tcPr>
            <w:tcW w:w="3416" w:type="pct"/>
            <w:vAlign w:val="center"/>
          </w:tcPr>
          <w:p w14:paraId="2FAC7360">
            <w:pPr>
              <w:pStyle w:val="73"/>
              <w:ind w:firstLine="0" w:firstLineChars="0"/>
              <w:rPr>
                <w:rFonts w:hint="eastAsia" w:cs="Times New Roman"/>
                <w:snapToGrid w:val="0"/>
                <w:color w:val="auto"/>
                <w:kern w:val="0"/>
                <w:szCs w:val="21"/>
                <w:highlight w:val="none"/>
                <w:lang w:val="en-US" w:eastAsia="zh-CN"/>
              </w:rPr>
            </w:pPr>
            <w:r>
              <w:rPr>
                <w:rFonts w:cs="Times New Roman"/>
                <w:snapToGrid w:val="0"/>
                <w:color w:val="auto"/>
                <w:highlight w:val="none"/>
                <w:lang w:val="en-US"/>
              </w:rPr>
              <w:t>位于</w:t>
            </w:r>
            <w:r>
              <w:rPr>
                <w:rFonts w:hint="eastAsia" w:cs="Times New Roman"/>
                <w:snapToGrid w:val="0"/>
                <w:color w:val="auto"/>
                <w:kern w:val="0"/>
                <w:szCs w:val="21"/>
                <w:highlight w:val="none"/>
                <w:lang w:val="en-US" w:eastAsia="zh-CN"/>
              </w:rPr>
              <w:t>位于待宰圈内，1个，与危险废物暂存点分隔开来，建筑面积为20m</w:t>
            </w:r>
            <w:r>
              <w:rPr>
                <w:rFonts w:hint="eastAsia" w:cs="Times New Roman"/>
                <w:snapToGrid w:val="0"/>
                <w:color w:val="auto"/>
                <w:kern w:val="0"/>
                <w:szCs w:val="21"/>
                <w:highlight w:val="none"/>
                <w:vertAlign w:val="superscript"/>
                <w:lang w:val="en-US" w:eastAsia="zh-CN"/>
              </w:rPr>
              <w:t>2</w:t>
            </w:r>
            <w:r>
              <w:rPr>
                <w:rFonts w:hint="eastAsia" w:cs="Times New Roman"/>
                <w:snapToGrid w:val="0"/>
                <w:color w:val="auto"/>
                <w:kern w:val="0"/>
                <w:szCs w:val="21"/>
                <w:highlight w:val="none"/>
                <w:lang w:val="en-US" w:eastAsia="zh-CN"/>
              </w:rPr>
              <w:t>，</w:t>
            </w:r>
            <w:r>
              <w:rPr>
                <w:rFonts w:hint="eastAsia" w:cs="Times New Roman"/>
                <w:snapToGrid w:val="0"/>
                <w:color w:val="auto"/>
                <w:highlight w:val="none"/>
                <w:lang w:val="en-US" w:eastAsia="zh-CN"/>
              </w:rPr>
              <w:t>高3m，</w:t>
            </w:r>
            <w:r>
              <w:rPr>
                <w:rFonts w:cs="Times New Roman"/>
                <w:snapToGrid w:val="0"/>
                <w:color w:val="auto"/>
                <w:highlight w:val="none"/>
                <w:lang w:val="en-US"/>
              </w:rPr>
              <w:t>设置4个</w:t>
            </w:r>
            <w:r>
              <w:rPr>
                <w:rFonts w:hint="eastAsia" w:cs="Times New Roman"/>
                <w:snapToGrid w:val="0"/>
                <w:color w:val="auto"/>
                <w:highlight w:val="none"/>
                <w:lang w:val="en-US" w:eastAsia="zh-CN"/>
              </w:rPr>
              <w:t>转运桶</w:t>
            </w:r>
            <w:r>
              <w:rPr>
                <w:rFonts w:cs="Times New Roman"/>
                <w:snapToGrid w:val="0"/>
                <w:color w:val="auto"/>
                <w:highlight w:val="none"/>
              </w:rPr>
              <w:t>，</w:t>
            </w:r>
            <w:r>
              <w:rPr>
                <w:rFonts w:cs="Times New Roman"/>
                <w:snapToGrid w:val="0"/>
                <w:color w:val="auto"/>
                <w:highlight w:val="none"/>
                <w:lang w:val="en-US"/>
              </w:rPr>
              <w:t>其中3个</w:t>
            </w:r>
            <w:r>
              <w:rPr>
                <w:rFonts w:cs="Times New Roman"/>
                <w:snapToGrid w:val="0"/>
                <w:color w:val="auto"/>
                <w:highlight w:val="none"/>
              </w:rPr>
              <w:t>分别暂存不可食用</w:t>
            </w:r>
            <w:r>
              <w:rPr>
                <w:rFonts w:cs="Times New Roman"/>
                <w:snapToGrid w:val="0"/>
                <w:color w:val="auto"/>
                <w:kern w:val="0"/>
                <w:szCs w:val="24"/>
                <w:highlight w:val="none"/>
              </w:rPr>
              <w:t>胃容物及肠内物、</w:t>
            </w:r>
            <w:r>
              <w:rPr>
                <w:rFonts w:cs="Times New Roman"/>
                <w:snapToGrid w:val="0"/>
                <w:color w:val="auto"/>
                <w:kern w:val="0"/>
                <w:szCs w:val="24"/>
                <w:highlight w:val="none"/>
                <w:lang w:val="en-US"/>
              </w:rPr>
              <w:t>粪便</w:t>
            </w:r>
            <w:r>
              <w:rPr>
                <w:rFonts w:cs="Times New Roman"/>
                <w:snapToGrid w:val="0"/>
                <w:color w:val="auto"/>
                <w:kern w:val="0"/>
                <w:szCs w:val="24"/>
                <w:highlight w:val="none"/>
              </w:rPr>
              <w:t>及边角料</w:t>
            </w:r>
            <w:r>
              <w:rPr>
                <w:rFonts w:cs="Times New Roman"/>
                <w:snapToGrid w:val="0"/>
                <w:color w:val="auto"/>
                <w:highlight w:val="none"/>
              </w:rPr>
              <w:t>，</w:t>
            </w:r>
            <w:r>
              <w:rPr>
                <w:rFonts w:hint="eastAsia" w:cs="Times New Roman"/>
                <w:snapToGrid w:val="0"/>
                <w:color w:val="auto"/>
                <w:highlight w:val="none"/>
                <w:lang w:val="en-US" w:eastAsia="zh-CN"/>
              </w:rPr>
              <w:t>2天</w:t>
            </w:r>
            <w:r>
              <w:rPr>
                <w:rFonts w:cs="Times New Roman"/>
                <w:snapToGrid w:val="0"/>
                <w:color w:val="auto"/>
                <w:highlight w:val="none"/>
              </w:rPr>
              <w:t>外运处理一次。</w:t>
            </w:r>
            <w:r>
              <w:rPr>
                <w:rFonts w:cs="Times New Roman"/>
                <w:snapToGrid w:val="0"/>
                <w:color w:val="auto"/>
                <w:highlight w:val="none"/>
                <w:lang w:val="en-US"/>
              </w:rPr>
              <w:t>1个用于储存检疫不合格品及病死牛羊，产生后</w:t>
            </w:r>
            <w:r>
              <w:rPr>
                <w:rFonts w:cs="Times New Roman"/>
                <w:snapToGrid w:val="0"/>
                <w:color w:val="auto"/>
                <w:kern w:val="0"/>
                <w:szCs w:val="24"/>
                <w:highlight w:val="none"/>
              </w:rPr>
              <w:t>当天</w:t>
            </w:r>
            <w:r>
              <w:rPr>
                <w:rFonts w:hint="eastAsia" w:cs="Times New Roman"/>
                <w:snapToGrid w:val="0"/>
                <w:color w:val="auto"/>
                <w:kern w:val="0"/>
                <w:szCs w:val="24"/>
                <w:highlight w:val="none"/>
                <w:lang w:eastAsia="zh-CN"/>
              </w:rPr>
              <w:t>由</w:t>
            </w:r>
            <w:r>
              <w:rPr>
                <w:rFonts w:hint="eastAsia" w:cs="Times New Roman"/>
                <w:snapToGrid w:val="0"/>
                <w:color w:val="auto"/>
                <w:szCs w:val="24"/>
                <w:highlight w:val="none"/>
                <w:lang w:eastAsia="zh-CN"/>
              </w:rPr>
              <w:t>双</w:t>
            </w:r>
            <w:r>
              <w:rPr>
                <w:rFonts w:hint="eastAsia" w:cs="Times New Roman"/>
                <w:snapToGrid w:val="0"/>
                <w:color w:val="auto"/>
                <w:szCs w:val="24"/>
                <w:highlight w:val="none"/>
                <w:lang w:val="en-US" w:eastAsia="zh-CN"/>
              </w:rPr>
              <w:t>鸭</w:t>
            </w:r>
            <w:r>
              <w:rPr>
                <w:rFonts w:hint="eastAsia" w:cs="Times New Roman"/>
                <w:snapToGrid w:val="0"/>
                <w:color w:val="auto"/>
                <w:szCs w:val="24"/>
                <w:highlight w:val="none"/>
                <w:lang w:eastAsia="zh-CN"/>
              </w:rPr>
              <w:t>山百奥迈斯生物科技有限公司</w:t>
            </w:r>
            <w:r>
              <w:rPr>
                <w:rFonts w:hint="eastAsia" w:cs="Times New Roman"/>
                <w:snapToGrid w:val="0"/>
                <w:color w:val="auto"/>
                <w:kern w:val="0"/>
                <w:szCs w:val="24"/>
                <w:highlight w:val="none"/>
                <w:lang w:val="en-US" w:eastAsia="zh-CN"/>
              </w:rPr>
              <w:t>拉运处置</w:t>
            </w:r>
            <w:r>
              <w:rPr>
                <w:rFonts w:cs="Times New Roman"/>
                <w:snapToGrid w:val="0"/>
                <w:color w:val="auto"/>
                <w:kern w:val="0"/>
                <w:szCs w:val="24"/>
                <w:highlight w:val="none"/>
              </w:rPr>
              <w:t>。</w:t>
            </w:r>
          </w:p>
        </w:tc>
        <w:tc>
          <w:tcPr>
            <w:tcW w:w="428" w:type="pct"/>
            <w:vMerge w:val="continue"/>
            <w:vAlign w:val="center"/>
          </w:tcPr>
          <w:p w14:paraId="32E525DB">
            <w:pPr>
              <w:pStyle w:val="73"/>
              <w:rPr>
                <w:rFonts w:cs="Times New Roman"/>
                <w:snapToGrid w:val="0"/>
                <w:color w:val="auto"/>
                <w:highlight w:val="none"/>
              </w:rPr>
            </w:pPr>
          </w:p>
        </w:tc>
      </w:tr>
      <w:tr w14:paraId="53F05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2BA64EC0">
            <w:pPr>
              <w:pStyle w:val="73"/>
              <w:rPr>
                <w:rFonts w:cs="Times New Roman"/>
                <w:snapToGrid w:val="0"/>
                <w:color w:val="auto"/>
                <w:highlight w:val="none"/>
              </w:rPr>
            </w:pPr>
          </w:p>
        </w:tc>
        <w:tc>
          <w:tcPr>
            <w:tcW w:w="732" w:type="pct"/>
            <w:gridSpan w:val="2"/>
            <w:vAlign w:val="center"/>
          </w:tcPr>
          <w:p w14:paraId="78A32B20">
            <w:pPr>
              <w:pStyle w:val="73"/>
              <w:rPr>
                <w:rFonts w:hint="eastAsia" w:eastAsia="宋体" w:cs="Times New Roman"/>
                <w:snapToGrid w:val="0"/>
                <w:color w:val="auto"/>
                <w:highlight w:val="none"/>
                <w:lang w:val="en-US" w:eastAsia="zh-CN"/>
              </w:rPr>
            </w:pPr>
            <w:r>
              <w:rPr>
                <w:rFonts w:hint="eastAsia" w:cs="Times New Roman"/>
                <w:snapToGrid w:val="0"/>
                <w:color w:val="auto"/>
                <w:highlight w:val="none"/>
                <w:lang w:eastAsia="zh-CN"/>
              </w:rPr>
              <w:t>待宰圈</w:t>
            </w:r>
          </w:p>
        </w:tc>
        <w:tc>
          <w:tcPr>
            <w:tcW w:w="3416" w:type="pct"/>
            <w:vAlign w:val="center"/>
          </w:tcPr>
          <w:p w14:paraId="58D2C889">
            <w:pPr>
              <w:pStyle w:val="73"/>
              <w:rPr>
                <w:rFonts w:cs="Times New Roman"/>
                <w:snapToGrid w:val="0"/>
                <w:color w:val="auto"/>
                <w:highlight w:val="none"/>
                <w:lang w:val="en-US"/>
              </w:rPr>
            </w:pPr>
            <w:r>
              <w:rPr>
                <w:rFonts w:cs="Times New Roman"/>
                <w:snapToGrid w:val="0"/>
                <w:color w:val="auto"/>
                <w:highlight w:val="none"/>
                <w:lang w:val="en-US"/>
              </w:rPr>
              <w:t>位于生产车间</w:t>
            </w:r>
            <w:r>
              <w:rPr>
                <w:rFonts w:hint="eastAsia" w:cs="Times New Roman"/>
                <w:snapToGrid w:val="0"/>
                <w:color w:val="auto"/>
                <w:highlight w:val="none"/>
                <w:lang w:val="en-US" w:eastAsia="zh-CN"/>
              </w:rPr>
              <w:t>南</w:t>
            </w:r>
            <w:r>
              <w:rPr>
                <w:rFonts w:cs="Times New Roman"/>
                <w:snapToGrid w:val="0"/>
                <w:color w:val="auto"/>
                <w:highlight w:val="none"/>
                <w:lang w:val="en-US"/>
              </w:rPr>
              <w:t>侧，</w:t>
            </w:r>
            <w:r>
              <w:rPr>
                <w:rFonts w:hint="eastAsia" w:cs="Times New Roman"/>
                <w:snapToGrid w:val="0"/>
                <w:color w:val="auto"/>
                <w:highlight w:val="none"/>
                <w:lang w:val="en-US" w:eastAsia="zh-CN"/>
              </w:rPr>
              <w:t>1个，钢结构</w:t>
            </w:r>
            <w:r>
              <w:rPr>
                <w:rFonts w:cs="Times New Roman"/>
                <w:snapToGrid w:val="0"/>
                <w:color w:val="auto"/>
                <w:highlight w:val="none"/>
              </w:rPr>
              <w:t>，</w:t>
            </w:r>
            <w:r>
              <w:rPr>
                <w:rFonts w:hint="eastAsia" w:cs="Times New Roman"/>
                <w:snapToGrid w:val="0"/>
                <w:color w:val="auto"/>
                <w:highlight w:val="none"/>
                <w:lang w:val="en-US" w:eastAsia="zh-CN"/>
              </w:rPr>
              <w:t>高5.5米，</w:t>
            </w:r>
            <w:r>
              <w:rPr>
                <w:rFonts w:cs="Times New Roman"/>
                <w:snapToGrid w:val="0"/>
                <w:color w:val="auto"/>
                <w:highlight w:val="none"/>
                <w:lang w:val="en-US"/>
              </w:rPr>
              <w:t>主要对待宰牛、羊进行短时间圈养</w:t>
            </w:r>
            <w:r>
              <w:rPr>
                <w:rFonts w:cs="Times New Roman"/>
                <w:snapToGrid w:val="0"/>
                <w:color w:val="auto"/>
                <w:highlight w:val="none"/>
              </w:rPr>
              <w:t>，</w:t>
            </w:r>
            <w:r>
              <w:rPr>
                <w:rFonts w:cs="Times New Roman"/>
                <w:snapToGrid w:val="0"/>
                <w:color w:val="auto"/>
                <w:highlight w:val="none"/>
                <w:lang w:val="en-US"/>
              </w:rPr>
              <w:t>牛</w:t>
            </w:r>
            <w:r>
              <w:rPr>
                <w:rFonts w:hint="eastAsia" w:cs="Times New Roman"/>
                <w:snapToGrid w:val="0"/>
                <w:color w:val="auto"/>
                <w:highlight w:val="none"/>
                <w:lang w:val="en-US" w:eastAsia="zh-CN"/>
              </w:rPr>
              <w:t>待宰圈</w:t>
            </w:r>
            <w:r>
              <w:rPr>
                <w:rFonts w:cs="Times New Roman"/>
                <w:snapToGrid w:val="0"/>
                <w:color w:val="auto"/>
                <w:highlight w:val="none"/>
                <w:lang w:val="en-US"/>
              </w:rPr>
              <w:t>建筑面积为</w:t>
            </w:r>
            <w:r>
              <w:rPr>
                <w:rFonts w:hint="eastAsia" w:cs="Times New Roman"/>
                <w:snapToGrid w:val="0"/>
                <w:color w:val="auto"/>
                <w:highlight w:val="none"/>
                <w:lang w:val="en-US" w:eastAsia="zh-CN"/>
              </w:rPr>
              <w:t>400</w:t>
            </w:r>
            <w:r>
              <w:rPr>
                <w:rFonts w:cs="Times New Roman"/>
                <w:snapToGrid w:val="0"/>
                <w:color w:val="auto"/>
                <w:highlight w:val="none"/>
                <w:lang w:val="en-US"/>
              </w:rPr>
              <w:t>m</w:t>
            </w:r>
            <w:r>
              <w:rPr>
                <w:rFonts w:cs="Times New Roman"/>
                <w:snapToGrid w:val="0"/>
                <w:color w:val="auto"/>
                <w:highlight w:val="none"/>
                <w:vertAlign w:val="superscript"/>
                <w:lang w:val="en-US"/>
              </w:rPr>
              <w:t>2</w:t>
            </w:r>
            <w:r>
              <w:rPr>
                <w:rFonts w:cs="Times New Roman"/>
                <w:snapToGrid w:val="0"/>
                <w:color w:val="auto"/>
                <w:highlight w:val="none"/>
                <w:lang w:val="en-US"/>
              </w:rPr>
              <w:t>，可容纳头</w:t>
            </w:r>
            <w:r>
              <w:rPr>
                <w:rFonts w:hint="eastAsia" w:cs="Times New Roman"/>
                <w:snapToGrid w:val="0"/>
                <w:color w:val="auto"/>
                <w:highlight w:val="none"/>
                <w:lang w:val="en-US" w:eastAsia="zh-CN"/>
              </w:rPr>
              <w:t>30头</w:t>
            </w:r>
            <w:r>
              <w:rPr>
                <w:rFonts w:cs="Times New Roman"/>
                <w:snapToGrid w:val="0"/>
                <w:color w:val="auto"/>
                <w:highlight w:val="none"/>
                <w:lang w:val="en-US"/>
              </w:rPr>
              <w:t>牛</w:t>
            </w:r>
            <w:r>
              <w:rPr>
                <w:rFonts w:hint="eastAsia" w:cs="Times New Roman"/>
                <w:snapToGrid w:val="0"/>
                <w:color w:val="auto"/>
                <w:highlight w:val="none"/>
                <w:lang w:val="en-US" w:eastAsia="zh-CN"/>
              </w:rPr>
              <w:t>100只</w:t>
            </w:r>
            <w:r>
              <w:rPr>
                <w:rFonts w:cs="Times New Roman"/>
                <w:snapToGrid w:val="0"/>
                <w:color w:val="auto"/>
                <w:highlight w:val="none"/>
                <w:lang w:val="en-US"/>
              </w:rPr>
              <w:t>羊</w:t>
            </w:r>
            <w:r>
              <w:rPr>
                <w:rFonts w:hint="eastAsia" w:cs="Times New Roman"/>
                <w:snapToGrid w:val="0"/>
                <w:color w:val="auto"/>
                <w:highlight w:val="none"/>
                <w:lang w:val="en-US" w:eastAsia="zh-CN"/>
              </w:rPr>
              <w:t>，</w:t>
            </w:r>
            <w:r>
              <w:rPr>
                <w:rFonts w:cs="Times New Roman"/>
                <w:snapToGrid w:val="0"/>
                <w:color w:val="auto"/>
                <w:highlight w:val="none"/>
                <w:lang w:val="en-US"/>
              </w:rPr>
              <w:t>每批存栏</w:t>
            </w:r>
            <w:r>
              <w:rPr>
                <w:rFonts w:cs="Times New Roman"/>
                <w:snapToGrid w:val="0"/>
                <w:color w:val="auto"/>
                <w:highlight w:val="none"/>
              </w:rPr>
              <w:t>不超过</w:t>
            </w:r>
            <w:r>
              <w:rPr>
                <w:rFonts w:cs="Times New Roman"/>
                <w:snapToGrid w:val="0"/>
                <w:color w:val="auto"/>
                <w:highlight w:val="none"/>
                <w:lang w:val="en-US"/>
              </w:rPr>
              <w:t>16</w:t>
            </w:r>
            <w:r>
              <w:rPr>
                <w:rFonts w:cs="Times New Roman"/>
                <w:snapToGrid w:val="0"/>
                <w:color w:val="auto"/>
                <w:highlight w:val="none"/>
              </w:rPr>
              <w:t>h，</w:t>
            </w:r>
            <w:r>
              <w:rPr>
                <w:rFonts w:cs="Times New Roman"/>
                <w:snapToGrid w:val="0"/>
                <w:color w:val="auto"/>
                <w:highlight w:val="none"/>
                <w:lang w:val="en-US"/>
              </w:rPr>
              <w:t>一天可转1批次。</w:t>
            </w:r>
            <w:r>
              <w:rPr>
                <w:rFonts w:cs="Times New Roman"/>
                <w:snapToGrid w:val="0"/>
                <w:color w:val="auto"/>
                <w:highlight w:val="none"/>
              </w:rPr>
              <w:t>待宰期间断食断水。</w:t>
            </w:r>
          </w:p>
        </w:tc>
        <w:tc>
          <w:tcPr>
            <w:tcW w:w="428" w:type="pct"/>
            <w:vMerge w:val="continue"/>
            <w:vAlign w:val="center"/>
          </w:tcPr>
          <w:p w14:paraId="26A79E8F">
            <w:pPr>
              <w:pStyle w:val="73"/>
              <w:rPr>
                <w:rFonts w:cs="Times New Roman"/>
                <w:snapToGrid w:val="0"/>
                <w:color w:val="auto"/>
                <w:highlight w:val="none"/>
              </w:rPr>
            </w:pPr>
          </w:p>
        </w:tc>
      </w:tr>
      <w:tr w14:paraId="02CC3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6E42A88E">
            <w:pPr>
              <w:pStyle w:val="73"/>
              <w:rPr>
                <w:rFonts w:cs="Times New Roman"/>
                <w:snapToGrid w:val="0"/>
                <w:color w:val="auto"/>
                <w:highlight w:val="none"/>
              </w:rPr>
            </w:pPr>
          </w:p>
        </w:tc>
        <w:tc>
          <w:tcPr>
            <w:tcW w:w="732" w:type="pct"/>
            <w:gridSpan w:val="2"/>
            <w:vAlign w:val="center"/>
          </w:tcPr>
          <w:p w14:paraId="47427568">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急宰间</w:t>
            </w:r>
          </w:p>
        </w:tc>
        <w:tc>
          <w:tcPr>
            <w:tcW w:w="3416" w:type="pct"/>
            <w:vAlign w:val="center"/>
          </w:tcPr>
          <w:p w14:paraId="2BB75F1D">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位于待宰圈内南侧，1个，紧邻固体废物暂存间，建筑面积40</w:t>
            </w:r>
            <w:r>
              <w:rPr>
                <w:rFonts w:hint="eastAsia" w:cs="Times New Roman"/>
                <w:snapToGrid w:val="0"/>
                <w:color w:val="auto"/>
                <w:kern w:val="0"/>
                <w:szCs w:val="21"/>
                <w:highlight w:val="none"/>
                <w:lang w:val="en-US" w:eastAsia="zh-CN"/>
              </w:rPr>
              <w:t>m</w:t>
            </w:r>
            <w:r>
              <w:rPr>
                <w:rFonts w:hint="eastAsia" w:cs="Times New Roman"/>
                <w:snapToGrid w:val="0"/>
                <w:color w:val="auto"/>
                <w:kern w:val="0"/>
                <w:szCs w:val="21"/>
                <w:highlight w:val="none"/>
                <w:vertAlign w:val="superscript"/>
                <w:lang w:val="en-US" w:eastAsia="zh-CN"/>
              </w:rPr>
              <w:t>2</w:t>
            </w:r>
            <w:r>
              <w:rPr>
                <w:rFonts w:hint="eastAsia" w:cs="Times New Roman"/>
                <w:snapToGrid w:val="0"/>
                <w:color w:val="auto"/>
                <w:highlight w:val="none"/>
                <w:lang w:val="en-US" w:eastAsia="zh-CN"/>
              </w:rPr>
              <w:t>，高3m，内设急宰生产线1条，用于屠宰需立即宰杀的牛羊。</w:t>
            </w:r>
          </w:p>
        </w:tc>
        <w:tc>
          <w:tcPr>
            <w:tcW w:w="428" w:type="pct"/>
            <w:vMerge w:val="continue"/>
            <w:vAlign w:val="center"/>
          </w:tcPr>
          <w:p w14:paraId="117194BE">
            <w:pPr>
              <w:pStyle w:val="73"/>
              <w:rPr>
                <w:rFonts w:cs="Times New Roman"/>
                <w:snapToGrid w:val="0"/>
                <w:color w:val="auto"/>
                <w:highlight w:val="none"/>
              </w:rPr>
            </w:pPr>
          </w:p>
        </w:tc>
      </w:tr>
      <w:tr w14:paraId="057539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3" w:type="pct"/>
            <w:vMerge w:val="continue"/>
            <w:vAlign w:val="center"/>
          </w:tcPr>
          <w:p w14:paraId="468B723F">
            <w:pPr>
              <w:pStyle w:val="73"/>
              <w:rPr>
                <w:rFonts w:cs="Times New Roman"/>
                <w:snapToGrid w:val="0"/>
                <w:color w:val="auto"/>
                <w:highlight w:val="none"/>
              </w:rPr>
            </w:pPr>
          </w:p>
        </w:tc>
        <w:tc>
          <w:tcPr>
            <w:tcW w:w="732" w:type="pct"/>
            <w:gridSpan w:val="2"/>
            <w:vAlign w:val="center"/>
          </w:tcPr>
          <w:p w14:paraId="46A12D20">
            <w:pPr>
              <w:pStyle w:val="73"/>
              <w:rPr>
                <w:rFonts w:cs="Times New Roman"/>
                <w:snapToGrid w:val="0"/>
                <w:color w:val="auto"/>
                <w:highlight w:val="none"/>
                <w:lang w:val="en-US"/>
              </w:rPr>
            </w:pPr>
            <w:r>
              <w:rPr>
                <w:rFonts w:cs="Times New Roman"/>
                <w:snapToGrid w:val="0"/>
                <w:color w:val="auto"/>
                <w:highlight w:val="none"/>
                <w:lang w:val="en-US"/>
              </w:rPr>
              <w:t>隔离圈</w:t>
            </w:r>
          </w:p>
        </w:tc>
        <w:tc>
          <w:tcPr>
            <w:tcW w:w="3416" w:type="pct"/>
            <w:vAlign w:val="center"/>
          </w:tcPr>
          <w:p w14:paraId="69974CCA">
            <w:pPr>
              <w:pStyle w:val="73"/>
              <w:rPr>
                <w:rFonts w:cs="Times New Roman"/>
                <w:snapToGrid w:val="0"/>
                <w:color w:val="auto"/>
                <w:highlight w:val="none"/>
              </w:rPr>
            </w:pPr>
            <w:r>
              <w:rPr>
                <w:rFonts w:hint="eastAsia" w:cs="Times New Roman"/>
                <w:snapToGrid w:val="0"/>
                <w:color w:val="auto"/>
                <w:highlight w:val="none"/>
                <w:lang w:val="en-US" w:eastAsia="zh-CN"/>
              </w:rPr>
              <w:t>位于待宰圈内南侧，1个，紧邻急宰间</w:t>
            </w:r>
            <w:r>
              <w:rPr>
                <w:rFonts w:cs="Times New Roman"/>
                <w:snapToGrid w:val="0"/>
                <w:color w:val="auto"/>
                <w:highlight w:val="none"/>
                <w:lang w:val="en-US"/>
              </w:rPr>
              <w:t>，</w:t>
            </w:r>
            <w:r>
              <w:rPr>
                <w:rFonts w:cs="Times New Roman"/>
                <w:snapToGrid w:val="0"/>
                <w:color w:val="auto"/>
                <w:highlight w:val="none"/>
              </w:rPr>
              <w:t>建筑面积为</w:t>
            </w:r>
            <w:r>
              <w:rPr>
                <w:rFonts w:hint="eastAsia" w:cs="Times New Roman"/>
                <w:snapToGrid w:val="0"/>
                <w:color w:val="auto"/>
                <w:highlight w:val="none"/>
                <w:lang w:val="en-US" w:eastAsia="zh-CN"/>
              </w:rPr>
              <w:t>40</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w:t>
            </w:r>
            <w:r>
              <w:rPr>
                <w:rFonts w:cs="Times New Roman"/>
                <w:snapToGrid w:val="0"/>
                <w:color w:val="auto"/>
                <w:highlight w:val="none"/>
                <w:lang w:val="en-US"/>
              </w:rPr>
              <w:t>用于隔离疑似病牛、羊</w:t>
            </w:r>
            <w:r>
              <w:rPr>
                <w:rFonts w:cs="Times New Roman"/>
                <w:snapToGrid w:val="0"/>
                <w:color w:val="auto"/>
                <w:highlight w:val="none"/>
              </w:rPr>
              <w:t>，</w:t>
            </w:r>
            <w:r>
              <w:rPr>
                <w:rFonts w:cs="Times New Roman"/>
                <w:snapToGrid w:val="0"/>
                <w:color w:val="auto"/>
                <w:highlight w:val="none"/>
                <w:lang w:val="en-US"/>
              </w:rPr>
              <w:t>可隔离</w:t>
            </w:r>
            <w:r>
              <w:rPr>
                <w:rFonts w:hint="eastAsia" w:cs="Times New Roman"/>
                <w:snapToGrid w:val="0"/>
                <w:color w:val="auto"/>
                <w:highlight w:val="none"/>
                <w:lang w:val="en-US" w:eastAsia="zh-CN"/>
              </w:rPr>
              <w:t>10</w:t>
            </w:r>
            <w:r>
              <w:rPr>
                <w:rFonts w:cs="Times New Roman"/>
                <w:snapToGrid w:val="0"/>
                <w:color w:val="auto"/>
                <w:highlight w:val="none"/>
                <w:lang w:val="en-US"/>
              </w:rPr>
              <w:t>头羊、5头牛</w:t>
            </w:r>
            <w:r>
              <w:rPr>
                <w:rFonts w:cs="Times New Roman"/>
                <w:snapToGrid w:val="0"/>
                <w:color w:val="auto"/>
                <w:highlight w:val="none"/>
              </w:rPr>
              <w:t>。</w:t>
            </w:r>
          </w:p>
        </w:tc>
        <w:tc>
          <w:tcPr>
            <w:tcW w:w="428" w:type="pct"/>
            <w:vMerge w:val="continue"/>
            <w:vAlign w:val="center"/>
          </w:tcPr>
          <w:p w14:paraId="1C4EC931">
            <w:pPr>
              <w:pStyle w:val="73"/>
              <w:rPr>
                <w:rFonts w:cs="Times New Roman"/>
                <w:snapToGrid w:val="0"/>
                <w:color w:val="auto"/>
                <w:highlight w:val="none"/>
              </w:rPr>
            </w:pPr>
          </w:p>
        </w:tc>
      </w:tr>
      <w:tr w14:paraId="6E5CAB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23" w:type="pct"/>
            <w:vMerge w:val="restart"/>
            <w:vAlign w:val="center"/>
          </w:tcPr>
          <w:p w14:paraId="1E407507">
            <w:pPr>
              <w:pStyle w:val="73"/>
              <w:rPr>
                <w:rFonts w:cs="Times New Roman"/>
                <w:snapToGrid w:val="0"/>
                <w:color w:val="auto"/>
                <w:highlight w:val="none"/>
              </w:rPr>
            </w:pPr>
            <w:r>
              <w:rPr>
                <w:rFonts w:cs="Times New Roman"/>
                <w:snapToGrid w:val="0"/>
                <w:color w:val="auto"/>
                <w:highlight w:val="none"/>
              </w:rPr>
              <w:t>辅助</w:t>
            </w:r>
          </w:p>
          <w:p w14:paraId="19B24542">
            <w:pPr>
              <w:pStyle w:val="73"/>
              <w:rPr>
                <w:rFonts w:cs="Times New Roman"/>
                <w:snapToGrid w:val="0"/>
                <w:color w:val="auto"/>
                <w:highlight w:val="none"/>
              </w:rPr>
            </w:pPr>
            <w:r>
              <w:rPr>
                <w:rFonts w:cs="Times New Roman"/>
                <w:snapToGrid w:val="0"/>
                <w:color w:val="auto"/>
                <w:highlight w:val="none"/>
              </w:rPr>
              <w:t>工程</w:t>
            </w:r>
          </w:p>
        </w:tc>
        <w:tc>
          <w:tcPr>
            <w:tcW w:w="732" w:type="pct"/>
            <w:gridSpan w:val="2"/>
            <w:vAlign w:val="center"/>
          </w:tcPr>
          <w:p w14:paraId="035ECA0B">
            <w:pPr>
              <w:pStyle w:val="73"/>
              <w:rPr>
                <w:rFonts w:cs="Times New Roman"/>
                <w:snapToGrid w:val="0"/>
                <w:color w:val="auto"/>
                <w:highlight w:val="none"/>
              </w:rPr>
            </w:pPr>
            <w:r>
              <w:rPr>
                <w:rFonts w:cs="Times New Roman"/>
                <w:snapToGrid w:val="0"/>
                <w:color w:val="auto"/>
                <w:highlight w:val="none"/>
              </w:rPr>
              <w:t>办公室</w:t>
            </w:r>
          </w:p>
        </w:tc>
        <w:tc>
          <w:tcPr>
            <w:tcW w:w="3416" w:type="pct"/>
            <w:vAlign w:val="center"/>
          </w:tcPr>
          <w:p w14:paraId="53DDDD8F">
            <w:pPr>
              <w:pStyle w:val="73"/>
              <w:rPr>
                <w:rFonts w:cs="Times New Roman"/>
                <w:snapToGrid w:val="0"/>
                <w:color w:val="auto"/>
                <w:highlight w:val="none"/>
                <w:lang w:val="en-US"/>
              </w:rPr>
            </w:pPr>
            <w:r>
              <w:rPr>
                <w:rFonts w:hint="eastAsia" w:cs="Times New Roman"/>
                <w:snapToGrid w:val="0"/>
                <w:color w:val="auto"/>
                <w:highlight w:val="none"/>
                <w:lang w:val="en-US" w:eastAsia="zh-CN"/>
              </w:rPr>
              <w:t>1个，</w:t>
            </w:r>
            <w:r>
              <w:rPr>
                <w:rFonts w:cs="Times New Roman"/>
                <w:snapToGrid w:val="0"/>
                <w:color w:val="auto"/>
                <w:highlight w:val="none"/>
                <w:lang w:val="en-US"/>
              </w:rPr>
              <w:t>位于生产车间内（生产车间2层），</w:t>
            </w:r>
            <w:r>
              <w:rPr>
                <w:rFonts w:cs="Times New Roman"/>
                <w:snapToGrid w:val="0"/>
                <w:color w:val="auto"/>
                <w:highlight w:val="none"/>
              </w:rPr>
              <w:t>建筑面积为</w:t>
            </w:r>
            <w:r>
              <w:rPr>
                <w:rFonts w:hint="eastAsia" w:cs="Times New Roman"/>
                <w:snapToGrid w:val="0"/>
                <w:color w:val="auto"/>
                <w:highlight w:val="none"/>
                <w:lang w:val="en-US" w:eastAsia="zh-CN"/>
              </w:rPr>
              <w:t>902</w:t>
            </w:r>
            <w:r>
              <w:rPr>
                <w:rFonts w:cs="Times New Roman"/>
                <w:snapToGrid w:val="0"/>
                <w:color w:val="auto"/>
                <w:highlight w:val="none"/>
                <w:lang w:val="en-US"/>
              </w:rPr>
              <w:t>m</w:t>
            </w:r>
            <w:r>
              <w:rPr>
                <w:rFonts w:cs="Times New Roman"/>
                <w:snapToGrid w:val="0"/>
                <w:color w:val="auto"/>
                <w:highlight w:val="none"/>
                <w:vertAlign w:val="superscript"/>
                <w:lang w:val="en-US"/>
              </w:rPr>
              <w:t>2</w:t>
            </w:r>
            <w:r>
              <w:rPr>
                <w:rFonts w:cs="Times New Roman"/>
                <w:snapToGrid w:val="0"/>
                <w:color w:val="auto"/>
                <w:highlight w:val="none"/>
                <w:lang w:val="en-US"/>
              </w:rPr>
              <w:t>，</w:t>
            </w:r>
            <w:r>
              <w:rPr>
                <w:rFonts w:hint="eastAsia" w:cs="Times New Roman"/>
                <w:snapToGrid w:val="0"/>
                <w:color w:val="auto"/>
                <w:highlight w:val="none"/>
                <w:lang w:val="en-US" w:eastAsia="zh-CN"/>
              </w:rPr>
              <w:t>高8m，</w:t>
            </w:r>
            <w:r>
              <w:rPr>
                <w:rFonts w:cs="Times New Roman"/>
                <w:snapToGrid w:val="0"/>
                <w:color w:val="auto"/>
                <w:highlight w:val="none"/>
                <w:lang w:val="en-US"/>
              </w:rPr>
              <w:t>设有办公室</w:t>
            </w:r>
            <w:r>
              <w:rPr>
                <w:rFonts w:hint="eastAsia" w:cs="Times New Roman"/>
                <w:snapToGrid w:val="0"/>
                <w:color w:val="auto"/>
                <w:highlight w:val="none"/>
                <w:lang w:val="en-US" w:eastAsia="zh-CN"/>
              </w:rPr>
              <w:t>、</w:t>
            </w:r>
            <w:r>
              <w:rPr>
                <w:rFonts w:cs="Times New Roman"/>
                <w:snapToGrid w:val="0"/>
                <w:color w:val="auto"/>
                <w:highlight w:val="none"/>
                <w:lang w:val="en-US"/>
              </w:rPr>
              <w:t>产品展厅等</w:t>
            </w:r>
          </w:p>
        </w:tc>
        <w:tc>
          <w:tcPr>
            <w:tcW w:w="428" w:type="pct"/>
            <w:vMerge w:val="restart"/>
            <w:vAlign w:val="center"/>
          </w:tcPr>
          <w:p w14:paraId="4F988772">
            <w:pPr>
              <w:pStyle w:val="73"/>
              <w:rPr>
                <w:rFonts w:cs="Times New Roman"/>
                <w:snapToGrid w:val="0"/>
                <w:color w:val="auto"/>
                <w:highlight w:val="none"/>
              </w:rPr>
            </w:pPr>
            <w:r>
              <w:rPr>
                <w:rFonts w:cs="Times New Roman"/>
                <w:snapToGrid w:val="0"/>
                <w:color w:val="auto"/>
                <w:highlight w:val="none"/>
              </w:rPr>
              <w:t>新建</w:t>
            </w:r>
          </w:p>
        </w:tc>
      </w:tr>
      <w:tr w14:paraId="071610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23" w:type="pct"/>
            <w:vMerge w:val="continue"/>
            <w:vAlign w:val="center"/>
          </w:tcPr>
          <w:p w14:paraId="46D7C482">
            <w:pPr>
              <w:pStyle w:val="73"/>
              <w:rPr>
                <w:rFonts w:cs="Times New Roman"/>
                <w:snapToGrid w:val="0"/>
                <w:color w:val="auto"/>
                <w:highlight w:val="none"/>
              </w:rPr>
            </w:pPr>
          </w:p>
        </w:tc>
        <w:tc>
          <w:tcPr>
            <w:tcW w:w="732" w:type="pct"/>
            <w:gridSpan w:val="2"/>
            <w:vAlign w:val="center"/>
          </w:tcPr>
          <w:p w14:paraId="5D383B34">
            <w:pPr>
              <w:pStyle w:val="73"/>
              <w:rPr>
                <w:rFonts w:hint="eastAsia" w:eastAsia="宋体" w:cs="Times New Roman"/>
                <w:snapToGrid w:val="0"/>
                <w:color w:val="auto"/>
                <w:highlight w:val="none"/>
                <w:lang w:eastAsia="zh-CN"/>
              </w:rPr>
            </w:pPr>
            <w:r>
              <w:rPr>
                <w:rFonts w:hint="eastAsia" w:cs="Times New Roman"/>
                <w:snapToGrid w:val="0"/>
                <w:color w:val="auto"/>
                <w:highlight w:val="none"/>
                <w:lang w:val="en-US" w:eastAsia="zh-CN"/>
              </w:rPr>
              <w:t>更衣室</w:t>
            </w:r>
          </w:p>
        </w:tc>
        <w:tc>
          <w:tcPr>
            <w:tcW w:w="3416" w:type="pct"/>
            <w:vAlign w:val="center"/>
          </w:tcPr>
          <w:p w14:paraId="0D30AB55">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男女更衣室</w:t>
            </w:r>
            <w:r>
              <w:rPr>
                <w:rFonts w:cs="Times New Roman"/>
                <w:snapToGrid w:val="0"/>
                <w:color w:val="auto"/>
                <w:highlight w:val="none"/>
              </w:rPr>
              <w:t>位于生产车间</w:t>
            </w:r>
            <w:r>
              <w:rPr>
                <w:rFonts w:hint="eastAsia" w:cs="Times New Roman"/>
                <w:snapToGrid w:val="0"/>
                <w:color w:val="auto"/>
                <w:highlight w:val="none"/>
                <w:lang w:val="en-US" w:eastAsia="zh-CN"/>
              </w:rPr>
              <w:t>西侧</w:t>
            </w:r>
            <w:r>
              <w:rPr>
                <w:rFonts w:cs="Times New Roman"/>
                <w:snapToGrid w:val="0"/>
                <w:color w:val="auto"/>
                <w:highlight w:val="none"/>
              </w:rPr>
              <w:t>，1层，</w:t>
            </w:r>
            <w:r>
              <w:rPr>
                <w:rFonts w:hint="eastAsia" w:cs="Times New Roman"/>
                <w:snapToGrid w:val="0"/>
                <w:color w:val="auto"/>
                <w:highlight w:val="none"/>
                <w:lang w:val="en-US" w:eastAsia="zh-CN"/>
              </w:rPr>
              <w:t>总</w:t>
            </w:r>
            <w:r>
              <w:rPr>
                <w:rFonts w:cs="Times New Roman"/>
                <w:snapToGrid w:val="0"/>
                <w:color w:val="auto"/>
                <w:highlight w:val="none"/>
              </w:rPr>
              <w:t>建筑面积为</w:t>
            </w:r>
            <w:r>
              <w:rPr>
                <w:rFonts w:hint="eastAsia" w:cs="Times New Roman"/>
                <w:snapToGrid w:val="0"/>
                <w:color w:val="auto"/>
                <w:highlight w:val="none"/>
                <w:lang w:val="en-US" w:eastAsia="zh-CN"/>
              </w:rPr>
              <w:t>220</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高3m，包含淋浴间及卫生间。</w:t>
            </w:r>
          </w:p>
        </w:tc>
        <w:tc>
          <w:tcPr>
            <w:tcW w:w="428" w:type="pct"/>
            <w:vMerge w:val="continue"/>
            <w:vAlign w:val="center"/>
          </w:tcPr>
          <w:p w14:paraId="753BE92C">
            <w:pPr>
              <w:pStyle w:val="73"/>
              <w:rPr>
                <w:rFonts w:cs="Times New Roman"/>
                <w:snapToGrid w:val="0"/>
                <w:color w:val="auto"/>
                <w:highlight w:val="none"/>
              </w:rPr>
            </w:pPr>
          </w:p>
        </w:tc>
      </w:tr>
      <w:tr w14:paraId="3EAB4E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23" w:type="pct"/>
            <w:vMerge w:val="continue"/>
            <w:vAlign w:val="center"/>
          </w:tcPr>
          <w:p w14:paraId="5D1AD2C1">
            <w:pPr>
              <w:pStyle w:val="73"/>
              <w:rPr>
                <w:rFonts w:cs="Times New Roman"/>
                <w:snapToGrid w:val="0"/>
                <w:color w:val="auto"/>
                <w:highlight w:val="none"/>
              </w:rPr>
            </w:pPr>
          </w:p>
        </w:tc>
        <w:tc>
          <w:tcPr>
            <w:tcW w:w="732" w:type="pct"/>
            <w:gridSpan w:val="2"/>
            <w:vAlign w:val="center"/>
          </w:tcPr>
          <w:p w14:paraId="26A13F65">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配电室</w:t>
            </w:r>
          </w:p>
        </w:tc>
        <w:tc>
          <w:tcPr>
            <w:tcW w:w="3416" w:type="pct"/>
            <w:vAlign w:val="center"/>
          </w:tcPr>
          <w:p w14:paraId="1A3D2816">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紧邻积血间西侧，1个建筑面积40</w:t>
            </w:r>
            <w:r>
              <w:rPr>
                <w:rFonts w:cs="Times New Roman"/>
                <w:snapToGrid w:val="0"/>
                <w:color w:val="auto"/>
                <w:highlight w:val="none"/>
                <w:lang w:val="en-US"/>
              </w:rPr>
              <w:t>m</w:t>
            </w:r>
            <w:r>
              <w:rPr>
                <w:rFonts w:cs="Times New Roman"/>
                <w:snapToGrid w:val="0"/>
                <w:color w:val="auto"/>
                <w:highlight w:val="none"/>
                <w:vertAlign w:val="superscript"/>
                <w:lang w:val="en-US"/>
              </w:rPr>
              <w:t>2</w:t>
            </w:r>
            <w:r>
              <w:rPr>
                <w:rFonts w:cs="Times New Roman"/>
                <w:snapToGrid w:val="0"/>
                <w:color w:val="auto"/>
                <w:highlight w:val="none"/>
                <w:lang w:val="en-US"/>
              </w:rPr>
              <w:t>，</w:t>
            </w:r>
            <w:r>
              <w:rPr>
                <w:rFonts w:hint="eastAsia" w:cs="Times New Roman"/>
                <w:snapToGrid w:val="0"/>
                <w:color w:val="auto"/>
                <w:highlight w:val="none"/>
                <w:lang w:val="en-US" w:eastAsia="zh-CN"/>
              </w:rPr>
              <w:t>用于分配生产用电。</w:t>
            </w:r>
          </w:p>
        </w:tc>
        <w:tc>
          <w:tcPr>
            <w:tcW w:w="428" w:type="pct"/>
            <w:vMerge w:val="continue"/>
            <w:vAlign w:val="center"/>
          </w:tcPr>
          <w:p w14:paraId="626C8B5B">
            <w:pPr>
              <w:pStyle w:val="73"/>
              <w:rPr>
                <w:rFonts w:cs="Times New Roman"/>
                <w:snapToGrid w:val="0"/>
                <w:color w:val="auto"/>
                <w:highlight w:val="none"/>
              </w:rPr>
            </w:pPr>
          </w:p>
        </w:tc>
      </w:tr>
      <w:tr w14:paraId="32C3C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3" w:type="pct"/>
            <w:vMerge w:val="continue"/>
            <w:vAlign w:val="center"/>
          </w:tcPr>
          <w:p w14:paraId="57DB8296">
            <w:pPr>
              <w:pStyle w:val="73"/>
              <w:rPr>
                <w:rFonts w:cs="Times New Roman"/>
                <w:snapToGrid w:val="0"/>
                <w:color w:val="auto"/>
                <w:highlight w:val="none"/>
              </w:rPr>
            </w:pPr>
          </w:p>
        </w:tc>
        <w:tc>
          <w:tcPr>
            <w:tcW w:w="732" w:type="pct"/>
            <w:gridSpan w:val="2"/>
            <w:vAlign w:val="center"/>
          </w:tcPr>
          <w:p w14:paraId="4C9678C1">
            <w:pPr>
              <w:pStyle w:val="73"/>
              <w:rPr>
                <w:rFonts w:cs="Times New Roman"/>
                <w:snapToGrid w:val="0"/>
                <w:color w:val="auto"/>
                <w:highlight w:val="none"/>
                <w:lang w:val="en-US"/>
              </w:rPr>
            </w:pPr>
            <w:r>
              <w:rPr>
                <w:rFonts w:cs="Times New Roman"/>
                <w:snapToGrid w:val="0"/>
                <w:color w:val="auto"/>
                <w:highlight w:val="none"/>
                <w:lang w:val="en-US"/>
              </w:rPr>
              <w:t>门卫</w:t>
            </w:r>
          </w:p>
        </w:tc>
        <w:tc>
          <w:tcPr>
            <w:tcW w:w="3416" w:type="pct"/>
            <w:vAlign w:val="center"/>
          </w:tcPr>
          <w:p w14:paraId="23468CDD">
            <w:pPr>
              <w:pStyle w:val="73"/>
              <w:rPr>
                <w:rFonts w:cs="Times New Roman"/>
                <w:snapToGrid w:val="0"/>
                <w:color w:val="auto"/>
                <w:highlight w:val="none"/>
                <w:lang w:val="en-US"/>
              </w:rPr>
            </w:pPr>
            <w:r>
              <w:rPr>
                <w:rFonts w:cs="Times New Roman"/>
                <w:snapToGrid w:val="0"/>
                <w:color w:val="auto"/>
                <w:highlight w:val="none"/>
                <w:lang w:val="en-US"/>
              </w:rPr>
              <w:t>位于厂区</w:t>
            </w:r>
            <w:r>
              <w:rPr>
                <w:rFonts w:hint="eastAsia" w:cs="Times New Roman"/>
                <w:snapToGrid w:val="0"/>
                <w:color w:val="auto"/>
                <w:highlight w:val="none"/>
                <w:lang w:val="en-US" w:eastAsia="zh-CN"/>
              </w:rPr>
              <w:t>北侧</w:t>
            </w:r>
            <w:r>
              <w:rPr>
                <w:rFonts w:cs="Times New Roman"/>
                <w:snapToGrid w:val="0"/>
                <w:color w:val="auto"/>
                <w:highlight w:val="none"/>
                <w:lang w:val="en-US"/>
              </w:rPr>
              <w:t>，</w:t>
            </w:r>
            <w:r>
              <w:rPr>
                <w:rFonts w:cs="Times New Roman"/>
                <w:snapToGrid w:val="0"/>
                <w:color w:val="auto"/>
                <w:highlight w:val="none"/>
              </w:rPr>
              <w:t>1层，</w:t>
            </w:r>
            <w:r>
              <w:rPr>
                <w:rFonts w:cs="Times New Roman"/>
                <w:snapToGrid w:val="0"/>
                <w:color w:val="auto"/>
                <w:highlight w:val="none"/>
                <w:lang w:val="en-US"/>
              </w:rPr>
              <w:t>建筑面积为</w:t>
            </w:r>
            <w:r>
              <w:rPr>
                <w:rFonts w:hint="eastAsia" w:cs="Times New Roman"/>
                <w:snapToGrid w:val="0"/>
                <w:color w:val="auto"/>
                <w:highlight w:val="none"/>
                <w:lang w:val="en-US" w:eastAsia="zh-CN"/>
              </w:rPr>
              <w:t>30</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w:t>
            </w:r>
          </w:p>
        </w:tc>
        <w:tc>
          <w:tcPr>
            <w:tcW w:w="428" w:type="pct"/>
            <w:vMerge w:val="continue"/>
            <w:vAlign w:val="center"/>
          </w:tcPr>
          <w:p w14:paraId="7BAD64ED">
            <w:pPr>
              <w:pStyle w:val="73"/>
              <w:rPr>
                <w:rFonts w:cs="Times New Roman"/>
                <w:snapToGrid w:val="0"/>
                <w:color w:val="auto"/>
                <w:highlight w:val="none"/>
              </w:rPr>
            </w:pPr>
          </w:p>
        </w:tc>
      </w:tr>
      <w:tr w14:paraId="57698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23" w:type="pct"/>
            <w:vMerge w:val="continue"/>
            <w:vAlign w:val="center"/>
          </w:tcPr>
          <w:p w14:paraId="135EB9EF">
            <w:pPr>
              <w:pStyle w:val="73"/>
              <w:rPr>
                <w:rFonts w:cs="Times New Roman"/>
                <w:snapToGrid w:val="0"/>
                <w:color w:val="auto"/>
                <w:highlight w:val="none"/>
              </w:rPr>
            </w:pPr>
          </w:p>
        </w:tc>
        <w:tc>
          <w:tcPr>
            <w:tcW w:w="732" w:type="pct"/>
            <w:gridSpan w:val="2"/>
            <w:vAlign w:val="center"/>
          </w:tcPr>
          <w:p w14:paraId="17016118">
            <w:pPr>
              <w:pStyle w:val="73"/>
              <w:rPr>
                <w:rFonts w:cs="Times New Roman"/>
                <w:snapToGrid w:val="0"/>
                <w:color w:val="auto"/>
                <w:highlight w:val="none"/>
                <w:lang w:val="en-US"/>
              </w:rPr>
            </w:pPr>
            <w:r>
              <w:rPr>
                <w:rFonts w:cs="Times New Roman"/>
                <w:snapToGrid w:val="0"/>
                <w:color w:val="auto"/>
                <w:highlight w:val="none"/>
                <w:lang w:val="en-US"/>
              </w:rPr>
              <w:t>检疫室</w:t>
            </w:r>
          </w:p>
        </w:tc>
        <w:tc>
          <w:tcPr>
            <w:tcW w:w="3416" w:type="pct"/>
            <w:vAlign w:val="center"/>
          </w:tcPr>
          <w:p w14:paraId="6A48248F">
            <w:pPr>
              <w:pStyle w:val="73"/>
              <w:rPr>
                <w:rFonts w:hint="eastAsia" w:eastAsia="宋体" w:cs="Times New Roman"/>
                <w:snapToGrid w:val="0"/>
                <w:color w:val="auto"/>
                <w:highlight w:val="none"/>
                <w:lang w:val="en-US" w:eastAsia="zh-CN"/>
              </w:rPr>
            </w:pPr>
            <w:r>
              <w:rPr>
                <w:rFonts w:hint="eastAsia" w:cs="Times New Roman"/>
                <w:snapToGrid w:val="0"/>
                <w:color w:val="auto"/>
                <w:highlight w:val="none"/>
                <w:lang w:val="en-US" w:eastAsia="zh-CN"/>
              </w:rPr>
              <w:t>位于生产车间南侧，1个，紧邻红脏间</w:t>
            </w:r>
            <w:r>
              <w:rPr>
                <w:rFonts w:cs="Times New Roman"/>
                <w:snapToGrid w:val="0"/>
                <w:color w:val="auto"/>
                <w:highlight w:val="none"/>
                <w:lang w:val="en-US"/>
              </w:rPr>
              <w:t>，建筑面积为</w:t>
            </w:r>
            <w:r>
              <w:rPr>
                <w:rFonts w:hint="eastAsia" w:cs="Times New Roman"/>
                <w:snapToGrid w:val="0"/>
                <w:color w:val="auto"/>
                <w:highlight w:val="none"/>
                <w:lang w:val="en-US" w:eastAsia="zh-CN"/>
              </w:rPr>
              <w:t>18</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w:t>
            </w:r>
            <w:r>
              <w:rPr>
                <w:rFonts w:cs="Times New Roman"/>
                <w:snapToGrid w:val="0"/>
                <w:color w:val="auto"/>
                <w:highlight w:val="none"/>
                <w:lang w:val="en-US"/>
              </w:rPr>
              <w:t>用于宰后检疫</w:t>
            </w:r>
            <w:r>
              <w:rPr>
                <w:rFonts w:hint="eastAsia" w:cs="Times New Roman"/>
                <w:snapToGrid w:val="0"/>
                <w:color w:val="auto"/>
                <w:highlight w:val="none"/>
                <w:lang w:val="en-US" w:eastAsia="zh-CN"/>
              </w:rPr>
              <w:t>。</w:t>
            </w:r>
          </w:p>
        </w:tc>
        <w:tc>
          <w:tcPr>
            <w:tcW w:w="428" w:type="pct"/>
            <w:vMerge w:val="continue"/>
            <w:vAlign w:val="center"/>
          </w:tcPr>
          <w:p w14:paraId="66D34816">
            <w:pPr>
              <w:pStyle w:val="73"/>
              <w:rPr>
                <w:rFonts w:cs="Times New Roman"/>
                <w:snapToGrid w:val="0"/>
                <w:color w:val="auto"/>
                <w:highlight w:val="none"/>
              </w:rPr>
            </w:pPr>
          </w:p>
        </w:tc>
      </w:tr>
      <w:tr w14:paraId="529CE1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23" w:type="pct"/>
            <w:vMerge w:val="continue"/>
            <w:vAlign w:val="center"/>
          </w:tcPr>
          <w:p w14:paraId="4BA00709">
            <w:pPr>
              <w:pStyle w:val="73"/>
              <w:rPr>
                <w:rFonts w:cs="Times New Roman"/>
                <w:snapToGrid w:val="0"/>
                <w:color w:val="auto"/>
                <w:highlight w:val="none"/>
              </w:rPr>
            </w:pPr>
          </w:p>
        </w:tc>
        <w:tc>
          <w:tcPr>
            <w:tcW w:w="732" w:type="pct"/>
            <w:gridSpan w:val="2"/>
            <w:vAlign w:val="center"/>
          </w:tcPr>
          <w:p w14:paraId="7649839E">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病体间</w:t>
            </w:r>
          </w:p>
        </w:tc>
        <w:tc>
          <w:tcPr>
            <w:tcW w:w="3416" w:type="pct"/>
            <w:vAlign w:val="center"/>
          </w:tcPr>
          <w:p w14:paraId="644C35B1">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1个，建筑面积15</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用于存放检疫不合格产品</w:t>
            </w:r>
          </w:p>
        </w:tc>
        <w:tc>
          <w:tcPr>
            <w:tcW w:w="428" w:type="pct"/>
            <w:vMerge w:val="continue"/>
            <w:vAlign w:val="center"/>
          </w:tcPr>
          <w:p w14:paraId="3CE7FB27">
            <w:pPr>
              <w:pStyle w:val="73"/>
              <w:rPr>
                <w:rFonts w:cs="Times New Roman"/>
                <w:snapToGrid w:val="0"/>
                <w:color w:val="auto"/>
                <w:highlight w:val="none"/>
              </w:rPr>
            </w:pPr>
          </w:p>
        </w:tc>
      </w:tr>
      <w:tr w14:paraId="6C96BE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23" w:type="pct"/>
            <w:vMerge w:val="continue"/>
            <w:vAlign w:val="center"/>
          </w:tcPr>
          <w:p w14:paraId="550B9134">
            <w:pPr>
              <w:pStyle w:val="73"/>
              <w:rPr>
                <w:rFonts w:cs="Times New Roman"/>
                <w:snapToGrid w:val="0"/>
                <w:color w:val="auto"/>
                <w:highlight w:val="none"/>
              </w:rPr>
            </w:pPr>
          </w:p>
        </w:tc>
        <w:tc>
          <w:tcPr>
            <w:tcW w:w="732" w:type="pct"/>
            <w:gridSpan w:val="2"/>
            <w:vAlign w:val="center"/>
          </w:tcPr>
          <w:p w14:paraId="5B12DF76">
            <w:pPr>
              <w:pStyle w:val="73"/>
              <w:rPr>
                <w:rFonts w:cs="Times New Roman"/>
                <w:snapToGrid w:val="0"/>
                <w:color w:val="auto"/>
                <w:highlight w:val="none"/>
                <w:lang w:val="en-US"/>
              </w:rPr>
            </w:pPr>
            <w:r>
              <w:rPr>
                <w:rFonts w:hint="eastAsia" w:cs="Times New Roman"/>
                <w:snapToGrid w:val="0"/>
                <w:color w:val="auto"/>
                <w:highlight w:val="none"/>
                <w:lang w:val="en-US"/>
              </w:rPr>
              <w:t>污水处理站</w:t>
            </w:r>
          </w:p>
        </w:tc>
        <w:tc>
          <w:tcPr>
            <w:tcW w:w="3416" w:type="pct"/>
            <w:vAlign w:val="center"/>
          </w:tcPr>
          <w:p w14:paraId="0FEADBAF">
            <w:pPr>
              <w:pStyle w:val="73"/>
              <w:rPr>
                <w:rFonts w:hint="eastAsia" w:eastAsia="宋体" w:cs="Times New Roman"/>
                <w:snapToGrid w:val="0"/>
                <w:color w:val="auto"/>
                <w:highlight w:val="none"/>
                <w:lang w:val="en-US" w:eastAsia="zh-CN"/>
              </w:rPr>
            </w:pPr>
            <w:r>
              <w:rPr>
                <w:rFonts w:cs="Times New Roman"/>
                <w:snapToGrid w:val="0"/>
                <w:color w:val="auto"/>
                <w:highlight w:val="none"/>
                <w:lang w:val="en-US"/>
              </w:rPr>
              <w:t>位于厂区</w:t>
            </w:r>
            <w:r>
              <w:rPr>
                <w:rFonts w:hint="eastAsia" w:cs="Times New Roman"/>
                <w:snapToGrid w:val="0"/>
                <w:color w:val="auto"/>
                <w:highlight w:val="none"/>
                <w:lang w:val="en-US" w:eastAsia="zh-CN"/>
              </w:rPr>
              <w:t>东南</w:t>
            </w:r>
            <w:r>
              <w:rPr>
                <w:rFonts w:cs="Times New Roman"/>
                <w:snapToGrid w:val="0"/>
                <w:color w:val="auto"/>
                <w:highlight w:val="none"/>
                <w:lang w:val="en-US"/>
              </w:rPr>
              <w:t>侧，占地面积为</w:t>
            </w:r>
            <w:r>
              <w:rPr>
                <w:rFonts w:hint="eastAsia" w:cs="Times New Roman"/>
                <w:snapToGrid w:val="0"/>
                <w:color w:val="auto"/>
                <w:highlight w:val="none"/>
                <w:lang w:val="en-US" w:eastAsia="zh-CN"/>
              </w:rPr>
              <w:t>280</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cs="Times New Roman"/>
                <w:snapToGrid w:val="0"/>
                <w:color w:val="auto"/>
                <w:highlight w:val="none"/>
                <w:lang w:val="en-US"/>
              </w:rPr>
              <w:t>建筑面积为</w:t>
            </w:r>
            <w:r>
              <w:rPr>
                <w:rFonts w:hint="eastAsia" w:cs="Times New Roman"/>
                <w:snapToGrid w:val="0"/>
                <w:color w:val="auto"/>
                <w:highlight w:val="none"/>
                <w:lang w:val="en-US" w:eastAsia="zh-CN"/>
              </w:rPr>
              <w:t>226</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高5.5m，处理能力为100</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cs="Times New Roman"/>
                <w:snapToGrid w:val="0"/>
                <w:color w:val="auto"/>
                <w:highlight w:val="none"/>
                <w:lang w:val="en-US"/>
              </w:rPr>
              <w:t>/d，处理工艺：</w:t>
            </w:r>
            <w:r>
              <w:rPr>
                <w:rFonts w:cs="Times New Roman"/>
                <w:bCs/>
                <w:snapToGrid w:val="0"/>
                <w:color w:val="auto"/>
                <w:szCs w:val="24"/>
                <w:highlight w:val="none"/>
              </w:rPr>
              <w:t>“格栅+</w:t>
            </w:r>
            <w:r>
              <w:rPr>
                <w:rFonts w:hint="eastAsia" w:cs="Times New Roman"/>
                <w:bCs/>
                <w:snapToGrid w:val="0"/>
                <w:color w:val="auto"/>
                <w:szCs w:val="24"/>
                <w:highlight w:val="none"/>
                <w:lang w:val="en-US" w:eastAsia="zh-CN"/>
              </w:rPr>
              <w:t>隔油池</w:t>
            </w:r>
            <w:r>
              <w:rPr>
                <w:rFonts w:cs="Times New Roman"/>
                <w:bCs/>
                <w:snapToGrid w:val="0"/>
                <w:color w:val="auto"/>
                <w:szCs w:val="24"/>
                <w:highlight w:val="none"/>
              </w:rPr>
              <w:t>+</w:t>
            </w:r>
            <w:r>
              <w:rPr>
                <w:rFonts w:hint="eastAsia" w:cs="Times New Roman"/>
                <w:bCs/>
                <w:snapToGrid w:val="0"/>
                <w:color w:val="auto"/>
                <w:szCs w:val="24"/>
                <w:highlight w:val="none"/>
                <w:lang w:val="en-US" w:eastAsia="zh-CN"/>
              </w:rPr>
              <w:t>调节池</w:t>
            </w:r>
            <w:r>
              <w:rPr>
                <w:rFonts w:cs="Times New Roman"/>
                <w:bCs/>
                <w:snapToGrid w:val="0"/>
                <w:color w:val="auto"/>
                <w:szCs w:val="24"/>
                <w:highlight w:val="none"/>
              </w:rPr>
              <w:t>+气浮+水解酸化+</w:t>
            </w:r>
            <w:r>
              <w:rPr>
                <w:rFonts w:hint="eastAsia" w:cs="Times New Roman"/>
                <w:bCs/>
                <w:snapToGrid w:val="0"/>
                <w:color w:val="auto"/>
                <w:szCs w:val="24"/>
                <w:highlight w:val="none"/>
                <w:lang w:val="en-US" w:eastAsia="zh-CN"/>
              </w:rPr>
              <w:t>反硝化缺氧+好氧</w:t>
            </w:r>
            <w:r>
              <w:rPr>
                <w:rFonts w:cs="Times New Roman"/>
                <w:bCs/>
                <w:snapToGrid w:val="0"/>
                <w:color w:val="auto"/>
                <w:szCs w:val="24"/>
                <w:highlight w:val="none"/>
              </w:rPr>
              <w:t>+沉淀+消毒（</w:t>
            </w:r>
            <w:r>
              <w:rPr>
                <w:rFonts w:hint="eastAsia" w:cs="Times New Roman"/>
                <w:bCs/>
                <w:snapToGrid w:val="0"/>
                <w:color w:val="auto"/>
                <w:szCs w:val="24"/>
                <w:highlight w:val="none"/>
                <w:lang w:val="en-US" w:eastAsia="zh-CN"/>
              </w:rPr>
              <w:t>次氯酸钠</w:t>
            </w:r>
            <w:r>
              <w:rPr>
                <w:rFonts w:cs="Times New Roman"/>
                <w:bCs/>
                <w:snapToGrid w:val="0"/>
                <w:color w:val="auto"/>
                <w:szCs w:val="24"/>
                <w:highlight w:val="none"/>
              </w:rPr>
              <w:t>）”</w:t>
            </w:r>
          </w:p>
        </w:tc>
        <w:tc>
          <w:tcPr>
            <w:tcW w:w="428" w:type="pct"/>
            <w:vMerge w:val="continue"/>
            <w:vAlign w:val="center"/>
          </w:tcPr>
          <w:p w14:paraId="1548ED69">
            <w:pPr>
              <w:pStyle w:val="73"/>
              <w:rPr>
                <w:rFonts w:cs="Times New Roman"/>
                <w:snapToGrid w:val="0"/>
                <w:color w:val="auto"/>
                <w:highlight w:val="none"/>
              </w:rPr>
            </w:pPr>
          </w:p>
        </w:tc>
      </w:tr>
      <w:tr w14:paraId="63FD1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23" w:type="pct"/>
            <w:vMerge w:val="continue"/>
            <w:vAlign w:val="center"/>
          </w:tcPr>
          <w:p w14:paraId="5685F10F">
            <w:pPr>
              <w:pStyle w:val="73"/>
              <w:rPr>
                <w:rFonts w:cs="Times New Roman"/>
                <w:snapToGrid w:val="0"/>
                <w:color w:val="auto"/>
                <w:highlight w:val="none"/>
              </w:rPr>
            </w:pPr>
          </w:p>
        </w:tc>
        <w:tc>
          <w:tcPr>
            <w:tcW w:w="732" w:type="pct"/>
            <w:gridSpan w:val="2"/>
            <w:vAlign w:val="center"/>
          </w:tcPr>
          <w:p w14:paraId="54F69F3E">
            <w:pPr>
              <w:pStyle w:val="73"/>
              <w:rPr>
                <w:rFonts w:hint="eastAsia" w:eastAsia="宋体" w:cs="Times New Roman"/>
                <w:snapToGrid w:val="0"/>
                <w:color w:val="auto"/>
                <w:highlight w:val="none"/>
                <w:lang w:val="en-US" w:eastAsia="zh-CN"/>
              </w:rPr>
            </w:pPr>
            <w:r>
              <w:rPr>
                <w:rFonts w:cs="Times New Roman"/>
                <w:snapToGrid w:val="0"/>
                <w:color w:val="auto"/>
                <w:highlight w:val="none"/>
                <w:lang w:val="en-US"/>
              </w:rPr>
              <w:t>车</w:t>
            </w:r>
            <w:r>
              <w:rPr>
                <w:rFonts w:hint="eastAsia" w:cs="Times New Roman"/>
                <w:snapToGrid w:val="0"/>
                <w:color w:val="auto"/>
                <w:highlight w:val="none"/>
                <w:lang w:val="en-US" w:eastAsia="zh-CN"/>
              </w:rPr>
              <w:t>库</w:t>
            </w:r>
          </w:p>
        </w:tc>
        <w:tc>
          <w:tcPr>
            <w:tcW w:w="3416" w:type="pct"/>
            <w:vAlign w:val="center"/>
          </w:tcPr>
          <w:p w14:paraId="1E11FD26">
            <w:pPr>
              <w:pStyle w:val="73"/>
              <w:rPr>
                <w:rFonts w:cs="Times New Roman"/>
                <w:snapToGrid w:val="0"/>
                <w:color w:val="auto"/>
                <w:highlight w:val="none"/>
                <w:lang w:val="en-US"/>
              </w:rPr>
            </w:pPr>
            <w:r>
              <w:rPr>
                <w:rFonts w:cs="Times New Roman"/>
                <w:snapToGrid w:val="0"/>
                <w:color w:val="auto"/>
                <w:highlight w:val="none"/>
                <w:lang w:val="en-US"/>
              </w:rPr>
              <w:t>位于厂区西侧，</w:t>
            </w:r>
            <w:r>
              <w:rPr>
                <w:rFonts w:cs="Times New Roman"/>
                <w:snapToGrid w:val="0"/>
                <w:color w:val="auto"/>
                <w:highlight w:val="none"/>
              </w:rPr>
              <w:t>1层，</w:t>
            </w:r>
            <w:r>
              <w:rPr>
                <w:rFonts w:cs="Times New Roman"/>
                <w:snapToGrid w:val="0"/>
                <w:color w:val="auto"/>
                <w:highlight w:val="none"/>
                <w:lang w:val="en-US"/>
              </w:rPr>
              <w:t>建筑面积为</w:t>
            </w:r>
            <w:r>
              <w:rPr>
                <w:rFonts w:hint="eastAsia" w:cs="Times New Roman"/>
                <w:snapToGrid w:val="0"/>
                <w:color w:val="auto"/>
                <w:highlight w:val="none"/>
                <w:lang w:val="en-US" w:eastAsia="zh-CN"/>
              </w:rPr>
              <w:t>300</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w:t>
            </w:r>
            <w:r>
              <w:rPr>
                <w:rFonts w:cs="Times New Roman"/>
                <w:snapToGrid w:val="0"/>
                <w:color w:val="auto"/>
                <w:highlight w:val="none"/>
                <w:lang w:val="en-US"/>
              </w:rPr>
              <w:t>用于车辆停放</w:t>
            </w:r>
          </w:p>
        </w:tc>
        <w:tc>
          <w:tcPr>
            <w:tcW w:w="428" w:type="pct"/>
            <w:vMerge w:val="continue"/>
            <w:vAlign w:val="center"/>
          </w:tcPr>
          <w:p w14:paraId="4E4570B4">
            <w:pPr>
              <w:pStyle w:val="73"/>
              <w:rPr>
                <w:rFonts w:cs="Times New Roman"/>
                <w:snapToGrid w:val="0"/>
                <w:color w:val="auto"/>
                <w:highlight w:val="none"/>
              </w:rPr>
            </w:pPr>
          </w:p>
        </w:tc>
      </w:tr>
      <w:tr w14:paraId="5BDB4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423" w:type="pct"/>
            <w:vMerge w:val="continue"/>
            <w:vAlign w:val="center"/>
          </w:tcPr>
          <w:p w14:paraId="23748A63">
            <w:pPr>
              <w:pStyle w:val="73"/>
              <w:rPr>
                <w:rFonts w:cs="Times New Roman"/>
                <w:snapToGrid w:val="0"/>
                <w:color w:val="auto"/>
                <w:highlight w:val="none"/>
              </w:rPr>
            </w:pPr>
          </w:p>
        </w:tc>
        <w:tc>
          <w:tcPr>
            <w:tcW w:w="732" w:type="pct"/>
            <w:gridSpan w:val="2"/>
            <w:vAlign w:val="center"/>
          </w:tcPr>
          <w:p w14:paraId="460C7FF1">
            <w:pPr>
              <w:pStyle w:val="73"/>
              <w:rPr>
                <w:rFonts w:cs="Times New Roman"/>
                <w:snapToGrid w:val="0"/>
                <w:color w:val="auto"/>
                <w:highlight w:val="none"/>
                <w:lang w:val="en-US"/>
              </w:rPr>
            </w:pPr>
            <w:r>
              <w:rPr>
                <w:rFonts w:cs="Times New Roman"/>
                <w:snapToGrid w:val="0"/>
                <w:color w:val="auto"/>
                <w:highlight w:val="none"/>
                <w:lang w:val="en-US"/>
              </w:rPr>
              <w:t>制冷机房</w:t>
            </w:r>
          </w:p>
        </w:tc>
        <w:tc>
          <w:tcPr>
            <w:tcW w:w="3416" w:type="pct"/>
            <w:vAlign w:val="center"/>
          </w:tcPr>
          <w:p w14:paraId="65A1CB4F">
            <w:pPr>
              <w:pStyle w:val="73"/>
              <w:rPr>
                <w:rFonts w:cs="Times New Roman"/>
                <w:snapToGrid w:val="0"/>
                <w:color w:val="auto"/>
                <w:highlight w:val="none"/>
                <w:lang w:val="en-US"/>
              </w:rPr>
            </w:pPr>
            <w:r>
              <w:rPr>
                <w:rFonts w:cs="Times New Roman"/>
                <w:snapToGrid w:val="0"/>
                <w:color w:val="auto"/>
                <w:highlight w:val="none"/>
                <w:lang w:val="en-US"/>
              </w:rPr>
              <w:t>位于</w:t>
            </w:r>
            <w:r>
              <w:rPr>
                <w:rFonts w:hint="eastAsia" w:cs="Times New Roman"/>
                <w:snapToGrid w:val="0"/>
                <w:color w:val="auto"/>
                <w:highlight w:val="none"/>
                <w:lang w:val="en-US" w:eastAsia="zh-CN"/>
              </w:rPr>
              <w:t>东侧，</w:t>
            </w:r>
            <w:r>
              <w:rPr>
                <w:rFonts w:cs="Times New Roman"/>
                <w:snapToGrid w:val="0"/>
                <w:color w:val="auto"/>
                <w:highlight w:val="none"/>
              </w:rPr>
              <w:t>1层，</w:t>
            </w:r>
            <w:r>
              <w:rPr>
                <w:rFonts w:cs="Times New Roman"/>
                <w:snapToGrid w:val="0"/>
                <w:color w:val="auto"/>
                <w:highlight w:val="none"/>
                <w:lang w:val="en-US"/>
              </w:rPr>
              <w:t>建筑面积为</w:t>
            </w:r>
            <w:r>
              <w:rPr>
                <w:rFonts w:hint="eastAsia" w:cs="Times New Roman"/>
                <w:snapToGrid w:val="0"/>
                <w:color w:val="auto"/>
                <w:highlight w:val="none"/>
                <w:lang w:val="en-US" w:eastAsia="zh-CN"/>
              </w:rPr>
              <w:t>50</w:t>
            </w:r>
            <w:r>
              <w:rPr>
                <w:rFonts w:cs="Times New Roman"/>
                <w:snapToGrid w:val="0"/>
                <w:color w:val="auto"/>
                <w:highlight w:val="none"/>
              </w:rPr>
              <w:t>m</w:t>
            </w:r>
            <w:r>
              <w:rPr>
                <w:rFonts w:cs="Times New Roman"/>
                <w:snapToGrid w:val="0"/>
                <w:color w:val="auto"/>
                <w:highlight w:val="none"/>
                <w:vertAlign w:val="superscript"/>
              </w:rPr>
              <w:t>2</w:t>
            </w:r>
            <w:r>
              <w:rPr>
                <w:rFonts w:cs="Times New Roman"/>
                <w:snapToGrid w:val="0"/>
                <w:color w:val="auto"/>
                <w:highlight w:val="none"/>
              </w:rPr>
              <w:t>，</w:t>
            </w:r>
            <w:r>
              <w:rPr>
                <w:rFonts w:hint="eastAsia" w:cs="Times New Roman"/>
                <w:snapToGrid w:val="0"/>
                <w:color w:val="auto"/>
                <w:highlight w:val="none"/>
                <w:lang w:val="en-US" w:eastAsia="zh-CN"/>
              </w:rPr>
              <w:t>高3m，</w:t>
            </w:r>
            <w:r>
              <w:rPr>
                <w:rFonts w:cs="Times New Roman"/>
                <w:snapToGrid w:val="0"/>
                <w:color w:val="auto"/>
                <w:highlight w:val="none"/>
                <w:lang w:val="en-US"/>
              </w:rPr>
              <w:t>用于冷库制冷，</w:t>
            </w:r>
            <w:r>
              <w:rPr>
                <w:rFonts w:cs="Times New Roman"/>
                <w:snapToGrid w:val="0"/>
                <w:color w:val="auto"/>
                <w:highlight w:val="none"/>
              </w:rPr>
              <w:t>制冷剂为R410A</w:t>
            </w:r>
          </w:p>
        </w:tc>
        <w:tc>
          <w:tcPr>
            <w:tcW w:w="428" w:type="pct"/>
            <w:vMerge w:val="continue"/>
            <w:vAlign w:val="center"/>
          </w:tcPr>
          <w:p w14:paraId="76F55516">
            <w:pPr>
              <w:pStyle w:val="73"/>
              <w:rPr>
                <w:rFonts w:cs="Times New Roman"/>
                <w:snapToGrid w:val="0"/>
                <w:color w:val="auto"/>
                <w:highlight w:val="none"/>
              </w:rPr>
            </w:pPr>
          </w:p>
        </w:tc>
      </w:tr>
      <w:tr w14:paraId="4C083C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3" w:hRule="atLeast"/>
          <w:jc w:val="center"/>
        </w:trPr>
        <w:tc>
          <w:tcPr>
            <w:tcW w:w="423" w:type="pct"/>
            <w:vMerge w:val="continue"/>
            <w:vAlign w:val="center"/>
          </w:tcPr>
          <w:p w14:paraId="54AAE678">
            <w:pPr>
              <w:pStyle w:val="73"/>
              <w:rPr>
                <w:rFonts w:cs="Times New Roman"/>
                <w:snapToGrid w:val="0"/>
                <w:color w:val="auto"/>
                <w:highlight w:val="none"/>
              </w:rPr>
            </w:pPr>
          </w:p>
        </w:tc>
        <w:tc>
          <w:tcPr>
            <w:tcW w:w="732" w:type="pct"/>
            <w:gridSpan w:val="2"/>
            <w:vAlign w:val="center"/>
          </w:tcPr>
          <w:p w14:paraId="1FD96438">
            <w:pPr>
              <w:pStyle w:val="73"/>
              <w:rPr>
                <w:rFonts w:cs="Times New Roman"/>
                <w:snapToGrid w:val="0"/>
                <w:color w:val="auto"/>
                <w:highlight w:val="none"/>
              </w:rPr>
            </w:pPr>
            <w:r>
              <w:rPr>
                <w:rFonts w:cs="Times New Roman"/>
                <w:snapToGrid w:val="0"/>
                <w:color w:val="auto"/>
                <w:highlight w:val="none"/>
              </w:rPr>
              <w:t>消防泵房及水池</w:t>
            </w:r>
          </w:p>
        </w:tc>
        <w:tc>
          <w:tcPr>
            <w:tcW w:w="3416" w:type="pct"/>
            <w:vAlign w:val="center"/>
          </w:tcPr>
          <w:p w14:paraId="42FB8561">
            <w:pPr>
              <w:pStyle w:val="73"/>
              <w:rPr>
                <w:rFonts w:hint="default" w:eastAsia="宋体" w:cs="Times New Roman"/>
                <w:snapToGrid w:val="0"/>
                <w:color w:val="auto"/>
                <w:highlight w:val="none"/>
                <w:lang w:val="en-US" w:eastAsia="zh-CN"/>
              </w:rPr>
            </w:pPr>
            <w:r>
              <w:rPr>
                <w:rFonts w:cs="Times New Roman"/>
                <w:snapToGrid w:val="0"/>
                <w:color w:val="auto"/>
                <w:highlight w:val="none"/>
              </w:rPr>
              <w:t>位于</w:t>
            </w:r>
            <w:r>
              <w:rPr>
                <w:rFonts w:cs="Times New Roman"/>
                <w:snapToGrid w:val="0"/>
                <w:color w:val="auto"/>
                <w:highlight w:val="none"/>
                <w:lang w:val="en-US"/>
              </w:rPr>
              <w:t>厂区</w:t>
            </w:r>
            <w:r>
              <w:rPr>
                <w:rFonts w:hint="eastAsia" w:cs="Times New Roman"/>
                <w:snapToGrid w:val="0"/>
                <w:color w:val="auto"/>
                <w:highlight w:val="none"/>
                <w:lang w:val="en-US" w:eastAsia="zh-CN"/>
              </w:rPr>
              <w:t>西</w:t>
            </w:r>
            <w:r>
              <w:rPr>
                <w:rFonts w:cs="Times New Roman"/>
                <w:snapToGrid w:val="0"/>
                <w:color w:val="auto"/>
                <w:highlight w:val="none"/>
                <w:lang w:val="en-US"/>
              </w:rPr>
              <w:t>侧</w:t>
            </w:r>
            <w:r>
              <w:rPr>
                <w:rFonts w:cs="Times New Roman"/>
                <w:snapToGrid w:val="0"/>
                <w:color w:val="auto"/>
                <w:highlight w:val="none"/>
              </w:rPr>
              <w:t>，建筑面积为</w:t>
            </w:r>
            <w:r>
              <w:rPr>
                <w:rFonts w:hint="eastAsia" w:cs="Times New Roman"/>
                <w:snapToGrid w:val="0"/>
                <w:color w:val="auto"/>
                <w:highlight w:val="none"/>
                <w:lang w:val="en-US" w:eastAsia="zh-CN"/>
              </w:rPr>
              <w:t>80</w:t>
            </w:r>
            <w:r>
              <w:rPr>
                <w:rFonts w:cs="Times New Roman"/>
                <w:snapToGrid w:val="0"/>
                <w:color w:val="auto"/>
                <w:highlight w:val="none"/>
                <w:lang w:val="en-US"/>
              </w:rPr>
              <w:t>m</w:t>
            </w:r>
            <w:r>
              <w:rPr>
                <w:rFonts w:cs="Times New Roman"/>
                <w:snapToGrid w:val="0"/>
                <w:color w:val="auto"/>
                <w:highlight w:val="none"/>
                <w:vertAlign w:val="superscript"/>
                <w:lang w:val="en-US"/>
              </w:rPr>
              <w:t>2</w:t>
            </w:r>
            <w:r>
              <w:rPr>
                <w:rFonts w:cs="Times New Roman"/>
                <w:snapToGrid w:val="0"/>
                <w:color w:val="auto"/>
                <w:highlight w:val="none"/>
                <w:lang w:val="en-US"/>
              </w:rPr>
              <w:t>，</w:t>
            </w:r>
            <w:r>
              <w:rPr>
                <w:rFonts w:hint="eastAsia" w:cs="Times New Roman"/>
                <w:snapToGrid w:val="0"/>
                <w:color w:val="auto"/>
                <w:highlight w:val="none"/>
                <w:lang w:val="en-US" w:eastAsia="zh-CN"/>
              </w:rPr>
              <w:t>高3m，</w:t>
            </w:r>
            <w:r>
              <w:rPr>
                <w:rFonts w:cs="Times New Roman"/>
                <w:snapToGrid w:val="0"/>
                <w:color w:val="auto"/>
                <w:highlight w:val="none"/>
                <w:lang w:val="en-US"/>
              </w:rPr>
              <w:t>消防水池位于地下</w:t>
            </w:r>
            <w:r>
              <w:rPr>
                <w:rFonts w:hint="eastAsia" w:cs="Times New Roman"/>
                <w:snapToGrid w:val="0"/>
                <w:color w:val="auto"/>
                <w:highlight w:val="none"/>
                <w:lang w:val="en-US" w:eastAsia="zh-CN"/>
              </w:rPr>
              <w:t>，消防水池有效容积为240</w:t>
            </w:r>
            <w:r>
              <w:rPr>
                <w:rFonts w:cs="Times New Roman"/>
                <w:snapToGrid w:val="0"/>
                <w:color w:val="auto"/>
                <w:highlight w:val="none"/>
                <w:lang w:val="en-US"/>
              </w:rPr>
              <w:t>m</w:t>
            </w:r>
            <w:r>
              <w:rPr>
                <w:rFonts w:hint="eastAsia" w:cs="Times New Roman"/>
                <w:snapToGrid w:val="0"/>
                <w:color w:val="auto"/>
                <w:highlight w:val="none"/>
                <w:vertAlign w:val="superscript"/>
                <w:lang w:val="en-US" w:eastAsia="zh-CN"/>
              </w:rPr>
              <w:t>3</w:t>
            </w:r>
            <w:r>
              <w:rPr>
                <w:rFonts w:hint="eastAsia" w:cs="Times New Roman"/>
                <w:snapToGrid w:val="0"/>
                <w:color w:val="auto"/>
                <w:highlight w:val="none"/>
                <w:lang w:val="en-US" w:eastAsia="zh-CN"/>
              </w:rPr>
              <w:t>，分两格，分别为用于储存消防用水和消防废水。</w:t>
            </w:r>
          </w:p>
        </w:tc>
        <w:tc>
          <w:tcPr>
            <w:tcW w:w="428" w:type="pct"/>
            <w:vMerge w:val="continue"/>
            <w:vAlign w:val="center"/>
          </w:tcPr>
          <w:p w14:paraId="35253CE4">
            <w:pPr>
              <w:pStyle w:val="73"/>
              <w:rPr>
                <w:rFonts w:cs="Times New Roman"/>
                <w:snapToGrid w:val="0"/>
                <w:color w:val="auto"/>
                <w:highlight w:val="none"/>
              </w:rPr>
            </w:pPr>
          </w:p>
        </w:tc>
      </w:tr>
      <w:tr w14:paraId="6A03B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423" w:type="pct"/>
            <w:vMerge w:val="restart"/>
            <w:vAlign w:val="center"/>
          </w:tcPr>
          <w:p w14:paraId="3A148B3D">
            <w:pPr>
              <w:pStyle w:val="73"/>
              <w:rPr>
                <w:rFonts w:cs="Times New Roman"/>
                <w:snapToGrid w:val="0"/>
                <w:color w:val="auto"/>
                <w:highlight w:val="none"/>
              </w:rPr>
            </w:pPr>
            <w:r>
              <w:rPr>
                <w:rFonts w:cs="Times New Roman"/>
                <w:snapToGrid w:val="0"/>
                <w:color w:val="auto"/>
                <w:highlight w:val="none"/>
              </w:rPr>
              <w:t>公用</w:t>
            </w:r>
          </w:p>
          <w:p w14:paraId="2F5EEE6B">
            <w:pPr>
              <w:pStyle w:val="73"/>
              <w:rPr>
                <w:rFonts w:cs="Times New Roman"/>
                <w:snapToGrid w:val="0"/>
                <w:color w:val="auto"/>
                <w:highlight w:val="none"/>
              </w:rPr>
            </w:pPr>
            <w:r>
              <w:rPr>
                <w:rFonts w:cs="Times New Roman"/>
                <w:snapToGrid w:val="0"/>
                <w:color w:val="auto"/>
                <w:highlight w:val="none"/>
              </w:rPr>
              <w:t>工程</w:t>
            </w:r>
          </w:p>
        </w:tc>
        <w:tc>
          <w:tcPr>
            <w:tcW w:w="732" w:type="pct"/>
            <w:gridSpan w:val="2"/>
            <w:vAlign w:val="center"/>
          </w:tcPr>
          <w:p w14:paraId="7028E1AC">
            <w:pPr>
              <w:pStyle w:val="73"/>
              <w:rPr>
                <w:rFonts w:cs="Times New Roman"/>
                <w:snapToGrid w:val="0"/>
                <w:color w:val="auto"/>
                <w:highlight w:val="none"/>
              </w:rPr>
            </w:pPr>
            <w:r>
              <w:rPr>
                <w:rFonts w:cs="Times New Roman"/>
                <w:snapToGrid w:val="0"/>
                <w:color w:val="auto"/>
                <w:highlight w:val="none"/>
              </w:rPr>
              <w:t>供热系统</w:t>
            </w:r>
          </w:p>
        </w:tc>
        <w:tc>
          <w:tcPr>
            <w:tcW w:w="3416" w:type="pct"/>
            <w:vAlign w:val="center"/>
          </w:tcPr>
          <w:p w14:paraId="68323407">
            <w:pPr>
              <w:pStyle w:val="73"/>
              <w:rPr>
                <w:rFonts w:hint="default" w:cs="Times New Roman"/>
                <w:snapToGrid w:val="0"/>
                <w:color w:val="auto"/>
                <w:highlight w:val="none"/>
                <w:lang w:val="en-US"/>
              </w:rPr>
            </w:pPr>
            <w:r>
              <w:rPr>
                <w:rFonts w:hint="eastAsia" w:cs="Times New Roman"/>
                <w:snapToGrid w:val="0"/>
                <w:color w:val="auto"/>
                <w:highlight w:val="none"/>
                <w:lang w:val="en-US" w:eastAsia="zh-CN"/>
              </w:rPr>
              <w:t>本项目生产无需用热，冬季取暖依托市政热网。</w:t>
            </w:r>
          </w:p>
        </w:tc>
        <w:tc>
          <w:tcPr>
            <w:tcW w:w="428" w:type="pct"/>
            <w:vAlign w:val="center"/>
          </w:tcPr>
          <w:p w14:paraId="34E312C1">
            <w:pPr>
              <w:pStyle w:val="73"/>
              <w:rPr>
                <w:rFonts w:cs="Times New Roman"/>
                <w:snapToGrid w:val="0"/>
                <w:color w:val="auto"/>
                <w:highlight w:val="none"/>
              </w:rPr>
            </w:pPr>
            <w:r>
              <w:rPr>
                <w:rFonts w:cs="Times New Roman"/>
                <w:snapToGrid w:val="0"/>
                <w:color w:val="auto"/>
                <w:highlight w:val="none"/>
              </w:rPr>
              <w:t>新建</w:t>
            </w:r>
          </w:p>
        </w:tc>
      </w:tr>
      <w:tr w14:paraId="0716F8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3" w:hRule="atLeast"/>
          <w:jc w:val="center"/>
        </w:trPr>
        <w:tc>
          <w:tcPr>
            <w:tcW w:w="423" w:type="pct"/>
            <w:vMerge w:val="continue"/>
            <w:vAlign w:val="center"/>
          </w:tcPr>
          <w:p w14:paraId="316B5AB4">
            <w:pPr>
              <w:pStyle w:val="73"/>
              <w:rPr>
                <w:rFonts w:cs="Times New Roman"/>
                <w:snapToGrid w:val="0"/>
                <w:color w:val="auto"/>
                <w:highlight w:val="none"/>
              </w:rPr>
            </w:pPr>
          </w:p>
        </w:tc>
        <w:tc>
          <w:tcPr>
            <w:tcW w:w="732" w:type="pct"/>
            <w:gridSpan w:val="2"/>
            <w:vAlign w:val="center"/>
          </w:tcPr>
          <w:p w14:paraId="5B5A7128">
            <w:pPr>
              <w:pStyle w:val="73"/>
              <w:rPr>
                <w:rFonts w:cs="Times New Roman"/>
                <w:snapToGrid w:val="0"/>
                <w:color w:val="auto"/>
                <w:highlight w:val="none"/>
              </w:rPr>
            </w:pPr>
            <w:r>
              <w:rPr>
                <w:rFonts w:cs="Times New Roman"/>
                <w:snapToGrid w:val="0"/>
                <w:color w:val="auto"/>
                <w:highlight w:val="none"/>
              </w:rPr>
              <w:t>制冷系统</w:t>
            </w:r>
          </w:p>
        </w:tc>
        <w:tc>
          <w:tcPr>
            <w:tcW w:w="3416" w:type="pct"/>
            <w:vAlign w:val="center"/>
          </w:tcPr>
          <w:p w14:paraId="79EA84EA">
            <w:pPr>
              <w:pStyle w:val="73"/>
              <w:rPr>
                <w:rFonts w:hint="default" w:eastAsia="宋体" w:cs="Times New Roman"/>
                <w:snapToGrid w:val="0"/>
                <w:color w:val="auto"/>
                <w:highlight w:val="none"/>
                <w:lang w:val="en-US" w:eastAsia="zh-CN"/>
              </w:rPr>
            </w:pPr>
            <w:r>
              <w:rPr>
                <w:rFonts w:cs="Times New Roman"/>
                <w:snapToGrid w:val="0"/>
                <w:color w:val="auto"/>
                <w:highlight w:val="none"/>
              </w:rPr>
              <w:t>采用风冷的方式控制温度，风冷机的制冷剂为R410A</w:t>
            </w:r>
            <w:r>
              <w:rPr>
                <w:rFonts w:hint="eastAsia" w:cs="Times New Roman"/>
                <w:snapToGrid w:val="0"/>
                <w:color w:val="auto"/>
                <w:highlight w:val="none"/>
                <w:lang w:eastAsia="zh-CN"/>
              </w:rPr>
              <w:t>，</w:t>
            </w:r>
            <w:r>
              <w:rPr>
                <w:rFonts w:cs="Times New Roman"/>
                <w:snapToGrid w:val="0"/>
                <w:color w:val="auto"/>
                <w:highlight w:val="none"/>
              </w:rPr>
              <w:t>R410A</w:t>
            </w:r>
            <w:r>
              <w:rPr>
                <w:rFonts w:hint="eastAsia" w:cs="Times New Roman"/>
                <w:snapToGrid w:val="0"/>
                <w:color w:val="auto"/>
                <w:highlight w:val="none"/>
                <w:lang w:val="en-US" w:eastAsia="zh-CN"/>
              </w:rPr>
              <w:t>属于环保型制冷剂</w:t>
            </w:r>
            <w:r>
              <w:rPr>
                <w:rFonts w:cs="Times New Roman"/>
                <w:snapToGrid w:val="0"/>
                <w:color w:val="auto"/>
                <w:highlight w:val="none"/>
              </w:rPr>
              <w:t>。</w:t>
            </w:r>
            <w:r>
              <w:rPr>
                <w:rFonts w:hint="eastAsia" w:cs="Times New Roman"/>
                <w:snapToGrid w:val="0"/>
                <w:color w:val="auto"/>
                <w:highlight w:val="none"/>
                <w:lang w:val="en-US" w:eastAsia="zh-CN"/>
              </w:rPr>
              <w:t>一次添加制冷剂的量为0.32t，循环量为0.32t</w:t>
            </w:r>
          </w:p>
        </w:tc>
        <w:tc>
          <w:tcPr>
            <w:tcW w:w="428" w:type="pct"/>
            <w:vAlign w:val="center"/>
          </w:tcPr>
          <w:p w14:paraId="4D2195D3">
            <w:pPr>
              <w:pStyle w:val="73"/>
              <w:rPr>
                <w:rFonts w:cs="Times New Roman"/>
                <w:snapToGrid w:val="0"/>
                <w:color w:val="auto"/>
                <w:highlight w:val="none"/>
              </w:rPr>
            </w:pPr>
            <w:r>
              <w:rPr>
                <w:rFonts w:cs="Times New Roman"/>
                <w:snapToGrid w:val="0"/>
                <w:color w:val="auto"/>
                <w:highlight w:val="none"/>
              </w:rPr>
              <w:t>新建</w:t>
            </w:r>
          </w:p>
        </w:tc>
      </w:tr>
      <w:tr w14:paraId="0B649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423" w:type="pct"/>
            <w:vMerge w:val="continue"/>
            <w:vAlign w:val="center"/>
          </w:tcPr>
          <w:p w14:paraId="25DD2F52">
            <w:pPr>
              <w:pStyle w:val="73"/>
              <w:rPr>
                <w:rFonts w:cs="Times New Roman"/>
                <w:snapToGrid w:val="0"/>
                <w:color w:val="auto"/>
                <w:highlight w:val="none"/>
              </w:rPr>
            </w:pPr>
          </w:p>
        </w:tc>
        <w:tc>
          <w:tcPr>
            <w:tcW w:w="732" w:type="pct"/>
            <w:gridSpan w:val="2"/>
            <w:vAlign w:val="center"/>
          </w:tcPr>
          <w:p w14:paraId="6C8F3BC5">
            <w:pPr>
              <w:pStyle w:val="73"/>
              <w:rPr>
                <w:rFonts w:cs="Times New Roman"/>
                <w:snapToGrid w:val="0"/>
                <w:color w:val="auto"/>
                <w:highlight w:val="none"/>
              </w:rPr>
            </w:pPr>
            <w:r>
              <w:rPr>
                <w:rFonts w:cs="Times New Roman"/>
                <w:snapToGrid w:val="0"/>
                <w:color w:val="auto"/>
                <w:highlight w:val="none"/>
              </w:rPr>
              <w:t>给水系统</w:t>
            </w:r>
          </w:p>
        </w:tc>
        <w:tc>
          <w:tcPr>
            <w:tcW w:w="3416" w:type="pct"/>
            <w:vAlign w:val="center"/>
          </w:tcPr>
          <w:p w14:paraId="66D8C414">
            <w:pPr>
              <w:pStyle w:val="73"/>
              <w:rPr>
                <w:rFonts w:hint="default" w:eastAsia="宋体" w:cs="Times New Roman"/>
                <w:snapToGrid w:val="0"/>
                <w:color w:val="auto"/>
                <w:highlight w:val="none"/>
                <w:lang w:val="en-US" w:eastAsia="zh-CN"/>
              </w:rPr>
            </w:pPr>
            <w:r>
              <w:rPr>
                <w:rFonts w:cs="Times New Roman"/>
                <w:snapToGrid w:val="0"/>
                <w:color w:val="auto"/>
                <w:highlight w:val="none"/>
                <w:lang w:val="en-US"/>
              </w:rPr>
              <w:t>本项目运营期用水由市政供水</w:t>
            </w:r>
            <w:r>
              <w:rPr>
                <w:rFonts w:cs="Times New Roman"/>
                <w:snapToGrid w:val="0"/>
                <w:color w:val="auto"/>
                <w:highlight w:val="none"/>
              </w:rPr>
              <w:t>，</w:t>
            </w:r>
            <w:r>
              <w:rPr>
                <w:rFonts w:cs="Times New Roman"/>
                <w:snapToGrid w:val="0"/>
                <w:color w:val="auto"/>
                <w:highlight w:val="none"/>
                <w:lang w:val="en-US"/>
              </w:rPr>
              <w:t>用于生产及员工生活。</w:t>
            </w:r>
          </w:p>
        </w:tc>
        <w:tc>
          <w:tcPr>
            <w:tcW w:w="428" w:type="pct"/>
            <w:vAlign w:val="center"/>
          </w:tcPr>
          <w:p w14:paraId="2A571CC8">
            <w:pPr>
              <w:pStyle w:val="73"/>
              <w:rPr>
                <w:rFonts w:cs="Times New Roman"/>
                <w:snapToGrid w:val="0"/>
                <w:color w:val="auto"/>
                <w:highlight w:val="none"/>
              </w:rPr>
            </w:pPr>
            <w:r>
              <w:rPr>
                <w:rFonts w:cs="Times New Roman"/>
                <w:snapToGrid w:val="0"/>
                <w:color w:val="auto"/>
                <w:highlight w:val="none"/>
              </w:rPr>
              <w:t>新建</w:t>
            </w:r>
          </w:p>
        </w:tc>
      </w:tr>
      <w:tr w14:paraId="24D22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7" w:hRule="atLeast"/>
          <w:jc w:val="center"/>
        </w:trPr>
        <w:tc>
          <w:tcPr>
            <w:tcW w:w="423" w:type="pct"/>
            <w:vMerge w:val="continue"/>
            <w:vAlign w:val="center"/>
          </w:tcPr>
          <w:p w14:paraId="2F41D7BC">
            <w:pPr>
              <w:pStyle w:val="73"/>
              <w:rPr>
                <w:rFonts w:cs="Times New Roman"/>
                <w:snapToGrid w:val="0"/>
                <w:color w:val="auto"/>
                <w:highlight w:val="none"/>
              </w:rPr>
            </w:pPr>
          </w:p>
        </w:tc>
        <w:tc>
          <w:tcPr>
            <w:tcW w:w="732" w:type="pct"/>
            <w:gridSpan w:val="2"/>
            <w:vAlign w:val="center"/>
          </w:tcPr>
          <w:p w14:paraId="523E5311">
            <w:pPr>
              <w:pStyle w:val="73"/>
              <w:rPr>
                <w:rFonts w:cs="Times New Roman"/>
                <w:snapToGrid w:val="0"/>
                <w:color w:val="auto"/>
                <w:highlight w:val="none"/>
              </w:rPr>
            </w:pPr>
            <w:r>
              <w:rPr>
                <w:rFonts w:cs="Times New Roman"/>
                <w:snapToGrid w:val="0"/>
                <w:color w:val="auto"/>
                <w:highlight w:val="none"/>
              </w:rPr>
              <w:t>排水系统</w:t>
            </w:r>
          </w:p>
        </w:tc>
        <w:tc>
          <w:tcPr>
            <w:tcW w:w="3416" w:type="pct"/>
            <w:vAlign w:val="center"/>
          </w:tcPr>
          <w:p w14:paraId="5C1C5CDE">
            <w:pPr>
              <w:pStyle w:val="73"/>
              <w:rPr>
                <w:rFonts w:cs="Times New Roman"/>
                <w:snapToGrid w:val="0"/>
                <w:color w:val="auto"/>
                <w:highlight w:val="none"/>
                <w:lang w:val="en-GB"/>
              </w:rPr>
            </w:pPr>
            <w:r>
              <w:rPr>
                <w:rFonts w:cs="Times New Roman"/>
                <w:snapToGrid w:val="0"/>
                <w:color w:val="auto"/>
                <w:highlight w:val="none"/>
                <w:lang w:val="en-US"/>
              </w:rPr>
              <w:t>本项目排水采用</w:t>
            </w:r>
            <w:r>
              <w:rPr>
                <w:rFonts w:cs="Times New Roman"/>
                <w:snapToGrid w:val="0"/>
                <w:color w:val="auto"/>
                <w:highlight w:val="none"/>
                <w:lang w:val="en-GB"/>
              </w:rPr>
              <w:t>雨污分流；</w:t>
            </w:r>
          </w:p>
          <w:p w14:paraId="788362C7">
            <w:pPr>
              <w:pStyle w:val="73"/>
              <w:rPr>
                <w:rFonts w:cs="Times New Roman"/>
                <w:snapToGrid w:val="0"/>
                <w:color w:val="auto"/>
                <w:highlight w:val="none"/>
                <w:lang w:val="en-GB"/>
              </w:rPr>
            </w:pPr>
            <w:r>
              <w:rPr>
                <w:rFonts w:cs="Times New Roman"/>
                <w:snapToGrid w:val="0"/>
                <w:color w:val="auto"/>
                <w:highlight w:val="none"/>
                <w:lang w:val="en-GB"/>
              </w:rPr>
              <w:t>废水经自建污水处理站处理达到《肉类加工工业水污染物排放标准》（GB13457-92）中畜类屠宰加工三级标准，并满足</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进水水质要求后，</w:t>
            </w:r>
            <w:r>
              <w:rPr>
                <w:rFonts w:cs="Times New Roman"/>
                <w:snapToGrid w:val="0"/>
                <w:color w:val="auto"/>
                <w:highlight w:val="none"/>
                <w:lang w:val="en-US"/>
              </w:rPr>
              <w:t>排入污水管网进入</w:t>
            </w:r>
            <w:r>
              <w:rPr>
                <w:rFonts w:hint="eastAsia" w:cs="Times New Roman"/>
                <w:snapToGrid w:val="0"/>
                <w:color w:val="auto"/>
                <w:highlight w:val="none"/>
                <w:lang w:val="en-US" w:eastAsia="zh-CN"/>
              </w:rPr>
              <w:t>双鸭山市畅源排水有限公司</w:t>
            </w:r>
            <w:r>
              <w:rPr>
                <w:rFonts w:cs="Times New Roman"/>
                <w:snapToGrid w:val="0"/>
                <w:color w:val="auto"/>
                <w:highlight w:val="none"/>
                <w:lang w:val="en-US"/>
              </w:rPr>
              <w:t>处理，处理</w:t>
            </w:r>
            <w:r>
              <w:rPr>
                <w:rFonts w:cs="Times New Roman"/>
                <w:snapToGrid w:val="0"/>
                <w:color w:val="auto"/>
                <w:highlight w:val="none"/>
                <w:lang w:val="en-GB"/>
              </w:rPr>
              <w:t>达标后排入</w:t>
            </w:r>
            <w:r>
              <w:rPr>
                <w:rFonts w:hint="eastAsia" w:cs="Times New Roman"/>
                <w:snapToGrid w:val="0"/>
                <w:color w:val="auto"/>
                <w:highlight w:val="none"/>
                <w:lang w:val="en-GB" w:eastAsia="zh-CN"/>
              </w:rPr>
              <w:t>安邦河</w:t>
            </w:r>
            <w:r>
              <w:rPr>
                <w:rFonts w:cs="Times New Roman"/>
                <w:snapToGrid w:val="0"/>
                <w:color w:val="auto"/>
                <w:highlight w:val="none"/>
                <w:lang w:val="en-GB"/>
              </w:rPr>
              <w:t>。</w:t>
            </w:r>
          </w:p>
          <w:p w14:paraId="512B1AE9">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厂区内雨水重力流通过马葫芦就近排入雨水管网。</w:t>
            </w:r>
          </w:p>
        </w:tc>
        <w:tc>
          <w:tcPr>
            <w:tcW w:w="428" w:type="pct"/>
            <w:vAlign w:val="center"/>
          </w:tcPr>
          <w:p w14:paraId="01B151B7">
            <w:pPr>
              <w:pStyle w:val="73"/>
              <w:rPr>
                <w:rFonts w:cs="Times New Roman"/>
                <w:snapToGrid w:val="0"/>
                <w:color w:val="auto"/>
                <w:highlight w:val="none"/>
              </w:rPr>
            </w:pPr>
            <w:r>
              <w:rPr>
                <w:rFonts w:cs="Times New Roman"/>
                <w:snapToGrid w:val="0"/>
                <w:color w:val="auto"/>
                <w:highlight w:val="none"/>
              </w:rPr>
              <w:t>新建</w:t>
            </w:r>
          </w:p>
        </w:tc>
      </w:tr>
      <w:tr w14:paraId="6184A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23" w:type="pct"/>
            <w:vMerge w:val="continue"/>
            <w:vAlign w:val="center"/>
          </w:tcPr>
          <w:p w14:paraId="58530488">
            <w:pPr>
              <w:pStyle w:val="73"/>
              <w:rPr>
                <w:rFonts w:cs="Times New Roman"/>
                <w:snapToGrid w:val="0"/>
                <w:color w:val="auto"/>
                <w:highlight w:val="none"/>
              </w:rPr>
            </w:pPr>
          </w:p>
        </w:tc>
        <w:tc>
          <w:tcPr>
            <w:tcW w:w="732" w:type="pct"/>
            <w:gridSpan w:val="2"/>
            <w:vAlign w:val="center"/>
          </w:tcPr>
          <w:p w14:paraId="311DD709">
            <w:pPr>
              <w:pStyle w:val="73"/>
              <w:ind w:firstLine="0" w:firstLineChars="0"/>
              <w:rPr>
                <w:rFonts w:cs="Times New Roman"/>
                <w:snapToGrid w:val="0"/>
                <w:color w:val="auto"/>
                <w:highlight w:val="none"/>
              </w:rPr>
            </w:pPr>
            <w:r>
              <w:rPr>
                <w:rFonts w:cs="Times New Roman"/>
                <w:snapToGrid w:val="0"/>
                <w:color w:val="auto"/>
                <w:highlight w:val="none"/>
              </w:rPr>
              <w:t>供电系统</w:t>
            </w:r>
          </w:p>
        </w:tc>
        <w:tc>
          <w:tcPr>
            <w:tcW w:w="3416" w:type="pct"/>
            <w:vAlign w:val="center"/>
          </w:tcPr>
          <w:p w14:paraId="6932CD17">
            <w:pPr>
              <w:pStyle w:val="73"/>
              <w:ind w:firstLine="0" w:firstLineChars="0"/>
              <w:rPr>
                <w:rFonts w:cs="Times New Roman"/>
                <w:snapToGrid w:val="0"/>
                <w:color w:val="auto"/>
                <w:highlight w:val="none"/>
                <w:lang w:val="en-GB"/>
              </w:rPr>
            </w:pPr>
            <w:r>
              <w:rPr>
                <w:rFonts w:cs="Times New Roman"/>
                <w:snapToGrid w:val="0"/>
                <w:color w:val="auto"/>
                <w:highlight w:val="none"/>
              </w:rPr>
              <w:t>由市政统一供电</w:t>
            </w:r>
          </w:p>
        </w:tc>
        <w:tc>
          <w:tcPr>
            <w:tcW w:w="428" w:type="pct"/>
            <w:vAlign w:val="center"/>
          </w:tcPr>
          <w:p w14:paraId="53FB941E">
            <w:pPr>
              <w:pStyle w:val="73"/>
              <w:ind w:firstLine="0" w:firstLineChars="0"/>
              <w:rPr>
                <w:rFonts w:cs="Times New Roman"/>
                <w:snapToGrid w:val="0"/>
                <w:color w:val="auto"/>
                <w:highlight w:val="none"/>
              </w:rPr>
            </w:pPr>
            <w:r>
              <w:rPr>
                <w:rFonts w:cs="Times New Roman"/>
                <w:snapToGrid w:val="0"/>
                <w:color w:val="auto"/>
                <w:highlight w:val="none"/>
              </w:rPr>
              <w:t>依托</w:t>
            </w:r>
          </w:p>
        </w:tc>
      </w:tr>
      <w:tr w14:paraId="052E76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423" w:type="pct"/>
            <w:vMerge w:val="continue"/>
            <w:vAlign w:val="center"/>
          </w:tcPr>
          <w:p w14:paraId="23BD40C2">
            <w:pPr>
              <w:pStyle w:val="73"/>
              <w:rPr>
                <w:rFonts w:cs="Times New Roman"/>
                <w:snapToGrid w:val="0"/>
                <w:color w:val="auto"/>
                <w:highlight w:val="none"/>
              </w:rPr>
            </w:pPr>
          </w:p>
        </w:tc>
        <w:tc>
          <w:tcPr>
            <w:tcW w:w="732" w:type="pct"/>
            <w:gridSpan w:val="2"/>
            <w:vAlign w:val="center"/>
          </w:tcPr>
          <w:p w14:paraId="41F98018">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消毒防疫</w:t>
            </w:r>
          </w:p>
        </w:tc>
        <w:tc>
          <w:tcPr>
            <w:tcW w:w="3416" w:type="pct"/>
            <w:vAlign w:val="center"/>
          </w:tcPr>
          <w:p w14:paraId="25B67EAC">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进厂车辆需喷淋消毒液，防治带入致病菌</w:t>
            </w:r>
          </w:p>
        </w:tc>
        <w:tc>
          <w:tcPr>
            <w:tcW w:w="428" w:type="pct"/>
            <w:vAlign w:val="center"/>
          </w:tcPr>
          <w:p w14:paraId="4F6AE144">
            <w:pPr>
              <w:pStyle w:val="73"/>
              <w:rPr>
                <w:rFonts w:hint="eastAsia" w:eastAsia="宋体" w:cs="Times New Roman"/>
                <w:snapToGrid w:val="0"/>
                <w:color w:val="auto"/>
                <w:highlight w:val="none"/>
                <w:lang w:val="en-US" w:eastAsia="zh-CN"/>
              </w:rPr>
            </w:pPr>
            <w:r>
              <w:rPr>
                <w:rFonts w:hint="eastAsia" w:cs="Times New Roman"/>
                <w:snapToGrid w:val="0"/>
                <w:color w:val="auto"/>
                <w:highlight w:val="none"/>
                <w:lang w:val="en-US" w:eastAsia="zh-CN"/>
              </w:rPr>
              <w:t>新建</w:t>
            </w:r>
          </w:p>
        </w:tc>
      </w:tr>
      <w:tr w14:paraId="716E4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23" w:type="pct"/>
            <w:vMerge w:val="restart"/>
            <w:vAlign w:val="center"/>
          </w:tcPr>
          <w:p w14:paraId="28395E3D">
            <w:pPr>
              <w:pStyle w:val="73"/>
              <w:rPr>
                <w:rFonts w:cs="Times New Roman"/>
                <w:snapToGrid w:val="0"/>
                <w:color w:val="auto"/>
                <w:highlight w:val="none"/>
              </w:rPr>
            </w:pPr>
            <w:r>
              <w:rPr>
                <w:rFonts w:cs="Times New Roman"/>
                <w:snapToGrid w:val="0"/>
                <w:color w:val="auto"/>
                <w:highlight w:val="none"/>
              </w:rPr>
              <w:t>环保</w:t>
            </w:r>
          </w:p>
          <w:p w14:paraId="22702D86">
            <w:pPr>
              <w:pStyle w:val="73"/>
              <w:rPr>
                <w:rFonts w:cs="Times New Roman"/>
                <w:snapToGrid w:val="0"/>
                <w:color w:val="auto"/>
                <w:highlight w:val="none"/>
              </w:rPr>
            </w:pPr>
            <w:r>
              <w:rPr>
                <w:rFonts w:cs="Times New Roman"/>
                <w:snapToGrid w:val="0"/>
                <w:color w:val="auto"/>
                <w:highlight w:val="none"/>
              </w:rPr>
              <w:t>工程</w:t>
            </w:r>
          </w:p>
        </w:tc>
        <w:tc>
          <w:tcPr>
            <w:tcW w:w="323" w:type="pct"/>
            <w:vMerge w:val="restart"/>
            <w:vAlign w:val="center"/>
          </w:tcPr>
          <w:p w14:paraId="78885D3F">
            <w:pPr>
              <w:pStyle w:val="73"/>
              <w:rPr>
                <w:rFonts w:cs="Times New Roman"/>
                <w:snapToGrid w:val="0"/>
                <w:color w:val="auto"/>
                <w:highlight w:val="none"/>
              </w:rPr>
            </w:pPr>
            <w:r>
              <w:rPr>
                <w:rFonts w:cs="Times New Roman"/>
                <w:snapToGrid w:val="0"/>
                <w:color w:val="auto"/>
                <w:highlight w:val="none"/>
              </w:rPr>
              <w:t>废水处理</w:t>
            </w:r>
          </w:p>
        </w:tc>
        <w:tc>
          <w:tcPr>
            <w:tcW w:w="408" w:type="pct"/>
            <w:vAlign w:val="center"/>
          </w:tcPr>
          <w:p w14:paraId="763DDE66">
            <w:pPr>
              <w:pStyle w:val="73"/>
              <w:rPr>
                <w:rFonts w:cs="Times New Roman"/>
                <w:snapToGrid w:val="0"/>
                <w:color w:val="auto"/>
                <w:highlight w:val="none"/>
              </w:rPr>
            </w:pPr>
            <w:r>
              <w:rPr>
                <w:rFonts w:cs="Times New Roman"/>
                <w:snapToGrid w:val="0"/>
                <w:color w:val="auto"/>
                <w:highlight w:val="none"/>
              </w:rPr>
              <w:t>废水</w:t>
            </w:r>
          </w:p>
        </w:tc>
        <w:tc>
          <w:tcPr>
            <w:tcW w:w="3416" w:type="pct"/>
            <w:vAlign w:val="center"/>
          </w:tcPr>
          <w:p w14:paraId="677015EB">
            <w:pPr>
              <w:pStyle w:val="73"/>
              <w:rPr>
                <w:rFonts w:cs="Times New Roman"/>
                <w:snapToGrid w:val="0"/>
                <w:color w:val="auto"/>
                <w:highlight w:val="none"/>
                <w:lang w:val="en-US"/>
              </w:rPr>
            </w:pPr>
            <w:r>
              <w:rPr>
                <w:rFonts w:cs="Times New Roman"/>
                <w:snapToGrid w:val="0"/>
                <w:color w:val="auto"/>
                <w:highlight w:val="none"/>
                <w:lang w:val="en-US"/>
              </w:rPr>
              <w:t>自建污水处理站，</w:t>
            </w:r>
            <w:r>
              <w:rPr>
                <w:rFonts w:cs="Times New Roman"/>
                <w:snapToGrid w:val="0"/>
                <w:color w:val="auto"/>
                <w:highlight w:val="none"/>
                <w:lang w:val="en-GB"/>
              </w:rPr>
              <w:t>设计处理能力</w:t>
            </w:r>
            <w:r>
              <w:rPr>
                <w:rFonts w:hint="eastAsia" w:cs="Times New Roman"/>
                <w:snapToGrid w:val="0"/>
                <w:color w:val="auto"/>
                <w:highlight w:val="none"/>
                <w:lang w:val="en-US" w:eastAsia="zh-CN"/>
              </w:rPr>
              <w:t>250t/d</w:t>
            </w:r>
            <w:r>
              <w:rPr>
                <w:rFonts w:cs="Times New Roman"/>
                <w:snapToGrid w:val="0"/>
                <w:color w:val="auto"/>
                <w:highlight w:val="none"/>
                <w:lang w:val="en-GB"/>
              </w:rPr>
              <w:t>，</w:t>
            </w:r>
            <w:r>
              <w:rPr>
                <w:rFonts w:cs="Times New Roman"/>
                <w:snapToGrid w:val="0"/>
                <w:color w:val="auto"/>
                <w:highlight w:val="none"/>
                <w:lang w:val="en-US"/>
              </w:rPr>
              <w:t>屠宰</w:t>
            </w:r>
            <w:r>
              <w:rPr>
                <w:rFonts w:cs="Times New Roman"/>
                <w:snapToGrid w:val="0"/>
                <w:color w:val="auto"/>
                <w:highlight w:val="none"/>
                <w:lang w:val="en-GB"/>
              </w:rPr>
              <w:t>废水</w:t>
            </w:r>
            <w:r>
              <w:rPr>
                <w:rFonts w:hint="eastAsia" w:cs="Times New Roman"/>
                <w:snapToGrid w:val="0"/>
                <w:color w:val="auto"/>
                <w:highlight w:val="none"/>
                <w:lang w:val="en-GB" w:eastAsia="zh-CN"/>
              </w:rPr>
              <w:t>、</w:t>
            </w:r>
            <w:r>
              <w:rPr>
                <w:rFonts w:hint="eastAsia" w:cs="Times New Roman"/>
                <w:snapToGrid w:val="0"/>
                <w:color w:val="auto"/>
                <w:highlight w:val="none"/>
                <w:lang w:val="en-US" w:eastAsia="zh-CN"/>
              </w:rPr>
              <w:t>车辆冲洗水及冷库排酸污水</w:t>
            </w:r>
            <w:r>
              <w:rPr>
                <w:rFonts w:hint="eastAsia" w:cs="Times New Roman"/>
                <w:snapToGrid w:val="0"/>
                <w:color w:val="auto"/>
                <w:highlight w:val="none"/>
                <w:lang w:val="en-GB" w:eastAsia="zh-CN"/>
              </w:rPr>
              <w:t>（</w:t>
            </w:r>
            <w:r>
              <w:rPr>
                <w:rFonts w:hint="eastAsia" w:cs="Times New Roman"/>
                <w:snapToGrid w:val="0"/>
                <w:color w:val="auto"/>
                <w:highlight w:val="none"/>
                <w:lang w:val="en-US" w:eastAsia="zh-CN"/>
              </w:rPr>
              <w:t>238.775t/d</w:t>
            </w:r>
            <w:r>
              <w:rPr>
                <w:rFonts w:hint="eastAsia" w:cs="Times New Roman"/>
                <w:snapToGrid w:val="0"/>
                <w:color w:val="auto"/>
                <w:highlight w:val="none"/>
                <w:lang w:val="en-GB" w:eastAsia="zh-CN"/>
              </w:rPr>
              <w:t>）</w:t>
            </w:r>
            <w:r>
              <w:rPr>
                <w:rFonts w:cs="Times New Roman"/>
                <w:snapToGrid w:val="0"/>
                <w:color w:val="auto"/>
                <w:highlight w:val="none"/>
                <w:lang w:val="en-GB"/>
              </w:rPr>
              <w:t>经“</w:t>
            </w:r>
            <w:r>
              <w:rPr>
                <w:rFonts w:cs="Times New Roman"/>
                <w:bCs/>
                <w:snapToGrid w:val="0"/>
                <w:color w:val="auto"/>
                <w:szCs w:val="24"/>
                <w:highlight w:val="none"/>
              </w:rPr>
              <w:t>格栅+</w:t>
            </w:r>
            <w:r>
              <w:rPr>
                <w:rFonts w:hint="eastAsia" w:cs="Times New Roman"/>
                <w:bCs/>
                <w:snapToGrid w:val="0"/>
                <w:color w:val="auto"/>
                <w:szCs w:val="24"/>
                <w:highlight w:val="none"/>
                <w:lang w:val="en-US" w:eastAsia="zh-CN"/>
              </w:rPr>
              <w:t>隔油池</w:t>
            </w:r>
            <w:r>
              <w:rPr>
                <w:rFonts w:cs="Times New Roman"/>
                <w:bCs/>
                <w:snapToGrid w:val="0"/>
                <w:color w:val="auto"/>
                <w:szCs w:val="24"/>
                <w:highlight w:val="none"/>
              </w:rPr>
              <w:t>+</w:t>
            </w:r>
            <w:r>
              <w:rPr>
                <w:rFonts w:hint="eastAsia" w:cs="Times New Roman"/>
                <w:bCs/>
                <w:snapToGrid w:val="0"/>
                <w:color w:val="auto"/>
                <w:szCs w:val="24"/>
                <w:highlight w:val="none"/>
                <w:lang w:val="en-US" w:eastAsia="zh-CN"/>
              </w:rPr>
              <w:t>调节池</w:t>
            </w:r>
            <w:r>
              <w:rPr>
                <w:rFonts w:cs="Times New Roman"/>
                <w:bCs/>
                <w:snapToGrid w:val="0"/>
                <w:color w:val="auto"/>
                <w:szCs w:val="24"/>
                <w:highlight w:val="none"/>
              </w:rPr>
              <w:t>+气浮+水解酸化+</w:t>
            </w:r>
            <w:r>
              <w:rPr>
                <w:rFonts w:hint="eastAsia" w:cs="Times New Roman"/>
                <w:bCs/>
                <w:snapToGrid w:val="0"/>
                <w:color w:val="auto"/>
                <w:szCs w:val="24"/>
                <w:highlight w:val="none"/>
                <w:lang w:val="en-US" w:eastAsia="zh-CN"/>
              </w:rPr>
              <w:t>反硝化缺氧+好氧</w:t>
            </w:r>
            <w:r>
              <w:rPr>
                <w:rFonts w:cs="Times New Roman"/>
                <w:bCs/>
                <w:snapToGrid w:val="0"/>
                <w:color w:val="auto"/>
                <w:szCs w:val="24"/>
                <w:highlight w:val="none"/>
              </w:rPr>
              <w:t>+沉淀+消毒（</w:t>
            </w:r>
            <w:r>
              <w:rPr>
                <w:rFonts w:hint="eastAsia" w:cs="Times New Roman"/>
                <w:bCs/>
                <w:snapToGrid w:val="0"/>
                <w:color w:val="auto"/>
                <w:szCs w:val="24"/>
                <w:highlight w:val="none"/>
                <w:lang w:val="en-US" w:eastAsia="zh-CN"/>
              </w:rPr>
              <w:t>次氯酸钠</w:t>
            </w:r>
            <w:r>
              <w:rPr>
                <w:rFonts w:cs="Times New Roman"/>
                <w:bCs/>
                <w:snapToGrid w:val="0"/>
                <w:color w:val="auto"/>
                <w:szCs w:val="24"/>
                <w:highlight w:val="none"/>
              </w:rPr>
              <w:t>）</w:t>
            </w:r>
            <w:r>
              <w:rPr>
                <w:rFonts w:cs="Times New Roman"/>
                <w:snapToGrid w:val="0"/>
                <w:color w:val="auto"/>
                <w:highlight w:val="none"/>
                <w:lang w:val="en-GB"/>
              </w:rPr>
              <w:t>”工艺处理</w:t>
            </w:r>
            <w:r>
              <w:rPr>
                <w:rFonts w:hint="eastAsia" w:cs="Times New Roman"/>
                <w:snapToGrid w:val="0"/>
                <w:color w:val="auto"/>
                <w:highlight w:val="none"/>
                <w:lang w:val="en-GB" w:eastAsia="zh-CN"/>
              </w:rPr>
              <w:t>（</w:t>
            </w:r>
            <w:r>
              <w:rPr>
                <w:rFonts w:hint="eastAsia" w:cs="Times New Roman"/>
                <w:snapToGrid w:val="0"/>
                <w:color w:val="auto"/>
                <w:highlight w:val="none"/>
                <w:lang w:val="en-US" w:eastAsia="zh-CN"/>
              </w:rPr>
              <w:t>该污水处理工艺不产生沼气</w:t>
            </w:r>
            <w:r>
              <w:rPr>
                <w:rFonts w:hint="eastAsia" w:cs="Times New Roman"/>
                <w:snapToGrid w:val="0"/>
                <w:color w:val="auto"/>
                <w:highlight w:val="none"/>
                <w:lang w:val="en-GB" w:eastAsia="zh-CN"/>
              </w:rPr>
              <w:t>）</w:t>
            </w:r>
            <w:r>
              <w:rPr>
                <w:rFonts w:cs="Times New Roman"/>
                <w:snapToGrid w:val="0"/>
                <w:color w:val="auto"/>
                <w:highlight w:val="none"/>
                <w:lang w:val="en-GB"/>
              </w:rPr>
              <w:t>后，满足《肉类加工工业水污 染物排放标准》（GB13457-92）中畜类屠宰加工三级标准和</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进水水质要求后，同生活污水经市政污水管网排入</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处理，处理达标后排入</w:t>
            </w:r>
            <w:r>
              <w:rPr>
                <w:rFonts w:hint="eastAsia" w:cs="Times New Roman"/>
                <w:snapToGrid w:val="0"/>
                <w:color w:val="auto"/>
                <w:highlight w:val="none"/>
                <w:lang w:val="en-GB" w:eastAsia="zh-CN"/>
              </w:rPr>
              <w:t>安邦河</w:t>
            </w:r>
            <w:r>
              <w:rPr>
                <w:rFonts w:cs="Times New Roman"/>
                <w:snapToGrid w:val="0"/>
                <w:color w:val="auto"/>
                <w:highlight w:val="none"/>
                <w:lang w:val="en-GB"/>
              </w:rPr>
              <w:t>。</w:t>
            </w:r>
          </w:p>
        </w:tc>
        <w:tc>
          <w:tcPr>
            <w:tcW w:w="428" w:type="pct"/>
            <w:vAlign w:val="center"/>
          </w:tcPr>
          <w:p w14:paraId="5B4E53D2">
            <w:pPr>
              <w:pStyle w:val="73"/>
              <w:rPr>
                <w:rFonts w:cs="Times New Roman"/>
                <w:snapToGrid w:val="0"/>
                <w:color w:val="auto"/>
                <w:highlight w:val="none"/>
                <w:lang w:val="en-US"/>
              </w:rPr>
            </w:pPr>
            <w:r>
              <w:rPr>
                <w:rFonts w:cs="Times New Roman"/>
                <w:snapToGrid w:val="0"/>
                <w:color w:val="auto"/>
                <w:highlight w:val="none"/>
                <w:lang w:val="en-US"/>
              </w:rPr>
              <w:t>新建</w:t>
            </w:r>
          </w:p>
        </w:tc>
      </w:tr>
      <w:tr w14:paraId="57029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23" w:type="pct"/>
            <w:vMerge w:val="continue"/>
            <w:vAlign w:val="center"/>
          </w:tcPr>
          <w:p w14:paraId="12B48F0D">
            <w:pPr>
              <w:pStyle w:val="73"/>
              <w:rPr>
                <w:rFonts w:cs="Times New Roman"/>
                <w:snapToGrid w:val="0"/>
                <w:color w:val="auto"/>
                <w:highlight w:val="none"/>
              </w:rPr>
            </w:pPr>
          </w:p>
        </w:tc>
        <w:tc>
          <w:tcPr>
            <w:tcW w:w="323" w:type="pct"/>
            <w:vMerge w:val="continue"/>
            <w:vAlign w:val="center"/>
          </w:tcPr>
          <w:p w14:paraId="56AFB2FA">
            <w:pPr>
              <w:pStyle w:val="73"/>
              <w:rPr>
                <w:rFonts w:cs="Times New Roman"/>
                <w:snapToGrid w:val="0"/>
                <w:color w:val="auto"/>
                <w:highlight w:val="none"/>
              </w:rPr>
            </w:pPr>
          </w:p>
        </w:tc>
        <w:tc>
          <w:tcPr>
            <w:tcW w:w="408" w:type="pct"/>
            <w:vAlign w:val="center"/>
          </w:tcPr>
          <w:p w14:paraId="321EBB34">
            <w:pPr>
              <w:pStyle w:val="73"/>
              <w:rPr>
                <w:rFonts w:cs="Times New Roman"/>
                <w:snapToGrid w:val="0"/>
                <w:color w:val="auto"/>
                <w:highlight w:val="none"/>
              </w:rPr>
            </w:pPr>
            <w:r>
              <w:rPr>
                <w:rFonts w:cs="Times New Roman"/>
                <w:snapToGrid w:val="0"/>
                <w:color w:val="auto"/>
                <w:highlight w:val="none"/>
              </w:rPr>
              <w:t>事故池</w:t>
            </w:r>
          </w:p>
        </w:tc>
        <w:tc>
          <w:tcPr>
            <w:tcW w:w="3416" w:type="pct"/>
            <w:vAlign w:val="center"/>
          </w:tcPr>
          <w:p w14:paraId="5650304D">
            <w:pPr>
              <w:pStyle w:val="73"/>
              <w:rPr>
                <w:rFonts w:cs="Times New Roman"/>
                <w:snapToGrid w:val="0"/>
                <w:color w:val="auto"/>
                <w:highlight w:val="none"/>
              </w:rPr>
            </w:pPr>
            <w:r>
              <w:rPr>
                <w:rFonts w:hint="eastAsia" w:cs="Times New Roman"/>
                <w:snapToGrid w:val="0"/>
                <w:color w:val="auto"/>
                <w:highlight w:val="none"/>
                <w:lang w:val="en-US" w:eastAsia="zh-CN"/>
              </w:rPr>
              <w:t>即为调节池，突发状</w:t>
            </w:r>
            <w:r>
              <w:rPr>
                <w:rFonts w:hint="eastAsia" w:ascii="Times New Roman" w:hAnsi="Times New Roman" w:eastAsia="宋体" w:cs="Times New Roman"/>
                <w:snapToGrid w:val="0"/>
                <w:color w:val="auto"/>
                <w:highlight w:val="none"/>
                <w:lang w:val="en-US" w:eastAsia="zh-CN"/>
              </w:rPr>
              <w:t>况下用作事故池存</w:t>
            </w:r>
            <w:r>
              <w:rPr>
                <w:rFonts w:hint="eastAsia" w:cs="Times New Roman"/>
                <w:snapToGrid w:val="0"/>
                <w:color w:val="auto"/>
                <w:highlight w:val="none"/>
                <w:lang w:val="en-US" w:eastAsia="zh-CN"/>
              </w:rPr>
              <w:t>放污水，</w:t>
            </w:r>
            <w:r>
              <w:rPr>
                <w:rFonts w:cs="Times New Roman"/>
                <w:snapToGrid w:val="0"/>
                <w:color w:val="auto"/>
                <w:highlight w:val="none"/>
                <w:lang w:val="en-US"/>
              </w:rPr>
              <w:t>容积为</w:t>
            </w:r>
            <w:r>
              <w:rPr>
                <w:rFonts w:hint="eastAsia" w:cs="Times New Roman"/>
                <w:snapToGrid w:val="0"/>
                <w:color w:val="auto"/>
                <w:highlight w:val="none"/>
                <w:lang w:val="en-US" w:eastAsia="zh-CN"/>
              </w:rPr>
              <w:t>300</w:t>
            </w:r>
            <w:r>
              <w:rPr>
                <w:rFonts w:cs="Times New Roman"/>
                <w:snapToGrid w:val="0"/>
                <w:color w:val="auto"/>
                <w:highlight w:val="none"/>
              </w:rPr>
              <w:t>m</w:t>
            </w:r>
            <w:r>
              <w:rPr>
                <w:rFonts w:cs="Times New Roman"/>
                <w:snapToGrid w:val="0"/>
                <w:color w:val="auto"/>
                <w:highlight w:val="none"/>
                <w:vertAlign w:val="superscript"/>
              </w:rPr>
              <w:t>3</w:t>
            </w:r>
            <w:r>
              <w:rPr>
                <w:rFonts w:cs="Times New Roman"/>
                <w:snapToGrid w:val="0"/>
                <w:color w:val="auto"/>
                <w:highlight w:val="none"/>
              </w:rPr>
              <w:t>，可</w:t>
            </w:r>
            <w:r>
              <w:rPr>
                <w:rFonts w:cs="Times New Roman"/>
                <w:snapToGrid w:val="0"/>
                <w:color w:val="auto"/>
                <w:highlight w:val="none"/>
              </w:rPr>
              <w:t>容纳</w:t>
            </w:r>
            <w:r>
              <w:rPr>
                <w:rFonts w:cs="Times New Roman"/>
                <w:snapToGrid w:val="0"/>
                <w:color w:val="auto"/>
                <w:highlight w:val="none"/>
                <w:lang w:val="en-US"/>
              </w:rPr>
              <w:t>1</w:t>
            </w:r>
            <w:r>
              <w:rPr>
                <w:rFonts w:cs="Times New Roman"/>
                <w:snapToGrid w:val="0"/>
                <w:color w:val="auto"/>
                <w:highlight w:val="none"/>
              </w:rPr>
              <w:t>天的</w:t>
            </w:r>
            <w:r>
              <w:rPr>
                <w:rFonts w:cs="Times New Roman"/>
                <w:snapToGrid w:val="0"/>
                <w:color w:val="auto"/>
                <w:highlight w:val="none"/>
                <w:lang w:val="en-US"/>
              </w:rPr>
              <w:t>生</w:t>
            </w:r>
            <w:r>
              <w:rPr>
                <w:rFonts w:cs="Times New Roman"/>
                <w:snapToGrid w:val="0"/>
                <w:color w:val="auto"/>
                <w:highlight w:val="none"/>
                <w:lang w:val="en-US"/>
              </w:rPr>
              <w:t>产</w:t>
            </w:r>
            <w:r>
              <w:rPr>
                <w:rFonts w:cs="Times New Roman"/>
                <w:snapToGrid w:val="0"/>
                <w:color w:val="auto"/>
                <w:highlight w:val="none"/>
              </w:rPr>
              <w:t>废水，位于</w:t>
            </w:r>
            <w:r>
              <w:rPr>
                <w:rFonts w:hint="eastAsia" w:cs="Times New Roman"/>
                <w:snapToGrid w:val="0"/>
                <w:color w:val="auto"/>
                <w:highlight w:val="none"/>
              </w:rPr>
              <w:t>污水处理站</w:t>
            </w:r>
            <w:r>
              <w:rPr>
                <w:rFonts w:cs="Times New Roman"/>
                <w:snapToGrid w:val="0"/>
                <w:color w:val="auto"/>
                <w:highlight w:val="none"/>
                <w:lang w:val="en-US"/>
              </w:rPr>
              <w:t>内</w:t>
            </w:r>
            <w:r>
              <w:rPr>
                <w:rFonts w:cs="Times New Roman"/>
                <w:snapToGrid w:val="0"/>
                <w:color w:val="auto"/>
                <w:highlight w:val="none"/>
              </w:rPr>
              <w:t>；在事故工况下产生的废水，要求全部收集在事故池中，禁止回用及外排；待设备状况运营正常后，返回污水处理站处理后方可排放。</w:t>
            </w:r>
          </w:p>
        </w:tc>
        <w:tc>
          <w:tcPr>
            <w:tcW w:w="428" w:type="pct"/>
            <w:vAlign w:val="center"/>
          </w:tcPr>
          <w:p w14:paraId="62F732BB">
            <w:pPr>
              <w:pStyle w:val="73"/>
              <w:rPr>
                <w:rFonts w:cs="Times New Roman"/>
                <w:snapToGrid w:val="0"/>
                <w:color w:val="auto"/>
                <w:highlight w:val="none"/>
              </w:rPr>
            </w:pPr>
            <w:r>
              <w:rPr>
                <w:rFonts w:cs="Times New Roman"/>
                <w:snapToGrid w:val="0"/>
                <w:color w:val="auto"/>
                <w:highlight w:val="none"/>
              </w:rPr>
              <w:t>新建</w:t>
            </w:r>
          </w:p>
        </w:tc>
      </w:tr>
      <w:tr w14:paraId="6CF0E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7" w:hRule="atLeast"/>
          <w:jc w:val="center"/>
        </w:trPr>
        <w:tc>
          <w:tcPr>
            <w:tcW w:w="423" w:type="pct"/>
            <w:vMerge w:val="continue"/>
            <w:vAlign w:val="center"/>
          </w:tcPr>
          <w:p w14:paraId="5061BDE2">
            <w:pPr>
              <w:pStyle w:val="73"/>
              <w:rPr>
                <w:rFonts w:cs="Times New Roman"/>
                <w:snapToGrid w:val="0"/>
                <w:color w:val="auto"/>
                <w:highlight w:val="none"/>
              </w:rPr>
            </w:pPr>
          </w:p>
        </w:tc>
        <w:tc>
          <w:tcPr>
            <w:tcW w:w="732" w:type="pct"/>
            <w:gridSpan w:val="2"/>
            <w:vMerge w:val="restart"/>
            <w:vAlign w:val="center"/>
          </w:tcPr>
          <w:p w14:paraId="2DE6F577">
            <w:pPr>
              <w:pStyle w:val="73"/>
              <w:rPr>
                <w:rFonts w:cs="Times New Roman"/>
                <w:snapToGrid w:val="0"/>
                <w:color w:val="auto"/>
                <w:highlight w:val="none"/>
              </w:rPr>
            </w:pPr>
            <w:r>
              <w:rPr>
                <w:rFonts w:cs="Times New Roman"/>
                <w:snapToGrid w:val="0"/>
                <w:color w:val="auto"/>
                <w:highlight w:val="none"/>
              </w:rPr>
              <w:t>废气</w:t>
            </w:r>
          </w:p>
        </w:tc>
        <w:tc>
          <w:tcPr>
            <w:tcW w:w="3416" w:type="pct"/>
            <w:vAlign w:val="center"/>
          </w:tcPr>
          <w:p w14:paraId="31F54F2A">
            <w:pPr>
              <w:pStyle w:val="73"/>
              <w:rPr>
                <w:rFonts w:cs="Times New Roman"/>
                <w:snapToGrid w:val="0"/>
                <w:color w:val="auto"/>
                <w:highlight w:val="none"/>
                <w:lang w:val="en-US"/>
              </w:rPr>
            </w:pPr>
            <w:r>
              <w:rPr>
                <w:rFonts w:cs="Times New Roman"/>
                <w:snapToGrid w:val="0"/>
                <w:color w:val="auto"/>
                <w:highlight w:val="none"/>
              </w:rPr>
              <w:t>屠宰车间产生的废气</w:t>
            </w:r>
            <w:r>
              <w:rPr>
                <w:rFonts w:hint="eastAsia" w:cs="Times New Roman"/>
                <w:snapToGrid w:val="0"/>
                <w:color w:val="auto"/>
                <w:highlight w:val="none"/>
                <w:lang w:eastAsia="zh-CN"/>
              </w:rPr>
              <w:t>采用微负压集中收集后</w:t>
            </w:r>
            <w:r>
              <w:rPr>
                <w:rFonts w:cs="Times New Roman"/>
                <w:snapToGrid w:val="0"/>
                <w:color w:val="auto"/>
                <w:highlight w:val="none"/>
              </w:rPr>
              <w:t>（收集率约90%左右），通过活性炭净化装置（</w:t>
            </w:r>
            <w:r>
              <w:rPr>
                <w:rFonts w:hint="eastAsia" w:cs="Times New Roman"/>
                <w:snapToGrid w:val="0"/>
                <w:color w:val="auto"/>
                <w:highlight w:val="none"/>
                <w:lang w:eastAsia="zh-CN"/>
              </w:rPr>
              <w:t>净化效率80%</w:t>
            </w:r>
            <w:r>
              <w:rPr>
                <w:rFonts w:cs="Times New Roman"/>
                <w:snapToGrid w:val="0"/>
                <w:color w:val="auto"/>
                <w:highlight w:val="none"/>
              </w:rPr>
              <w:t>）处理后，经15m高的排气筒DA001排放</w:t>
            </w:r>
            <w:r>
              <w:rPr>
                <w:rFonts w:hint="eastAsia" w:cs="Times New Roman"/>
                <w:snapToGrid w:val="0"/>
                <w:color w:val="auto"/>
                <w:highlight w:val="none"/>
                <w:lang w:eastAsia="zh-CN"/>
              </w:rPr>
              <w:t>。</w:t>
            </w:r>
            <w:r>
              <w:rPr>
                <w:rFonts w:cs="Times New Roman"/>
                <w:snapToGrid w:val="0"/>
                <w:color w:val="auto"/>
                <w:highlight w:val="none"/>
              </w:rPr>
              <w:t>排放速率及浓度均可满足《恶臭污染物排放标准》（GB14554-93）表2中排放标准限值</w:t>
            </w:r>
          </w:p>
        </w:tc>
        <w:tc>
          <w:tcPr>
            <w:tcW w:w="428" w:type="pct"/>
            <w:vMerge w:val="restart"/>
            <w:vAlign w:val="center"/>
          </w:tcPr>
          <w:p w14:paraId="4850D79F">
            <w:pPr>
              <w:pStyle w:val="73"/>
              <w:rPr>
                <w:rFonts w:cs="Times New Roman"/>
                <w:snapToGrid w:val="0"/>
                <w:color w:val="auto"/>
                <w:highlight w:val="none"/>
              </w:rPr>
            </w:pPr>
            <w:r>
              <w:rPr>
                <w:rFonts w:cs="Times New Roman"/>
                <w:snapToGrid w:val="0"/>
                <w:color w:val="auto"/>
                <w:highlight w:val="none"/>
              </w:rPr>
              <w:t>新建</w:t>
            </w:r>
          </w:p>
        </w:tc>
      </w:tr>
      <w:tr w14:paraId="4DA9C8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0" w:hRule="atLeast"/>
          <w:jc w:val="center"/>
        </w:trPr>
        <w:tc>
          <w:tcPr>
            <w:tcW w:w="423" w:type="pct"/>
            <w:vMerge w:val="continue"/>
            <w:vAlign w:val="center"/>
          </w:tcPr>
          <w:p w14:paraId="0F658E51">
            <w:pPr>
              <w:pStyle w:val="73"/>
              <w:rPr>
                <w:rFonts w:cs="Times New Roman"/>
                <w:snapToGrid w:val="0"/>
                <w:color w:val="auto"/>
                <w:highlight w:val="none"/>
              </w:rPr>
            </w:pPr>
          </w:p>
        </w:tc>
        <w:tc>
          <w:tcPr>
            <w:tcW w:w="732" w:type="pct"/>
            <w:gridSpan w:val="2"/>
            <w:vMerge w:val="continue"/>
            <w:vAlign w:val="center"/>
          </w:tcPr>
          <w:p w14:paraId="68D5B2A5">
            <w:pPr>
              <w:pStyle w:val="73"/>
              <w:rPr>
                <w:rFonts w:cs="Times New Roman"/>
                <w:snapToGrid w:val="0"/>
                <w:color w:val="auto"/>
                <w:highlight w:val="none"/>
              </w:rPr>
            </w:pPr>
          </w:p>
        </w:tc>
        <w:tc>
          <w:tcPr>
            <w:tcW w:w="3416" w:type="pct"/>
            <w:vAlign w:val="center"/>
          </w:tcPr>
          <w:p w14:paraId="7C67C735">
            <w:pPr>
              <w:pStyle w:val="73"/>
              <w:rPr>
                <w:rFonts w:cs="Times New Roman"/>
                <w:snapToGrid w:val="0"/>
                <w:color w:val="auto"/>
                <w:highlight w:val="none"/>
                <w:lang w:val="en-US"/>
              </w:rPr>
            </w:pPr>
            <w:r>
              <w:rPr>
                <w:rFonts w:hint="eastAsia" w:cs="Times New Roman"/>
                <w:snapToGrid w:val="0"/>
                <w:color w:val="auto"/>
                <w:highlight w:val="none"/>
                <w:lang w:val="en-US" w:eastAsia="zh-CN"/>
              </w:rPr>
              <w:t>急宰间、隔离间及固体废物暂存间</w:t>
            </w:r>
            <w:r>
              <w:rPr>
                <w:rFonts w:cs="Times New Roman"/>
                <w:snapToGrid w:val="0"/>
                <w:color w:val="auto"/>
                <w:highlight w:val="none"/>
              </w:rPr>
              <w:t>废气</w:t>
            </w:r>
            <w:r>
              <w:rPr>
                <w:rFonts w:hint="eastAsia" w:cs="Times New Roman"/>
                <w:snapToGrid w:val="0"/>
                <w:color w:val="auto"/>
                <w:highlight w:val="none"/>
                <w:lang w:eastAsia="zh-CN"/>
              </w:rPr>
              <w:t>采用微负压集中收集后</w:t>
            </w:r>
            <w:r>
              <w:rPr>
                <w:rFonts w:cs="Times New Roman"/>
                <w:snapToGrid w:val="0"/>
                <w:color w:val="auto"/>
                <w:highlight w:val="none"/>
              </w:rPr>
              <w:t>（收集率约90%左右），通过一套活性炭净化装置（</w:t>
            </w:r>
            <w:r>
              <w:rPr>
                <w:rFonts w:hint="eastAsia" w:cs="Times New Roman"/>
                <w:snapToGrid w:val="0"/>
                <w:color w:val="auto"/>
                <w:highlight w:val="none"/>
                <w:lang w:eastAsia="zh-CN"/>
              </w:rPr>
              <w:t>净化效率80%</w:t>
            </w:r>
            <w:r>
              <w:rPr>
                <w:rFonts w:cs="Times New Roman"/>
                <w:snapToGrid w:val="0"/>
                <w:color w:val="auto"/>
                <w:highlight w:val="none"/>
              </w:rPr>
              <w:t>），净化后的废气</w:t>
            </w:r>
            <w:r>
              <w:rPr>
                <w:rFonts w:hint="eastAsia" w:cs="Times New Roman"/>
                <w:snapToGrid w:val="0"/>
                <w:color w:val="auto"/>
                <w:highlight w:val="none"/>
                <w:lang w:val="en-US" w:eastAsia="zh-CN"/>
              </w:rPr>
              <w:t>与屠宰车间废气一同</w:t>
            </w:r>
            <w:r>
              <w:rPr>
                <w:rFonts w:cs="Times New Roman"/>
                <w:snapToGrid w:val="0"/>
                <w:color w:val="auto"/>
                <w:highlight w:val="none"/>
              </w:rPr>
              <w:t>通过15m排气筒DA00</w:t>
            </w:r>
            <w:r>
              <w:rPr>
                <w:rFonts w:hint="eastAsia" w:cs="Times New Roman"/>
                <w:snapToGrid w:val="0"/>
                <w:color w:val="auto"/>
                <w:highlight w:val="none"/>
                <w:lang w:val="en-US" w:eastAsia="zh-CN"/>
              </w:rPr>
              <w:t>1</w:t>
            </w:r>
            <w:r>
              <w:rPr>
                <w:rFonts w:cs="Times New Roman"/>
                <w:snapToGrid w:val="0"/>
                <w:color w:val="auto"/>
                <w:highlight w:val="none"/>
              </w:rPr>
              <w:t>排放</w:t>
            </w:r>
            <w:r>
              <w:rPr>
                <w:rFonts w:hint="eastAsia" w:cs="Times New Roman"/>
                <w:snapToGrid w:val="0"/>
                <w:color w:val="auto"/>
                <w:highlight w:val="none"/>
                <w:lang w:eastAsia="zh-CN"/>
              </w:rPr>
              <w:t>。</w:t>
            </w:r>
            <w:r>
              <w:rPr>
                <w:rFonts w:cs="Times New Roman"/>
                <w:snapToGrid w:val="0"/>
                <w:color w:val="auto"/>
                <w:highlight w:val="none"/>
              </w:rPr>
              <w:t>排放速率及浓度均可满足《恶臭污染物排放标准》（GB14554-93）表2中排放标准限值</w:t>
            </w:r>
          </w:p>
        </w:tc>
        <w:tc>
          <w:tcPr>
            <w:tcW w:w="428" w:type="pct"/>
            <w:vMerge w:val="continue"/>
            <w:vAlign w:val="center"/>
          </w:tcPr>
          <w:p w14:paraId="12D3B7B7">
            <w:pPr>
              <w:pStyle w:val="73"/>
              <w:rPr>
                <w:rFonts w:cs="Times New Roman"/>
                <w:snapToGrid w:val="0"/>
                <w:color w:val="auto"/>
                <w:highlight w:val="none"/>
                <w:lang w:val="en-US"/>
              </w:rPr>
            </w:pPr>
          </w:p>
        </w:tc>
      </w:tr>
      <w:tr w14:paraId="6F3415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0" w:hRule="atLeast"/>
          <w:jc w:val="center"/>
        </w:trPr>
        <w:tc>
          <w:tcPr>
            <w:tcW w:w="423" w:type="pct"/>
            <w:vMerge w:val="continue"/>
            <w:vAlign w:val="center"/>
          </w:tcPr>
          <w:p w14:paraId="7CE76B03">
            <w:pPr>
              <w:pStyle w:val="73"/>
              <w:rPr>
                <w:rFonts w:cs="Times New Roman"/>
                <w:snapToGrid w:val="0"/>
                <w:color w:val="auto"/>
                <w:highlight w:val="none"/>
              </w:rPr>
            </w:pPr>
          </w:p>
        </w:tc>
        <w:tc>
          <w:tcPr>
            <w:tcW w:w="732" w:type="pct"/>
            <w:gridSpan w:val="2"/>
            <w:vMerge w:val="continue"/>
            <w:vAlign w:val="center"/>
          </w:tcPr>
          <w:p w14:paraId="4D847ABF">
            <w:pPr>
              <w:pStyle w:val="73"/>
              <w:rPr>
                <w:rFonts w:cs="Times New Roman"/>
                <w:snapToGrid w:val="0"/>
                <w:color w:val="auto"/>
                <w:highlight w:val="none"/>
              </w:rPr>
            </w:pPr>
          </w:p>
        </w:tc>
        <w:tc>
          <w:tcPr>
            <w:tcW w:w="3416" w:type="pct"/>
            <w:vAlign w:val="center"/>
          </w:tcPr>
          <w:p w14:paraId="33AB341E">
            <w:pPr>
              <w:pStyle w:val="73"/>
              <w:rPr>
                <w:rFonts w:cs="Times New Roman"/>
                <w:snapToGrid w:val="0"/>
                <w:color w:val="auto"/>
                <w:highlight w:val="none"/>
              </w:rPr>
            </w:pPr>
            <w:r>
              <w:rPr>
                <w:rFonts w:cs="Times New Roman"/>
                <w:snapToGrid w:val="0"/>
                <w:color w:val="auto"/>
                <w:szCs w:val="24"/>
                <w:highlight w:val="none"/>
              </w:rPr>
              <w:t>污水处理站产生的废气，经负压收集</w:t>
            </w:r>
            <w:r>
              <w:rPr>
                <w:rFonts w:cs="Times New Roman"/>
                <w:snapToGrid w:val="0"/>
                <w:color w:val="auto"/>
                <w:highlight w:val="none"/>
              </w:rPr>
              <w:t>（收集率约90%左右）</w:t>
            </w:r>
            <w:r>
              <w:rPr>
                <w:rFonts w:cs="Times New Roman"/>
                <w:snapToGrid w:val="0"/>
                <w:color w:val="auto"/>
                <w:szCs w:val="24"/>
                <w:highlight w:val="none"/>
              </w:rPr>
              <w:t>至活性炭吸附装置</w:t>
            </w:r>
            <w:r>
              <w:rPr>
                <w:rFonts w:cs="Times New Roman"/>
                <w:snapToGrid w:val="0"/>
                <w:color w:val="auto"/>
                <w:highlight w:val="none"/>
              </w:rPr>
              <w:t>（</w:t>
            </w:r>
            <w:r>
              <w:rPr>
                <w:rFonts w:hint="eastAsia" w:cs="Times New Roman"/>
                <w:snapToGrid w:val="0"/>
                <w:color w:val="auto"/>
                <w:highlight w:val="none"/>
                <w:lang w:eastAsia="zh-CN"/>
              </w:rPr>
              <w:t>净化效率80%</w:t>
            </w:r>
            <w:r>
              <w:rPr>
                <w:rFonts w:cs="Times New Roman"/>
                <w:snapToGrid w:val="0"/>
                <w:color w:val="auto"/>
                <w:highlight w:val="none"/>
              </w:rPr>
              <w:t>）</w:t>
            </w:r>
            <w:r>
              <w:rPr>
                <w:rFonts w:cs="Times New Roman"/>
                <w:snapToGrid w:val="0"/>
                <w:color w:val="auto"/>
                <w:szCs w:val="24"/>
                <w:highlight w:val="none"/>
              </w:rPr>
              <w:t>进行处理，处理后经15m高的排气筒DA00</w:t>
            </w:r>
            <w:r>
              <w:rPr>
                <w:rFonts w:hint="eastAsia" w:cs="Times New Roman"/>
                <w:snapToGrid w:val="0"/>
                <w:color w:val="auto"/>
                <w:szCs w:val="24"/>
                <w:highlight w:val="none"/>
                <w:lang w:val="en-US" w:eastAsia="zh-CN"/>
              </w:rPr>
              <w:t>2</w:t>
            </w:r>
            <w:r>
              <w:rPr>
                <w:rFonts w:cs="Times New Roman"/>
                <w:snapToGrid w:val="0"/>
                <w:color w:val="auto"/>
                <w:szCs w:val="24"/>
                <w:highlight w:val="none"/>
              </w:rPr>
              <w:t>排放</w:t>
            </w:r>
            <w:r>
              <w:rPr>
                <w:rFonts w:cs="Times New Roman"/>
                <w:snapToGrid w:val="0"/>
                <w:color w:val="auto"/>
                <w:highlight w:val="none"/>
              </w:rPr>
              <w:t>，排放速率及浓度均可满足《恶臭污染物排放标准》（GB14554-93）表2中排放标准限值</w:t>
            </w:r>
          </w:p>
        </w:tc>
        <w:tc>
          <w:tcPr>
            <w:tcW w:w="428" w:type="pct"/>
            <w:vMerge w:val="continue"/>
            <w:vAlign w:val="center"/>
          </w:tcPr>
          <w:p w14:paraId="1910FA27">
            <w:pPr>
              <w:pStyle w:val="73"/>
              <w:rPr>
                <w:rFonts w:cs="Times New Roman"/>
                <w:snapToGrid w:val="0"/>
                <w:color w:val="auto"/>
                <w:highlight w:val="none"/>
                <w:lang w:val="en-US"/>
              </w:rPr>
            </w:pPr>
          </w:p>
        </w:tc>
      </w:tr>
      <w:tr w14:paraId="282A3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23" w:type="pct"/>
            <w:vMerge w:val="continue"/>
            <w:vAlign w:val="center"/>
          </w:tcPr>
          <w:p w14:paraId="2804EF11">
            <w:pPr>
              <w:pStyle w:val="73"/>
              <w:rPr>
                <w:rFonts w:cs="Times New Roman"/>
                <w:snapToGrid w:val="0"/>
                <w:color w:val="auto"/>
                <w:highlight w:val="none"/>
                <w:lang w:val="en-US"/>
              </w:rPr>
            </w:pPr>
          </w:p>
        </w:tc>
        <w:tc>
          <w:tcPr>
            <w:tcW w:w="732" w:type="pct"/>
            <w:gridSpan w:val="2"/>
            <w:vMerge w:val="continue"/>
            <w:vAlign w:val="center"/>
          </w:tcPr>
          <w:p w14:paraId="602F2B64">
            <w:pPr>
              <w:pStyle w:val="73"/>
              <w:rPr>
                <w:rFonts w:cs="Times New Roman"/>
                <w:snapToGrid w:val="0"/>
                <w:color w:val="auto"/>
                <w:highlight w:val="none"/>
                <w:lang w:val="en-US"/>
              </w:rPr>
            </w:pPr>
          </w:p>
        </w:tc>
        <w:tc>
          <w:tcPr>
            <w:tcW w:w="3416" w:type="pct"/>
            <w:vAlign w:val="center"/>
          </w:tcPr>
          <w:p w14:paraId="126E5BC1">
            <w:pPr>
              <w:pStyle w:val="73"/>
              <w:rPr>
                <w:rFonts w:hint="default" w:eastAsia="宋体" w:cs="Times New Roman"/>
                <w:snapToGrid w:val="0"/>
                <w:color w:val="auto"/>
                <w:highlight w:val="none"/>
                <w:lang w:val="en-US" w:eastAsia="zh-CN"/>
              </w:rPr>
            </w:pPr>
            <w:r>
              <w:rPr>
                <w:rFonts w:cs="Times New Roman"/>
                <w:snapToGrid w:val="0"/>
                <w:color w:val="auto"/>
                <w:highlight w:val="none"/>
              </w:rPr>
              <w:t>屠宰车间及时清洗清运，定期喷洒除臭剂</w:t>
            </w:r>
            <w:r>
              <w:rPr>
                <w:rFonts w:cs="Times New Roman"/>
                <w:snapToGrid w:val="0"/>
                <w:color w:val="auto"/>
                <w:highlight w:val="none"/>
                <w:lang w:val="zh-CN"/>
              </w:rPr>
              <w:t>；</w:t>
            </w:r>
            <w:r>
              <w:rPr>
                <w:rFonts w:hint="eastAsia" w:cs="Times New Roman"/>
                <w:snapToGrid w:val="0"/>
                <w:color w:val="auto"/>
                <w:highlight w:val="none"/>
                <w:lang w:eastAsia="zh-CN"/>
              </w:rPr>
              <w:t>待宰圈</w:t>
            </w:r>
            <w:r>
              <w:rPr>
                <w:rFonts w:hint="eastAsia" w:cs="Times New Roman"/>
                <w:snapToGrid w:val="0"/>
                <w:color w:val="auto"/>
                <w:highlight w:val="none"/>
              </w:rPr>
              <w:t>设置专人管理</w:t>
            </w:r>
            <w:r>
              <w:rPr>
                <w:rFonts w:cs="Times New Roman"/>
                <w:snapToGrid w:val="0"/>
                <w:color w:val="auto"/>
                <w:highlight w:val="none"/>
              </w:rPr>
              <w:t>，及时清理地面上的粪便及尿液，</w:t>
            </w:r>
            <w:r>
              <w:rPr>
                <w:rFonts w:hint="eastAsia" w:cs="Times New Roman"/>
                <w:snapToGrid w:val="0"/>
                <w:color w:val="auto"/>
                <w:highlight w:val="none"/>
              </w:rPr>
              <w:t>定期冲洗待地面</w:t>
            </w:r>
            <w:r>
              <w:rPr>
                <w:rFonts w:cs="Times New Roman"/>
                <w:snapToGrid w:val="0"/>
                <w:color w:val="auto"/>
                <w:highlight w:val="none"/>
              </w:rPr>
              <w:t>，同时定期喷洒除臭剂，减少恶臭源的散发；屠宰车间及时清洗清运</w:t>
            </w:r>
            <w:r>
              <w:rPr>
                <w:rFonts w:hint="eastAsia" w:cs="Times New Roman"/>
                <w:snapToGrid w:val="0"/>
                <w:color w:val="auto"/>
                <w:highlight w:val="none"/>
              </w:rPr>
              <w:t>，</w:t>
            </w:r>
            <w:r>
              <w:rPr>
                <w:rFonts w:cs="Times New Roman"/>
                <w:snapToGrid w:val="0"/>
                <w:color w:val="auto"/>
                <w:highlight w:val="none"/>
              </w:rPr>
              <w:t>定期喷洒除臭剂；对于污水处理站产生恶臭区域加盖、喷洒除臭剂，来降低污水处理站恶臭对厂区内外的影响；固废暂存间内废物暂存于加盖的</w:t>
            </w:r>
            <w:r>
              <w:rPr>
                <w:rFonts w:hint="eastAsia" w:cs="Times New Roman"/>
                <w:snapToGrid w:val="0"/>
                <w:color w:val="auto"/>
                <w:highlight w:val="none"/>
                <w:lang w:val="en-US" w:eastAsia="zh-CN"/>
              </w:rPr>
              <w:t>转运桶</w:t>
            </w:r>
            <w:r>
              <w:rPr>
                <w:rFonts w:cs="Times New Roman"/>
                <w:snapToGrid w:val="0"/>
                <w:color w:val="auto"/>
                <w:highlight w:val="none"/>
              </w:rPr>
              <w:t>内，正常情况下为密封，仅输送生产废物时，将</w:t>
            </w:r>
            <w:r>
              <w:rPr>
                <w:rFonts w:hint="eastAsia" w:cs="Times New Roman"/>
                <w:snapToGrid w:val="0"/>
                <w:color w:val="auto"/>
                <w:highlight w:val="none"/>
                <w:lang w:val="en-US" w:eastAsia="zh-CN"/>
              </w:rPr>
              <w:t>转运桶</w:t>
            </w:r>
            <w:r>
              <w:rPr>
                <w:rFonts w:cs="Times New Roman"/>
                <w:snapToGrid w:val="0"/>
                <w:color w:val="auto"/>
                <w:highlight w:val="none"/>
              </w:rPr>
              <w:t>输送至运输车上</w:t>
            </w:r>
            <w:r>
              <w:rPr>
                <w:rFonts w:hint="eastAsia" w:cs="Times New Roman"/>
                <w:snapToGrid w:val="0"/>
                <w:color w:val="auto"/>
                <w:highlight w:val="none"/>
              </w:rPr>
              <w:t>，</w:t>
            </w:r>
            <w:r>
              <w:rPr>
                <w:rFonts w:hint="eastAsia" w:cs="Times New Roman"/>
                <w:snapToGrid w:val="0"/>
                <w:color w:val="auto"/>
                <w:highlight w:val="none"/>
                <w:lang w:val="en-US" w:eastAsia="zh-CN"/>
              </w:rPr>
              <w:t>并放置新的转运桶用于存放下一个周期的固体废物，定期喷洒除臭剂，</w:t>
            </w:r>
            <w:r>
              <w:rPr>
                <w:rFonts w:hint="eastAsia" w:cs="Times New Roman"/>
                <w:snapToGrid w:val="0"/>
                <w:color w:val="auto"/>
                <w:highlight w:val="none"/>
                <w:lang w:val="en-US"/>
              </w:rPr>
              <w:t>减少恶臭的释放</w:t>
            </w:r>
            <w:r>
              <w:rPr>
                <w:rFonts w:hint="eastAsia" w:cs="Times New Roman"/>
                <w:snapToGrid w:val="0"/>
                <w:color w:val="auto"/>
                <w:highlight w:val="none"/>
                <w:lang w:val="en-US" w:eastAsia="zh-CN"/>
              </w:rPr>
              <w:t>。</w:t>
            </w:r>
          </w:p>
        </w:tc>
        <w:tc>
          <w:tcPr>
            <w:tcW w:w="428" w:type="pct"/>
            <w:vMerge w:val="continue"/>
            <w:vAlign w:val="center"/>
          </w:tcPr>
          <w:p w14:paraId="23CFF2F7">
            <w:pPr>
              <w:pStyle w:val="73"/>
              <w:rPr>
                <w:rFonts w:cs="Times New Roman"/>
                <w:snapToGrid w:val="0"/>
                <w:color w:val="auto"/>
                <w:highlight w:val="none"/>
                <w:lang w:val="en-US"/>
              </w:rPr>
            </w:pPr>
          </w:p>
        </w:tc>
      </w:tr>
      <w:tr w14:paraId="6BE66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23" w:type="pct"/>
            <w:vMerge w:val="continue"/>
            <w:vAlign w:val="center"/>
          </w:tcPr>
          <w:p w14:paraId="75D3F8AA">
            <w:pPr>
              <w:pStyle w:val="73"/>
              <w:rPr>
                <w:rFonts w:cs="Times New Roman"/>
                <w:snapToGrid w:val="0"/>
                <w:color w:val="auto"/>
                <w:highlight w:val="none"/>
              </w:rPr>
            </w:pPr>
          </w:p>
        </w:tc>
        <w:tc>
          <w:tcPr>
            <w:tcW w:w="732" w:type="pct"/>
            <w:gridSpan w:val="2"/>
            <w:vAlign w:val="center"/>
          </w:tcPr>
          <w:p w14:paraId="5BD98BED">
            <w:pPr>
              <w:pStyle w:val="73"/>
              <w:rPr>
                <w:rFonts w:cs="Times New Roman"/>
                <w:snapToGrid w:val="0"/>
                <w:color w:val="auto"/>
                <w:highlight w:val="none"/>
              </w:rPr>
            </w:pPr>
            <w:r>
              <w:rPr>
                <w:rFonts w:cs="Times New Roman"/>
                <w:snapToGrid w:val="0"/>
                <w:color w:val="auto"/>
                <w:highlight w:val="none"/>
              </w:rPr>
              <w:t>噪声防治</w:t>
            </w:r>
          </w:p>
        </w:tc>
        <w:tc>
          <w:tcPr>
            <w:tcW w:w="3416" w:type="pct"/>
            <w:vAlign w:val="center"/>
          </w:tcPr>
          <w:p w14:paraId="310273F2">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选用低噪声设备，安装基础减振垫，隔声等措施，采取以上措施后厂界可满足《工业企业厂界环境噪声排放标准》（GB12348-2008）2类标准；厂区西侧居民敏感点噪声满足《</w:t>
            </w:r>
            <w:r>
              <w:rPr>
                <w:rFonts w:hint="eastAsia" w:cs="Times New Roman"/>
                <w:snapToGrid w:val="0"/>
                <w:color w:val="auto"/>
                <w:highlight w:val="none"/>
                <w:lang w:val="en-US" w:eastAsia="zh-CN"/>
              </w:rPr>
              <w:fldChar w:fldCharType="begin"/>
            </w:r>
            <w:r>
              <w:rPr>
                <w:rFonts w:hint="eastAsia" w:cs="Times New Roman"/>
                <w:snapToGrid w:val="0"/>
                <w:color w:val="auto"/>
                <w:highlight w:val="none"/>
                <w:lang w:val="en-US" w:eastAsia="zh-CN"/>
              </w:rPr>
              <w:instrText xml:space="preserve"> HYPERLINK "https://www.mee.gov.cn/ywgz/fgbz/bz/bzwb/wlhj/shjzlbz/200809/W020111121351590491445.pdf" </w:instrText>
            </w:r>
            <w:r>
              <w:rPr>
                <w:rFonts w:hint="eastAsia" w:cs="Times New Roman"/>
                <w:snapToGrid w:val="0"/>
                <w:color w:val="auto"/>
                <w:highlight w:val="none"/>
                <w:lang w:val="en-US" w:eastAsia="zh-CN"/>
              </w:rPr>
              <w:fldChar w:fldCharType="separate"/>
            </w:r>
            <w:r>
              <w:rPr>
                <w:rFonts w:hint="eastAsia" w:cs="Times New Roman"/>
                <w:snapToGrid w:val="0"/>
                <w:color w:val="auto"/>
                <w:highlight w:val="none"/>
                <w:lang w:val="en-US" w:eastAsia="zh-CN"/>
              </w:rPr>
              <w:t>声环境质量标准》（GB 3096－2008 ）</w:t>
            </w:r>
            <w:r>
              <w:rPr>
                <w:rFonts w:hint="eastAsia" w:cs="Times New Roman"/>
                <w:snapToGrid w:val="0"/>
                <w:color w:val="auto"/>
                <w:highlight w:val="none"/>
                <w:lang w:val="en-US" w:eastAsia="zh-CN"/>
              </w:rPr>
              <w:fldChar w:fldCharType="end"/>
            </w:r>
            <w:r>
              <w:rPr>
                <w:rFonts w:hint="eastAsia" w:cs="Times New Roman"/>
                <w:snapToGrid w:val="0"/>
                <w:color w:val="auto"/>
                <w:highlight w:val="none"/>
                <w:lang w:val="en-US" w:eastAsia="zh-CN"/>
              </w:rPr>
              <w:t>2类标准。</w:t>
            </w:r>
          </w:p>
        </w:tc>
        <w:tc>
          <w:tcPr>
            <w:tcW w:w="428" w:type="pct"/>
            <w:vAlign w:val="center"/>
          </w:tcPr>
          <w:p w14:paraId="37D15D83">
            <w:pPr>
              <w:pStyle w:val="73"/>
              <w:rPr>
                <w:rFonts w:cs="Times New Roman"/>
                <w:snapToGrid w:val="0"/>
                <w:color w:val="auto"/>
                <w:highlight w:val="none"/>
              </w:rPr>
            </w:pPr>
            <w:r>
              <w:rPr>
                <w:rFonts w:cs="Times New Roman"/>
                <w:snapToGrid w:val="0"/>
                <w:color w:val="auto"/>
                <w:highlight w:val="none"/>
              </w:rPr>
              <w:t>新建</w:t>
            </w:r>
          </w:p>
        </w:tc>
      </w:tr>
      <w:tr w14:paraId="155D6B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423" w:type="pct"/>
            <w:vMerge w:val="continue"/>
            <w:vAlign w:val="center"/>
          </w:tcPr>
          <w:p w14:paraId="69FE22BF">
            <w:pPr>
              <w:pStyle w:val="73"/>
              <w:rPr>
                <w:rFonts w:cs="Times New Roman"/>
                <w:snapToGrid w:val="0"/>
                <w:color w:val="auto"/>
                <w:highlight w:val="none"/>
              </w:rPr>
            </w:pPr>
          </w:p>
        </w:tc>
        <w:tc>
          <w:tcPr>
            <w:tcW w:w="732" w:type="pct"/>
            <w:gridSpan w:val="2"/>
            <w:vMerge w:val="restart"/>
            <w:vAlign w:val="center"/>
          </w:tcPr>
          <w:p w14:paraId="034605FD">
            <w:pPr>
              <w:pStyle w:val="73"/>
              <w:rPr>
                <w:rFonts w:cs="Times New Roman"/>
                <w:snapToGrid w:val="0"/>
                <w:color w:val="auto"/>
                <w:highlight w:val="none"/>
              </w:rPr>
            </w:pPr>
            <w:r>
              <w:rPr>
                <w:rFonts w:cs="Times New Roman"/>
                <w:snapToGrid w:val="0"/>
                <w:color w:val="auto"/>
                <w:highlight w:val="none"/>
              </w:rPr>
              <w:t>地下水防渗</w:t>
            </w:r>
          </w:p>
        </w:tc>
        <w:tc>
          <w:tcPr>
            <w:tcW w:w="3416" w:type="pct"/>
            <w:vAlign w:val="center"/>
          </w:tcPr>
          <w:p w14:paraId="247DDEF0">
            <w:pPr>
              <w:pStyle w:val="73"/>
              <w:rPr>
                <w:rFonts w:hint="eastAsia" w:eastAsia="宋体" w:cs="Times New Roman"/>
                <w:snapToGrid w:val="0"/>
                <w:color w:val="auto"/>
                <w:highlight w:val="none"/>
                <w:lang w:val="en-US" w:eastAsia="zh-CN"/>
              </w:rPr>
            </w:pPr>
            <w:r>
              <w:rPr>
                <w:rFonts w:hint="eastAsia" w:cs="Times New Roman"/>
                <w:snapToGrid w:val="0"/>
                <w:color w:val="auto"/>
                <w:kern w:val="0"/>
                <w:szCs w:val="21"/>
                <w:highlight w:val="none"/>
                <w:lang w:val="en-US" w:eastAsia="zh-CN"/>
              </w:rPr>
              <w:t>危险废物暂存点</w:t>
            </w:r>
            <w:r>
              <w:rPr>
                <w:rFonts w:cs="Times New Roman"/>
                <w:snapToGrid w:val="0"/>
                <w:color w:val="auto"/>
                <w:kern w:val="0"/>
                <w:szCs w:val="21"/>
                <w:highlight w:val="none"/>
                <w:lang w:val="en-US"/>
              </w:rPr>
              <w:t>按重点防渗区采取防渗措施。</w:t>
            </w:r>
            <w:r>
              <w:rPr>
                <w:rFonts w:hint="eastAsia" w:cs="Times New Roman"/>
                <w:snapToGrid w:val="0"/>
                <w:color w:val="auto"/>
                <w:kern w:val="0"/>
                <w:szCs w:val="21"/>
                <w:highlight w:val="none"/>
                <w:lang w:val="en-US" w:eastAsia="zh-CN"/>
              </w:rPr>
              <w:t>参照《危险废物贮存污染控制标准》（GB18597-2023）执行，基础必须防渗，防渗层为至少1m厚粘土层（渗透系数≤10</w:t>
            </w:r>
            <w:r>
              <w:rPr>
                <w:rFonts w:hint="eastAsia" w:cs="Times New Roman"/>
                <w:snapToGrid w:val="0"/>
                <w:color w:val="auto"/>
                <w:kern w:val="0"/>
                <w:szCs w:val="21"/>
                <w:highlight w:val="none"/>
                <w:vertAlign w:val="superscript"/>
                <w:lang w:val="en-US" w:eastAsia="zh-CN"/>
              </w:rPr>
              <w:t>-7</w:t>
            </w:r>
            <w:r>
              <w:rPr>
                <w:rFonts w:hint="eastAsia" w:cs="Times New Roman"/>
                <w:snapToGrid w:val="0"/>
                <w:color w:val="auto"/>
                <w:kern w:val="0"/>
                <w:szCs w:val="21"/>
                <w:highlight w:val="none"/>
                <w:lang w:val="en-US" w:eastAsia="zh-CN"/>
              </w:rPr>
              <w:t>cm/s），或2mm厚高密度聚乙烯，或至少2mm厚的其它人工材料，渗透系数≤10</w:t>
            </w:r>
            <w:r>
              <w:rPr>
                <w:rFonts w:hint="eastAsia" w:cs="Times New Roman"/>
                <w:snapToGrid w:val="0"/>
                <w:color w:val="auto"/>
                <w:kern w:val="0"/>
                <w:szCs w:val="21"/>
                <w:highlight w:val="none"/>
                <w:vertAlign w:val="superscript"/>
                <w:lang w:val="en-US" w:eastAsia="zh-CN"/>
              </w:rPr>
              <w:t>-10</w:t>
            </w:r>
            <w:r>
              <w:rPr>
                <w:rFonts w:hint="eastAsia" w:cs="Times New Roman"/>
                <w:snapToGrid w:val="0"/>
                <w:color w:val="auto"/>
                <w:kern w:val="0"/>
                <w:szCs w:val="21"/>
                <w:highlight w:val="none"/>
                <w:lang w:val="en-US" w:eastAsia="zh-CN"/>
              </w:rPr>
              <w:t>cm/s</w:t>
            </w:r>
          </w:p>
        </w:tc>
        <w:tc>
          <w:tcPr>
            <w:tcW w:w="428" w:type="pct"/>
            <w:vMerge w:val="restart"/>
            <w:vAlign w:val="center"/>
          </w:tcPr>
          <w:p w14:paraId="2E93EB63">
            <w:pPr>
              <w:pStyle w:val="73"/>
              <w:rPr>
                <w:rFonts w:cs="Times New Roman"/>
                <w:snapToGrid w:val="0"/>
                <w:color w:val="auto"/>
                <w:highlight w:val="none"/>
              </w:rPr>
            </w:pPr>
            <w:r>
              <w:rPr>
                <w:rFonts w:cs="Times New Roman"/>
                <w:snapToGrid w:val="0"/>
                <w:color w:val="auto"/>
                <w:highlight w:val="none"/>
              </w:rPr>
              <w:t>新建</w:t>
            </w:r>
          </w:p>
        </w:tc>
      </w:tr>
      <w:tr w14:paraId="6D36A1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423" w:type="pct"/>
            <w:vMerge w:val="continue"/>
            <w:vAlign w:val="center"/>
          </w:tcPr>
          <w:p w14:paraId="2AC178AE">
            <w:pPr>
              <w:pStyle w:val="73"/>
              <w:rPr>
                <w:rFonts w:cs="Times New Roman"/>
                <w:snapToGrid w:val="0"/>
                <w:color w:val="auto"/>
                <w:highlight w:val="none"/>
              </w:rPr>
            </w:pPr>
          </w:p>
        </w:tc>
        <w:tc>
          <w:tcPr>
            <w:tcW w:w="732" w:type="pct"/>
            <w:gridSpan w:val="2"/>
            <w:vMerge w:val="continue"/>
            <w:vAlign w:val="center"/>
          </w:tcPr>
          <w:p w14:paraId="27C7FA49">
            <w:pPr>
              <w:pStyle w:val="73"/>
              <w:rPr>
                <w:rFonts w:cs="Times New Roman"/>
                <w:snapToGrid w:val="0"/>
                <w:color w:val="auto"/>
                <w:highlight w:val="none"/>
              </w:rPr>
            </w:pPr>
          </w:p>
        </w:tc>
        <w:tc>
          <w:tcPr>
            <w:tcW w:w="3416" w:type="pct"/>
            <w:vAlign w:val="center"/>
          </w:tcPr>
          <w:p w14:paraId="4CC6D204">
            <w:pPr>
              <w:pStyle w:val="73"/>
              <w:rPr>
                <w:rFonts w:cs="Times New Roman"/>
                <w:snapToGrid w:val="0"/>
                <w:color w:val="auto"/>
                <w:highlight w:val="none"/>
                <w:lang w:val="en-US"/>
              </w:rPr>
            </w:pPr>
            <w:r>
              <w:rPr>
                <w:rFonts w:hint="eastAsia"/>
                <w:snapToGrid w:val="0"/>
                <w:color w:val="auto"/>
                <w:szCs w:val="21"/>
                <w:highlight w:val="none"/>
                <w:lang w:val="en-US"/>
              </w:rPr>
              <w:t>生产车间</w:t>
            </w:r>
            <w:r>
              <w:rPr>
                <w:rFonts w:hint="eastAsia"/>
                <w:snapToGrid w:val="0"/>
                <w:color w:val="auto"/>
                <w:szCs w:val="21"/>
                <w:highlight w:val="none"/>
                <w:lang w:val="en-US" w:eastAsia="zh-CN"/>
              </w:rPr>
              <w:t>（包括待宰圈）</w:t>
            </w:r>
            <w:r>
              <w:rPr>
                <w:rFonts w:hint="eastAsia"/>
                <w:snapToGrid w:val="0"/>
                <w:color w:val="auto"/>
                <w:szCs w:val="21"/>
                <w:highlight w:val="none"/>
                <w:lang w:val="en-US"/>
              </w:rPr>
              <w:t>、隔离圈、污水处理站、事故池及固体废物暂存间</w:t>
            </w:r>
            <w:r>
              <w:rPr>
                <w:rFonts w:cs="Times New Roman"/>
                <w:snapToGrid w:val="0"/>
                <w:color w:val="auto"/>
                <w:kern w:val="0"/>
                <w:szCs w:val="21"/>
                <w:highlight w:val="none"/>
                <w:lang w:val="en-US"/>
              </w:rPr>
              <w:t>按一般防渗区采取防渗措施。地面（池底）基础防渗，</w:t>
            </w:r>
            <w:r>
              <w:rPr>
                <w:rFonts w:cs="Times New Roman"/>
                <w:snapToGrid w:val="0"/>
                <w:color w:val="auto"/>
                <w:kern w:val="0"/>
                <w:szCs w:val="21"/>
                <w:highlight w:val="none"/>
              </w:rPr>
              <w:t>防渗层为至少1m厚粘土层或2mm厚高密度聚乙烯，</w:t>
            </w:r>
            <w:r>
              <w:rPr>
                <w:rFonts w:cs="Times New Roman"/>
                <w:snapToGrid w:val="0"/>
                <w:color w:val="auto"/>
                <w:kern w:val="0"/>
                <w:szCs w:val="21"/>
                <w:highlight w:val="none"/>
                <w:lang w:val="en-US"/>
              </w:rPr>
              <w:t>需满足等效黏土防渗层Mb≥1.5m，K≤1×10</w:t>
            </w:r>
            <w:r>
              <w:rPr>
                <w:rFonts w:cs="Times New Roman"/>
                <w:snapToGrid w:val="0"/>
                <w:color w:val="auto"/>
                <w:kern w:val="0"/>
                <w:szCs w:val="21"/>
                <w:highlight w:val="none"/>
                <w:vertAlign w:val="superscript"/>
                <w:lang w:val="en-US"/>
              </w:rPr>
              <w:t>-7</w:t>
            </w:r>
            <w:r>
              <w:rPr>
                <w:rFonts w:cs="Times New Roman"/>
                <w:snapToGrid w:val="0"/>
                <w:color w:val="auto"/>
                <w:kern w:val="0"/>
                <w:szCs w:val="21"/>
                <w:highlight w:val="none"/>
                <w:lang w:val="en-US"/>
              </w:rPr>
              <w:t>cm/s的要求，在做好基层防渗的基础上进行水泥硬化</w:t>
            </w:r>
          </w:p>
        </w:tc>
        <w:tc>
          <w:tcPr>
            <w:tcW w:w="428" w:type="pct"/>
            <w:vMerge w:val="continue"/>
            <w:vAlign w:val="center"/>
          </w:tcPr>
          <w:p w14:paraId="41BBBFFB">
            <w:pPr>
              <w:pStyle w:val="73"/>
              <w:rPr>
                <w:rFonts w:cs="Times New Roman"/>
                <w:snapToGrid w:val="0"/>
                <w:color w:val="auto"/>
                <w:highlight w:val="none"/>
                <w:lang w:val="en-US"/>
              </w:rPr>
            </w:pPr>
          </w:p>
        </w:tc>
      </w:tr>
      <w:tr w14:paraId="7E01D2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423" w:type="pct"/>
            <w:vMerge w:val="continue"/>
            <w:vAlign w:val="center"/>
          </w:tcPr>
          <w:p w14:paraId="4D0B0ECB">
            <w:pPr>
              <w:pStyle w:val="73"/>
              <w:rPr>
                <w:rFonts w:cs="Times New Roman"/>
                <w:snapToGrid w:val="0"/>
                <w:color w:val="auto"/>
                <w:highlight w:val="none"/>
                <w:lang w:val="en-US"/>
              </w:rPr>
            </w:pPr>
          </w:p>
        </w:tc>
        <w:tc>
          <w:tcPr>
            <w:tcW w:w="732" w:type="pct"/>
            <w:gridSpan w:val="2"/>
            <w:vMerge w:val="continue"/>
            <w:vAlign w:val="center"/>
          </w:tcPr>
          <w:p w14:paraId="67B31615">
            <w:pPr>
              <w:pStyle w:val="73"/>
              <w:rPr>
                <w:rFonts w:cs="Times New Roman"/>
                <w:snapToGrid w:val="0"/>
                <w:color w:val="auto"/>
                <w:highlight w:val="none"/>
                <w:lang w:val="en-US"/>
              </w:rPr>
            </w:pPr>
          </w:p>
        </w:tc>
        <w:tc>
          <w:tcPr>
            <w:tcW w:w="3416" w:type="pct"/>
            <w:vAlign w:val="center"/>
          </w:tcPr>
          <w:p w14:paraId="446E42B9">
            <w:pPr>
              <w:pStyle w:val="73"/>
              <w:rPr>
                <w:rFonts w:cs="Times New Roman"/>
                <w:snapToGrid w:val="0"/>
                <w:color w:val="auto"/>
                <w:highlight w:val="none"/>
                <w:lang w:val="en-US"/>
              </w:rPr>
            </w:pPr>
            <w:r>
              <w:rPr>
                <w:rFonts w:cs="Times New Roman"/>
                <w:snapToGrid w:val="0"/>
                <w:color w:val="auto"/>
                <w:highlight w:val="none"/>
              </w:rPr>
              <w:t>其他建筑物及道路采取简单防渗，对其地面采用混凝土进行一般地面硬化</w:t>
            </w:r>
          </w:p>
        </w:tc>
        <w:tc>
          <w:tcPr>
            <w:tcW w:w="428" w:type="pct"/>
            <w:vMerge w:val="continue"/>
            <w:vAlign w:val="center"/>
          </w:tcPr>
          <w:p w14:paraId="69DD23F3">
            <w:pPr>
              <w:pStyle w:val="73"/>
              <w:rPr>
                <w:rFonts w:cs="Times New Roman"/>
                <w:snapToGrid w:val="0"/>
                <w:color w:val="auto"/>
                <w:highlight w:val="none"/>
                <w:lang w:val="en-US"/>
              </w:rPr>
            </w:pPr>
          </w:p>
        </w:tc>
      </w:tr>
      <w:tr w14:paraId="74E11F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423" w:type="pct"/>
            <w:vMerge w:val="continue"/>
            <w:vAlign w:val="center"/>
          </w:tcPr>
          <w:p w14:paraId="388882AB">
            <w:pPr>
              <w:pStyle w:val="73"/>
              <w:rPr>
                <w:rFonts w:cs="Times New Roman"/>
                <w:snapToGrid w:val="0"/>
                <w:color w:val="auto"/>
                <w:highlight w:val="none"/>
                <w:lang w:val="en-US"/>
              </w:rPr>
            </w:pPr>
            <w:bookmarkStart w:id="104" w:name="_Hlk16857557"/>
          </w:p>
        </w:tc>
        <w:tc>
          <w:tcPr>
            <w:tcW w:w="732" w:type="pct"/>
            <w:gridSpan w:val="2"/>
            <w:vAlign w:val="center"/>
          </w:tcPr>
          <w:p w14:paraId="402A5579">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绿化</w:t>
            </w:r>
          </w:p>
        </w:tc>
        <w:tc>
          <w:tcPr>
            <w:tcW w:w="3416" w:type="pct"/>
            <w:vAlign w:val="center"/>
          </w:tcPr>
          <w:p w14:paraId="4AFCC3E5">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绿化面积为500m</w:t>
            </w:r>
            <w:r>
              <w:rPr>
                <w:rFonts w:hint="eastAsia" w:cs="Times New Roman"/>
                <w:snapToGrid w:val="0"/>
                <w:color w:val="auto"/>
                <w:highlight w:val="none"/>
                <w:vertAlign w:val="superscript"/>
                <w:lang w:val="en-US" w:eastAsia="zh-CN"/>
              </w:rPr>
              <w:t>2</w:t>
            </w:r>
            <w:r>
              <w:rPr>
                <w:rFonts w:hint="eastAsia" w:cs="Times New Roman"/>
                <w:snapToGrid w:val="0"/>
                <w:color w:val="auto"/>
                <w:highlight w:val="none"/>
                <w:lang w:val="en-US" w:eastAsia="zh-CN"/>
              </w:rPr>
              <w:t>，种植低矮灌木、青草</w:t>
            </w:r>
          </w:p>
        </w:tc>
        <w:tc>
          <w:tcPr>
            <w:tcW w:w="428" w:type="pct"/>
            <w:vMerge w:val="continue"/>
            <w:vAlign w:val="center"/>
          </w:tcPr>
          <w:p w14:paraId="2B0489C8">
            <w:pPr>
              <w:pStyle w:val="73"/>
              <w:rPr>
                <w:rFonts w:cs="Times New Roman"/>
                <w:snapToGrid w:val="0"/>
                <w:color w:val="auto"/>
                <w:highlight w:val="none"/>
                <w:lang w:val="en-US"/>
              </w:rPr>
            </w:pPr>
          </w:p>
        </w:tc>
      </w:tr>
      <w:tr w14:paraId="097DA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423" w:type="pct"/>
            <w:vMerge w:val="continue"/>
            <w:vAlign w:val="center"/>
          </w:tcPr>
          <w:p w14:paraId="4B81EC43">
            <w:pPr>
              <w:pStyle w:val="73"/>
              <w:rPr>
                <w:rFonts w:cs="Times New Roman"/>
                <w:snapToGrid w:val="0"/>
                <w:color w:val="auto"/>
                <w:highlight w:val="none"/>
              </w:rPr>
            </w:pPr>
          </w:p>
        </w:tc>
        <w:tc>
          <w:tcPr>
            <w:tcW w:w="732" w:type="pct"/>
            <w:gridSpan w:val="2"/>
            <w:vMerge w:val="restart"/>
            <w:vAlign w:val="center"/>
          </w:tcPr>
          <w:p w14:paraId="07EF8371">
            <w:pPr>
              <w:pStyle w:val="73"/>
              <w:rPr>
                <w:rFonts w:cs="Times New Roman"/>
                <w:snapToGrid w:val="0"/>
                <w:color w:val="auto"/>
                <w:highlight w:val="none"/>
              </w:rPr>
            </w:pPr>
            <w:r>
              <w:rPr>
                <w:rFonts w:cs="Times New Roman"/>
                <w:snapToGrid w:val="0"/>
                <w:color w:val="auto"/>
                <w:highlight w:val="none"/>
              </w:rPr>
              <w:t>固体废物</w:t>
            </w:r>
          </w:p>
        </w:tc>
        <w:tc>
          <w:tcPr>
            <w:tcW w:w="3416" w:type="pct"/>
            <w:vAlign w:val="center"/>
          </w:tcPr>
          <w:p w14:paraId="252073AD">
            <w:pPr>
              <w:pStyle w:val="73"/>
              <w:rPr>
                <w:rFonts w:hint="eastAsia" w:eastAsia="宋体" w:cs="Times New Roman"/>
                <w:snapToGrid w:val="0"/>
                <w:color w:val="auto"/>
                <w:highlight w:val="none"/>
                <w:lang w:eastAsia="zh-CN"/>
              </w:rPr>
            </w:pPr>
            <w:r>
              <w:rPr>
                <w:rFonts w:cs="Times New Roman"/>
                <w:snapToGrid w:val="0"/>
                <w:color w:val="auto"/>
                <w:highlight w:val="none"/>
                <w:lang w:val="en-US"/>
              </w:rPr>
              <w:t>牛、羊粪</w:t>
            </w:r>
            <w:r>
              <w:rPr>
                <w:rFonts w:cs="Times New Roman"/>
                <w:snapToGrid w:val="0"/>
                <w:color w:val="auto"/>
                <w:highlight w:val="none"/>
              </w:rPr>
              <w:t>储存在</w:t>
            </w:r>
            <w:r>
              <w:rPr>
                <w:rFonts w:cs="Times New Roman"/>
                <w:snapToGrid w:val="0"/>
                <w:color w:val="auto"/>
                <w:highlight w:val="none"/>
                <w:lang w:val="en-US"/>
              </w:rPr>
              <w:t>加盖的</w:t>
            </w:r>
            <w:r>
              <w:rPr>
                <w:rFonts w:hint="eastAsia" w:cs="Times New Roman"/>
                <w:snapToGrid w:val="0"/>
                <w:color w:val="auto"/>
                <w:highlight w:val="none"/>
                <w:lang w:val="en-US" w:eastAsia="zh-CN"/>
              </w:rPr>
              <w:t>转运桶</w:t>
            </w:r>
            <w:r>
              <w:rPr>
                <w:rFonts w:cs="Times New Roman"/>
                <w:snapToGrid w:val="0"/>
                <w:color w:val="auto"/>
                <w:highlight w:val="none"/>
                <w:lang w:val="en-US"/>
              </w:rPr>
              <w:t>，</w:t>
            </w:r>
            <w:r>
              <w:rPr>
                <w:rFonts w:hint="eastAsia" w:cs="Times New Roman"/>
                <w:snapToGrid w:val="0"/>
                <w:color w:val="auto"/>
                <w:highlight w:val="none"/>
                <w:lang w:val="en-US" w:eastAsia="zh-CN"/>
              </w:rPr>
              <w:t>作为有机肥原料外售，用于有机肥生产，两天清运一次</w:t>
            </w:r>
          </w:p>
        </w:tc>
        <w:tc>
          <w:tcPr>
            <w:tcW w:w="428" w:type="pct"/>
            <w:vMerge w:val="restart"/>
            <w:vAlign w:val="center"/>
          </w:tcPr>
          <w:p w14:paraId="462C7F40">
            <w:pPr>
              <w:pStyle w:val="73"/>
              <w:rPr>
                <w:rFonts w:cs="Times New Roman"/>
                <w:snapToGrid w:val="0"/>
                <w:color w:val="auto"/>
                <w:highlight w:val="none"/>
              </w:rPr>
            </w:pPr>
            <w:r>
              <w:rPr>
                <w:rFonts w:cs="Times New Roman"/>
                <w:snapToGrid w:val="0"/>
                <w:color w:val="auto"/>
                <w:highlight w:val="none"/>
              </w:rPr>
              <w:t>新建</w:t>
            </w:r>
          </w:p>
        </w:tc>
      </w:tr>
      <w:tr w14:paraId="4CE6A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423" w:type="pct"/>
            <w:vMerge w:val="continue"/>
            <w:vAlign w:val="center"/>
          </w:tcPr>
          <w:p w14:paraId="56F2E04A">
            <w:pPr>
              <w:pStyle w:val="73"/>
              <w:rPr>
                <w:rFonts w:cs="Times New Roman"/>
                <w:snapToGrid w:val="0"/>
                <w:color w:val="auto"/>
                <w:highlight w:val="none"/>
              </w:rPr>
            </w:pPr>
          </w:p>
        </w:tc>
        <w:tc>
          <w:tcPr>
            <w:tcW w:w="732" w:type="pct"/>
            <w:gridSpan w:val="2"/>
            <w:vMerge w:val="continue"/>
            <w:vAlign w:val="center"/>
          </w:tcPr>
          <w:p w14:paraId="6A557459">
            <w:pPr>
              <w:pStyle w:val="73"/>
              <w:rPr>
                <w:rFonts w:cs="Times New Roman"/>
                <w:snapToGrid w:val="0"/>
                <w:color w:val="auto"/>
                <w:highlight w:val="none"/>
              </w:rPr>
            </w:pPr>
          </w:p>
        </w:tc>
        <w:tc>
          <w:tcPr>
            <w:tcW w:w="3416" w:type="pct"/>
            <w:vAlign w:val="center"/>
          </w:tcPr>
          <w:p w14:paraId="5C79586E">
            <w:pPr>
              <w:pStyle w:val="73"/>
              <w:rPr>
                <w:rFonts w:hint="eastAsia" w:eastAsia="宋体" w:cs="Times New Roman"/>
                <w:snapToGrid w:val="0"/>
                <w:color w:val="auto"/>
                <w:highlight w:val="none"/>
                <w:lang w:eastAsia="zh-CN"/>
              </w:rPr>
            </w:pPr>
            <w:r>
              <w:rPr>
                <w:rFonts w:cs="Times New Roman"/>
                <w:snapToGrid w:val="0"/>
                <w:color w:val="auto"/>
                <w:highlight w:val="none"/>
              </w:rPr>
              <w:t>胃容物及肠内物储存在</w:t>
            </w:r>
            <w:r>
              <w:rPr>
                <w:rFonts w:cs="Times New Roman"/>
                <w:snapToGrid w:val="0"/>
                <w:color w:val="auto"/>
                <w:highlight w:val="none"/>
                <w:lang w:val="en-US"/>
              </w:rPr>
              <w:t>加盖的</w:t>
            </w:r>
            <w:r>
              <w:rPr>
                <w:rFonts w:hint="eastAsia" w:cs="Times New Roman"/>
                <w:snapToGrid w:val="0"/>
                <w:color w:val="auto"/>
                <w:highlight w:val="none"/>
                <w:lang w:val="en-US" w:eastAsia="zh-CN"/>
              </w:rPr>
              <w:t>转运桶内</w:t>
            </w:r>
            <w:r>
              <w:rPr>
                <w:rFonts w:cs="Times New Roman"/>
                <w:snapToGrid w:val="0"/>
                <w:color w:val="auto"/>
                <w:highlight w:val="none"/>
              </w:rPr>
              <w:t>，</w:t>
            </w:r>
            <w:r>
              <w:rPr>
                <w:rFonts w:hint="eastAsia" w:cs="Times New Roman"/>
                <w:snapToGrid w:val="0"/>
                <w:color w:val="auto"/>
                <w:highlight w:val="none"/>
                <w:lang w:eastAsia="zh-CN"/>
              </w:rPr>
              <w:t>作为有机肥原料外售，用于有机肥生产，</w:t>
            </w:r>
            <w:r>
              <w:rPr>
                <w:rFonts w:hint="eastAsia" w:cs="Times New Roman"/>
                <w:snapToGrid w:val="0"/>
                <w:color w:val="auto"/>
                <w:highlight w:val="none"/>
                <w:lang w:val="en-US" w:eastAsia="zh-CN"/>
              </w:rPr>
              <w:t>两天清运一次</w:t>
            </w:r>
          </w:p>
        </w:tc>
        <w:tc>
          <w:tcPr>
            <w:tcW w:w="428" w:type="pct"/>
            <w:vMerge w:val="continue"/>
            <w:vAlign w:val="center"/>
          </w:tcPr>
          <w:p w14:paraId="3BF002AC">
            <w:pPr>
              <w:pStyle w:val="73"/>
              <w:rPr>
                <w:rFonts w:cs="Times New Roman"/>
                <w:snapToGrid w:val="0"/>
                <w:color w:val="auto"/>
                <w:highlight w:val="none"/>
              </w:rPr>
            </w:pPr>
          </w:p>
        </w:tc>
      </w:tr>
      <w:tr w14:paraId="42237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423" w:type="pct"/>
            <w:vMerge w:val="continue"/>
            <w:vAlign w:val="center"/>
          </w:tcPr>
          <w:p w14:paraId="50A101CF">
            <w:pPr>
              <w:pStyle w:val="73"/>
              <w:rPr>
                <w:rFonts w:cs="Times New Roman"/>
                <w:snapToGrid w:val="0"/>
                <w:color w:val="auto"/>
                <w:highlight w:val="none"/>
              </w:rPr>
            </w:pPr>
          </w:p>
        </w:tc>
        <w:tc>
          <w:tcPr>
            <w:tcW w:w="732" w:type="pct"/>
            <w:gridSpan w:val="2"/>
            <w:vMerge w:val="continue"/>
            <w:vAlign w:val="center"/>
          </w:tcPr>
          <w:p w14:paraId="53F0D10A">
            <w:pPr>
              <w:pStyle w:val="73"/>
              <w:rPr>
                <w:rFonts w:cs="Times New Roman"/>
                <w:snapToGrid w:val="0"/>
                <w:color w:val="auto"/>
                <w:highlight w:val="none"/>
              </w:rPr>
            </w:pPr>
          </w:p>
        </w:tc>
        <w:tc>
          <w:tcPr>
            <w:tcW w:w="3416" w:type="pct"/>
            <w:vAlign w:val="center"/>
          </w:tcPr>
          <w:p w14:paraId="52835A75">
            <w:pPr>
              <w:pStyle w:val="73"/>
              <w:rPr>
                <w:rFonts w:hint="eastAsia" w:eastAsia="宋体" w:cs="Times New Roman"/>
                <w:snapToGrid w:val="0"/>
                <w:color w:val="auto"/>
                <w:highlight w:val="none"/>
                <w:lang w:eastAsia="zh-CN"/>
              </w:rPr>
            </w:pPr>
            <w:r>
              <w:rPr>
                <w:rFonts w:cs="Times New Roman"/>
                <w:snapToGrid w:val="0"/>
                <w:color w:val="auto"/>
                <w:highlight w:val="none"/>
              </w:rPr>
              <w:t>边角料储存在加盖的</w:t>
            </w:r>
            <w:r>
              <w:rPr>
                <w:rFonts w:hint="eastAsia" w:cs="Times New Roman"/>
                <w:snapToGrid w:val="0"/>
                <w:color w:val="auto"/>
                <w:highlight w:val="none"/>
                <w:lang w:val="en-US" w:eastAsia="zh-CN"/>
              </w:rPr>
              <w:t>转运桶</w:t>
            </w:r>
            <w:r>
              <w:rPr>
                <w:rFonts w:cs="Times New Roman"/>
                <w:snapToGrid w:val="0"/>
                <w:color w:val="auto"/>
                <w:highlight w:val="none"/>
              </w:rPr>
              <w:t>内，</w:t>
            </w:r>
            <w:r>
              <w:rPr>
                <w:rFonts w:hint="eastAsia" w:cs="Times New Roman"/>
                <w:snapToGrid w:val="0"/>
                <w:color w:val="auto"/>
                <w:highlight w:val="none"/>
                <w:lang w:eastAsia="zh-CN"/>
              </w:rPr>
              <w:t>作为有机肥原料外售，用于有机肥生产，</w:t>
            </w:r>
            <w:r>
              <w:rPr>
                <w:rFonts w:hint="eastAsia" w:cs="Times New Roman"/>
                <w:snapToGrid w:val="0"/>
                <w:color w:val="auto"/>
                <w:highlight w:val="none"/>
                <w:lang w:val="en-US" w:eastAsia="zh-CN"/>
              </w:rPr>
              <w:t>两天清运一次</w:t>
            </w:r>
          </w:p>
        </w:tc>
        <w:tc>
          <w:tcPr>
            <w:tcW w:w="428" w:type="pct"/>
            <w:vMerge w:val="continue"/>
            <w:vAlign w:val="center"/>
          </w:tcPr>
          <w:p w14:paraId="78C34809">
            <w:pPr>
              <w:pStyle w:val="73"/>
              <w:rPr>
                <w:rFonts w:cs="Times New Roman"/>
                <w:snapToGrid w:val="0"/>
                <w:color w:val="auto"/>
                <w:highlight w:val="none"/>
              </w:rPr>
            </w:pPr>
          </w:p>
        </w:tc>
      </w:tr>
      <w:tr w14:paraId="0DCF0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423" w:type="pct"/>
            <w:vMerge w:val="continue"/>
            <w:vAlign w:val="center"/>
          </w:tcPr>
          <w:p w14:paraId="28B40EE7">
            <w:pPr>
              <w:pStyle w:val="73"/>
              <w:rPr>
                <w:rFonts w:cs="Times New Roman"/>
                <w:snapToGrid w:val="0"/>
                <w:color w:val="auto"/>
                <w:highlight w:val="none"/>
              </w:rPr>
            </w:pPr>
          </w:p>
        </w:tc>
        <w:tc>
          <w:tcPr>
            <w:tcW w:w="732" w:type="pct"/>
            <w:gridSpan w:val="2"/>
            <w:vMerge w:val="continue"/>
            <w:vAlign w:val="center"/>
          </w:tcPr>
          <w:p w14:paraId="38641183">
            <w:pPr>
              <w:pStyle w:val="73"/>
              <w:rPr>
                <w:rFonts w:cs="Times New Roman"/>
                <w:snapToGrid w:val="0"/>
                <w:color w:val="auto"/>
                <w:highlight w:val="none"/>
              </w:rPr>
            </w:pPr>
          </w:p>
        </w:tc>
        <w:tc>
          <w:tcPr>
            <w:tcW w:w="3416" w:type="pct"/>
            <w:vAlign w:val="center"/>
          </w:tcPr>
          <w:p w14:paraId="076183A6">
            <w:pPr>
              <w:pStyle w:val="73"/>
              <w:rPr>
                <w:rFonts w:cs="Times New Roman"/>
                <w:snapToGrid w:val="0"/>
                <w:color w:val="auto"/>
                <w:highlight w:val="none"/>
              </w:rPr>
            </w:pPr>
            <w:r>
              <w:rPr>
                <w:rFonts w:cs="Times New Roman"/>
                <w:snapToGrid w:val="0"/>
                <w:color w:val="auto"/>
                <w:highlight w:val="none"/>
                <w:lang w:val="en-US"/>
              </w:rPr>
              <w:t>脱水污泥（含栅渣）（含水率低于60%），送生活垃圾填埋场填埋</w:t>
            </w:r>
          </w:p>
        </w:tc>
        <w:tc>
          <w:tcPr>
            <w:tcW w:w="428" w:type="pct"/>
            <w:vMerge w:val="continue"/>
            <w:vAlign w:val="center"/>
          </w:tcPr>
          <w:p w14:paraId="2F0A5164">
            <w:pPr>
              <w:pStyle w:val="73"/>
              <w:rPr>
                <w:rFonts w:cs="Times New Roman"/>
                <w:snapToGrid w:val="0"/>
                <w:color w:val="auto"/>
                <w:highlight w:val="none"/>
              </w:rPr>
            </w:pPr>
          </w:p>
        </w:tc>
      </w:tr>
      <w:tr w14:paraId="79510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423" w:type="pct"/>
            <w:vMerge w:val="continue"/>
            <w:vAlign w:val="center"/>
          </w:tcPr>
          <w:p w14:paraId="031EC17B">
            <w:pPr>
              <w:pStyle w:val="73"/>
              <w:rPr>
                <w:rFonts w:cs="Times New Roman"/>
                <w:snapToGrid w:val="0"/>
                <w:color w:val="auto"/>
                <w:highlight w:val="none"/>
              </w:rPr>
            </w:pPr>
          </w:p>
        </w:tc>
        <w:tc>
          <w:tcPr>
            <w:tcW w:w="732" w:type="pct"/>
            <w:gridSpan w:val="2"/>
            <w:vMerge w:val="continue"/>
            <w:vAlign w:val="center"/>
          </w:tcPr>
          <w:p w14:paraId="655FF9AD">
            <w:pPr>
              <w:pStyle w:val="73"/>
              <w:rPr>
                <w:rFonts w:cs="Times New Roman"/>
                <w:snapToGrid w:val="0"/>
                <w:color w:val="auto"/>
                <w:highlight w:val="none"/>
              </w:rPr>
            </w:pPr>
          </w:p>
        </w:tc>
        <w:tc>
          <w:tcPr>
            <w:tcW w:w="3416" w:type="pct"/>
            <w:vAlign w:val="center"/>
          </w:tcPr>
          <w:p w14:paraId="424EF61D">
            <w:pPr>
              <w:pStyle w:val="73"/>
              <w:rPr>
                <w:rFonts w:hint="default" w:eastAsia="宋体" w:cs="Times New Roman"/>
                <w:snapToGrid w:val="0"/>
                <w:color w:val="auto"/>
                <w:highlight w:val="none"/>
                <w:lang w:val="en-US" w:eastAsia="zh-CN"/>
              </w:rPr>
            </w:pPr>
            <w:r>
              <w:rPr>
                <w:rFonts w:hint="eastAsia" w:cs="Times New Roman"/>
                <w:snapToGrid w:val="0"/>
                <w:color w:val="auto"/>
                <w:szCs w:val="24"/>
                <w:highlight w:val="none"/>
                <w:lang w:val="en-US" w:eastAsia="zh-CN"/>
              </w:rPr>
              <w:t>隔油池产生的废油脂，收集后交由有能力处置单位运输处理</w:t>
            </w:r>
          </w:p>
        </w:tc>
        <w:tc>
          <w:tcPr>
            <w:tcW w:w="428" w:type="pct"/>
            <w:vMerge w:val="continue"/>
            <w:vAlign w:val="center"/>
          </w:tcPr>
          <w:p w14:paraId="43F23562">
            <w:pPr>
              <w:pStyle w:val="73"/>
              <w:rPr>
                <w:rFonts w:cs="Times New Roman"/>
                <w:snapToGrid w:val="0"/>
                <w:color w:val="auto"/>
                <w:highlight w:val="none"/>
              </w:rPr>
            </w:pPr>
          </w:p>
        </w:tc>
      </w:tr>
      <w:tr w14:paraId="19A07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423" w:type="pct"/>
            <w:vMerge w:val="continue"/>
            <w:vAlign w:val="center"/>
          </w:tcPr>
          <w:p w14:paraId="35EEFD2A">
            <w:pPr>
              <w:pStyle w:val="73"/>
              <w:rPr>
                <w:rFonts w:cs="Times New Roman"/>
                <w:snapToGrid w:val="0"/>
                <w:color w:val="auto"/>
                <w:highlight w:val="none"/>
              </w:rPr>
            </w:pPr>
          </w:p>
        </w:tc>
        <w:tc>
          <w:tcPr>
            <w:tcW w:w="732" w:type="pct"/>
            <w:gridSpan w:val="2"/>
            <w:vMerge w:val="continue"/>
            <w:vAlign w:val="center"/>
          </w:tcPr>
          <w:p w14:paraId="0908CF8D">
            <w:pPr>
              <w:pStyle w:val="73"/>
              <w:rPr>
                <w:rFonts w:cs="Times New Roman"/>
                <w:snapToGrid w:val="0"/>
                <w:color w:val="auto"/>
                <w:highlight w:val="none"/>
              </w:rPr>
            </w:pPr>
          </w:p>
        </w:tc>
        <w:tc>
          <w:tcPr>
            <w:tcW w:w="3416" w:type="pct"/>
            <w:vAlign w:val="center"/>
          </w:tcPr>
          <w:p w14:paraId="629BEDC4">
            <w:pPr>
              <w:pStyle w:val="73"/>
              <w:rPr>
                <w:rFonts w:cs="Times New Roman"/>
                <w:snapToGrid w:val="0"/>
                <w:color w:val="auto"/>
                <w:highlight w:val="none"/>
                <w:lang w:val="en-US"/>
              </w:rPr>
            </w:pPr>
            <w:r>
              <w:rPr>
                <w:rFonts w:hint="eastAsia" w:cs="Times New Roman"/>
                <w:snapToGrid w:val="0"/>
                <w:color w:val="auto"/>
                <w:highlight w:val="none"/>
                <w:lang w:val="en-US"/>
              </w:rPr>
              <w:t>废包装集中收集，定期外售综合利用</w:t>
            </w:r>
          </w:p>
        </w:tc>
        <w:tc>
          <w:tcPr>
            <w:tcW w:w="428" w:type="pct"/>
            <w:vMerge w:val="continue"/>
            <w:vAlign w:val="center"/>
          </w:tcPr>
          <w:p w14:paraId="267110C1">
            <w:pPr>
              <w:pStyle w:val="73"/>
              <w:rPr>
                <w:rFonts w:cs="Times New Roman"/>
                <w:snapToGrid w:val="0"/>
                <w:color w:val="auto"/>
                <w:highlight w:val="none"/>
              </w:rPr>
            </w:pPr>
          </w:p>
        </w:tc>
      </w:tr>
      <w:tr w14:paraId="40CF0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8" w:hRule="atLeast"/>
          <w:jc w:val="center"/>
        </w:trPr>
        <w:tc>
          <w:tcPr>
            <w:tcW w:w="423" w:type="pct"/>
            <w:vMerge w:val="continue"/>
            <w:vAlign w:val="center"/>
          </w:tcPr>
          <w:p w14:paraId="7F704916">
            <w:pPr>
              <w:pStyle w:val="73"/>
              <w:rPr>
                <w:rFonts w:cs="Times New Roman"/>
                <w:snapToGrid w:val="0"/>
                <w:color w:val="auto"/>
                <w:highlight w:val="none"/>
              </w:rPr>
            </w:pPr>
          </w:p>
        </w:tc>
        <w:tc>
          <w:tcPr>
            <w:tcW w:w="732" w:type="pct"/>
            <w:gridSpan w:val="2"/>
            <w:vMerge w:val="continue"/>
            <w:vAlign w:val="center"/>
          </w:tcPr>
          <w:p w14:paraId="2F97FE36">
            <w:pPr>
              <w:pStyle w:val="73"/>
              <w:rPr>
                <w:rFonts w:cs="Times New Roman"/>
                <w:snapToGrid w:val="0"/>
                <w:color w:val="auto"/>
                <w:highlight w:val="none"/>
              </w:rPr>
            </w:pPr>
          </w:p>
        </w:tc>
        <w:tc>
          <w:tcPr>
            <w:tcW w:w="3416" w:type="pct"/>
            <w:vAlign w:val="center"/>
          </w:tcPr>
          <w:p w14:paraId="16D438AA">
            <w:pPr>
              <w:pStyle w:val="73"/>
              <w:rPr>
                <w:rFonts w:hint="default" w:eastAsia="宋体" w:cs="Times New Roman"/>
                <w:snapToGrid w:val="0"/>
                <w:color w:val="auto"/>
                <w:highlight w:val="none"/>
                <w:lang w:val="en-US" w:eastAsia="zh-CN"/>
              </w:rPr>
            </w:pPr>
            <w:r>
              <w:rPr>
                <w:rFonts w:cs="Times New Roman"/>
                <w:snapToGrid w:val="0"/>
                <w:color w:val="auto"/>
                <w:highlight w:val="none"/>
              </w:rPr>
              <w:t>检疫不合格品</w:t>
            </w:r>
            <w:r>
              <w:rPr>
                <w:rFonts w:cs="Times New Roman"/>
                <w:snapToGrid w:val="0"/>
                <w:color w:val="auto"/>
                <w:highlight w:val="none"/>
                <w:lang w:val="en-US"/>
              </w:rPr>
              <w:t>及病死牛羊</w:t>
            </w:r>
            <w:r>
              <w:rPr>
                <w:rFonts w:cs="Times New Roman"/>
                <w:snapToGrid w:val="0"/>
                <w:color w:val="auto"/>
                <w:highlight w:val="none"/>
              </w:rPr>
              <w:t>当天</w:t>
            </w:r>
            <w:r>
              <w:rPr>
                <w:rFonts w:hint="eastAsia" w:cs="Times New Roman"/>
                <w:snapToGrid w:val="0"/>
                <w:color w:val="auto"/>
                <w:highlight w:val="none"/>
                <w:lang w:eastAsia="zh-CN"/>
              </w:rPr>
              <w:t>由双鸭山百奥迈斯生物科技有限公司</w:t>
            </w:r>
            <w:r>
              <w:rPr>
                <w:rFonts w:hint="eastAsia" w:cs="Times New Roman"/>
                <w:snapToGrid w:val="0"/>
                <w:color w:val="auto"/>
                <w:highlight w:val="none"/>
                <w:lang w:val="en-US" w:eastAsia="zh-CN"/>
              </w:rPr>
              <w:t>采用密闭车辆拉运处置</w:t>
            </w:r>
          </w:p>
        </w:tc>
        <w:tc>
          <w:tcPr>
            <w:tcW w:w="428" w:type="pct"/>
            <w:vMerge w:val="continue"/>
            <w:vAlign w:val="center"/>
          </w:tcPr>
          <w:p w14:paraId="30EEBEE5">
            <w:pPr>
              <w:pStyle w:val="73"/>
              <w:rPr>
                <w:rFonts w:cs="Times New Roman"/>
                <w:snapToGrid w:val="0"/>
                <w:color w:val="auto"/>
                <w:highlight w:val="none"/>
              </w:rPr>
            </w:pPr>
          </w:p>
        </w:tc>
      </w:tr>
      <w:tr w14:paraId="118D4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23" w:type="pct"/>
            <w:vMerge w:val="continue"/>
            <w:vAlign w:val="center"/>
          </w:tcPr>
          <w:p w14:paraId="5CD30130">
            <w:pPr>
              <w:pStyle w:val="73"/>
              <w:rPr>
                <w:rFonts w:cs="Times New Roman"/>
                <w:snapToGrid w:val="0"/>
                <w:color w:val="auto"/>
                <w:highlight w:val="none"/>
              </w:rPr>
            </w:pPr>
          </w:p>
        </w:tc>
        <w:tc>
          <w:tcPr>
            <w:tcW w:w="732" w:type="pct"/>
            <w:gridSpan w:val="2"/>
            <w:vMerge w:val="continue"/>
            <w:vAlign w:val="center"/>
          </w:tcPr>
          <w:p w14:paraId="46E95F8E">
            <w:pPr>
              <w:pStyle w:val="73"/>
              <w:rPr>
                <w:rFonts w:cs="Times New Roman"/>
                <w:snapToGrid w:val="0"/>
                <w:color w:val="auto"/>
                <w:highlight w:val="none"/>
              </w:rPr>
            </w:pPr>
          </w:p>
        </w:tc>
        <w:tc>
          <w:tcPr>
            <w:tcW w:w="3416" w:type="pct"/>
            <w:vAlign w:val="center"/>
          </w:tcPr>
          <w:p w14:paraId="4841A706">
            <w:pPr>
              <w:pStyle w:val="73"/>
              <w:rPr>
                <w:rFonts w:cs="Times New Roman"/>
                <w:snapToGrid w:val="0"/>
                <w:color w:val="auto"/>
                <w:highlight w:val="none"/>
              </w:rPr>
            </w:pPr>
            <w:r>
              <w:rPr>
                <w:rFonts w:cs="Times New Roman"/>
                <w:snapToGrid w:val="0"/>
                <w:color w:val="auto"/>
                <w:highlight w:val="none"/>
              </w:rPr>
              <w:t>生活垃圾</w:t>
            </w:r>
            <w:r>
              <w:rPr>
                <w:rFonts w:cs="Times New Roman"/>
                <w:snapToGrid w:val="0"/>
                <w:color w:val="auto"/>
                <w:highlight w:val="none"/>
                <w:lang w:val="en-US"/>
              </w:rPr>
              <w:t>分类收集，</w:t>
            </w:r>
            <w:r>
              <w:rPr>
                <w:rFonts w:cs="Times New Roman"/>
                <w:snapToGrid w:val="0"/>
                <w:color w:val="auto"/>
                <w:highlight w:val="none"/>
              </w:rPr>
              <w:t>由市政环卫部门统一清运。</w:t>
            </w:r>
          </w:p>
        </w:tc>
        <w:tc>
          <w:tcPr>
            <w:tcW w:w="428" w:type="pct"/>
            <w:vMerge w:val="continue"/>
            <w:vAlign w:val="center"/>
          </w:tcPr>
          <w:p w14:paraId="15DFDEDD">
            <w:pPr>
              <w:pStyle w:val="73"/>
              <w:rPr>
                <w:rFonts w:cs="Times New Roman"/>
                <w:snapToGrid w:val="0"/>
                <w:color w:val="auto"/>
                <w:highlight w:val="none"/>
              </w:rPr>
            </w:pPr>
          </w:p>
        </w:tc>
      </w:tr>
      <w:tr w14:paraId="008C5D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23" w:type="pct"/>
            <w:vMerge w:val="continue"/>
            <w:vAlign w:val="center"/>
          </w:tcPr>
          <w:p w14:paraId="3F2EBD66">
            <w:pPr>
              <w:pStyle w:val="73"/>
              <w:rPr>
                <w:rFonts w:cs="Times New Roman"/>
                <w:snapToGrid w:val="0"/>
                <w:color w:val="auto"/>
                <w:highlight w:val="none"/>
              </w:rPr>
            </w:pPr>
          </w:p>
        </w:tc>
        <w:tc>
          <w:tcPr>
            <w:tcW w:w="732" w:type="pct"/>
            <w:gridSpan w:val="2"/>
            <w:vMerge w:val="continue"/>
            <w:vAlign w:val="center"/>
          </w:tcPr>
          <w:p w14:paraId="592BA2DF">
            <w:pPr>
              <w:pStyle w:val="73"/>
              <w:rPr>
                <w:rFonts w:cs="Times New Roman"/>
                <w:snapToGrid w:val="0"/>
                <w:color w:val="auto"/>
                <w:highlight w:val="none"/>
              </w:rPr>
            </w:pPr>
          </w:p>
        </w:tc>
        <w:tc>
          <w:tcPr>
            <w:tcW w:w="3416" w:type="pct"/>
            <w:vAlign w:val="center"/>
          </w:tcPr>
          <w:p w14:paraId="2F890DBE">
            <w:pPr>
              <w:pStyle w:val="73"/>
              <w:rPr>
                <w:rFonts w:hint="eastAsia" w:eastAsia="宋体" w:cs="Times New Roman"/>
                <w:snapToGrid w:val="0"/>
                <w:color w:val="auto"/>
                <w:highlight w:val="none"/>
                <w:lang w:val="en-US" w:eastAsia="zh-CN"/>
              </w:rPr>
            </w:pPr>
            <w:r>
              <w:rPr>
                <w:rFonts w:cs="Times New Roman"/>
                <w:snapToGrid w:val="0"/>
                <w:color w:val="auto"/>
                <w:szCs w:val="24"/>
                <w:highlight w:val="none"/>
              </w:rPr>
              <w:t>检疫废物</w:t>
            </w:r>
            <w:r>
              <w:rPr>
                <w:rFonts w:hint="eastAsia" w:cs="Times New Roman"/>
                <w:snapToGrid w:val="0"/>
                <w:color w:val="auto"/>
                <w:szCs w:val="24"/>
                <w:highlight w:val="none"/>
                <w:lang w:val="en-US" w:eastAsia="zh-CN"/>
              </w:rPr>
              <w:t>（废弃载玻片 ）</w:t>
            </w:r>
            <w:r>
              <w:rPr>
                <w:rFonts w:cs="Times New Roman"/>
                <w:snapToGrid w:val="0"/>
                <w:color w:val="auto"/>
                <w:szCs w:val="24"/>
                <w:highlight w:val="none"/>
                <w:lang w:val="en-US"/>
              </w:rPr>
              <w:t>暂存于</w:t>
            </w:r>
            <w:r>
              <w:rPr>
                <w:rFonts w:hint="eastAsia" w:cs="Times New Roman"/>
                <w:snapToGrid w:val="0"/>
                <w:color w:val="auto"/>
                <w:kern w:val="0"/>
                <w:szCs w:val="21"/>
                <w:highlight w:val="none"/>
                <w:lang w:val="en-US" w:eastAsia="zh-CN"/>
              </w:rPr>
              <w:t>危险废物暂存点</w:t>
            </w:r>
            <w:r>
              <w:rPr>
                <w:rFonts w:cs="Times New Roman"/>
                <w:snapToGrid w:val="0"/>
                <w:color w:val="auto"/>
                <w:szCs w:val="24"/>
                <w:highlight w:val="none"/>
                <w:lang w:val="en-US"/>
              </w:rPr>
              <w:t>内，定期由</w:t>
            </w:r>
            <w:r>
              <w:rPr>
                <w:rFonts w:cs="Times New Roman"/>
                <w:snapToGrid w:val="0"/>
                <w:color w:val="auto"/>
                <w:szCs w:val="21"/>
                <w:highlight w:val="none"/>
                <w:lang w:val="en-US"/>
              </w:rPr>
              <w:t>有资质的单位处置</w:t>
            </w:r>
          </w:p>
        </w:tc>
        <w:tc>
          <w:tcPr>
            <w:tcW w:w="428" w:type="pct"/>
            <w:vMerge w:val="continue"/>
            <w:vAlign w:val="center"/>
          </w:tcPr>
          <w:p w14:paraId="448029D7">
            <w:pPr>
              <w:pStyle w:val="73"/>
              <w:rPr>
                <w:rFonts w:cs="Times New Roman"/>
                <w:snapToGrid w:val="0"/>
                <w:color w:val="auto"/>
                <w:highlight w:val="none"/>
              </w:rPr>
            </w:pPr>
          </w:p>
        </w:tc>
      </w:tr>
      <w:tr w14:paraId="67507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23" w:type="pct"/>
            <w:vMerge w:val="continue"/>
            <w:vAlign w:val="center"/>
          </w:tcPr>
          <w:p w14:paraId="6118BA62">
            <w:pPr>
              <w:pStyle w:val="73"/>
              <w:rPr>
                <w:rFonts w:cs="Times New Roman"/>
                <w:snapToGrid w:val="0"/>
                <w:color w:val="auto"/>
                <w:highlight w:val="none"/>
              </w:rPr>
            </w:pPr>
          </w:p>
        </w:tc>
        <w:tc>
          <w:tcPr>
            <w:tcW w:w="732" w:type="pct"/>
            <w:gridSpan w:val="2"/>
            <w:vMerge w:val="continue"/>
            <w:vAlign w:val="center"/>
          </w:tcPr>
          <w:p w14:paraId="09CE651B">
            <w:pPr>
              <w:pStyle w:val="73"/>
              <w:rPr>
                <w:rFonts w:cs="Times New Roman"/>
                <w:snapToGrid w:val="0"/>
                <w:color w:val="auto"/>
                <w:highlight w:val="none"/>
              </w:rPr>
            </w:pPr>
          </w:p>
        </w:tc>
        <w:tc>
          <w:tcPr>
            <w:tcW w:w="3416" w:type="pct"/>
            <w:vAlign w:val="center"/>
          </w:tcPr>
          <w:p w14:paraId="5893AC29">
            <w:pPr>
              <w:pStyle w:val="73"/>
              <w:rPr>
                <w:rFonts w:hint="eastAsia" w:eastAsia="宋体" w:cs="Times New Roman"/>
                <w:snapToGrid w:val="0"/>
                <w:color w:val="auto"/>
                <w:highlight w:val="none"/>
                <w:lang w:val="en-US" w:eastAsia="zh-CN"/>
              </w:rPr>
            </w:pPr>
            <w:r>
              <w:rPr>
                <w:rFonts w:hint="eastAsia" w:cs="Times New Roman"/>
                <w:snapToGrid w:val="0"/>
                <w:color w:val="auto"/>
                <w:highlight w:val="none"/>
                <w:lang w:val="en-US" w:eastAsia="zh-CN"/>
              </w:rPr>
              <w:t>废活性炭、废润滑油</w:t>
            </w:r>
            <w:r>
              <w:rPr>
                <w:rFonts w:cs="Times New Roman"/>
                <w:snapToGrid w:val="0"/>
                <w:color w:val="auto"/>
                <w:szCs w:val="24"/>
                <w:highlight w:val="none"/>
                <w:lang w:val="en-US"/>
              </w:rPr>
              <w:t>暂存于</w:t>
            </w:r>
            <w:r>
              <w:rPr>
                <w:rFonts w:hint="eastAsia" w:cs="Times New Roman"/>
                <w:snapToGrid w:val="0"/>
                <w:color w:val="auto"/>
                <w:kern w:val="0"/>
                <w:szCs w:val="21"/>
                <w:highlight w:val="none"/>
                <w:lang w:val="en-US" w:eastAsia="zh-CN"/>
              </w:rPr>
              <w:t>危险废物暂存点</w:t>
            </w:r>
            <w:r>
              <w:rPr>
                <w:rFonts w:cs="Times New Roman"/>
                <w:snapToGrid w:val="0"/>
                <w:color w:val="auto"/>
                <w:szCs w:val="24"/>
                <w:highlight w:val="none"/>
                <w:lang w:val="en-US"/>
              </w:rPr>
              <w:t>内，定期由</w:t>
            </w:r>
            <w:r>
              <w:rPr>
                <w:rFonts w:cs="Times New Roman"/>
                <w:snapToGrid w:val="0"/>
                <w:color w:val="auto"/>
                <w:szCs w:val="21"/>
                <w:highlight w:val="none"/>
                <w:lang w:val="en-US"/>
              </w:rPr>
              <w:t>有资质的单位处置</w:t>
            </w:r>
          </w:p>
        </w:tc>
        <w:tc>
          <w:tcPr>
            <w:tcW w:w="428" w:type="pct"/>
            <w:vMerge w:val="continue"/>
            <w:vAlign w:val="center"/>
          </w:tcPr>
          <w:p w14:paraId="34BC28BE">
            <w:pPr>
              <w:pStyle w:val="73"/>
              <w:rPr>
                <w:rFonts w:cs="Times New Roman"/>
                <w:snapToGrid w:val="0"/>
                <w:color w:val="auto"/>
                <w:highlight w:val="none"/>
              </w:rPr>
            </w:pPr>
          </w:p>
        </w:tc>
      </w:tr>
      <w:tr w14:paraId="4182C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423" w:type="pct"/>
            <w:vMerge w:val="continue"/>
            <w:vAlign w:val="center"/>
          </w:tcPr>
          <w:p w14:paraId="271A867C">
            <w:pPr>
              <w:pStyle w:val="73"/>
              <w:rPr>
                <w:rFonts w:cs="Times New Roman"/>
                <w:snapToGrid w:val="0"/>
                <w:color w:val="auto"/>
                <w:highlight w:val="none"/>
              </w:rPr>
            </w:pPr>
          </w:p>
        </w:tc>
        <w:tc>
          <w:tcPr>
            <w:tcW w:w="732" w:type="pct"/>
            <w:gridSpan w:val="2"/>
            <w:vMerge w:val="continue"/>
            <w:vAlign w:val="center"/>
          </w:tcPr>
          <w:p w14:paraId="09067979">
            <w:pPr>
              <w:pStyle w:val="73"/>
              <w:rPr>
                <w:rFonts w:cs="Times New Roman"/>
                <w:snapToGrid w:val="0"/>
                <w:color w:val="auto"/>
                <w:highlight w:val="none"/>
              </w:rPr>
            </w:pPr>
          </w:p>
        </w:tc>
        <w:tc>
          <w:tcPr>
            <w:tcW w:w="3416" w:type="pct"/>
            <w:vAlign w:val="center"/>
          </w:tcPr>
          <w:p w14:paraId="67BC1A87">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含油抹布、劳保手套集中收集，暂存于</w:t>
            </w:r>
            <w:r>
              <w:rPr>
                <w:rFonts w:hint="eastAsia" w:cs="Times New Roman"/>
                <w:snapToGrid w:val="0"/>
                <w:color w:val="auto"/>
                <w:kern w:val="0"/>
                <w:szCs w:val="21"/>
                <w:highlight w:val="none"/>
                <w:lang w:val="en-US" w:eastAsia="zh-CN"/>
              </w:rPr>
              <w:t>危险废物暂存点</w:t>
            </w:r>
            <w:r>
              <w:rPr>
                <w:rFonts w:hint="eastAsia" w:cs="Times New Roman"/>
                <w:snapToGrid w:val="0"/>
                <w:color w:val="auto"/>
                <w:highlight w:val="none"/>
                <w:lang w:val="en-US" w:eastAsia="zh-CN"/>
              </w:rPr>
              <w:t>内，定期由有资质的单位处置。</w:t>
            </w:r>
          </w:p>
        </w:tc>
        <w:tc>
          <w:tcPr>
            <w:tcW w:w="428" w:type="pct"/>
            <w:vMerge w:val="continue"/>
            <w:vAlign w:val="center"/>
          </w:tcPr>
          <w:p w14:paraId="4D7B1F17">
            <w:pPr>
              <w:pStyle w:val="73"/>
              <w:rPr>
                <w:rFonts w:cs="Times New Roman"/>
                <w:snapToGrid w:val="0"/>
                <w:color w:val="auto"/>
                <w:highlight w:val="none"/>
              </w:rPr>
            </w:pPr>
          </w:p>
        </w:tc>
      </w:tr>
      <w:tr w14:paraId="67AB2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23" w:type="pct"/>
            <w:vMerge w:val="continue"/>
            <w:vAlign w:val="center"/>
          </w:tcPr>
          <w:p w14:paraId="42A020CB">
            <w:pPr>
              <w:pStyle w:val="73"/>
              <w:rPr>
                <w:rFonts w:cs="Times New Roman"/>
                <w:snapToGrid w:val="0"/>
                <w:color w:val="auto"/>
                <w:highlight w:val="none"/>
              </w:rPr>
            </w:pPr>
          </w:p>
        </w:tc>
        <w:tc>
          <w:tcPr>
            <w:tcW w:w="732" w:type="pct"/>
            <w:gridSpan w:val="2"/>
            <w:vAlign w:val="center"/>
          </w:tcPr>
          <w:p w14:paraId="5D22448C">
            <w:pPr>
              <w:pStyle w:val="73"/>
              <w:rPr>
                <w:rFonts w:cs="Times New Roman"/>
                <w:snapToGrid w:val="0"/>
                <w:color w:val="auto"/>
                <w:highlight w:val="none"/>
              </w:rPr>
            </w:pPr>
            <w:r>
              <w:rPr>
                <w:rFonts w:cs="Times New Roman"/>
                <w:snapToGrid w:val="0"/>
                <w:color w:val="auto"/>
                <w:highlight w:val="none"/>
              </w:rPr>
              <w:t>风险防范</w:t>
            </w:r>
          </w:p>
        </w:tc>
        <w:tc>
          <w:tcPr>
            <w:tcW w:w="3416" w:type="pct"/>
            <w:vAlign w:val="center"/>
          </w:tcPr>
          <w:p w14:paraId="648B0678">
            <w:pPr>
              <w:pStyle w:val="73"/>
              <w:rPr>
                <w:rFonts w:cs="Times New Roman"/>
                <w:snapToGrid w:val="0"/>
                <w:color w:val="auto"/>
                <w:highlight w:val="none"/>
              </w:rPr>
            </w:pPr>
            <w:r>
              <w:rPr>
                <w:rFonts w:cs="Times New Roman"/>
                <w:snapToGrid w:val="0"/>
                <w:color w:val="auto"/>
                <w:szCs w:val="21"/>
                <w:highlight w:val="none"/>
              </w:rPr>
              <w:t>企业建立健全环境应急预案体系，加强环境应急预案演练、评估与修订。本项目设有事故池，能够有效防止事故过程中产生的可能严重污染水体的生产废水、废液直接排入水体。</w:t>
            </w:r>
            <w:r>
              <w:rPr>
                <w:rFonts w:cs="Times New Roman"/>
                <w:snapToGrid w:val="0"/>
                <w:color w:val="auto"/>
                <w:highlight w:val="none"/>
              </w:rPr>
              <w:t>一旦突发环境风险事故，立即按应急预案提到的紧急处理、救援、监测方案等进行紧急救援，项目可以有效的防范风险事故发生或对事故的发生进行有效处置，防止环境污染事故发生。</w:t>
            </w:r>
          </w:p>
        </w:tc>
        <w:tc>
          <w:tcPr>
            <w:tcW w:w="428" w:type="pct"/>
            <w:vAlign w:val="center"/>
          </w:tcPr>
          <w:p w14:paraId="0BCE0EF1">
            <w:pPr>
              <w:pStyle w:val="73"/>
              <w:rPr>
                <w:rFonts w:cs="Times New Roman"/>
                <w:snapToGrid w:val="0"/>
                <w:color w:val="auto"/>
                <w:highlight w:val="none"/>
              </w:rPr>
            </w:pPr>
            <w:r>
              <w:rPr>
                <w:rFonts w:cs="Times New Roman"/>
                <w:snapToGrid w:val="0"/>
                <w:color w:val="auto"/>
                <w:highlight w:val="none"/>
              </w:rPr>
              <w:t>新建</w:t>
            </w:r>
          </w:p>
        </w:tc>
      </w:tr>
      <w:tr w14:paraId="6AEE1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23" w:type="pct"/>
            <w:vMerge w:val="restart"/>
            <w:vAlign w:val="center"/>
          </w:tcPr>
          <w:p w14:paraId="40E7F6E8">
            <w:pPr>
              <w:pStyle w:val="73"/>
              <w:rPr>
                <w:rFonts w:cs="Times New Roman"/>
                <w:snapToGrid w:val="0"/>
                <w:color w:val="auto"/>
                <w:highlight w:val="none"/>
              </w:rPr>
            </w:pPr>
            <w:r>
              <w:rPr>
                <w:rFonts w:cs="Times New Roman"/>
                <w:snapToGrid w:val="0"/>
                <w:color w:val="auto"/>
                <w:highlight w:val="none"/>
              </w:rPr>
              <w:t>依托工程</w:t>
            </w:r>
          </w:p>
        </w:tc>
        <w:tc>
          <w:tcPr>
            <w:tcW w:w="732" w:type="pct"/>
            <w:gridSpan w:val="2"/>
            <w:vAlign w:val="center"/>
          </w:tcPr>
          <w:p w14:paraId="6317E8E9">
            <w:pPr>
              <w:pStyle w:val="73"/>
              <w:rPr>
                <w:rFonts w:hint="default" w:cs="Times New Roman"/>
                <w:snapToGrid w:val="0"/>
                <w:color w:val="auto"/>
                <w:highlight w:val="none"/>
                <w:lang w:val="en-US"/>
              </w:rPr>
            </w:pPr>
            <w:r>
              <w:rPr>
                <w:rFonts w:hint="eastAsia" w:cs="Times New Roman"/>
                <w:snapToGrid w:val="0"/>
                <w:color w:val="auto"/>
                <w:highlight w:val="none"/>
                <w:lang w:val="en-US" w:eastAsia="zh-CN"/>
              </w:rPr>
              <w:t>双鸭山市畅源排水有限公司</w:t>
            </w:r>
          </w:p>
        </w:tc>
        <w:tc>
          <w:tcPr>
            <w:tcW w:w="3416" w:type="pct"/>
            <w:vAlign w:val="center"/>
          </w:tcPr>
          <w:p w14:paraId="59D67ACB">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GB" w:eastAsia="zh-CN"/>
              </w:rPr>
              <w:t>双鸭山市畅源排水有限公司</w:t>
            </w:r>
            <w:r>
              <w:rPr>
                <w:rFonts w:cs="Times New Roman"/>
                <w:snapToGrid w:val="0"/>
                <w:color w:val="auto"/>
                <w:highlight w:val="none"/>
              </w:rPr>
              <w:t>位于</w:t>
            </w:r>
            <w:r>
              <w:rPr>
                <w:rFonts w:hint="eastAsia" w:cs="Times New Roman"/>
                <w:snapToGrid w:val="0"/>
                <w:color w:val="auto"/>
                <w:highlight w:val="none"/>
              </w:rPr>
              <w:t>双鸭山市集贤县高丰村村西北(约2.5km)、哈同高速公路北侧3km、距离安邦河东岸堤坝坡脚 20m处。</w:t>
            </w:r>
            <w:r>
              <w:rPr>
                <w:rFonts w:cs="Times New Roman"/>
                <w:snapToGrid w:val="0"/>
                <w:color w:val="auto"/>
                <w:highlight w:val="none"/>
                <w:lang w:val="en-US"/>
              </w:rPr>
              <w:t>污水处理厂</w:t>
            </w:r>
            <w:r>
              <w:rPr>
                <w:rFonts w:cs="Times New Roman"/>
                <w:snapToGrid w:val="0"/>
                <w:color w:val="auto"/>
                <w:highlight w:val="none"/>
              </w:rPr>
              <w:t>设计处理污水量为</w:t>
            </w:r>
            <w:r>
              <w:rPr>
                <w:rFonts w:hint="eastAsia" w:cs="Times New Roman"/>
                <w:snapToGrid w:val="0"/>
                <w:color w:val="auto"/>
                <w:highlight w:val="none"/>
                <w:lang w:val="en-US" w:eastAsia="zh-CN"/>
              </w:rPr>
              <w:t>5</w:t>
            </w:r>
            <w:r>
              <w:rPr>
                <w:rFonts w:cs="Times New Roman"/>
                <w:snapToGrid w:val="0"/>
                <w:color w:val="auto"/>
                <w:highlight w:val="none"/>
              </w:rPr>
              <w:t>0000m</w:t>
            </w:r>
            <w:r>
              <w:rPr>
                <w:rFonts w:cs="Times New Roman"/>
                <w:snapToGrid w:val="0"/>
                <w:color w:val="auto"/>
                <w:highlight w:val="none"/>
                <w:vertAlign w:val="superscript"/>
              </w:rPr>
              <w:t>3</w:t>
            </w:r>
            <w:r>
              <w:rPr>
                <w:rFonts w:cs="Times New Roman"/>
                <w:snapToGrid w:val="0"/>
                <w:color w:val="auto"/>
                <w:highlight w:val="none"/>
              </w:rPr>
              <w:t>/d，污水处理工艺：</w:t>
            </w:r>
            <w:r>
              <w:rPr>
                <w:rFonts w:hint="eastAsia" w:cs="Times New Roman"/>
                <w:snapToGrid w:val="0"/>
                <w:color w:val="auto"/>
                <w:highlight w:val="none"/>
                <w:lang w:val="en-US" w:eastAsia="zh-CN"/>
              </w:rPr>
              <w:t>采用A</w:t>
            </w:r>
            <w:r>
              <w:rPr>
                <w:rFonts w:hint="eastAsia" w:cs="Times New Roman"/>
                <w:snapToGrid w:val="0"/>
                <w:color w:val="auto"/>
                <w:highlight w:val="none"/>
                <w:vertAlign w:val="superscript"/>
                <w:lang w:val="en-US" w:eastAsia="zh-CN"/>
              </w:rPr>
              <w:t>2</w:t>
            </w:r>
            <w:r>
              <w:rPr>
                <w:rFonts w:hint="eastAsia" w:cs="Times New Roman"/>
                <w:snapToGrid w:val="0"/>
                <w:color w:val="auto"/>
                <w:highlight w:val="none"/>
                <w:lang w:val="en-US" w:eastAsia="zh-CN"/>
              </w:rPr>
              <w:t>O处理工艺</w:t>
            </w:r>
            <w:r>
              <w:rPr>
                <w:rFonts w:cs="Times New Roman"/>
                <w:snapToGrid w:val="0"/>
                <w:color w:val="auto"/>
                <w:highlight w:val="none"/>
              </w:rPr>
              <w:t>，处理后出水水质达到《城镇污水处理厂污染物排放标准》中的一级A标准后排入</w:t>
            </w:r>
            <w:r>
              <w:rPr>
                <w:rFonts w:hint="eastAsia" w:cs="Times New Roman"/>
                <w:snapToGrid w:val="0"/>
                <w:color w:val="auto"/>
                <w:highlight w:val="none"/>
                <w:lang w:val="en-US" w:eastAsia="zh-CN"/>
              </w:rPr>
              <w:t>安邦河</w:t>
            </w:r>
            <w:r>
              <w:rPr>
                <w:rFonts w:hint="eastAsia" w:cs="Times New Roman"/>
                <w:snapToGrid w:val="0"/>
                <w:color w:val="auto"/>
                <w:highlight w:val="none"/>
                <w:lang w:eastAsia="zh-CN"/>
              </w:rPr>
              <w:t>，</w:t>
            </w:r>
            <w:r>
              <w:rPr>
                <w:rFonts w:hint="eastAsia" w:cs="Times New Roman"/>
                <w:snapToGrid w:val="0"/>
                <w:color w:val="auto"/>
                <w:kern w:val="0"/>
                <w:highlight w:val="none"/>
                <w:lang w:val="en-GB" w:eastAsia="zh-CN"/>
              </w:rPr>
              <w:t>双鸭山市畅源排水有限公司</w:t>
            </w:r>
            <w:r>
              <w:rPr>
                <w:rFonts w:hint="eastAsia" w:cs="Times New Roman"/>
                <w:snapToGrid w:val="0"/>
                <w:color w:val="auto"/>
                <w:kern w:val="0"/>
                <w:highlight w:val="none"/>
                <w:lang w:val="en-US" w:eastAsia="zh-CN"/>
              </w:rPr>
              <w:t>于2019年10月12日取得入河排污口批复，批复文号：双环函【2019】84号。</w:t>
            </w:r>
          </w:p>
          <w:p w14:paraId="2520AE88">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eastAsia="zh-CN"/>
              </w:rPr>
              <w:t>生产车间（包含冷库）、隔离</w:t>
            </w:r>
            <w:r>
              <w:rPr>
                <w:rFonts w:hint="eastAsia" w:cs="Times New Roman"/>
                <w:snapToGrid w:val="0"/>
                <w:color w:val="auto"/>
                <w:highlight w:val="none"/>
                <w:lang w:val="en-US" w:eastAsia="zh-CN"/>
              </w:rPr>
              <w:t>间</w:t>
            </w:r>
            <w:r>
              <w:rPr>
                <w:rFonts w:hint="eastAsia" w:cs="Times New Roman"/>
                <w:snapToGrid w:val="0"/>
                <w:color w:val="auto"/>
                <w:highlight w:val="none"/>
                <w:lang w:eastAsia="zh-CN"/>
              </w:rPr>
              <w:t>、本项目废水主要为生活污水、屠宰废水、车辆冲洗废水</w:t>
            </w:r>
            <w:r>
              <w:rPr>
                <w:rFonts w:hint="eastAsia" w:cs="Times New Roman"/>
                <w:snapToGrid w:val="0"/>
                <w:color w:val="auto"/>
                <w:highlight w:val="none"/>
                <w:lang w:val="en-US" w:eastAsia="zh-CN"/>
              </w:rPr>
              <w:t>及</w:t>
            </w:r>
            <w:r>
              <w:rPr>
                <w:rFonts w:hint="eastAsia" w:cs="Times New Roman"/>
                <w:snapToGrid w:val="0"/>
                <w:color w:val="auto"/>
                <w:highlight w:val="none"/>
                <w:lang w:eastAsia="zh-CN"/>
              </w:rPr>
              <w:t>冷库排酸废水，屠宰废水、车辆冲洗废水及冷库排酸废水经污水处理站处理后满足</w:t>
            </w:r>
            <w:r>
              <w:rPr>
                <w:rFonts w:cs="Times New Roman"/>
                <w:snapToGrid w:val="0"/>
                <w:color w:val="auto"/>
                <w:highlight w:val="none"/>
                <w:lang w:val="en-GB"/>
              </w:rPr>
              <w:t>《肉类加工工业水污</w:t>
            </w:r>
            <w:r>
              <w:rPr>
                <w:rFonts w:cs="Times New Roman"/>
                <w:snapToGrid w:val="0"/>
                <w:color w:val="auto"/>
                <w:highlight w:val="none"/>
                <w:lang w:val="en-US"/>
              </w:rPr>
              <w:t xml:space="preserve"> </w:t>
            </w:r>
            <w:r>
              <w:rPr>
                <w:rFonts w:cs="Times New Roman"/>
                <w:snapToGrid w:val="0"/>
                <w:color w:val="auto"/>
                <w:highlight w:val="none"/>
                <w:lang w:val="en-GB"/>
              </w:rPr>
              <w:t>染物排放标准》（GB13457-92）中畜类屠宰加工三级标准，并满足</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进水水质要求</w:t>
            </w:r>
            <w:r>
              <w:rPr>
                <w:rFonts w:hint="eastAsia" w:cs="Times New Roman"/>
                <w:snapToGrid w:val="0"/>
                <w:color w:val="auto"/>
                <w:highlight w:val="none"/>
                <w:lang w:val="en-GB" w:eastAsia="zh-CN"/>
              </w:rPr>
              <w:t>《</w:t>
            </w:r>
            <w:r>
              <w:rPr>
                <w:rFonts w:cs="Times New Roman"/>
                <w:snapToGrid w:val="0"/>
                <w:color w:val="auto"/>
                <w:highlight w:val="none"/>
                <w:lang w:val="en-GB"/>
              </w:rPr>
              <w:fldChar w:fldCharType="begin"/>
            </w:r>
            <w:r>
              <w:rPr>
                <w:rFonts w:cs="Times New Roman"/>
                <w:snapToGrid w:val="0"/>
                <w:color w:val="auto"/>
                <w:highlight w:val="none"/>
                <w:lang w:val="en-GB"/>
              </w:rPr>
              <w:instrText xml:space="preserve"> HYPERLINK "https://www.mee.gov.cn/ywgz/fgbz/bz/bzwb/shjbh/swrwpfbz/199801/W020061027521858212955.pdf" \t "https://www.mee.gov.cn/ywgz/fgbz/bz/bzwb/shjbh/swrwpfbz/199801/_self" </w:instrText>
            </w:r>
            <w:r>
              <w:rPr>
                <w:rFonts w:cs="Times New Roman"/>
                <w:snapToGrid w:val="0"/>
                <w:color w:val="auto"/>
                <w:highlight w:val="none"/>
                <w:lang w:val="en-GB"/>
              </w:rPr>
              <w:fldChar w:fldCharType="separate"/>
            </w:r>
            <w:r>
              <w:rPr>
                <w:rFonts w:hint="eastAsia" w:cs="Times New Roman"/>
                <w:snapToGrid w:val="0"/>
                <w:color w:val="auto"/>
                <w:highlight w:val="none"/>
                <w:lang w:val="en-GB"/>
              </w:rPr>
              <w:t>污水综合排放标准</w:t>
            </w:r>
            <w:r>
              <w:rPr>
                <w:rFonts w:hint="eastAsia" w:cs="Times New Roman"/>
                <w:snapToGrid w:val="0"/>
                <w:color w:val="auto"/>
                <w:highlight w:val="none"/>
                <w:lang w:val="en-GB" w:eastAsia="zh-CN"/>
              </w:rPr>
              <w:t>》</w:t>
            </w:r>
            <w:r>
              <w:rPr>
                <w:rFonts w:hint="eastAsia" w:cs="Times New Roman"/>
                <w:snapToGrid w:val="0"/>
                <w:color w:val="auto"/>
                <w:highlight w:val="none"/>
                <w:lang w:val="en-GB"/>
              </w:rPr>
              <w:t>（GB 8978-1996 ）</w:t>
            </w:r>
            <w:r>
              <w:rPr>
                <w:rFonts w:hint="eastAsia" w:cs="Times New Roman"/>
                <w:snapToGrid w:val="0"/>
                <w:color w:val="auto"/>
                <w:highlight w:val="none"/>
                <w:lang w:val="en-GB"/>
              </w:rPr>
              <w:fldChar w:fldCharType="end"/>
            </w:r>
            <w:r>
              <w:rPr>
                <w:rFonts w:hint="eastAsia" w:cs="Times New Roman"/>
                <w:snapToGrid w:val="0"/>
                <w:color w:val="auto"/>
                <w:highlight w:val="none"/>
                <w:lang w:val="en-US" w:eastAsia="zh-CN"/>
              </w:rPr>
              <w:t>三级标准</w:t>
            </w:r>
            <w:r>
              <w:rPr>
                <w:rFonts w:cs="Times New Roman"/>
                <w:snapToGrid w:val="0"/>
                <w:color w:val="auto"/>
                <w:highlight w:val="none"/>
                <w:lang w:val="en-US"/>
              </w:rPr>
              <w:t>后与生活污水一同排入</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w:t>
            </w:r>
            <w:r>
              <w:rPr>
                <w:rFonts w:hint="eastAsia" w:cs="Times New Roman"/>
                <w:snapToGrid w:val="0"/>
                <w:color w:val="auto"/>
                <w:highlight w:val="none"/>
                <w:lang w:val="en-US" w:eastAsia="zh-CN"/>
              </w:rPr>
              <w:t>该公司现污水处理量约30000</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hint="eastAsia" w:cs="Times New Roman"/>
                <w:snapToGrid w:val="0"/>
                <w:color w:val="auto"/>
                <w:highlight w:val="none"/>
                <w:vertAlign w:val="baseline"/>
                <w:lang w:val="en-US" w:eastAsia="zh-CN"/>
              </w:rPr>
              <w:t>/d</w:t>
            </w:r>
            <w:r>
              <w:rPr>
                <w:rFonts w:cs="Times New Roman"/>
                <w:snapToGrid w:val="0"/>
                <w:color w:val="auto"/>
                <w:highlight w:val="none"/>
                <w:lang w:val="en-US"/>
              </w:rPr>
              <w:t>。</w:t>
            </w:r>
            <w:r>
              <w:rPr>
                <w:rFonts w:hint="eastAsia" w:cs="Times New Roman"/>
                <w:snapToGrid w:val="0"/>
                <w:color w:val="auto"/>
                <w:highlight w:val="none"/>
                <w:lang w:val="en-US" w:eastAsia="zh-CN"/>
              </w:rPr>
              <w:t>尚有20000</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hint="eastAsia" w:cs="Times New Roman"/>
                <w:snapToGrid w:val="0"/>
                <w:color w:val="auto"/>
                <w:highlight w:val="none"/>
                <w:vertAlign w:val="baseline"/>
                <w:lang w:val="en-US" w:eastAsia="zh-CN"/>
              </w:rPr>
              <w:t>/d的余量，本项目</w:t>
            </w:r>
            <w:r>
              <w:rPr>
                <w:rFonts w:cs="Times New Roman"/>
                <w:snapToGrid w:val="0"/>
                <w:color w:val="auto"/>
                <w:highlight w:val="none"/>
                <w:lang w:val="en-US"/>
              </w:rPr>
              <w:t>排放量为</w:t>
            </w:r>
            <w:r>
              <w:rPr>
                <w:rFonts w:hint="eastAsia" w:cs="Times New Roman"/>
                <w:snapToGrid w:val="0"/>
                <w:color w:val="auto"/>
                <w:highlight w:val="none"/>
                <w:lang w:val="en-US" w:eastAsia="zh-CN"/>
              </w:rPr>
              <w:t>240.695</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hint="eastAsia" w:cs="Times New Roman"/>
                <w:snapToGrid w:val="0"/>
                <w:color w:val="auto"/>
                <w:highlight w:val="none"/>
                <w:vertAlign w:val="baseline"/>
                <w:lang w:val="en-US" w:eastAsia="zh-CN"/>
              </w:rPr>
              <w:t>/d</w:t>
            </w:r>
            <w:r>
              <w:rPr>
                <w:rFonts w:cs="Times New Roman"/>
                <w:snapToGrid w:val="0"/>
                <w:color w:val="auto"/>
                <w:highlight w:val="none"/>
                <w:lang w:val="en-US"/>
              </w:rPr>
              <w:t>。</w:t>
            </w:r>
            <w:r>
              <w:rPr>
                <w:rFonts w:hint="eastAsia" w:cs="Times New Roman"/>
                <w:snapToGrid w:val="0"/>
                <w:color w:val="auto"/>
                <w:highlight w:val="none"/>
                <w:lang w:val="en-US" w:eastAsia="zh-CN"/>
              </w:rPr>
              <w:t>所占比例较小，</w:t>
            </w:r>
            <w:r>
              <w:rPr>
                <w:rFonts w:cs="Times New Roman"/>
                <w:snapToGrid w:val="0"/>
                <w:color w:val="auto"/>
                <w:highlight w:val="none"/>
              </w:rPr>
              <w:t>因此，项目所排废水从水质和水量角度分析均能够达到</w:t>
            </w:r>
            <w:r>
              <w:rPr>
                <w:rFonts w:hint="eastAsia" w:cs="Times New Roman"/>
                <w:snapToGrid w:val="0"/>
                <w:color w:val="auto"/>
                <w:highlight w:val="none"/>
                <w:lang w:val="en-GB" w:eastAsia="zh-CN"/>
              </w:rPr>
              <w:t>双鸭山市畅源排水有限公司</w:t>
            </w:r>
            <w:r>
              <w:rPr>
                <w:rFonts w:cs="Times New Roman"/>
                <w:snapToGrid w:val="0"/>
                <w:color w:val="auto"/>
                <w:highlight w:val="none"/>
              </w:rPr>
              <w:t>接收条件，依托可行</w:t>
            </w:r>
            <w:r>
              <w:rPr>
                <w:rFonts w:hint="eastAsia" w:cs="Times New Roman"/>
                <w:snapToGrid w:val="0"/>
                <w:color w:val="auto"/>
                <w:highlight w:val="none"/>
                <w:lang w:eastAsia="zh-CN"/>
              </w:rPr>
              <w:t>。</w:t>
            </w:r>
          </w:p>
        </w:tc>
        <w:tc>
          <w:tcPr>
            <w:tcW w:w="428" w:type="pct"/>
            <w:vAlign w:val="center"/>
          </w:tcPr>
          <w:p w14:paraId="2403087E">
            <w:pPr>
              <w:pStyle w:val="73"/>
              <w:rPr>
                <w:rFonts w:cs="Times New Roman"/>
                <w:snapToGrid w:val="0"/>
                <w:color w:val="auto"/>
                <w:highlight w:val="none"/>
              </w:rPr>
            </w:pPr>
            <w:r>
              <w:rPr>
                <w:rFonts w:cs="Times New Roman"/>
                <w:snapToGrid w:val="0"/>
                <w:color w:val="auto"/>
                <w:highlight w:val="none"/>
              </w:rPr>
              <w:t>依托</w:t>
            </w:r>
          </w:p>
        </w:tc>
      </w:tr>
      <w:tr w14:paraId="6A28E3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23" w:type="pct"/>
            <w:vMerge w:val="continue"/>
            <w:vAlign w:val="center"/>
          </w:tcPr>
          <w:p w14:paraId="3AAAC3C7">
            <w:pPr>
              <w:pStyle w:val="73"/>
              <w:rPr>
                <w:rFonts w:cs="Times New Roman"/>
                <w:snapToGrid w:val="0"/>
                <w:color w:val="auto"/>
                <w:highlight w:val="none"/>
              </w:rPr>
            </w:pPr>
            <w:bookmarkStart w:id="105" w:name="_Toc27515"/>
          </w:p>
        </w:tc>
        <w:tc>
          <w:tcPr>
            <w:tcW w:w="732" w:type="pct"/>
            <w:gridSpan w:val="2"/>
            <w:vAlign w:val="center"/>
          </w:tcPr>
          <w:p w14:paraId="1AF5FF33">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管网工程</w:t>
            </w:r>
          </w:p>
        </w:tc>
        <w:tc>
          <w:tcPr>
            <w:tcW w:w="3416" w:type="pct"/>
            <w:vAlign w:val="center"/>
          </w:tcPr>
          <w:p w14:paraId="3446A4DA">
            <w:pPr>
              <w:pStyle w:val="73"/>
              <w:rPr>
                <w:rFonts w:hint="default" w:eastAsia="宋体" w:cs="Times New Roman"/>
                <w:snapToGrid w:val="0"/>
                <w:color w:val="auto"/>
                <w:highlight w:val="none"/>
                <w:lang w:val="en-US" w:eastAsia="zh-CN"/>
              </w:rPr>
            </w:pPr>
            <w:r>
              <w:rPr>
                <w:rFonts w:hint="eastAsia" w:cs="Times New Roman"/>
                <w:snapToGrid w:val="0"/>
                <w:color w:val="auto"/>
                <w:sz w:val="21"/>
                <w:highlight w:val="none"/>
                <w:lang w:val="en-US" w:eastAsia="zh-CN"/>
              </w:rPr>
              <w:t>厂区内给、排水管网和热网已覆盖本项目所在区域，用水、排水及供热能够满足本项目需求。厂区内管线自行敷设。</w:t>
            </w:r>
          </w:p>
        </w:tc>
        <w:tc>
          <w:tcPr>
            <w:tcW w:w="428" w:type="pct"/>
            <w:vAlign w:val="center"/>
          </w:tcPr>
          <w:p w14:paraId="7E839636">
            <w:pPr>
              <w:pStyle w:val="73"/>
              <w:rPr>
                <w:rFonts w:hint="eastAsia" w:eastAsia="宋体" w:cs="Times New Roman"/>
                <w:snapToGrid w:val="0"/>
                <w:color w:val="auto"/>
                <w:highlight w:val="none"/>
                <w:lang w:val="en-US" w:eastAsia="zh-CN"/>
              </w:rPr>
            </w:pPr>
            <w:r>
              <w:rPr>
                <w:rFonts w:hint="eastAsia" w:cs="Times New Roman"/>
                <w:snapToGrid w:val="0"/>
                <w:color w:val="auto"/>
                <w:highlight w:val="none"/>
                <w:lang w:val="en-US" w:eastAsia="zh-CN"/>
              </w:rPr>
              <w:t>依托</w:t>
            </w:r>
          </w:p>
        </w:tc>
      </w:tr>
      <w:bookmarkEnd w:id="104"/>
    </w:tbl>
    <w:p w14:paraId="632398D6">
      <w:pPr>
        <w:pStyle w:val="4"/>
        <w:spacing w:after="156"/>
        <w:ind w:firstLine="240" w:firstLineChars="100"/>
        <w:rPr>
          <w:rFonts w:cs="Times New Roman"/>
          <w:color w:val="auto"/>
          <w:highlight w:val="none"/>
        </w:rPr>
      </w:pPr>
      <w:r>
        <w:rPr>
          <w:rFonts w:cs="Times New Roman"/>
          <w:color w:val="auto"/>
          <w:highlight w:val="none"/>
        </w:rPr>
        <w:t>3.1.3主要设备</w:t>
      </w:r>
      <w:bookmarkEnd w:id="105"/>
    </w:p>
    <w:p w14:paraId="57035B8C">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主要设备清单见表</w:t>
      </w:r>
      <w:r>
        <w:rPr>
          <w:rFonts w:hint="eastAsia" w:cs="Times New Roman"/>
          <w:snapToGrid w:val="0"/>
          <w:color w:val="auto"/>
          <w:kern w:val="0"/>
          <w:highlight w:val="none"/>
        </w:rPr>
        <w:t>3-1-</w:t>
      </w:r>
      <w:r>
        <w:rPr>
          <w:rFonts w:cs="Times New Roman"/>
          <w:snapToGrid w:val="0"/>
          <w:color w:val="auto"/>
          <w:kern w:val="0"/>
          <w:highlight w:val="none"/>
        </w:rPr>
        <w:t>2。</w:t>
      </w:r>
    </w:p>
    <w:p w14:paraId="75F2E2F8">
      <w:pPr>
        <w:spacing w:line="240" w:lineRule="auto"/>
        <w:ind w:firstLine="0" w:firstLineChars="0"/>
        <w:jc w:val="center"/>
        <w:rPr>
          <w:rFonts w:eastAsia="黑体" w:cs="Times New Roman"/>
          <w:snapToGrid w:val="0"/>
          <w:color w:val="auto"/>
          <w:kern w:val="0"/>
          <w:szCs w:val="24"/>
          <w:highlight w:val="none"/>
          <w:lang w:val="zh-CN"/>
        </w:rPr>
      </w:pPr>
      <w:r>
        <w:rPr>
          <w:rFonts w:eastAsia="黑体" w:cs="Times New Roman"/>
          <w:snapToGrid w:val="0"/>
          <w:color w:val="auto"/>
          <w:kern w:val="0"/>
          <w:szCs w:val="24"/>
          <w:highlight w:val="none"/>
          <w:lang w:val="zh-CN"/>
        </w:rPr>
        <w:t>表</w:t>
      </w:r>
      <w:r>
        <w:rPr>
          <w:rFonts w:hint="eastAsia" w:eastAsia="黑体" w:cs="Times New Roman"/>
          <w:snapToGrid w:val="0"/>
          <w:color w:val="auto"/>
          <w:kern w:val="0"/>
          <w:szCs w:val="24"/>
          <w:highlight w:val="none"/>
          <w:lang w:val="zh-CN"/>
        </w:rPr>
        <w:t>3-1-</w:t>
      </w:r>
      <w:r>
        <w:rPr>
          <w:rFonts w:eastAsia="黑体" w:cs="Times New Roman"/>
          <w:snapToGrid w:val="0"/>
          <w:color w:val="auto"/>
          <w:kern w:val="0"/>
          <w:szCs w:val="24"/>
          <w:highlight w:val="none"/>
          <w:lang w:val="zh-CN"/>
        </w:rPr>
        <w:t>2  主要设备清单</w:t>
      </w:r>
    </w:p>
    <w:tbl>
      <w:tblPr>
        <w:tblStyle w:val="47"/>
        <w:tblW w:w="841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37"/>
        <w:gridCol w:w="2553"/>
        <w:gridCol w:w="581"/>
        <w:gridCol w:w="570"/>
        <w:gridCol w:w="3877"/>
      </w:tblGrid>
      <w:tr w14:paraId="2CEC4D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20E0775">
            <w:pPr>
              <w:widowControl/>
              <w:spacing w:line="360" w:lineRule="exact"/>
              <w:ind w:firstLine="0" w:firstLineChars="0"/>
              <w:jc w:val="center"/>
              <w:textAlignment w:val="center"/>
              <w:rPr>
                <w:rFonts w:cs="Times New Roman"/>
                <w:color w:val="auto"/>
                <w:sz w:val="21"/>
                <w:szCs w:val="21"/>
                <w:highlight w:val="none"/>
              </w:rPr>
            </w:pPr>
            <w:bookmarkStart w:id="106" w:name="_Toc31270"/>
            <w:r>
              <w:rPr>
                <w:rFonts w:cs="Times New Roman"/>
                <w:color w:val="auto"/>
                <w:kern w:val="0"/>
                <w:sz w:val="21"/>
                <w:szCs w:val="21"/>
                <w:highlight w:val="none"/>
                <w:lang w:bidi="ar"/>
              </w:rPr>
              <w:t>序号</w:t>
            </w:r>
          </w:p>
        </w:tc>
        <w:tc>
          <w:tcPr>
            <w:tcW w:w="2553" w:type="dxa"/>
            <w:tcBorders>
              <w:tl2br w:val="nil"/>
              <w:tr2bl w:val="nil"/>
            </w:tcBorders>
            <w:shd w:val="clear" w:color="auto" w:fill="auto"/>
            <w:noWrap/>
            <w:vAlign w:val="center"/>
          </w:tcPr>
          <w:p w14:paraId="19D9B12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设备名称</w:t>
            </w:r>
          </w:p>
        </w:tc>
        <w:tc>
          <w:tcPr>
            <w:tcW w:w="581" w:type="dxa"/>
            <w:tcBorders>
              <w:tl2br w:val="nil"/>
              <w:tr2bl w:val="nil"/>
            </w:tcBorders>
            <w:shd w:val="clear" w:color="auto" w:fill="auto"/>
            <w:noWrap/>
            <w:vAlign w:val="center"/>
          </w:tcPr>
          <w:p w14:paraId="0A1A70D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单位</w:t>
            </w:r>
          </w:p>
        </w:tc>
        <w:tc>
          <w:tcPr>
            <w:tcW w:w="570" w:type="dxa"/>
            <w:tcBorders>
              <w:tl2br w:val="nil"/>
              <w:tr2bl w:val="nil"/>
            </w:tcBorders>
            <w:shd w:val="clear" w:color="auto" w:fill="auto"/>
            <w:noWrap/>
            <w:vAlign w:val="center"/>
          </w:tcPr>
          <w:p w14:paraId="7FA1E926">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数量</w:t>
            </w:r>
          </w:p>
        </w:tc>
        <w:tc>
          <w:tcPr>
            <w:tcW w:w="3877" w:type="dxa"/>
            <w:tcBorders>
              <w:tl2br w:val="nil"/>
              <w:tr2bl w:val="nil"/>
            </w:tcBorders>
            <w:shd w:val="clear" w:color="auto" w:fill="auto"/>
            <w:noWrap/>
            <w:vAlign w:val="center"/>
          </w:tcPr>
          <w:p w14:paraId="09848DB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备注说明</w:t>
            </w:r>
          </w:p>
        </w:tc>
      </w:tr>
      <w:tr w14:paraId="50E96B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418" w:type="dxa"/>
            <w:gridSpan w:val="5"/>
            <w:tcBorders>
              <w:tl2br w:val="nil"/>
              <w:tr2bl w:val="nil"/>
            </w:tcBorders>
            <w:shd w:val="clear" w:color="auto" w:fill="auto"/>
            <w:noWrap/>
            <w:vAlign w:val="center"/>
          </w:tcPr>
          <w:p w14:paraId="3519C3E8">
            <w:pPr>
              <w:widowControl/>
              <w:spacing w:line="360" w:lineRule="exact"/>
              <w:ind w:firstLine="0" w:firstLineChars="0"/>
              <w:jc w:val="center"/>
              <w:textAlignment w:val="center"/>
              <w:rPr>
                <w:rFonts w:cs="Times New Roman"/>
                <w:b/>
                <w:bCs/>
                <w:color w:val="auto"/>
                <w:sz w:val="21"/>
                <w:szCs w:val="21"/>
                <w:highlight w:val="none"/>
              </w:rPr>
            </w:pPr>
            <w:r>
              <w:rPr>
                <w:rFonts w:cs="Times New Roman"/>
                <w:b/>
                <w:bCs/>
                <w:color w:val="auto"/>
                <w:kern w:val="0"/>
                <w:sz w:val="21"/>
                <w:szCs w:val="21"/>
                <w:highlight w:val="none"/>
                <w:lang w:bidi="ar"/>
              </w:rPr>
              <w:t>一、待宰圈</w:t>
            </w:r>
          </w:p>
        </w:tc>
      </w:tr>
      <w:tr w14:paraId="63CF37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250319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2553" w:type="dxa"/>
            <w:tcBorders>
              <w:tl2br w:val="nil"/>
              <w:tr2bl w:val="nil"/>
            </w:tcBorders>
            <w:shd w:val="clear" w:color="auto" w:fill="auto"/>
            <w:noWrap/>
            <w:vAlign w:val="center"/>
          </w:tcPr>
          <w:p w14:paraId="3F9E797F">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待宰圈护栏</w:t>
            </w:r>
          </w:p>
        </w:tc>
        <w:tc>
          <w:tcPr>
            <w:tcW w:w="581" w:type="dxa"/>
            <w:tcBorders>
              <w:tl2br w:val="nil"/>
              <w:tr2bl w:val="nil"/>
            </w:tcBorders>
            <w:shd w:val="clear" w:color="auto" w:fill="auto"/>
            <w:noWrap/>
            <w:vAlign w:val="center"/>
          </w:tcPr>
          <w:p w14:paraId="2A3E8B83">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米</w:t>
            </w:r>
          </w:p>
        </w:tc>
        <w:tc>
          <w:tcPr>
            <w:tcW w:w="570" w:type="dxa"/>
            <w:tcBorders>
              <w:tl2br w:val="nil"/>
              <w:tr2bl w:val="nil"/>
            </w:tcBorders>
            <w:shd w:val="clear" w:color="auto" w:fill="auto"/>
            <w:noWrap/>
            <w:vAlign w:val="center"/>
          </w:tcPr>
          <w:p w14:paraId="5F7949EC">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80</w:t>
            </w:r>
          </w:p>
        </w:tc>
        <w:tc>
          <w:tcPr>
            <w:tcW w:w="3877" w:type="dxa"/>
            <w:tcBorders>
              <w:tl2br w:val="nil"/>
              <w:tr2bl w:val="nil"/>
            </w:tcBorders>
            <w:shd w:val="clear" w:color="auto" w:fill="auto"/>
            <w:noWrap/>
            <w:vAlign w:val="center"/>
          </w:tcPr>
          <w:p w14:paraId="026A9A66">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w:t>
            </w:r>
          </w:p>
        </w:tc>
      </w:tr>
      <w:tr w14:paraId="6812ED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418" w:type="dxa"/>
            <w:gridSpan w:val="5"/>
            <w:tcBorders>
              <w:tl2br w:val="nil"/>
              <w:tr2bl w:val="nil"/>
            </w:tcBorders>
            <w:shd w:val="clear" w:color="auto" w:fill="auto"/>
            <w:noWrap/>
            <w:vAlign w:val="center"/>
          </w:tcPr>
          <w:p w14:paraId="77E6AE25">
            <w:pPr>
              <w:widowControl/>
              <w:spacing w:line="360" w:lineRule="exact"/>
              <w:ind w:firstLine="0" w:firstLineChars="0"/>
              <w:jc w:val="center"/>
              <w:textAlignment w:val="center"/>
              <w:rPr>
                <w:rFonts w:hint="default" w:eastAsia="宋体" w:cs="Times New Roman"/>
                <w:b/>
                <w:bCs/>
                <w:color w:val="auto"/>
                <w:sz w:val="21"/>
                <w:szCs w:val="21"/>
                <w:highlight w:val="none"/>
                <w:lang w:val="en-US" w:eastAsia="zh-CN"/>
              </w:rPr>
            </w:pPr>
            <w:r>
              <w:rPr>
                <w:rFonts w:cs="Times New Roman"/>
                <w:b/>
                <w:bCs/>
                <w:color w:val="auto"/>
                <w:kern w:val="0"/>
                <w:sz w:val="21"/>
                <w:szCs w:val="21"/>
                <w:highlight w:val="none"/>
                <w:lang w:bidi="ar"/>
              </w:rPr>
              <w:t>二、牛屠宰</w:t>
            </w:r>
            <w:r>
              <w:rPr>
                <w:rFonts w:hint="eastAsia" w:cs="Times New Roman"/>
                <w:b/>
                <w:bCs/>
                <w:color w:val="auto"/>
                <w:kern w:val="0"/>
                <w:sz w:val="21"/>
                <w:szCs w:val="21"/>
                <w:highlight w:val="none"/>
                <w:lang w:val="en-US" w:eastAsia="zh-CN" w:bidi="ar"/>
              </w:rPr>
              <w:t>放血区域</w:t>
            </w:r>
          </w:p>
        </w:tc>
      </w:tr>
      <w:tr w14:paraId="7E2B51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2FB6985">
            <w:pPr>
              <w:widowControl/>
              <w:spacing w:line="360" w:lineRule="exact"/>
              <w:ind w:firstLine="0" w:firstLineChars="0"/>
              <w:jc w:val="center"/>
              <w:textAlignment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2553" w:type="dxa"/>
            <w:tcBorders>
              <w:tl2br w:val="nil"/>
              <w:tr2bl w:val="nil"/>
            </w:tcBorders>
            <w:shd w:val="clear" w:color="auto" w:fill="auto"/>
            <w:noWrap/>
            <w:vAlign w:val="center"/>
          </w:tcPr>
          <w:p w14:paraId="3033A937">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牵牛机</w:t>
            </w:r>
          </w:p>
        </w:tc>
        <w:tc>
          <w:tcPr>
            <w:tcW w:w="581" w:type="dxa"/>
            <w:tcBorders>
              <w:tl2br w:val="nil"/>
              <w:tr2bl w:val="nil"/>
            </w:tcBorders>
            <w:shd w:val="clear" w:color="auto" w:fill="auto"/>
            <w:noWrap/>
            <w:vAlign w:val="center"/>
          </w:tcPr>
          <w:p w14:paraId="50C08D8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2228E46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72AF439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 xml:space="preserve">/ </w:t>
            </w:r>
          </w:p>
        </w:tc>
      </w:tr>
      <w:tr w14:paraId="0320C6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EC459A9">
            <w:pPr>
              <w:widowControl/>
              <w:spacing w:line="360" w:lineRule="exact"/>
              <w:ind w:firstLine="0" w:firstLineChars="0"/>
              <w:jc w:val="center"/>
              <w:textAlignment w:val="center"/>
              <w:rPr>
                <w:rFonts w:ascii="Times New Roman" w:hAnsi="Times New Roman" w:eastAsia="宋体" w:cs="Times New Roman"/>
                <w:color w:val="auto"/>
                <w:kern w:val="2"/>
                <w:sz w:val="21"/>
                <w:szCs w:val="21"/>
                <w:highlight w:val="none"/>
                <w:lang w:val="en-US" w:eastAsia="zh-CN" w:bidi="ar-SA"/>
              </w:rPr>
            </w:pPr>
            <w:r>
              <w:rPr>
                <w:rFonts w:cs="Times New Roman"/>
                <w:color w:val="auto"/>
                <w:kern w:val="0"/>
                <w:sz w:val="21"/>
                <w:szCs w:val="21"/>
                <w:highlight w:val="none"/>
                <w:lang w:bidi="ar"/>
              </w:rPr>
              <w:t>2</w:t>
            </w:r>
          </w:p>
        </w:tc>
        <w:tc>
          <w:tcPr>
            <w:tcW w:w="2553" w:type="dxa"/>
            <w:tcBorders>
              <w:tl2br w:val="nil"/>
              <w:tr2bl w:val="nil"/>
            </w:tcBorders>
            <w:shd w:val="clear" w:color="auto" w:fill="auto"/>
            <w:noWrap/>
            <w:vAlign w:val="center"/>
          </w:tcPr>
          <w:p w14:paraId="09B30E88">
            <w:pPr>
              <w:widowControl/>
              <w:spacing w:line="360" w:lineRule="exact"/>
              <w:ind w:firstLine="0" w:firstLineChars="0"/>
              <w:jc w:val="center"/>
              <w:textAlignment w:val="center"/>
              <w:rPr>
                <w:rFonts w:cs="Times New Roman"/>
                <w:color w:val="auto"/>
                <w:kern w:val="0"/>
                <w:sz w:val="21"/>
                <w:szCs w:val="21"/>
                <w:highlight w:val="none"/>
                <w:lang w:bidi="ar"/>
              </w:rPr>
            </w:pPr>
            <w:r>
              <w:rPr>
                <w:rFonts w:hint="eastAsia" w:cs="Times New Roman"/>
                <w:color w:val="auto"/>
                <w:kern w:val="0"/>
                <w:sz w:val="21"/>
                <w:szCs w:val="21"/>
                <w:highlight w:val="none"/>
                <w:lang w:val="en-US" w:eastAsia="zh-CN" w:bidi="ar"/>
              </w:rPr>
              <w:t>宗教式牛旋转翻板箱</w:t>
            </w:r>
          </w:p>
        </w:tc>
        <w:tc>
          <w:tcPr>
            <w:tcW w:w="581" w:type="dxa"/>
            <w:tcBorders>
              <w:tl2br w:val="nil"/>
              <w:tr2bl w:val="nil"/>
            </w:tcBorders>
            <w:shd w:val="clear" w:color="auto" w:fill="auto"/>
            <w:noWrap/>
            <w:vAlign w:val="center"/>
          </w:tcPr>
          <w:p w14:paraId="3A683EC1">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1E2B5F1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40AA57DA">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外型尺寸：</w:t>
            </w:r>
            <w:r>
              <w:rPr>
                <w:rFonts w:hint="eastAsia" w:cs="Times New Roman"/>
                <w:color w:val="auto"/>
                <w:kern w:val="0"/>
                <w:sz w:val="21"/>
                <w:szCs w:val="21"/>
                <w:highlight w:val="none"/>
                <w:lang w:val="en-US" w:eastAsia="zh-CN" w:bidi="ar"/>
              </w:rPr>
              <w:t>3360</w:t>
            </w:r>
            <w:r>
              <w:rPr>
                <w:rFonts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1270</w:t>
            </w:r>
            <w:r>
              <w:rPr>
                <w:rFonts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3550</w:t>
            </w:r>
            <w:r>
              <w:rPr>
                <w:rFonts w:cs="Times New Roman"/>
                <w:color w:val="auto"/>
                <w:kern w:val="0"/>
                <w:sz w:val="21"/>
                <w:szCs w:val="21"/>
                <w:highlight w:val="none"/>
                <w:lang w:bidi="ar"/>
              </w:rPr>
              <w:t>mm（长×宽×高）</w:t>
            </w:r>
          </w:p>
        </w:tc>
      </w:tr>
      <w:tr w14:paraId="6F3EA2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F255FDF">
            <w:pPr>
              <w:widowControl/>
              <w:spacing w:line="360" w:lineRule="exact"/>
              <w:ind w:firstLine="0" w:firstLineChars="0"/>
              <w:jc w:val="center"/>
              <w:textAlignment w:val="center"/>
              <w:rPr>
                <w:rFonts w:ascii="Times New Roman" w:hAnsi="Times New Roman" w:eastAsia="宋体" w:cs="Times New Roman"/>
                <w:color w:val="auto"/>
                <w:kern w:val="2"/>
                <w:sz w:val="21"/>
                <w:szCs w:val="21"/>
                <w:highlight w:val="none"/>
                <w:lang w:val="en-US" w:eastAsia="zh-CN" w:bidi="ar-SA"/>
              </w:rPr>
            </w:pPr>
            <w:r>
              <w:rPr>
                <w:rFonts w:cs="Times New Roman"/>
                <w:color w:val="auto"/>
                <w:kern w:val="0"/>
                <w:sz w:val="21"/>
                <w:szCs w:val="21"/>
                <w:highlight w:val="none"/>
                <w:lang w:bidi="ar"/>
              </w:rPr>
              <w:t>3</w:t>
            </w:r>
          </w:p>
        </w:tc>
        <w:tc>
          <w:tcPr>
            <w:tcW w:w="2553" w:type="dxa"/>
            <w:tcBorders>
              <w:tl2br w:val="nil"/>
              <w:tr2bl w:val="nil"/>
            </w:tcBorders>
            <w:shd w:val="clear" w:color="auto" w:fill="auto"/>
            <w:vAlign w:val="center"/>
          </w:tcPr>
          <w:p w14:paraId="22D59EC9">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翻板箱操作站台</w:t>
            </w:r>
          </w:p>
        </w:tc>
        <w:tc>
          <w:tcPr>
            <w:tcW w:w="581" w:type="dxa"/>
            <w:tcBorders>
              <w:tl2br w:val="nil"/>
              <w:tr2bl w:val="nil"/>
            </w:tcBorders>
            <w:shd w:val="clear" w:color="auto" w:fill="auto"/>
            <w:noWrap/>
            <w:vAlign w:val="center"/>
          </w:tcPr>
          <w:p w14:paraId="6C36ED85">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03934A76">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7FADC331">
            <w:pPr>
              <w:widowControl/>
              <w:spacing w:line="360" w:lineRule="exact"/>
              <w:ind w:firstLine="0" w:firstLineChars="0"/>
              <w:jc w:val="center"/>
              <w:textAlignment w:val="center"/>
              <w:rPr>
                <w:rFonts w:cs="Times New Roman"/>
                <w:color w:val="auto"/>
                <w:kern w:val="0"/>
                <w:sz w:val="21"/>
                <w:szCs w:val="21"/>
                <w:highlight w:val="none"/>
                <w:lang w:bidi="ar"/>
              </w:rPr>
            </w:pPr>
            <w:r>
              <w:rPr>
                <w:rFonts w:hint="eastAsia" w:cs="Times New Roman"/>
                <w:color w:val="auto"/>
                <w:kern w:val="0"/>
                <w:sz w:val="21"/>
                <w:szCs w:val="21"/>
                <w:highlight w:val="none"/>
                <w:lang w:val="en-US" w:eastAsia="zh-CN" w:bidi="ar"/>
              </w:rPr>
              <w:t>台面尺寸：</w:t>
            </w:r>
            <w:r>
              <w:rPr>
                <w:rFonts w:hint="default" w:cs="Times New Roman"/>
                <w:color w:val="auto"/>
                <w:kern w:val="0"/>
                <w:sz w:val="21"/>
                <w:szCs w:val="21"/>
                <w:highlight w:val="none"/>
                <w:lang w:val="en-US" w:eastAsia="zh-CN" w:bidi="ar"/>
              </w:rPr>
              <w:t>1200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1000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1300mm</w:t>
            </w:r>
          </w:p>
        </w:tc>
      </w:tr>
      <w:tr w14:paraId="4C5620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ADCBFD4">
            <w:pPr>
              <w:widowControl/>
              <w:spacing w:line="360" w:lineRule="exact"/>
              <w:ind w:firstLine="0" w:firstLineChars="0"/>
              <w:jc w:val="center"/>
              <w:textAlignment w:val="center"/>
              <w:rPr>
                <w:rFonts w:ascii="Times New Roman" w:hAnsi="Times New Roman" w:eastAsia="宋体" w:cs="Times New Roman"/>
                <w:color w:val="auto"/>
                <w:kern w:val="2"/>
                <w:sz w:val="21"/>
                <w:szCs w:val="21"/>
                <w:highlight w:val="none"/>
                <w:lang w:val="en-US" w:eastAsia="zh-CN" w:bidi="ar-SA"/>
              </w:rPr>
            </w:pPr>
            <w:r>
              <w:rPr>
                <w:rFonts w:cs="Times New Roman"/>
                <w:color w:val="auto"/>
                <w:kern w:val="0"/>
                <w:sz w:val="21"/>
                <w:szCs w:val="21"/>
                <w:highlight w:val="none"/>
                <w:lang w:bidi="ar"/>
              </w:rPr>
              <w:t>4</w:t>
            </w:r>
          </w:p>
        </w:tc>
        <w:tc>
          <w:tcPr>
            <w:tcW w:w="2553" w:type="dxa"/>
            <w:tcBorders>
              <w:tl2br w:val="nil"/>
              <w:tr2bl w:val="nil"/>
            </w:tcBorders>
            <w:shd w:val="clear" w:color="auto" w:fill="auto"/>
            <w:vAlign w:val="center"/>
          </w:tcPr>
          <w:p w14:paraId="20E8815C">
            <w:pPr>
              <w:widowControl/>
              <w:spacing w:line="360" w:lineRule="exact"/>
              <w:ind w:firstLine="0" w:firstLineChars="0"/>
              <w:jc w:val="center"/>
              <w:textAlignment w:val="center"/>
              <w:rPr>
                <w:rFonts w:hint="eastAsia" w:eastAsia="宋体" w:cs="Times New Roman"/>
                <w:color w:val="auto"/>
                <w:sz w:val="21"/>
                <w:szCs w:val="21"/>
                <w:highlight w:val="none"/>
                <w:lang w:eastAsia="zh-CN"/>
              </w:rPr>
            </w:pPr>
            <w:r>
              <w:rPr>
                <w:rFonts w:hint="eastAsia" w:cs="Times New Roman"/>
                <w:color w:val="auto"/>
                <w:kern w:val="0"/>
                <w:sz w:val="21"/>
                <w:szCs w:val="21"/>
                <w:highlight w:val="none"/>
                <w:lang w:val="en-US" w:eastAsia="zh-CN" w:bidi="ar"/>
              </w:rPr>
              <w:t>接牛槽</w:t>
            </w:r>
          </w:p>
        </w:tc>
        <w:tc>
          <w:tcPr>
            <w:tcW w:w="581" w:type="dxa"/>
            <w:tcBorders>
              <w:tl2br w:val="nil"/>
              <w:tr2bl w:val="nil"/>
            </w:tcBorders>
            <w:shd w:val="clear" w:color="auto" w:fill="auto"/>
            <w:noWrap/>
            <w:vAlign w:val="center"/>
          </w:tcPr>
          <w:p w14:paraId="03DE4EB9">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21B1165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75FC5E9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w:t>
            </w:r>
          </w:p>
        </w:tc>
      </w:tr>
      <w:tr w14:paraId="26FAE3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3EA81391">
            <w:pPr>
              <w:widowControl/>
              <w:spacing w:line="360" w:lineRule="exact"/>
              <w:ind w:firstLine="0" w:firstLineChars="0"/>
              <w:jc w:val="center"/>
              <w:textAlignment w:val="center"/>
              <w:rPr>
                <w:rFonts w:ascii="Times New Roman" w:hAnsi="Times New Roman" w:eastAsia="宋体" w:cs="Times New Roman"/>
                <w:color w:val="auto"/>
                <w:kern w:val="2"/>
                <w:sz w:val="21"/>
                <w:szCs w:val="21"/>
                <w:highlight w:val="none"/>
                <w:lang w:val="en-US" w:eastAsia="zh-CN" w:bidi="ar-SA"/>
              </w:rPr>
            </w:pPr>
            <w:r>
              <w:rPr>
                <w:rFonts w:cs="Times New Roman"/>
                <w:color w:val="auto"/>
                <w:kern w:val="0"/>
                <w:sz w:val="21"/>
                <w:szCs w:val="21"/>
                <w:highlight w:val="none"/>
                <w:lang w:bidi="ar"/>
              </w:rPr>
              <w:t>5</w:t>
            </w:r>
          </w:p>
        </w:tc>
        <w:tc>
          <w:tcPr>
            <w:tcW w:w="2553" w:type="dxa"/>
            <w:tcBorders>
              <w:tl2br w:val="nil"/>
              <w:tr2bl w:val="nil"/>
            </w:tcBorders>
            <w:shd w:val="clear" w:color="auto" w:fill="auto"/>
            <w:vAlign w:val="center"/>
          </w:tcPr>
          <w:p w14:paraId="3137D329">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牛上挂系统</w:t>
            </w:r>
          </w:p>
        </w:tc>
        <w:tc>
          <w:tcPr>
            <w:tcW w:w="581" w:type="dxa"/>
            <w:tcBorders>
              <w:tl2br w:val="nil"/>
              <w:tr2bl w:val="nil"/>
            </w:tcBorders>
            <w:shd w:val="clear" w:color="auto" w:fill="auto"/>
            <w:noWrap/>
            <w:vAlign w:val="center"/>
          </w:tcPr>
          <w:p w14:paraId="61737CE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5C7EC27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023008B6">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自动加载型</w:t>
            </w:r>
          </w:p>
        </w:tc>
      </w:tr>
      <w:tr w14:paraId="5ED878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47C2F89">
            <w:pPr>
              <w:widowControl/>
              <w:spacing w:line="360" w:lineRule="exact"/>
              <w:ind w:firstLine="0" w:firstLineChars="0"/>
              <w:jc w:val="center"/>
              <w:textAlignment w:val="center"/>
              <w:rPr>
                <w:rFonts w:ascii="Times New Roman" w:hAnsi="Times New Roman" w:eastAsia="宋体" w:cs="Times New Roman"/>
                <w:color w:val="auto"/>
                <w:kern w:val="2"/>
                <w:sz w:val="21"/>
                <w:szCs w:val="21"/>
                <w:highlight w:val="none"/>
                <w:lang w:val="en-US" w:eastAsia="zh-CN" w:bidi="ar-SA"/>
              </w:rPr>
            </w:pPr>
            <w:r>
              <w:rPr>
                <w:rFonts w:cs="Times New Roman"/>
                <w:color w:val="auto"/>
                <w:kern w:val="0"/>
                <w:sz w:val="21"/>
                <w:szCs w:val="21"/>
                <w:highlight w:val="none"/>
                <w:lang w:bidi="ar"/>
              </w:rPr>
              <w:t>6</w:t>
            </w:r>
          </w:p>
        </w:tc>
        <w:tc>
          <w:tcPr>
            <w:tcW w:w="2553" w:type="dxa"/>
            <w:tcBorders>
              <w:tl2br w:val="nil"/>
              <w:tr2bl w:val="nil"/>
            </w:tcBorders>
            <w:shd w:val="clear" w:color="auto" w:fill="auto"/>
            <w:vAlign w:val="center"/>
          </w:tcPr>
          <w:p w14:paraId="03569BAB">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牛血收集槽</w:t>
            </w:r>
          </w:p>
        </w:tc>
        <w:tc>
          <w:tcPr>
            <w:tcW w:w="581" w:type="dxa"/>
            <w:tcBorders>
              <w:tl2br w:val="nil"/>
              <w:tr2bl w:val="nil"/>
            </w:tcBorders>
            <w:shd w:val="clear" w:color="auto" w:fill="auto"/>
            <w:noWrap/>
            <w:vAlign w:val="center"/>
          </w:tcPr>
          <w:p w14:paraId="44CE39C8">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1EC6FA28">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599A5E0D">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304材质不锈钢板</w:t>
            </w:r>
          </w:p>
        </w:tc>
      </w:tr>
      <w:tr w14:paraId="5F6C58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5FA9AE7">
            <w:pPr>
              <w:widowControl/>
              <w:spacing w:line="360" w:lineRule="exact"/>
              <w:ind w:firstLine="0" w:firstLineChars="0"/>
              <w:jc w:val="center"/>
              <w:textAlignment w:val="center"/>
              <w:rPr>
                <w:rFonts w:ascii="Times New Roman" w:hAnsi="Times New Roman" w:eastAsia="宋体" w:cs="Times New Roman"/>
                <w:color w:val="auto"/>
                <w:kern w:val="2"/>
                <w:sz w:val="21"/>
                <w:szCs w:val="21"/>
                <w:highlight w:val="none"/>
                <w:lang w:val="en-US" w:eastAsia="zh-CN" w:bidi="ar-SA"/>
              </w:rPr>
            </w:pPr>
            <w:r>
              <w:rPr>
                <w:rFonts w:cs="Times New Roman"/>
                <w:color w:val="auto"/>
                <w:kern w:val="0"/>
                <w:sz w:val="21"/>
                <w:szCs w:val="21"/>
                <w:highlight w:val="none"/>
                <w:lang w:bidi="ar"/>
              </w:rPr>
              <w:t>7</w:t>
            </w:r>
          </w:p>
        </w:tc>
        <w:tc>
          <w:tcPr>
            <w:tcW w:w="2553" w:type="dxa"/>
            <w:tcBorders>
              <w:tl2br w:val="nil"/>
              <w:tr2bl w:val="nil"/>
            </w:tcBorders>
            <w:shd w:val="clear" w:color="auto" w:fill="auto"/>
            <w:vAlign w:val="center"/>
          </w:tcPr>
          <w:p w14:paraId="4F8ED9EF">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牛放血吊链</w:t>
            </w:r>
          </w:p>
        </w:tc>
        <w:tc>
          <w:tcPr>
            <w:tcW w:w="581" w:type="dxa"/>
            <w:tcBorders>
              <w:tl2br w:val="nil"/>
              <w:tr2bl w:val="nil"/>
            </w:tcBorders>
            <w:shd w:val="clear" w:color="auto" w:fill="auto"/>
            <w:noWrap/>
            <w:vAlign w:val="center"/>
          </w:tcPr>
          <w:p w14:paraId="56C9BB1E">
            <w:pPr>
              <w:widowControl/>
              <w:spacing w:line="360" w:lineRule="exact"/>
              <w:ind w:firstLine="0" w:firstLineChars="0"/>
              <w:jc w:val="center"/>
              <w:textAlignment w:val="center"/>
              <w:rPr>
                <w:rFonts w:hint="eastAsia" w:eastAsia="宋体" w:cs="Times New Roman"/>
                <w:color w:val="auto"/>
                <w:sz w:val="21"/>
                <w:szCs w:val="21"/>
                <w:highlight w:val="none"/>
                <w:lang w:eastAsia="zh-CN"/>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1C978FFD">
            <w:pPr>
              <w:widowControl/>
              <w:spacing w:line="360" w:lineRule="exact"/>
              <w:ind w:firstLine="0" w:firstLineChars="0"/>
              <w:jc w:val="center"/>
              <w:textAlignment w:val="center"/>
              <w:rPr>
                <w:rFonts w:hint="eastAsia" w:eastAsia="宋体" w:cs="Times New Roman"/>
                <w:color w:val="auto"/>
                <w:sz w:val="21"/>
                <w:szCs w:val="21"/>
                <w:highlight w:val="none"/>
                <w:lang w:val="en-US" w:eastAsia="zh-CN"/>
              </w:rPr>
            </w:pPr>
            <w:r>
              <w:rPr>
                <w:rFonts w:cs="Times New Roman"/>
                <w:color w:val="auto"/>
                <w:kern w:val="0"/>
                <w:sz w:val="21"/>
                <w:szCs w:val="21"/>
                <w:highlight w:val="none"/>
                <w:lang w:bidi="ar"/>
              </w:rPr>
              <w:t>5</w:t>
            </w:r>
            <w:r>
              <w:rPr>
                <w:rFonts w:hint="eastAsia" w:cs="Times New Roman"/>
                <w:color w:val="auto"/>
                <w:kern w:val="0"/>
                <w:sz w:val="21"/>
                <w:szCs w:val="21"/>
                <w:highlight w:val="none"/>
                <w:lang w:val="en-US" w:eastAsia="zh-CN" w:bidi="ar"/>
              </w:rPr>
              <w:t>0</w:t>
            </w:r>
          </w:p>
        </w:tc>
        <w:tc>
          <w:tcPr>
            <w:tcW w:w="3877" w:type="dxa"/>
            <w:tcBorders>
              <w:tl2br w:val="nil"/>
              <w:tr2bl w:val="nil"/>
            </w:tcBorders>
            <w:shd w:val="clear" w:color="auto" w:fill="auto"/>
            <w:vAlign w:val="center"/>
          </w:tcPr>
          <w:p w14:paraId="0A3C7E41">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长度1000mm</w:t>
            </w:r>
          </w:p>
        </w:tc>
      </w:tr>
      <w:tr w14:paraId="34C193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AEAF1DE">
            <w:pPr>
              <w:widowControl/>
              <w:spacing w:line="360" w:lineRule="exact"/>
              <w:ind w:firstLine="0" w:firstLineChars="0"/>
              <w:jc w:val="center"/>
              <w:textAlignment w:val="center"/>
              <w:rPr>
                <w:rFonts w:ascii="Times New Roman" w:hAnsi="Times New Roman" w:eastAsia="宋体" w:cs="Times New Roman"/>
                <w:color w:val="auto"/>
                <w:kern w:val="2"/>
                <w:sz w:val="21"/>
                <w:szCs w:val="21"/>
                <w:highlight w:val="none"/>
                <w:lang w:val="en-US" w:eastAsia="zh-CN" w:bidi="ar-SA"/>
              </w:rPr>
            </w:pPr>
            <w:r>
              <w:rPr>
                <w:rFonts w:cs="Times New Roman"/>
                <w:color w:val="auto"/>
                <w:kern w:val="0"/>
                <w:sz w:val="21"/>
                <w:szCs w:val="21"/>
                <w:highlight w:val="none"/>
                <w:lang w:bidi="ar"/>
              </w:rPr>
              <w:t>8</w:t>
            </w:r>
          </w:p>
        </w:tc>
        <w:tc>
          <w:tcPr>
            <w:tcW w:w="2553" w:type="dxa"/>
            <w:tcBorders>
              <w:tl2br w:val="nil"/>
              <w:tr2bl w:val="nil"/>
            </w:tcBorders>
            <w:shd w:val="clear" w:color="auto" w:fill="auto"/>
            <w:vAlign w:val="center"/>
          </w:tcPr>
          <w:p w14:paraId="5B63F532">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放血吊链返回系统</w:t>
            </w:r>
          </w:p>
        </w:tc>
        <w:tc>
          <w:tcPr>
            <w:tcW w:w="581" w:type="dxa"/>
            <w:tcBorders>
              <w:tl2br w:val="nil"/>
              <w:tr2bl w:val="nil"/>
            </w:tcBorders>
            <w:shd w:val="clear" w:color="auto" w:fill="auto"/>
            <w:noWrap/>
            <w:vAlign w:val="center"/>
          </w:tcPr>
          <w:p w14:paraId="54DF87CB">
            <w:pPr>
              <w:widowControl/>
              <w:spacing w:line="360" w:lineRule="exact"/>
              <w:ind w:firstLine="0" w:firstLineChars="0"/>
              <w:jc w:val="center"/>
              <w:textAlignment w:val="center"/>
              <w:rPr>
                <w:rFonts w:hint="eastAsia" w:eastAsia="宋体" w:cs="Times New Roman"/>
                <w:color w:val="auto"/>
                <w:sz w:val="21"/>
                <w:szCs w:val="21"/>
                <w:highlight w:val="none"/>
                <w:lang w:eastAsia="zh-CN"/>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3D90FC73">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50B7E96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特制不锈钢镀锌弯道， φ</w:t>
            </w:r>
            <w:r>
              <w:rPr>
                <w:rFonts w:hint="default" w:cs="Times New Roman"/>
                <w:color w:val="auto"/>
                <w:kern w:val="0"/>
                <w:sz w:val="21"/>
                <w:szCs w:val="21"/>
                <w:highlight w:val="none"/>
                <w:lang w:val="en-US" w:eastAsia="zh-CN" w:bidi="ar"/>
              </w:rPr>
              <w:t xml:space="preserve">60*4 </w:t>
            </w:r>
            <w:r>
              <w:rPr>
                <w:rFonts w:hint="eastAsia" w:cs="Times New Roman"/>
                <w:color w:val="auto"/>
                <w:kern w:val="0"/>
                <w:sz w:val="21"/>
                <w:szCs w:val="21"/>
                <w:highlight w:val="none"/>
                <w:lang w:val="en-US" w:eastAsia="zh-CN" w:bidi="ar"/>
              </w:rPr>
              <w:t>不锈钢弯轨</w:t>
            </w:r>
          </w:p>
        </w:tc>
      </w:tr>
      <w:tr w14:paraId="7FDCE6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0C5B479">
            <w:pPr>
              <w:widowControl/>
              <w:spacing w:line="360" w:lineRule="exact"/>
              <w:ind w:firstLine="0" w:firstLineChars="0"/>
              <w:jc w:val="center"/>
              <w:textAlignment w:val="center"/>
              <w:rPr>
                <w:rFonts w:ascii="Times New Roman" w:hAnsi="Times New Roman" w:eastAsia="宋体" w:cs="Times New Roman"/>
                <w:color w:val="auto"/>
                <w:kern w:val="2"/>
                <w:sz w:val="21"/>
                <w:szCs w:val="21"/>
                <w:highlight w:val="none"/>
                <w:lang w:val="en-US" w:eastAsia="zh-CN" w:bidi="ar-SA"/>
              </w:rPr>
            </w:pPr>
            <w:r>
              <w:rPr>
                <w:rFonts w:cs="Times New Roman"/>
                <w:color w:val="auto"/>
                <w:kern w:val="0"/>
                <w:sz w:val="21"/>
                <w:szCs w:val="21"/>
                <w:highlight w:val="none"/>
                <w:lang w:bidi="ar"/>
              </w:rPr>
              <w:t>9</w:t>
            </w:r>
          </w:p>
        </w:tc>
        <w:tc>
          <w:tcPr>
            <w:tcW w:w="2553" w:type="dxa"/>
            <w:tcBorders>
              <w:tl2br w:val="nil"/>
              <w:tr2bl w:val="nil"/>
            </w:tcBorders>
            <w:shd w:val="clear" w:color="auto" w:fill="auto"/>
            <w:vAlign w:val="center"/>
          </w:tcPr>
          <w:p w14:paraId="1864450C">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牛刺杀站台</w:t>
            </w:r>
          </w:p>
        </w:tc>
        <w:tc>
          <w:tcPr>
            <w:tcW w:w="581" w:type="dxa"/>
            <w:tcBorders>
              <w:tl2br w:val="nil"/>
              <w:tr2bl w:val="nil"/>
            </w:tcBorders>
            <w:shd w:val="clear" w:color="auto" w:fill="auto"/>
            <w:noWrap/>
            <w:vAlign w:val="center"/>
          </w:tcPr>
          <w:p w14:paraId="05817C5B">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65EFED05">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604D230A">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台面尺寸</w:t>
            </w:r>
            <w:r>
              <w:rPr>
                <w:rFonts w:hint="eastAsia" w:cs="Times New Roman"/>
                <w:color w:val="auto"/>
                <w:kern w:val="0"/>
                <w:sz w:val="21"/>
                <w:szCs w:val="21"/>
                <w:highlight w:val="none"/>
                <w:lang w:val="en-US" w:eastAsia="zh-CN" w:bidi="ar"/>
              </w:rPr>
              <w:t>1600</w:t>
            </w:r>
            <w:r>
              <w:rPr>
                <w:rFonts w:cs="Times New Roman"/>
                <w:color w:val="auto"/>
                <w:kern w:val="0"/>
                <w:sz w:val="21"/>
                <w:szCs w:val="21"/>
                <w:highlight w:val="none"/>
                <w:lang w:bidi="ar"/>
              </w:rPr>
              <w:t>×1</w:t>
            </w:r>
            <w:r>
              <w:rPr>
                <w:rFonts w:hint="eastAsia" w:cs="Times New Roman"/>
                <w:color w:val="auto"/>
                <w:kern w:val="0"/>
                <w:sz w:val="21"/>
                <w:szCs w:val="21"/>
                <w:highlight w:val="none"/>
                <w:lang w:val="en-US" w:eastAsia="zh-CN" w:bidi="ar"/>
              </w:rPr>
              <w:t>0</w:t>
            </w:r>
            <w:r>
              <w:rPr>
                <w:rFonts w:cs="Times New Roman"/>
                <w:color w:val="auto"/>
                <w:kern w:val="0"/>
                <w:sz w:val="21"/>
                <w:szCs w:val="21"/>
                <w:highlight w:val="none"/>
                <w:lang w:bidi="ar"/>
              </w:rPr>
              <w:t>00*600mm（长×宽*高）</w:t>
            </w:r>
          </w:p>
        </w:tc>
      </w:tr>
      <w:tr w14:paraId="69B67F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359647F4">
            <w:pPr>
              <w:widowControl/>
              <w:spacing w:line="360" w:lineRule="exact"/>
              <w:ind w:firstLine="0" w:firstLineChars="0"/>
              <w:jc w:val="center"/>
              <w:textAlignment w:val="center"/>
              <w:rPr>
                <w:rFonts w:ascii="Times New Roman" w:hAnsi="Times New Roman" w:eastAsia="宋体" w:cs="Times New Roman"/>
                <w:color w:val="auto"/>
                <w:kern w:val="2"/>
                <w:sz w:val="21"/>
                <w:szCs w:val="21"/>
                <w:highlight w:val="none"/>
                <w:lang w:val="en-US" w:eastAsia="zh-CN" w:bidi="ar-SA"/>
              </w:rPr>
            </w:pPr>
            <w:r>
              <w:rPr>
                <w:rFonts w:cs="Times New Roman"/>
                <w:color w:val="auto"/>
                <w:kern w:val="0"/>
                <w:sz w:val="21"/>
                <w:szCs w:val="21"/>
                <w:highlight w:val="none"/>
                <w:lang w:bidi="ar"/>
              </w:rPr>
              <w:t>10</w:t>
            </w:r>
          </w:p>
        </w:tc>
        <w:tc>
          <w:tcPr>
            <w:tcW w:w="2553" w:type="dxa"/>
            <w:tcBorders>
              <w:tl2br w:val="nil"/>
              <w:tr2bl w:val="nil"/>
            </w:tcBorders>
            <w:shd w:val="clear" w:color="auto" w:fill="auto"/>
            <w:vAlign w:val="center"/>
          </w:tcPr>
          <w:p w14:paraId="3274AB60">
            <w:pPr>
              <w:widowControl/>
              <w:spacing w:line="360" w:lineRule="exact"/>
              <w:ind w:firstLine="0" w:firstLineChars="0"/>
              <w:jc w:val="center"/>
              <w:textAlignment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换轨站台</w:t>
            </w:r>
          </w:p>
        </w:tc>
        <w:tc>
          <w:tcPr>
            <w:tcW w:w="581" w:type="dxa"/>
            <w:tcBorders>
              <w:tl2br w:val="nil"/>
              <w:tr2bl w:val="nil"/>
            </w:tcBorders>
            <w:shd w:val="clear" w:color="auto" w:fill="auto"/>
            <w:noWrap/>
            <w:vAlign w:val="center"/>
          </w:tcPr>
          <w:p w14:paraId="77B1695D">
            <w:pPr>
              <w:widowControl/>
              <w:spacing w:line="360" w:lineRule="exact"/>
              <w:ind w:firstLine="0" w:firstLineChars="0"/>
              <w:jc w:val="center"/>
              <w:textAlignment w:val="center"/>
              <w:rPr>
                <w:rFonts w:hint="eastAsia" w:eastAsia="宋体" w:cs="Times New Roman"/>
                <w:color w:val="auto"/>
                <w:sz w:val="21"/>
                <w:szCs w:val="21"/>
                <w:highlight w:val="none"/>
                <w:lang w:eastAsia="zh-CN"/>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602C631A">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36D0C12B">
            <w:pPr>
              <w:widowControl/>
              <w:spacing w:line="360" w:lineRule="exact"/>
              <w:ind w:firstLine="0" w:firstLineChars="0"/>
              <w:jc w:val="center"/>
              <w:textAlignment w:val="center"/>
              <w:rPr>
                <w:rFonts w:hint="default" w:cs="Times New Roman"/>
                <w:color w:val="auto"/>
                <w:sz w:val="21"/>
                <w:szCs w:val="21"/>
                <w:highlight w:val="none"/>
                <w:lang w:val="en-US"/>
              </w:rPr>
            </w:pPr>
            <w:r>
              <w:rPr>
                <w:rFonts w:hint="eastAsia" w:cs="Times New Roman"/>
                <w:color w:val="auto"/>
                <w:sz w:val="21"/>
                <w:szCs w:val="21"/>
                <w:highlight w:val="none"/>
                <w:lang w:val="en-US" w:eastAsia="zh-CN"/>
              </w:rPr>
              <w:t>304材质不锈钢材质</w:t>
            </w:r>
          </w:p>
        </w:tc>
      </w:tr>
      <w:tr w14:paraId="4D2573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418" w:type="dxa"/>
            <w:gridSpan w:val="5"/>
            <w:tcBorders>
              <w:tl2br w:val="nil"/>
              <w:tr2bl w:val="nil"/>
            </w:tcBorders>
            <w:shd w:val="clear" w:color="auto" w:fill="auto"/>
            <w:noWrap/>
            <w:vAlign w:val="center"/>
          </w:tcPr>
          <w:p w14:paraId="2BC8D0B9">
            <w:pPr>
              <w:widowControl/>
              <w:spacing w:line="360" w:lineRule="exact"/>
              <w:ind w:firstLine="0" w:firstLineChars="0"/>
              <w:jc w:val="center"/>
              <w:textAlignment w:val="center"/>
              <w:rPr>
                <w:rFonts w:hint="default" w:cs="Times New Roman"/>
                <w:color w:val="auto"/>
                <w:sz w:val="21"/>
                <w:szCs w:val="21"/>
                <w:highlight w:val="none"/>
                <w:lang w:val="en-US" w:eastAsia="zh-CN"/>
              </w:rPr>
            </w:pPr>
            <w:r>
              <w:rPr>
                <w:rFonts w:hint="eastAsia" w:cs="Times New Roman"/>
                <w:b/>
                <w:bCs/>
                <w:color w:val="auto"/>
                <w:kern w:val="0"/>
                <w:sz w:val="21"/>
                <w:szCs w:val="21"/>
                <w:highlight w:val="none"/>
                <w:lang w:val="en-US" w:eastAsia="zh-CN" w:bidi="ar"/>
              </w:rPr>
              <w:t>三、牛酮体加工区域</w:t>
            </w:r>
          </w:p>
        </w:tc>
      </w:tr>
      <w:tr w14:paraId="6B9038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4BB0ECF">
            <w:pPr>
              <w:widowControl/>
              <w:spacing w:line="360" w:lineRule="exact"/>
              <w:ind w:firstLine="0" w:firstLineChars="0"/>
              <w:jc w:val="center"/>
              <w:textAlignment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2553" w:type="dxa"/>
            <w:tcBorders>
              <w:tl2br w:val="nil"/>
              <w:tr2bl w:val="nil"/>
            </w:tcBorders>
            <w:shd w:val="clear" w:color="auto" w:fill="auto"/>
            <w:vAlign w:val="center"/>
          </w:tcPr>
          <w:p w14:paraId="36D6EE95">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牛蹄剪</w:t>
            </w:r>
          </w:p>
        </w:tc>
        <w:tc>
          <w:tcPr>
            <w:tcW w:w="581" w:type="dxa"/>
            <w:tcBorders>
              <w:tl2br w:val="nil"/>
              <w:tr2bl w:val="nil"/>
            </w:tcBorders>
            <w:shd w:val="clear" w:color="auto" w:fill="auto"/>
            <w:noWrap/>
            <w:vAlign w:val="center"/>
          </w:tcPr>
          <w:p w14:paraId="48C9750C">
            <w:pPr>
              <w:widowControl/>
              <w:spacing w:line="360" w:lineRule="exact"/>
              <w:ind w:firstLine="0" w:firstLineChars="0"/>
              <w:jc w:val="center"/>
              <w:textAlignment w:val="center"/>
              <w:rPr>
                <w:rFonts w:hint="eastAsia" w:eastAsia="宋体" w:cs="Times New Roman"/>
                <w:color w:val="auto"/>
                <w:sz w:val="21"/>
                <w:szCs w:val="21"/>
                <w:highlight w:val="none"/>
                <w:lang w:eastAsia="zh-CN"/>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6CC7BF98">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048C2A3E">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切割宽度：200mm</w:t>
            </w:r>
          </w:p>
        </w:tc>
      </w:tr>
      <w:tr w14:paraId="21671C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32E3D27B">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p>
        </w:tc>
        <w:tc>
          <w:tcPr>
            <w:tcW w:w="2553" w:type="dxa"/>
            <w:tcBorders>
              <w:tl2br w:val="nil"/>
              <w:tr2bl w:val="nil"/>
            </w:tcBorders>
            <w:shd w:val="clear" w:color="auto" w:fill="auto"/>
            <w:vAlign w:val="center"/>
          </w:tcPr>
          <w:p w14:paraId="2898C07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开胸锯</w:t>
            </w:r>
          </w:p>
        </w:tc>
        <w:tc>
          <w:tcPr>
            <w:tcW w:w="581" w:type="dxa"/>
            <w:tcBorders>
              <w:tl2br w:val="nil"/>
              <w:tr2bl w:val="nil"/>
            </w:tcBorders>
            <w:shd w:val="clear" w:color="auto" w:fill="auto"/>
            <w:noWrap/>
            <w:vAlign w:val="center"/>
          </w:tcPr>
          <w:p w14:paraId="5CBA2562">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w:t>
            </w:r>
          </w:p>
        </w:tc>
        <w:tc>
          <w:tcPr>
            <w:tcW w:w="570" w:type="dxa"/>
            <w:tcBorders>
              <w:tl2br w:val="nil"/>
              <w:tr2bl w:val="nil"/>
            </w:tcBorders>
            <w:shd w:val="clear" w:color="auto" w:fill="auto"/>
            <w:noWrap/>
            <w:vAlign w:val="center"/>
          </w:tcPr>
          <w:p w14:paraId="7EFB3EDE">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54582B0D">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液压装置，功率910W</w:t>
            </w:r>
          </w:p>
        </w:tc>
      </w:tr>
      <w:tr w14:paraId="706FE2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44A5050F">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w:t>
            </w:r>
          </w:p>
        </w:tc>
        <w:tc>
          <w:tcPr>
            <w:tcW w:w="2553" w:type="dxa"/>
            <w:tcBorders>
              <w:tl2br w:val="nil"/>
              <w:tr2bl w:val="nil"/>
            </w:tcBorders>
            <w:shd w:val="clear" w:color="auto" w:fill="auto"/>
            <w:vAlign w:val="center"/>
          </w:tcPr>
          <w:p w14:paraId="2C94236D">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气动喂入装置</w:t>
            </w:r>
          </w:p>
        </w:tc>
        <w:tc>
          <w:tcPr>
            <w:tcW w:w="581" w:type="dxa"/>
            <w:tcBorders>
              <w:tl2br w:val="nil"/>
              <w:tr2bl w:val="nil"/>
            </w:tcBorders>
            <w:shd w:val="clear" w:color="auto" w:fill="auto"/>
            <w:noWrap/>
            <w:vAlign w:val="center"/>
          </w:tcPr>
          <w:p w14:paraId="38886A7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22AE423D">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675A364A">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行程600mm</w:t>
            </w:r>
          </w:p>
        </w:tc>
      </w:tr>
      <w:tr w14:paraId="4F2783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2C0758E">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w:t>
            </w:r>
          </w:p>
        </w:tc>
        <w:tc>
          <w:tcPr>
            <w:tcW w:w="2553" w:type="dxa"/>
            <w:tcBorders>
              <w:tl2br w:val="nil"/>
              <w:tr2bl w:val="nil"/>
            </w:tcBorders>
            <w:shd w:val="clear" w:color="auto" w:fill="auto"/>
            <w:vAlign w:val="center"/>
          </w:tcPr>
          <w:p w14:paraId="06E71E9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气动道岔装置</w:t>
            </w:r>
          </w:p>
        </w:tc>
        <w:tc>
          <w:tcPr>
            <w:tcW w:w="581" w:type="dxa"/>
            <w:tcBorders>
              <w:tl2br w:val="nil"/>
              <w:tr2bl w:val="nil"/>
            </w:tcBorders>
            <w:shd w:val="clear" w:color="auto" w:fill="auto"/>
            <w:noWrap/>
            <w:vAlign w:val="center"/>
          </w:tcPr>
          <w:p w14:paraId="6DD92432">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187B24A3">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p>
        </w:tc>
        <w:tc>
          <w:tcPr>
            <w:tcW w:w="3877" w:type="dxa"/>
            <w:tcBorders>
              <w:tl2br w:val="nil"/>
              <w:tr2bl w:val="nil"/>
            </w:tcBorders>
            <w:shd w:val="clear" w:color="auto" w:fill="auto"/>
            <w:vAlign w:val="center"/>
          </w:tcPr>
          <w:p w14:paraId="0A06BDA2">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热镀锌机架，手动转换</w:t>
            </w:r>
          </w:p>
        </w:tc>
      </w:tr>
      <w:tr w14:paraId="24754F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7B0BFDD">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w:t>
            </w:r>
          </w:p>
        </w:tc>
        <w:tc>
          <w:tcPr>
            <w:tcW w:w="2553" w:type="dxa"/>
            <w:tcBorders>
              <w:tl2br w:val="nil"/>
              <w:tr2bl w:val="nil"/>
            </w:tcBorders>
            <w:shd w:val="clear" w:color="auto" w:fill="auto"/>
            <w:vAlign w:val="center"/>
          </w:tcPr>
          <w:p w14:paraId="4E749D4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预剥高中低站台</w:t>
            </w:r>
          </w:p>
        </w:tc>
        <w:tc>
          <w:tcPr>
            <w:tcW w:w="581" w:type="dxa"/>
            <w:tcBorders>
              <w:tl2br w:val="nil"/>
              <w:tr2bl w:val="nil"/>
            </w:tcBorders>
            <w:shd w:val="clear" w:color="auto" w:fill="auto"/>
            <w:noWrap/>
            <w:vAlign w:val="center"/>
          </w:tcPr>
          <w:p w14:paraId="03195C9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693B00B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615AE8E4">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单个长 </w:t>
            </w:r>
            <w:r>
              <w:rPr>
                <w:rFonts w:hint="default" w:cs="Times New Roman"/>
                <w:color w:val="auto"/>
                <w:kern w:val="0"/>
                <w:sz w:val="21"/>
                <w:szCs w:val="21"/>
                <w:highlight w:val="none"/>
                <w:lang w:val="en-US" w:eastAsia="zh-CN" w:bidi="ar"/>
              </w:rPr>
              <w:t>3000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1000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1300mm</w:t>
            </w:r>
          </w:p>
        </w:tc>
      </w:tr>
      <w:tr w14:paraId="688304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254164A">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6</w:t>
            </w:r>
          </w:p>
        </w:tc>
        <w:tc>
          <w:tcPr>
            <w:tcW w:w="2553" w:type="dxa"/>
            <w:tcBorders>
              <w:tl2br w:val="nil"/>
              <w:tr2bl w:val="nil"/>
            </w:tcBorders>
            <w:shd w:val="clear" w:color="auto" w:fill="auto"/>
            <w:vAlign w:val="center"/>
          </w:tcPr>
          <w:p w14:paraId="18314219">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工位自动输送机</w:t>
            </w:r>
          </w:p>
        </w:tc>
        <w:tc>
          <w:tcPr>
            <w:tcW w:w="581" w:type="dxa"/>
            <w:tcBorders>
              <w:tl2br w:val="nil"/>
              <w:tr2bl w:val="nil"/>
            </w:tcBorders>
            <w:shd w:val="clear" w:color="auto" w:fill="auto"/>
            <w:noWrap/>
            <w:vAlign w:val="center"/>
          </w:tcPr>
          <w:p w14:paraId="3C4162AF">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6B1F8CC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25F4DE7E">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输送机：</w:t>
            </w:r>
            <w:r>
              <w:rPr>
                <w:rFonts w:hint="default" w:cs="Times New Roman"/>
                <w:color w:val="auto"/>
                <w:kern w:val="0"/>
                <w:sz w:val="21"/>
                <w:szCs w:val="21"/>
                <w:highlight w:val="none"/>
                <w:lang w:val="en-US" w:eastAsia="zh-CN" w:bidi="ar"/>
              </w:rPr>
              <w:t xml:space="preserve">L=17 </w:t>
            </w:r>
            <w:r>
              <w:rPr>
                <w:rFonts w:hint="eastAsia" w:cs="Times New Roman"/>
                <w:color w:val="auto"/>
                <w:kern w:val="0"/>
                <w:sz w:val="21"/>
                <w:szCs w:val="21"/>
                <w:highlight w:val="none"/>
                <w:lang w:val="en-US" w:eastAsia="zh-CN" w:bidi="ar"/>
              </w:rPr>
              <w:t>米、</w:t>
            </w:r>
            <w:r>
              <w:rPr>
                <w:rFonts w:hint="default" w:cs="Times New Roman"/>
                <w:color w:val="auto"/>
                <w:kern w:val="0"/>
                <w:sz w:val="21"/>
                <w:szCs w:val="21"/>
                <w:highlight w:val="none"/>
                <w:lang w:val="en-US" w:eastAsia="zh-CN" w:bidi="ar"/>
              </w:rPr>
              <w:t>N=3kW</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 xml:space="preserve">7 </w:t>
            </w:r>
            <w:r>
              <w:rPr>
                <w:rFonts w:hint="eastAsia" w:cs="Times New Roman"/>
                <w:color w:val="auto"/>
                <w:kern w:val="0"/>
                <w:sz w:val="21"/>
                <w:szCs w:val="21"/>
                <w:highlight w:val="none"/>
                <w:lang w:val="en-US" w:eastAsia="zh-CN" w:bidi="ar"/>
              </w:rPr>
              <w:t>工位、</w:t>
            </w:r>
            <w:r>
              <w:rPr>
                <w:rFonts w:hint="default" w:cs="Times New Roman"/>
                <w:color w:val="auto"/>
                <w:kern w:val="0"/>
                <w:sz w:val="21"/>
                <w:szCs w:val="21"/>
                <w:highlight w:val="none"/>
                <w:lang w:val="en-US" w:eastAsia="zh-CN" w:bidi="ar"/>
              </w:rPr>
              <w:t xml:space="preserve">2.4 </w:t>
            </w:r>
            <w:r>
              <w:rPr>
                <w:rFonts w:hint="eastAsia" w:cs="Times New Roman"/>
                <w:color w:val="auto"/>
                <w:kern w:val="0"/>
                <w:sz w:val="21"/>
                <w:szCs w:val="21"/>
                <w:highlight w:val="none"/>
                <w:lang w:val="en-US" w:eastAsia="zh-CN" w:bidi="ar"/>
              </w:rPr>
              <w:t>米</w:t>
            </w:r>
            <w:r>
              <w:rPr>
                <w:rFonts w:hint="default"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工位</w:t>
            </w:r>
          </w:p>
        </w:tc>
      </w:tr>
      <w:tr w14:paraId="490A73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4B8E4780">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7</w:t>
            </w:r>
          </w:p>
        </w:tc>
        <w:tc>
          <w:tcPr>
            <w:tcW w:w="2553" w:type="dxa"/>
            <w:tcBorders>
              <w:tl2br w:val="nil"/>
              <w:tr2bl w:val="nil"/>
            </w:tcBorders>
            <w:shd w:val="clear" w:color="auto" w:fill="auto"/>
            <w:vAlign w:val="center"/>
          </w:tcPr>
          <w:p w14:paraId="6F0C6E43">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液压扯皮机（含固定桩）</w:t>
            </w:r>
          </w:p>
        </w:tc>
        <w:tc>
          <w:tcPr>
            <w:tcW w:w="581" w:type="dxa"/>
            <w:tcBorders>
              <w:tl2br w:val="nil"/>
              <w:tr2bl w:val="nil"/>
            </w:tcBorders>
            <w:shd w:val="clear" w:color="auto" w:fill="auto"/>
            <w:noWrap/>
            <w:vAlign w:val="center"/>
          </w:tcPr>
          <w:p w14:paraId="73554AB8">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098B5524">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63F2D10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电机功率 </w:t>
            </w:r>
            <w:r>
              <w:rPr>
                <w:rFonts w:hint="default" w:cs="Times New Roman"/>
                <w:color w:val="auto"/>
                <w:kern w:val="0"/>
                <w:sz w:val="21"/>
                <w:szCs w:val="21"/>
                <w:highlight w:val="none"/>
                <w:lang w:val="en-US" w:eastAsia="zh-CN" w:bidi="ar"/>
              </w:rPr>
              <w:t>5kW</w:t>
            </w:r>
            <w:r>
              <w:rPr>
                <w:rFonts w:hint="eastAsia" w:cs="Times New Roman"/>
                <w:color w:val="auto"/>
                <w:kern w:val="0"/>
                <w:sz w:val="21"/>
                <w:szCs w:val="21"/>
                <w:highlight w:val="none"/>
                <w:lang w:val="en-US" w:eastAsia="zh-CN" w:bidi="ar"/>
              </w:rPr>
              <w:t>，带减速变速箱，控制操作杆，电控箱</w:t>
            </w:r>
          </w:p>
        </w:tc>
      </w:tr>
      <w:tr w14:paraId="0087C8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4F156B97">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8</w:t>
            </w:r>
          </w:p>
        </w:tc>
        <w:tc>
          <w:tcPr>
            <w:tcW w:w="2553" w:type="dxa"/>
            <w:tcBorders>
              <w:tl2br w:val="nil"/>
              <w:tr2bl w:val="nil"/>
            </w:tcBorders>
            <w:shd w:val="clear" w:color="auto" w:fill="auto"/>
            <w:vAlign w:val="center"/>
          </w:tcPr>
          <w:p w14:paraId="0CBD4A87">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单柱气动升降台（扒皮）</w:t>
            </w:r>
          </w:p>
        </w:tc>
        <w:tc>
          <w:tcPr>
            <w:tcW w:w="581" w:type="dxa"/>
            <w:tcBorders>
              <w:tl2br w:val="nil"/>
              <w:tr2bl w:val="nil"/>
            </w:tcBorders>
            <w:shd w:val="clear" w:color="auto" w:fill="auto"/>
            <w:noWrap/>
            <w:vAlign w:val="center"/>
          </w:tcPr>
          <w:p w14:paraId="573DE8BA">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w:t>
            </w:r>
          </w:p>
        </w:tc>
        <w:tc>
          <w:tcPr>
            <w:tcW w:w="570" w:type="dxa"/>
            <w:tcBorders>
              <w:tl2br w:val="nil"/>
              <w:tr2bl w:val="nil"/>
            </w:tcBorders>
            <w:shd w:val="clear" w:color="auto" w:fill="auto"/>
            <w:noWrap/>
            <w:vAlign w:val="center"/>
          </w:tcPr>
          <w:p w14:paraId="5D9BAAF6">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p>
        </w:tc>
        <w:tc>
          <w:tcPr>
            <w:tcW w:w="3877" w:type="dxa"/>
            <w:tcBorders>
              <w:tl2br w:val="nil"/>
              <w:tr2bl w:val="nil"/>
            </w:tcBorders>
            <w:shd w:val="clear" w:color="auto" w:fill="auto"/>
            <w:vAlign w:val="center"/>
          </w:tcPr>
          <w:p w14:paraId="7C593FDA">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提升高度：</w:t>
            </w:r>
            <w:r>
              <w:rPr>
                <w:rFonts w:hint="default" w:cs="Times New Roman"/>
                <w:color w:val="auto"/>
                <w:kern w:val="0"/>
                <w:sz w:val="21"/>
                <w:szCs w:val="21"/>
                <w:highlight w:val="none"/>
                <w:lang w:val="en-US" w:eastAsia="zh-CN" w:bidi="ar"/>
              </w:rPr>
              <w:t xml:space="preserve">400mm </w:t>
            </w:r>
            <w:r>
              <w:rPr>
                <w:rFonts w:hint="eastAsia" w:cs="Times New Roman"/>
                <w:color w:val="auto"/>
                <w:kern w:val="0"/>
                <w:sz w:val="21"/>
                <w:szCs w:val="21"/>
                <w:highlight w:val="none"/>
                <w:lang w:val="en-US" w:eastAsia="zh-CN" w:bidi="ar"/>
              </w:rPr>
              <w:t xml:space="preserve">到 </w:t>
            </w:r>
            <w:r>
              <w:rPr>
                <w:rFonts w:hint="default" w:cs="Times New Roman"/>
                <w:color w:val="auto"/>
                <w:kern w:val="0"/>
                <w:sz w:val="21"/>
                <w:szCs w:val="21"/>
                <w:highlight w:val="none"/>
                <w:lang w:val="en-US" w:eastAsia="zh-CN" w:bidi="ar"/>
              </w:rPr>
              <w:t>2000mm</w:t>
            </w:r>
            <w:r>
              <w:rPr>
                <w:rFonts w:hint="eastAsia" w:cs="Times New Roman"/>
                <w:color w:val="auto"/>
                <w:kern w:val="0"/>
                <w:sz w:val="21"/>
                <w:szCs w:val="21"/>
                <w:highlight w:val="none"/>
                <w:lang w:val="en-US" w:eastAsia="zh-CN" w:bidi="ar"/>
              </w:rPr>
              <w:t>；提升能力：</w:t>
            </w:r>
            <w:r>
              <w:rPr>
                <w:rFonts w:hint="default" w:cs="Times New Roman"/>
                <w:color w:val="auto"/>
                <w:kern w:val="0"/>
                <w:sz w:val="21"/>
                <w:szCs w:val="21"/>
                <w:highlight w:val="none"/>
                <w:lang w:val="en-US" w:eastAsia="zh-CN" w:bidi="ar"/>
              </w:rPr>
              <w:t>200kg</w:t>
            </w:r>
            <w:r>
              <w:rPr>
                <w:rFonts w:hint="eastAsia" w:cs="Times New Roman"/>
                <w:color w:val="auto"/>
                <w:kern w:val="0"/>
                <w:sz w:val="21"/>
                <w:szCs w:val="21"/>
                <w:highlight w:val="none"/>
                <w:lang w:val="en-US" w:eastAsia="zh-CN" w:bidi="ar"/>
              </w:rPr>
              <w:t xml:space="preserve">；平台尺寸： </w:t>
            </w:r>
            <w:r>
              <w:rPr>
                <w:rFonts w:hint="default" w:cs="Times New Roman"/>
                <w:color w:val="auto"/>
                <w:kern w:val="0"/>
                <w:sz w:val="21"/>
                <w:szCs w:val="21"/>
                <w:highlight w:val="none"/>
                <w:lang w:val="en-US" w:eastAsia="zh-CN" w:bidi="ar"/>
              </w:rPr>
              <w:t>1500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1000mm</w:t>
            </w:r>
            <w:r>
              <w:rPr>
                <w:rFonts w:hint="eastAsia" w:cs="Times New Roman"/>
                <w:color w:val="auto"/>
                <w:kern w:val="0"/>
                <w:sz w:val="21"/>
                <w:szCs w:val="21"/>
                <w:highlight w:val="none"/>
                <w:lang w:val="en-US" w:eastAsia="zh-CN" w:bidi="ar"/>
              </w:rPr>
              <w:t>；</w:t>
            </w:r>
          </w:p>
        </w:tc>
      </w:tr>
      <w:tr w14:paraId="61CD52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3C013E2">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9</w:t>
            </w:r>
          </w:p>
        </w:tc>
        <w:tc>
          <w:tcPr>
            <w:tcW w:w="2553" w:type="dxa"/>
            <w:tcBorders>
              <w:tl2br w:val="nil"/>
              <w:tr2bl w:val="nil"/>
            </w:tcBorders>
            <w:shd w:val="clear" w:color="auto" w:fill="auto"/>
            <w:vAlign w:val="center"/>
          </w:tcPr>
          <w:p w14:paraId="2177BDF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同体加工滑轮钩子</w:t>
            </w:r>
          </w:p>
        </w:tc>
        <w:tc>
          <w:tcPr>
            <w:tcW w:w="581" w:type="dxa"/>
            <w:tcBorders>
              <w:tl2br w:val="nil"/>
              <w:tr2bl w:val="nil"/>
            </w:tcBorders>
            <w:shd w:val="clear" w:color="auto" w:fill="auto"/>
            <w:noWrap/>
            <w:vAlign w:val="center"/>
          </w:tcPr>
          <w:p w14:paraId="476A5288">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789A2719">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100</w:t>
            </w:r>
          </w:p>
        </w:tc>
        <w:tc>
          <w:tcPr>
            <w:tcW w:w="3877" w:type="dxa"/>
            <w:tcBorders>
              <w:tl2br w:val="nil"/>
              <w:tr2bl w:val="nil"/>
            </w:tcBorders>
            <w:shd w:val="clear" w:color="auto" w:fill="auto"/>
            <w:vAlign w:val="center"/>
          </w:tcPr>
          <w:p w14:paraId="2CF71FD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081AC3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356F129F">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10</w:t>
            </w:r>
          </w:p>
        </w:tc>
        <w:tc>
          <w:tcPr>
            <w:tcW w:w="2553" w:type="dxa"/>
            <w:tcBorders>
              <w:tl2br w:val="nil"/>
              <w:tr2bl w:val="nil"/>
            </w:tcBorders>
            <w:shd w:val="clear" w:color="auto" w:fill="auto"/>
            <w:vAlign w:val="center"/>
          </w:tcPr>
          <w:p w14:paraId="6CA85346">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取白内脏气动双柱升降台（含内胀滑槽）</w:t>
            </w:r>
          </w:p>
        </w:tc>
        <w:tc>
          <w:tcPr>
            <w:tcW w:w="581" w:type="dxa"/>
            <w:tcBorders>
              <w:tl2br w:val="nil"/>
              <w:tr2bl w:val="nil"/>
            </w:tcBorders>
            <w:shd w:val="clear" w:color="auto" w:fill="auto"/>
            <w:noWrap/>
            <w:vAlign w:val="center"/>
          </w:tcPr>
          <w:p w14:paraId="66D3D9D8">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20305C57">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4E2E927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平台尺寸：</w:t>
            </w:r>
            <w:r>
              <w:rPr>
                <w:rFonts w:hint="default" w:cs="Times New Roman"/>
                <w:color w:val="auto"/>
                <w:kern w:val="0"/>
                <w:sz w:val="21"/>
                <w:szCs w:val="21"/>
                <w:highlight w:val="none"/>
                <w:lang w:val="en-US" w:eastAsia="zh-CN" w:bidi="ar"/>
              </w:rPr>
              <w:t>1500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1000mm</w:t>
            </w:r>
            <w:r>
              <w:rPr>
                <w:rFonts w:hint="eastAsia" w:cs="Times New Roman"/>
                <w:color w:val="auto"/>
                <w:kern w:val="0"/>
                <w:sz w:val="21"/>
                <w:szCs w:val="21"/>
                <w:highlight w:val="none"/>
                <w:lang w:val="en-US" w:eastAsia="zh-CN" w:bidi="ar"/>
              </w:rPr>
              <w:t>（长×宽），提升能力：</w:t>
            </w:r>
            <w:r>
              <w:rPr>
                <w:rFonts w:hint="default" w:cs="Times New Roman"/>
                <w:color w:val="auto"/>
                <w:kern w:val="0"/>
                <w:sz w:val="21"/>
                <w:szCs w:val="21"/>
                <w:highlight w:val="none"/>
                <w:lang w:val="en-US" w:eastAsia="zh-CN" w:bidi="ar"/>
              </w:rPr>
              <w:t>200kg</w:t>
            </w:r>
            <w:r>
              <w:rPr>
                <w:rFonts w:hint="eastAsia" w:cs="Times New Roman"/>
                <w:color w:val="auto"/>
                <w:kern w:val="0"/>
                <w:sz w:val="21"/>
                <w:szCs w:val="21"/>
                <w:highlight w:val="none"/>
                <w:lang w:val="en-US" w:eastAsia="zh-CN" w:bidi="ar"/>
              </w:rPr>
              <w:t>，提升高度：</w:t>
            </w:r>
            <w:r>
              <w:rPr>
                <w:rFonts w:hint="default" w:cs="Times New Roman"/>
                <w:color w:val="auto"/>
                <w:kern w:val="0"/>
                <w:sz w:val="21"/>
                <w:szCs w:val="21"/>
                <w:highlight w:val="none"/>
                <w:lang w:val="en-US" w:eastAsia="zh-CN" w:bidi="ar"/>
              </w:rPr>
              <w:t xml:space="preserve">400mm </w:t>
            </w:r>
          </w:p>
          <w:p w14:paraId="7D2C7AE7">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到 </w:t>
            </w:r>
            <w:r>
              <w:rPr>
                <w:rFonts w:hint="default" w:cs="Times New Roman"/>
                <w:color w:val="auto"/>
                <w:kern w:val="0"/>
                <w:sz w:val="21"/>
                <w:szCs w:val="21"/>
                <w:highlight w:val="none"/>
                <w:lang w:val="en-US" w:eastAsia="zh-CN" w:bidi="ar"/>
              </w:rPr>
              <w:t>2000mm</w:t>
            </w:r>
            <w:r>
              <w:rPr>
                <w:rFonts w:hint="eastAsia" w:cs="Times New Roman"/>
                <w:color w:val="auto"/>
                <w:kern w:val="0"/>
                <w:sz w:val="21"/>
                <w:szCs w:val="21"/>
                <w:highlight w:val="none"/>
                <w:lang w:val="en-US" w:eastAsia="zh-CN" w:bidi="ar"/>
              </w:rPr>
              <w:t>，</w:t>
            </w:r>
          </w:p>
        </w:tc>
      </w:tr>
      <w:tr w14:paraId="5CA11C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7B51151">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11</w:t>
            </w:r>
          </w:p>
        </w:tc>
        <w:tc>
          <w:tcPr>
            <w:tcW w:w="2553" w:type="dxa"/>
            <w:tcBorders>
              <w:tl2br w:val="nil"/>
              <w:tr2bl w:val="nil"/>
            </w:tcBorders>
            <w:shd w:val="clear" w:color="auto" w:fill="auto"/>
            <w:vAlign w:val="center"/>
          </w:tcPr>
          <w:p w14:paraId="185C183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取红内脏站台含内胀滑槽</w:t>
            </w:r>
          </w:p>
        </w:tc>
        <w:tc>
          <w:tcPr>
            <w:tcW w:w="581" w:type="dxa"/>
            <w:tcBorders>
              <w:tl2br w:val="nil"/>
              <w:tr2bl w:val="nil"/>
            </w:tcBorders>
            <w:shd w:val="clear" w:color="auto" w:fill="auto"/>
            <w:noWrap/>
            <w:vAlign w:val="center"/>
          </w:tcPr>
          <w:p w14:paraId="201F7896">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09FC8ED4">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2B9E8DC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台面尺寸：</w:t>
            </w:r>
            <w:r>
              <w:rPr>
                <w:rFonts w:hint="default" w:cs="Times New Roman"/>
                <w:color w:val="auto"/>
                <w:kern w:val="0"/>
                <w:sz w:val="21"/>
                <w:szCs w:val="21"/>
                <w:highlight w:val="none"/>
                <w:lang w:val="en-US" w:eastAsia="zh-CN" w:bidi="ar"/>
              </w:rPr>
              <w:t>1200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1000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1300mm</w:t>
            </w:r>
            <w:r>
              <w:rPr>
                <w:rFonts w:hint="eastAsia" w:cs="Times New Roman"/>
                <w:color w:val="auto"/>
                <w:kern w:val="0"/>
                <w:sz w:val="21"/>
                <w:szCs w:val="21"/>
                <w:highlight w:val="none"/>
                <w:lang w:val="en-US" w:eastAsia="zh-CN" w:bidi="ar"/>
              </w:rPr>
              <w:t>；台腿采用热镀锌材料制作</w:t>
            </w:r>
          </w:p>
        </w:tc>
      </w:tr>
      <w:tr w14:paraId="589DFB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4C6E04B">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12</w:t>
            </w:r>
          </w:p>
        </w:tc>
        <w:tc>
          <w:tcPr>
            <w:tcW w:w="2553" w:type="dxa"/>
            <w:tcBorders>
              <w:tl2br w:val="nil"/>
              <w:tr2bl w:val="nil"/>
            </w:tcBorders>
            <w:shd w:val="clear" w:color="auto" w:fill="auto"/>
            <w:vAlign w:val="center"/>
          </w:tcPr>
          <w:p w14:paraId="53E73628">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气动双柱升降台（劈半用）</w:t>
            </w:r>
          </w:p>
        </w:tc>
        <w:tc>
          <w:tcPr>
            <w:tcW w:w="581" w:type="dxa"/>
            <w:tcBorders>
              <w:tl2br w:val="nil"/>
              <w:tr2bl w:val="nil"/>
            </w:tcBorders>
            <w:shd w:val="clear" w:color="auto" w:fill="auto"/>
            <w:noWrap/>
            <w:vAlign w:val="center"/>
          </w:tcPr>
          <w:p w14:paraId="7A66617F">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w:t>
            </w:r>
          </w:p>
        </w:tc>
        <w:tc>
          <w:tcPr>
            <w:tcW w:w="570" w:type="dxa"/>
            <w:tcBorders>
              <w:tl2br w:val="nil"/>
              <w:tr2bl w:val="nil"/>
            </w:tcBorders>
            <w:shd w:val="clear" w:color="auto" w:fill="auto"/>
            <w:noWrap/>
            <w:vAlign w:val="center"/>
          </w:tcPr>
          <w:p w14:paraId="56797A8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0D3B8BEA">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提升高度：</w:t>
            </w:r>
            <w:r>
              <w:rPr>
                <w:rFonts w:hint="default" w:cs="Times New Roman"/>
                <w:color w:val="auto"/>
                <w:kern w:val="0"/>
                <w:sz w:val="21"/>
                <w:szCs w:val="21"/>
                <w:highlight w:val="none"/>
                <w:lang w:val="en-US" w:eastAsia="zh-CN" w:bidi="ar"/>
              </w:rPr>
              <w:t xml:space="preserve">400mm </w:t>
            </w:r>
            <w:r>
              <w:rPr>
                <w:rFonts w:hint="eastAsia" w:cs="Times New Roman"/>
                <w:color w:val="auto"/>
                <w:kern w:val="0"/>
                <w:sz w:val="21"/>
                <w:szCs w:val="21"/>
                <w:highlight w:val="none"/>
                <w:lang w:val="en-US" w:eastAsia="zh-CN" w:bidi="ar"/>
              </w:rPr>
              <w:t xml:space="preserve">到 </w:t>
            </w:r>
            <w:r>
              <w:rPr>
                <w:rFonts w:hint="default" w:cs="Times New Roman"/>
                <w:color w:val="auto"/>
                <w:kern w:val="0"/>
                <w:sz w:val="21"/>
                <w:szCs w:val="21"/>
                <w:highlight w:val="none"/>
                <w:lang w:val="en-US" w:eastAsia="zh-CN" w:bidi="ar"/>
              </w:rPr>
              <w:t>2000mm</w:t>
            </w:r>
            <w:r>
              <w:rPr>
                <w:rFonts w:hint="eastAsia" w:cs="Times New Roman"/>
                <w:color w:val="auto"/>
                <w:kern w:val="0"/>
                <w:sz w:val="21"/>
                <w:szCs w:val="21"/>
                <w:highlight w:val="none"/>
                <w:lang w:val="en-US" w:eastAsia="zh-CN" w:bidi="ar"/>
              </w:rPr>
              <w:t>；提升能力：</w:t>
            </w:r>
            <w:r>
              <w:rPr>
                <w:rFonts w:hint="default" w:cs="Times New Roman"/>
                <w:color w:val="auto"/>
                <w:kern w:val="0"/>
                <w:sz w:val="21"/>
                <w:szCs w:val="21"/>
                <w:highlight w:val="none"/>
                <w:lang w:val="en-US" w:eastAsia="zh-CN" w:bidi="ar"/>
              </w:rPr>
              <w:t>200kg</w:t>
            </w:r>
            <w:r>
              <w:rPr>
                <w:rFonts w:hint="eastAsia" w:cs="Times New Roman"/>
                <w:color w:val="auto"/>
                <w:kern w:val="0"/>
                <w:sz w:val="21"/>
                <w:szCs w:val="21"/>
                <w:highlight w:val="none"/>
                <w:lang w:val="en-US" w:eastAsia="zh-CN" w:bidi="ar"/>
              </w:rPr>
              <w:t xml:space="preserve">；平台尺寸： </w:t>
            </w:r>
            <w:r>
              <w:rPr>
                <w:rFonts w:hint="default" w:cs="Times New Roman"/>
                <w:color w:val="auto"/>
                <w:kern w:val="0"/>
                <w:sz w:val="21"/>
                <w:szCs w:val="21"/>
                <w:highlight w:val="none"/>
                <w:lang w:val="en-US" w:eastAsia="zh-CN" w:bidi="ar"/>
              </w:rPr>
              <w:t>1500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1000mm</w:t>
            </w:r>
            <w:r>
              <w:rPr>
                <w:rFonts w:hint="eastAsia" w:cs="Times New Roman"/>
                <w:color w:val="auto"/>
                <w:kern w:val="0"/>
                <w:sz w:val="21"/>
                <w:szCs w:val="21"/>
                <w:highlight w:val="none"/>
                <w:lang w:val="en-US" w:eastAsia="zh-CN" w:bidi="ar"/>
              </w:rPr>
              <w:t>；</w:t>
            </w:r>
          </w:p>
        </w:tc>
      </w:tr>
      <w:tr w14:paraId="0815A7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269B360">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13</w:t>
            </w:r>
          </w:p>
        </w:tc>
        <w:tc>
          <w:tcPr>
            <w:tcW w:w="2553" w:type="dxa"/>
            <w:tcBorders>
              <w:tl2br w:val="nil"/>
              <w:tr2bl w:val="nil"/>
            </w:tcBorders>
            <w:shd w:val="clear" w:color="auto" w:fill="auto"/>
            <w:vAlign w:val="center"/>
          </w:tcPr>
          <w:p w14:paraId="35866E96">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手提式劈半锯（国产）</w:t>
            </w:r>
          </w:p>
        </w:tc>
        <w:tc>
          <w:tcPr>
            <w:tcW w:w="581" w:type="dxa"/>
            <w:tcBorders>
              <w:tl2br w:val="nil"/>
              <w:tr2bl w:val="nil"/>
            </w:tcBorders>
            <w:shd w:val="clear" w:color="auto" w:fill="auto"/>
            <w:noWrap/>
            <w:vAlign w:val="center"/>
          </w:tcPr>
          <w:p w14:paraId="514DB7AF">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w:t>
            </w:r>
          </w:p>
        </w:tc>
        <w:tc>
          <w:tcPr>
            <w:tcW w:w="570" w:type="dxa"/>
            <w:tcBorders>
              <w:tl2br w:val="nil"/>
              <w:tr2bl w:val="nil"/>
            </w:tcBorders>
            <w:shd w:val="clear" w:color="auto" w:fill="auto"/>
            <w:noWrap/>
            <w:vAlign w:val="center"/>
          </w:tcPr>
          <w:p w14:paraId="0D804002">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7CB3B826">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功率 </w:t>
            </w:r>
            <w:r>
              <w:rPr>
                <w:rFonts w:hint="default" w:cs="Times New Roman"/>
                <w:color w:val="auto"/>
                <w:kern w:val="0"/>
                <w:sz w:val="21"/>
                <w:szCs w:val="21"/>
                <w:highlight w:val="none"/>
                <w:lang w:val="en-US" w:eastAsia="zh-CN" w:bidi="ar"/>
              </w:rPr>
              <w:t xml:space="preserve">2.2kW </w:t>
            </w:r>
            <w:r>
              <w:rPr>
                <w:rFonts w:hint="eastAsia" w:cs="Times New Roman"/>
                <w:color w:val="auto"/>
                <w:kern w:val="0"/>
                <w:sz w:val="21"/>
                <w:szCs w:val="21"/>
                <w:highlight w:val="none"/>
                <w:lang w:val="en-US" w:eastAsia="zh-CN" w:bidi="ar"/>
              </w:rPr>
              <w:t>机架不锈钢材质</w:t>
            </w:r>
          </w:p>
        </w:tc>
      </w:tr>
      <w:tr w14:paraId="012295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4A8A114">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14</w:t>
            </w:r>
          </w:p>
        </w:tc>
        <w:tc>
          <w:tcPr>
            <w:tcW w:w="2553" w:type="dxa"/>
            <w:tcBorders>
              <w:tl2br w:val="nil"/>
              <w:tr2bl w:val="nil"/>
            </w:tcBorders>
            <w:shd w:val="clear" w:color="auto" w:fill="auto"/>
            <w:vAlign w:val="center"/>
          </w:tcPr>
          <w:p w14:paraId="7FA1A071">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四分体劈半锯</w:t>
            </w:r>
          </w:p>
        </w:tc>
        <w:tc>
          <w:tcPr>
            <w:tcW w:w="581" w:type="dxa"/>
            <w:tcBorders>
              <w:tl2br w:val="nil"/>
              <w:tr2bl w:val="nil"/>
            </w:tcBorders>
            <w:shd w:val="clear" w:color="auto" w:fill="auto"/>
            <w:noWrap/>
            <w:vAlign w:val="center"/>
          </w:tcPr>
          <w:p w14:paraId="0842257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4EE7EC6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708CA617">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4C07CC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0BE15EC">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15</w:t>
            </w:r>
          </w:p>
        </w:tc>
        <w:tc>
          <w:tcPr>
            <w:tcW w:w="2553" w:type="dxa"/>
            <w:tcBorders>
              <w:tl2br w:val="nil"/>
              <w:tr2bl w:val="nil"/>
            </w:tcBorders>
            <w:shd w:val="clear" w:color="auto" w:fill="auto"/>
            <w:vAlign w:val="center"/>
          </w:tcPr>
          <w:p w14:paraId="432DEA3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胴体检疫站台</w:t>
            </w:r>
          </w:p>
        </w:tc>
        <w:tc>
          <w:tcPr>
            <w:tcW w:w="581" w:type="dxa"/>
            <w:tcBorders>
              <w:tl2br w:val="nil"/>
              <w:tr2bl w:val="nil"/>
            </w:tcBorders>
            <w:shd w:val="clear" w:color="auto" w:fill="auto"/>
            <w:noWrap/>
            <w:vAlign w:val="center"/>
          </w:tcPr>
          <w:p w14:paraId="788789AF">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67611C1D">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63FBFD86">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台面尺寸：</w:t>
            </w:r>
            <w:r>
              <w:rPr>
                <w:rFonts w:hint="default" w:cs="Times New Roman"/>
                <w:color w:val="auto"/>
                <w:kern w:val="0"/>
                <w:sz w:val="21"/>
                <w:szCs w:val="21"/>
                <w:highlight w:val="none"/>
                <w:lang w:val="en-US" w:eastAsia="zh-CN" w:bidi="ar"/>
              </w:rPr>
              <w:t>1200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1000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1300mm</w:t>
            </w:r>
            <w:r>
              <w:rPr>
                <w:rFonts w:hint="eastAsia" w:cs="Times New Roman"/>
                <w:color w:val="auto"/>
                <w:kern w:val="0"/>
                <w:sz w:val="21"/>
                <w:szCs w:val="21"/>
                <w:highlight w:val="none"/>
                <w:lang w:val="en-US" w:eastAsia="zh-CN" w:bidi="ar"/>
              </w:rPr>
              <w:t>；</w:t>
            </w:r>
          </w:p>
        </w:tc>
      </w:tr>
      <w:tr w14:paraId="279EDA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9607FA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16</w:t>
            </w:r>
          </w:p>
        </w:tc>
        <w:tc>
          <w:tcPr>
            <w:tcW w:w="2553" w:type="dxa"/>
            <w:tcBorders>
              <w:tl2br w:val="nil"/>
              <w:tr2bl w:val="nil"/>
            </w:tcBorders>
            <w:shd w:val="clear" w:color="auto" w:fill="auto"/>
            <w:vAlign w:val="center"/>
          </w:tcPr>
          <w:p w14:paraId="00D7FEF1">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修整固定式站台</w:t>
            </w:r>
          </w:p>
        </w:tc>
        <w:tc>
          <w:tcPr>
            <w:tcW w:w="581" w:type="dxa"/>
            <w:tcBorders>
              <w:tl2br w:val="nil"/>
              <w:tr2bl w:val="nil"/>
            </w:tcBorders>
            <w:shd w:val="clear" w:color="auto" w:fill="auto"/>
            <w:noWrap/>
            <w:vAlign w:val="center"/>
          </w:tcPr>
          <w:p w14:paraId="3752C03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6EBD8CE5">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7408A154">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台面尺寸：</w:t>
            </w:r>
            <w:r>
              <w:rPr>
                <w:rFonts w:hint="default" w:cs="Times New Roman"/>
                <w:color w:val="auto"/>
                <w:kern w:val="0"/>
                <w:sz w:val="21"/>
                <w:szCs w:val="21"/>
                <w:highlight w:val="none"/>
                <w:lang w:val="en-US" w:eastAsia="zh-CN" w:bidi="ar"/>
              </w:rPr>
              <w:t>1200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1000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1300mm</w:t>
            </w:r>
            <w:r>
              <w:rPr>
                <w:rFonts w:hint="eastAsia" w:cs="Times New Roman"/>
                <w:color w:val="auto"/>
                <w:kern w:val="0"/>
                <w:sz w:val="21"/>
                <w:szCs w:val="21"/>
                <w:highlight w:val="none"/>
                <w:lang w:val="en-US" w:eastAsia="zh-CN" w:bidi="ar"/>
              </w:rPr>
              <w:t>；</w:t>
            </w:r>
          </w:p>
        </w:tc>
      </w:tr>
      <w:tr w14:paraId="2DB808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7028970">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17</w:t>
            </w:r>
          </w:p>
        </w:tc>
        <w:tc>
          <w:tcPr>
            <w:tcW w:w="2553" w:type="dxa"/>
            <w:tcBorders>
              <w:tl2br w:val="nil"/>
              <w:tr2bl w:val="nil"/>
            </w:tcBorders>
            <w:shd w:val="clear" w:color="auto" w:fill="auto"/>
            <w:vAlign w:val="center"/>
          </w:tcPr>
          <w:p w14:paraId="59946FF8">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四分体站台</w:t>
            </w:r>
          </w:p>
        </w:tc>
        <w:tc>
          <w:tcPr>
            <w:tcW w:w="581" w:type="dxa"/>
            <w:tcBorders>
              <w:tl2br w:val="nil"/>
              <w:tr2bl w:val="nil"/>
            </w:tcBorders>
            <w:shd w:val="clear" w:color="auto" w:fill="auto"/>
            <w:noWrap/>
            <w:vAlign w:val="center"/>
          </w:tcPr>
          <w:p w14:paraId="1B13A9CB">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2B221F5B">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5CC0FCCB">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台面尺寸：</w:t>
            </w:r>
            <w:r>
              <w:rPr>
                <w:rFonts w:hint="default" w:cs="Times New Roman"/>
                <w:color w:val="auto"/>
                <w:kern w:val="0"/>
                <w:sz w:val="21"/>
                <w:szCs w:val="21"/>
                <w:highlight w:val="none"/>
                <w:lang w:val="en-US" w:eastAsia="zh-CN" w:bidi="ar"/>
              </w:rPr>
              <w:t>1200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1000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1300mm</w:t>
            </w:r>
            <w:r>
              <w:rPr>
                <w:rFonts w:hint="eastAsia" w:cs="Times New Roman"/>
                <w:color w:val="auto"/>
                <w:kern w:val="0"/>
                <w:sz w:val="21"/>
                <w:szCs w:val="21"/>
                <w:highlight w:val="none"/>
                <w:lang w:val="en-US" w:eastAsia="zh-CN" w:bidi="ar"/>
              </w:rPr>
              <w:t>；</w:t>
            </w:r>
          </w:p>
        </w:tc>
      </w:tr>
      <w:tr w14:paraId="5B7D5F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FDF0C27">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18</w:t>
            </w:r>
          </w:p>
        </w:tc>
        <w:tc>
          <w:tcPr>
            <w:tcW w:w="2553" w:type="dxa"/>
            <w:tcBorders>
              <w:tl2br w:val="nil"/>
              <w:tr2bl w:val="nil"/>
            </w:tcBorders>
            <w:shd w:val="clear" w:color="auto" w:fill="auto"/>
            <w:vAlign w:val="center"/>
          </w:tcPr>
          <w:p w14:paraId="61577B7E">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管轨手推线及病体线</w:t>
            </w:r>
          </w:p>
        </w:tc>
        <w:tc>
          <w:tcPr>
            <w:tcW w:w="581" w:type="dxa"/>
            <w:tcBorders>
              <w:tl2br w:val="nil"/>
              <w:tr2bl w:val="nil"/>
            </w:tcBorders>
            <w:shd w:val="clear" w:color="auto" w:fill="auto"/>
            <w:noWrap/>
            <w:vAlign w:val="center"/>
          </w:tcPr>
          <w:p w14:paraId="010D3714">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米</w:t>
            </w:r>
          </w:p>
        </w:tc>
        <w:tc>
          <w:tcPr>
            <w:tcW w:w="570" w:type="dxa"/>
            <w:tcBorders>
              <w:tl2br w:val="nil"/>
              <w:tr2bl w:val="nil"/>
            </w:tcBorders>
            <w:shd w:val="clear" w:color="auto" w:fill="auto"/>
            <w:noWrap/>
            <w:vAlign w:val="center"/>
          </w:tcPr>
          <w:p w14:paraId="6B80C51E">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400</w:t>
            </w:r>
          </w:p>
        </w:tc>
        <w:tc>
          <w:tcPr>
            <w:tcW w:w="3877" w:type="dxa"/>
            <w:tcBorders>
              <w:tl2br w:val="nil"/>
              <w:tr2bl w:val="nil"/>
            </w:tcBorders>
            <w:shd w:val="clear" w:color="auto" w:fill="auto"/>
            <w:vAlign w:val="center"/>
          </w:tcPr>
          <w:p w14:paraId="1A1452DE">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default" w:cs="Times New Roman"/>
                <w:color w:val="auto"/>
                <w:kern w:val="0"/>
                <w:sz w:val="21"/>
                <w:szCs w:val="21"/>
                <w:highlight w:val="none"/>
                <w:lang w:val="en-US" w:eastAsia="zh-CN" w:bidi="ar"/>
              </w:rPr>
              <w:t>10#</w:t>
            </w:r>
            <w:r>
              <w:rPr>
                <w:rFonts w:hint="eastAsia" w:cs="Times New Roman"/>
                <w:color w:val="auto"/>
                <w:kern w:val="0"/>
                <w:sz w:val="21"/>
                <w:szCs w:val="21"/>
                <w:highlight w:val="none"/>
                <w:lang w:val="en-US" w:eastAsia="zh-CN" w:bidi="ar"/>
              </w:rPr>
              <w:t>双槽钢钢件全部热镀锌结构</w:t>
            </w:r>
          </w:p>
        </w:tc>
      </w:tr>
      <w:tr w14:paraId="232BBA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08A1877">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19</w:t>
            </w:r>
          </w:p>
        </w:tc>
        <w:tc>
          <w:tcPr>
            <w:tcW w:w="2553" w:type="dxa"/>
            <w:tcBorders>
              <w:tl2br w:val="nil"/>
              <w:tr2bl w:val="nil"/>
            </w:tcBorders>
            <w:shd w:val="clear" w:color="auto" w:fill="auto"/>
            <w:vAlign w:val="center"/>
          </w:tcPr>
          <w:p w14:paraId="73EC8358">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default" w:cs="Times New Roman"/>
                <w:color w:val="auto"/>
                <w:kern w:val="0"/>
                <w:sz w:val="21"/>
                <w:szCs w:val="21"/>
                <w:highlight w:val="none"/>
                <w:lang w:val="en-US" w:eastAsia="zh-CN" w:bidi="ar"/>
              </w:rPr>
              <w:t xml:space="preserve">90 </w:t>
            </w:r>
            <w:r>
              <w:rPr>
                <w:rFonts w:hint="eastAsia" w:cs="Times New Roman"/>
                <w:color w:val="auto"/>
                <w:kern w:val="0"/>
                <w:sz w:val="21"/>
                <w:szCs w:val="21"/>
                <w:highlight w:val="none"/>
                <w:lang w:val="en-US" w:eastAsia="zh-CN" w:bidi="ar"/>
              </w:rPr>
              <w:t>度弯轨</w:t>
            </w:r>
          </w:p>
        </w:tc>
        <w:tc>
          <w:tcPr>
            <w:tcW w:w="581" w:type="dxa"/>
            <w:tcBorders>
              <w:tl2br w:val="nil"/>
              <w:tr2bl w:val="nil"/>
            </w:tcBorders>
            <w:shd w:val="clear" w:color="auto" w:fill="auto"/>
            <w:noWrap/>
            <w:vAlign w:val="center"/>
          </w:tcPr>
          <w:p w14:paraId="72DEB1B5">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63450659">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32</w:t>
            </w:r>
          </w:p>
        </w:tc>
        <w:tc>
          <w:tcPr>
            <w:tcW w:w="3877" w:type="dxa"/>
            <w:tcBorders>
              <w:tl2br w:val="nil"/>
              <w:tr2bl w:val="nil"/>
            </w:tcBorders>
            <w:shd w:val="clear" w:color="auto" w:fill="auto"/>
            <w:vAlign w:val="center"/>
          </w:tcPr>
          <w:p w14:paraId="64E1E3F8">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default" w:cs="Times New Roman"/>
                <w:color w:val="auto"/>
                <w:kern w:val="0"/>
                <w:sz w:val="21"/>
                <w:szCs w:val="21"/>
                <w:highlight w:val="none"/>
                <w:lang w:val="en-US" w:eastAsia="zh-CN" w:bidi="ar"/>
              </w:rPr>
              <w:t xml:space="preserve">90 </w:t>
            </w:r>
            <w:r>
              <w:rPr>
                <w:rFonts w:hint="eastAsia" w:cs="Times New Roman"/>
                <w:color w:val="auto"/>
                <w:kern w:val="0"/>
                <w:sz w:val="21"/>
                <w:szCs w:val="21"/>
                <w:highlight w:val="none"/>
                <w:lang w:val="en-US" w:eastAsia="zh-CN" w:bidi="ar"/>
              </w:rPr>
              <w:t>度不锈钢管轨弯轨∮</w:t>
            </w:r>
            <w:r>
              <w:rPr>
                <w:rFonts w:hint="default" w:cs="Times New Roman"/>
                <w:color w:val="auto"/>
                <w:kern w:val="0"/>
                <w:sz w:val="21"/>
                <w:szCs w:val="21"/>
                <w:highlight w:val="none"/>
                <w:lang w:val="en-US" w:eastAsia="zh-CN" w:bidi="ar"/>
              </w:rPr>
              <w:t>60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3mm</w:t>
            </w:r>
          </w:p>
        </w:tc>
      </w:tr>
      <w:tr w14:paraId="69914D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E32608E">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20</w:t>
            </w:r>
          </w:p>
        </w:tc>
        <w:tc>
          <w:tcPr>
            <w:tcW w:w="2553" w:type="dxa"/>
            <w:tcBorders>
              <w:tl2br w:val="nil"/>
              <w:tr2bl w:val="nil"/>
            </w:tcBorders>
            <w:shd w:val="clear" w:color="auto" w:fill="auto"/>
            <w:vAlign w:val="center"/>
          </w:tcPr>
          <w:p w14:paraId="4770AE03">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管轨道岔</w:t>
            </w:r>
          </w:p>
        </w:tc>
        <w:tc>
          <w:tcPr>
            <w:tcW w:w="581" w:type="dxa"/>
            <w:tcBorders>
              <w:tl2br w:val="nil"/>
              <w:tr2bl w:val="nil"/>
            </w:tcBorders>
            <w:shd w:val="clear" w:color="auto" w:fill="auto"/>
            <w:noWrap/>
            <w:vAlign w:val="center"/>
          </w:tcPr>
          <w:p w14:paraId="23186325">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14B7F0FE">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38</w:t>
            </w:r>
          </w:p>
        </w:tc>
        <w:tc>
          <w:tcPr>
            <w:tcW w:w="3877" w:type="dxa"/>
            <w:tcBorders>
              <w:tl2br w:val="nil"/>
              <w:tr2bl w:val="nil"/>
            </w:tcBorders>
            <w:shd w:val="clear" w:color="auto" w:fill="auto"/>
            <w:vAlign w:val="center"/>
          </w:tcPr>
          <w:p w14:paraId="4423332D">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1B130D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E3D8E6C">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21</w:t>
            </w:r>
          </w:p>
        </w:tc>
        <w:tc>
          <w:tcPr>
            <w:tcW w:w="2553" w:type="dxa"/>
            <w:tcBorders>
              <w:tl2br w:val="nil"/>
              <w:tr2bl w:val="nil"/>
            </w:tcBorders>
            <w:shd w:val="clear" w:color="auto" w:fill="auto"/>
            <w:vAlign w:val="center"/>
          </w:tcPr>
          <w:p w14:paraId="6563F5A5">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坡式四分体下降机</w:t>
            </w:r>
          </w:p>
        </w:tc>
        <w:tc>
          <w:tcPr>
            <w:tcW w:w="581" w:type="dxa"/>
            <w:tcBorders>
              <w:tl2br w:val="nil"/>
              <w:tr2bl w:val="nil"/>
            </w:tcBorders>
            <w:shd w:val="clear" w:color="auto" w:fill="auto"/>
            <w:noWrap/>
            <w:vAlign w:val="center"/>
          </w:tcPr>
          <w:p w14:paraId="3F41CEB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w:t>
            </w:r>
          </w:p>
        </w:tc>
        <w:tc>
          <w:tcPr>
            <w:tcW w:w="570" w:type="dxa"/>
            <w:tcBorders>
              <w:tl2br w:val="nil"/>
              <w:tr2bl w:val="nil"/>
            </w:tcBorders>
            <w:shd w:val="clear" w:color="auto" w:fill="auto"/>
            <w:noWrap/>
            <w:vAlign w:val="center"/>
          </w:tcPr>
          <w:p w14:paraId="4B51B127">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p>
        </w:tc>
        <w:tc>
          <w:tcPr>
            <w:tcW w:w="3877" w:type="dxa"/>
            <w:tcBorders>
              <w:tl2br w:val="nil"/>
              <w:tr2bl w:val="nil"/>
            </w:tcBorders>
            <w:shd w:val="clear" w:color="auto" w:fill="auto"/>
            <w:vAlign w:val="center"/>
          </w:tcPr>
          <w:p w14:paraId="73D880B1">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电机功率：</w:t>
            </w:r>
            <w:r>
              <w:rPr>
                <w:rFonts w:hint="default" w:cs="Times New Roman"/>
                <w:color w:val="auto"/>
                <w:kern w:val="0"/>
                <w:sz w:val="21"/>
                <w:szCs w:val="21"/>
                <w:highlight w:val="none"/>
                <w:lang w:val="en-US" w:eastAsia="zh-CN" w:bidi="ar"/>
              </w:rPr>
              <w:t>2.2KW</w:t>
            </w:r>
            <w:r>
              <w:rPr>
                <w:rFonts w:hint="eastAsia" w:cs="Times New Roman"/>
                <w:color w:val="auto"/>
                <w:kern w:val="0"/>
                <w:sz w:val="21"/>
                <w:szCs w:val="21"/>
                <w:highlight w:val="none"/>
                <w:lang w:val="en-US" w:eastAsia="zh-CN" w:bidi="ar"/>
              </w:rPr>
              <w:t>轨道采用φ</w:t>
            </w:r>
            <w:r>
              <w:rPr>
                <w:rFonts w:hint="default" w:cs="Times New Roman"/>
                <w:color w:val="auto"/>
                <w:kern w:val="0"/>
                <w:sz w:val="21"/>
                <w:szCs w:val="21"/>
                <w:highlight w:val="none"/>
                <w:lang w:val="en-US" w:eastAsia="zh-CN" w:bidi="ar"/>
              </w:rPr>
              <w:t xml:space="preserve">60*4 </w:t>
            </w:r>
            <w:r>
              <w:rPr>
                <w:rFonts w:hint="eastAsia" w:cs="Times New Roman"/>
                <w:color w:val="auto"/>
                <w:kern w:val="0"/>
                <w:sz w:val="21"/>
                <w:szCs w:val="21"/>
                <w:highlight w:val="none"/>
                <w:lang w:val="en-US" w:eastAsia="zh-CN" w:bidi="ar"/>
              </w:rPr>
              <w:t>不锈钢圆管</w:t>
            </w:r>
          </w:p>
        </w:tc>
      </w:tr>
      <w:tr w14:paraId="087222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C24058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22</w:t>
            </w:r>
          </w:p>
        </w:tc>
        <w:tc>
          <w:tcPr>
            <w:tcW w:w="2553" w:type="dxa"/>
            <w:tcBorders>
              <w:tl2br w:val="nil"/>
              <w:tr2bl w:val="nil"/>
            </w:tcBorders>
            <w:shd w:val="clear" w:color="auto" w:fill="auto"/>
            <w:vAlign w:val="center"/>
          </w:tcPr>
          <w:p w14:paraId="49FD48B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回空自动输送机</w:t>
            </w:r>
          </w:p>
        </w:tc>
        <w:tc>
          <w:tcPr>
            <w:tcW w:w="581" w:type="dxa"/>
            <w:tcBorders>
              <w:tl2br w:val="nil"/>
              <w:tr2bl w:val="nil"/>
            </w:tcBorders>
            <w:shd w:val="clear" w:color="auto" w:fill="auto"/>
            <w:noWrap/>
            <w:vAlign w:val="center"/>
          </w:tcPr>
          <w:p w14:paraId="07C5778D">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米</w:t>
            </w:r>
          </w:p>
        </w:tc>
        <w:tc>
          <w:tcPr>
            <w:tcW w:w="570" w:type="dxa"/>
            <w:tcBorders>
              <w:tl2br w:val="nil"/>
              <w:tr2bl w:val="nil"/>
            </w:tcBorders>
            <w:shd w:val="clear" w:color="auto" w:fill="auto"/>
            <w:noWrap/>
            <w:vAlign w:val="center"/>
          </w:tcPr>
          <w:p w14:paraId="2CC177FB">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65</w:t>
            </w:r>
          </w:p>
        </w:tc>
        <w:tc>
          <w:tcPr>
            <w:tcW w:w="3877" w:type="dxa"/>
            <w:tcBorders>
              <w:tl2br w:val="nil"/>
              <w:tr2bl w:val="nil"/>
            </w:tcBorders>
            <w:shd w:val="clear" w:color="auto" w:fill="auto"/>
            <w:vAlign w:val="center"/>
          </w:tcPr>
          <w:p w14:paraId="1FA0196A">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1C0883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308BC3E5">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23</w:t>
            </w:r>
          </w:p>
        </w:tc>
        <w:tc>
          <w:tcPr>
            <w:tcW w:w="2553" w:type="dxa"/>
            <w:tcBorders>
              <w:tl2br w:val="nil"/>
              <w:tr2bl w:val="nil"/>
            </w:tcBorders>
            <w:shd w:val="clear" w:color="auto" w:fill="auto"/>
            <w:noWrap/>
            <w:vAlign w:val="center"/>
          </w:tcPr>
          <w:p w14:paraId="4F49D05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轨道电子秤</w:t>
            </w:r>
          </w:p>
        </w:tc>
        <w:tc>
          <w:tcPr>
            <w:tcW w:w="581" w:type="dxa"/>
            <w:tcBorders>
              <w:tl2br w:val="nil"/>
              <w:tr2bl w:val="nil"/>
            </w:tcBorders>
            <w:shd w:val="clear" w:color="auto" w:fill="auto"/>
            <w:noWrap/>
            <w:vAlign w:val="center"/>
          </w:tcPr>
          <w:p w14:paraId="1CB06D33">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w:t>
            </w:r>
          </w:p>
        </w:tc>
        <w:tc>
          <w:tcPr>
            <w:tcW w:w="570" w:type="dxa"/>
            <w:tcBorders>
              <w:tl2br w:val="nil"/>
              <w:tr2bl w:val="nil"/>
            </w:tcBorders>
            <w:shd w:val="clear" w:color="auto" w:fill="auto"/>
            <w:noWrap/>
            <w:vAlign w:val="center"/>
          </w:tcPr>
          <w:p w14:paraId="054F6237">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22E2231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3578A3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2BE4F17">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24</w:t>
            </w:r>
          </w:p>
        </w:tc>
        <w:tc>
          <w:tcPr>
            <w:tcW w:w="2553" w:type="dxa"/>
            <w:tcBorders>
              <w:tl2br w:val="nil"/>
              <w:tr2bl w:val="nil"/>
            </w:tcBorders>
            <w:shd w:val="clear" w:color="auto" w:fill="auto"/>
            <w:noWrap/>
            <w:vAlign w:val="center"/>
          </w:tcPr>
          <w:p w14:paraId="332A8A1D">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胴体自动冲淋机</w:t>
            </w:r>
          </w:p>
        </w:tc>
        <w:tc>
          <w:tcPr>
            <w:tcW w:w="581" w:type="dxa"/>
            <w:tcBorders>
              <w:tl2br w:val="nil"/>
              <w:tr2bl w:val="nil"/>
            </w:tcBorders>
            <w:shd w:val="clear" w:color="auto" w:fill="auto"/>
            <w:noWrap/>
            <w:vAlign w:val="center"/>
          </w:tcPr>
          <w:p w14:paraId="20B067AA">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w:t>
            </w:r>
          </w:p>
        </w:tc>
        <w:tc>
          <w:tcPr>
            <w:tcW w:w="570" w:type="dxa"/>
            <w:tcBorders>
              <w:tl2br w:val="nil"/>
              <w:tr2bl w:val="nil"/>
            </w:tcBorders>
            <w:shd w:val="clear" w:color="auto" w:fill="auto"/>
            <w:noWrap/>
            <w:vAlign w:val="center"/>
          </w:tcPr>
          <w:p w14:paraId="3D711D3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1985F372">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全不锈钢制作</w:t>
            </w:r>
          </w:p>
        </w:tc>
      </w:tr>
      <w:tr w14:paraId="739A2C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FBF5DAD">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25</w:t>
            </w:r>
          </w:p>
        </w:tc>
        <w:tc>
          <w:tcPr>
            <w:tcW w:w="2553" w:type="dxa"/>
            <w:tcBorders>
              <w:tl2br w:val="nil"/>
              <w:tr2bl w:val="nil"/>
            </w:tcBorders>
            <w:shd w:val="clear" w:color="auto" w:fill="auto"/>
            <w:noWrap/>
            <w:vAlign w:val="center"/>
          </w:tcPr>
          <w:p w14:paraId="5ADA6413">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胃容物输送系统</w:t>
            </w:r>
          </w:p>
        </w:tc>
        <w:tc>
          <w:tcPr>
            <w:tcW w:w="581" w:type="dxa"/>
            <w:tcBorders>
              <w:tl2br w:val="nil"/>
              <w:tr2bl w:val="nil"/>
            </w:tcBorders>
            <w:shd w:val="clear" w:color="auto" w:fill="auto"/>
            <w:noWrap/>
            <w:vAlign w:val="center"/>
          </w:tcPr>
          <w:p w14:paraId="3A6D20B2">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0F04E12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08A6992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70FD52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344E855">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26</w:t>
            </w:r>
          </w:p>
        </w:tc>
        <w:tc>
          <w:tcPr>
            <w:tcW w:w="2553" w:type="dxa"/>
            <w:tcBorders>
              <w:tl2br w:val="nil"/>
              <w:tr2bl w:val="nil"/>
            </w:tcBorders>
            <w:shd w:val="clear" w:color="auto" w:fill="auto"/>
            <w:noWrap/>
            <w:vAlign w:val="center"/>
          </w:tcPr>
          <w:p w14:paraId="757DD834">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胃溶物风送管道与支架</w:t>
            </w:r>
          </w:p>
        </w:tc>
        <w:tc>
          <w:tcPr>
            <w:tcW w:w="581" w:type="dxa"/>
            <w:tcBorders>
              <w:tl2br w:val="nil"/>
              <w:tr2bl w:val="nil"/>
            </w:tcBorders>
            <w:shd w:val="clear" w:color="auto" w:fill="auto"/>
            <w:noWrap/>
            <w:vAlign w:val="center"/>
          </w:tcPr>
          <w:p w14:paraId="4A49EA8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米</w:t>
            </w:r>
          </w:p>
        </w:tc>
        <w:tc>
          <w:tcPr>
            <w:tcW w:w="570" w:type="dxa"/>
            <w:tcBorders>
              <w:tl2br w:val="nil"/>
              <w:tr2bl w:val="nil"/>
            </w:tcBorders>
            <w:shd w:val="clear" w:color="auto" w:fill="auto"/>
            <w:noWrap/>
            <w:vAlign w:val="center"/>
          </w:tcPr>
          <w:p w14:paraId="69D9EECA">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50</w:t>
            </w:r>
          </w:p>
        </w:tc>
        <w:tc>
          <w:tcPr>
            <w:tcW w:w="3877" w:type="dxa"/>
            <w:tcBorders>
              <w:tl2br w:val="nil"/>
              <w:tr2bl w:val="nil"/>
            </w:tcBorders>
            <w:shd w:val="clear" w:color="auto" w:fill="auto"/>
            <w:vAlign w:val="center"/>
          </w:tcPr>
          <w:p w14:paraId="79A4BC81">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热镀锌管道∮</w:t>
            </w:r>
            <w:r>
              <w:rPr>
                <w:rFonts w:hint="default" w:cs="Times New Roman"/>
                <w:color w:val="auto"/>
                <w:kern w:val="0"/>
                <w:sz w:val="21"/>
                <w:szCs w:val="21"/>
                <w:highlight w:val="none"/>
                <w:lang w:val="en-US" w:eastAsia="zh-CN" w:bidi="ar"/>
              </w:rPr>
              <w:t>159</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3</w:t>
            </w:r>
          </w:p>
        </w:tc>
      </w:tr>
      <w:tr w14:paraId="062606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BD9B8E2">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27</w:t>
            </w:r>
          </w:p>
        </w:tc>
        <w:tc>
          <w:tcPr>
            <w:tcW w:w="2553" w:type="dxa"/>
            <w:tcBorders>
              <w:tl2br w:val="nil"/>
              <w:tr2bl w:val="nil"/>
            </w:tcBorders>
            <w:shd w:val="clear" w:color="auto" w:fill="auto"/>
            <w:noWrap/>
            <w:vAlign w:val="center"/>
          </w:tcPr>
          <w:p w14:paraId="64D10B27">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刀具消毒器</w:t>
            </w:r>
          </w:p>
        </w:tc>
        <w:tc>
          <w:tcPr>
            <w:tcW w:w="581" w:type="dxa"/>
            <w:tcBorders>
              <w:tl2br w:val="nil"/>
              <w:tr2bl w:val="nil"/>
            </w:tcBorders>
            <w:shd w:val="clear" w:color="auto" w:fill="auto"/>
            <w:noWrap/>
            <w:vAlign w:val="center"/>
          </w:tcPr>
          <w:p w14:paraId="0A395516">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w:t>
            </w:r>
          </w:p>
        </w:tc>
        <w:tc>
          <w:tcPr>
            <w:tcW w:w="570" w:type="dxa"/>
            <w:tcBorders>
              <w:tl2br w:val="nil"/>
              <w:tr2bl w:val="nil"/>
            </w:tcBorders>
            <w:shd w:val="clear" w:color="auto" w:fill="auto"/>
            <w:noWrap/>
            <w:vAlign w:val="center"/>
          </w:tcPr>
          <w:p w14:paraId="0488FCAF">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w:t>
            </w:r>
          </w:p>
        </w:tc>
        <w:tc>
          <w:tcPr>
            <w:tcW w:w="3877" w:type="dxa"/>
            <w:tcBorders>
              <w:tl2br w:val="nil"/>
              <w:tr2bl w:val="nil"/>
            </w:tcBorders>
            <w:shd w:val="clear" w:color="auto" w:fill="auto"/>
            <w:vAlign w:val="center"/>
          </w:tcPr>
          <w:p w14:paraId="1E504067">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default" w:cs="Times New Roman"/>
                <w:color w:val="auto"/>
                <w:kern w:val="0"/>
                <w:sz w:val="21"/>
                <w:szCs w:val="21"/>
                <w:highlight w:val="none"/>
                <w:lang w:val="en-US" w:eastAsia="zh-CN" w:bidi="ar"/>
              </w:rPr>
              <w:t>540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330</w:t>
            </w:r>
            <w:r>
              <w:rPr>
                <w:rFonts w:hint="eastAsia" w:cs="Times New Roman"/>
                <w:color w:val="auto"/>
                <w:kern w:val="0"/>
                <w:sz w:val="21"/>
                <w:szCs w:val="21"/>
                <w:highlight w:val="none"/>
                <w:lang w:val="en-US" w:eastAsia="zh-CN" w:bidi="ar"/>
              </w:rPr>
              <w:t>×</w:t>
            </w:r>
            <w:r>
              <w:rPr>
                <w:rFonts w:hint="default" w:cs="Times New Roman"/>
                <w:color w:val="auto"/>
                <w:kern w:val="0"/>
                <w:sz w:val="21"/>
                <w:szCs w:val="21"/>
                <w:highlight w:val="none"/>
                <w:lang w:val="en-US" w:eastAsia="zh-CN" w:bidi="ar"/>
              </w:rPr>
              <w:t>1100mm</w:t>
            </w:r>
          </w:p>
        </w:tc>
      </w:tr>
      <w:tr w14:paraId="77A47E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D4232A2">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w:t>
            </w:r>
          </w:p>
        </w:tc>
        <w:tc>
          <w:tcPr>
            <w:tcW w:w="2553" w:type="dxa"/>
            <w:tcBorders>
              <w:tl2br w:val="nil"/>
              <w:tr2bl w:val="nil"/>
            </w:tcBorders>
            <w:shd w:val="clear" w:color="auto" w:fill="auto"/>
            <w:vAlign w:val="center"/>
          </w:tcPr>
          <w:p w14:paraId="7A41769B">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空压机及储气罐及冷干机</w:t>
            </w:r>
          </w:p>
        </w:tc>
        <w:tc>
          <w:tcPr>
            <w:tcW w:w="581" w:type="dxa"/>
            <w:tcBorders>
              <w:tl2br w:val="nil"/>
              <w:tr2bl w:val="nil"/>
            </w:tcBorders>
            <w:shd w:val="clear" w:color="auto" w:fill="auto"/>
            <w:noWrap/>
            <w:vAlign w:val="center"/>
          </w:tcPr>
          <w:p w14:paraId="31203F81">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40ADA6CA">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74A3083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0903E0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7D32BBA">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29</w:t>
            </w:r>
          </w:p>
        </w:tc>
        <w:tc>
          <w:tcPr>
            <w:tcW w:w="2553" w:type="dxa"/>
            <w:tcBorders>
              <w:tl2br w:val="nil"/>
              <w:tr2bl w:val="nil"/>
            </w:tcBorders>
            <w:shd w:val="clear" w:color="auto" w:fill="auto"/>
            <w:vAlign w:val="center"/>
          </w:tcPr>
          <w:p w14:paraId="6C25840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电控柜</w:t>
            </w:r>
          </w:p>
        </w:tc>
        <w:tc>
          <w:tcPr>
            <w:tcW w:w="581" w:type="dxa"/>
            <w:tcBorders>
              <w:tl2br w:val="nil"/>
              <w:tr2bl w:val="nil"/>
            </w:tcBorders>
            <w:shd w:val="clear" w:color="auto" w:fill="auto"/>
            <w:noWrap/>
            <w:vAlign w:val="center"/>
          </w:tcPr>
          <w:p w14:paraId="0AC250F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个</w:t>
            </w:r>
          </w:p>
        </w:tc>
        <w:tc>
          <w:tcPr>
            <w:tcW w:w="570" w:type="dxa"/>
            <w:tcBorders>
              <w:tl2br w:val="nil"/>
              <w:tr2bl w:val="nil"/>
            </w:tcBorders>
            <w:shd w:val="clear" w:color="auto" w:fill="auto"/>
            <w:noWrap/>
            <w:vAlign w:val="center"/>
          </w:tcPr>
          <w:p w14:paraId="582A5E7C">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w:t>
            </w:r>
          </w:p>
        </w:tc>
        <w:tc>
          <w:tcPr>
            <w:tcW w:w="3877" w:type="dxa"/>
            <w:tcBorders>
              <w:tl2br w:val="nil"/>
              <w:tr2bl w:val="nil"/>
            </w:tcBorders>
            <w:shd w:val="clear" w:color="auto" w:fill="auto"/>
            <w:vAlign w:val="center"/>
          </w:tcPr>
          <w:p w14:paraId="54A8C7B4">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组合式</w:t>
            </w:r>
            <w:r>
              <w:rPr>
                <w:rFonts w:hint="default" w:cs="Times New Roman"/>
                <w:color w:val="auto"/>
                <w:kern w:val="0"/>
                <w:sz w:val="21"/>
                <w:szCs w:val="21"/>
                <w:highlight w:val="none"/>
                <w:lang w:val="en-US" w:eastAsia="zh-CN" w:bidi="ar"/>
              </w:rPr>
              <w:t xml:space="preserve">,36V </w:t>
            </w:r>
            <w:r>
              <w:rPr>
                <w:rFonts w:hint="eastAsia" w:cs="Times New Roman"/>
                <w:color w:val="auto"/>
                <w:kern w:val="0"/>
                <w:sz w:val="21"/>
                <w:szCs w:val="21"/>
                <w:highlight w:val="none"/>
                <w:lang w:val="en-US" w:eastAsia="zh-CN" w:bidi="ar"/>
              </w:rPr>
              <w:t>安全电压，外壳不锈钢</w:t>
            </w:r>
          </w:p>
        </w:tc>
      </w:tr>
      <w:tr w14:paraId="3BC906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D7A07BB">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30</w:t>
            </w:r>
          </w:p>
        </w:tc>
        <w:tc>
          <w:tcPr>
            <w:tcW w:w="2553" w:type="dxa"/>
            <w:tcBorders>
              <w:tl2br w:val="nil"/>
              <w:tr2bl w:val="nil"/>
            </w:tcBorders>
            <w:shd w:val="clear" w:color="auto" w:fill="auto"/>
            <w:vAlign w:val="center"/>
          </w:tcPr>
          <w:p w14:paraId="55D0A03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电器控制系统</w:t>
            </w:r>
          </w:p>
        </w:tc>
        <w:tc>
          <w:tcPr>
            <w:tcW w:w="581" w:type="dxa"/>
            <w:tcBorders>
              <w:tl2br w:val="nil"/>
              <w:tr2bl w:val="nil"/>
            </w:tcBorders>
            <w:shd w:val="clear" w:color="auto" w:fill="auto"/>
            <w:noWrap/>
            <w:vAlign w:val="center"/>
          </w:tcPr>
          <w:p w14:paraId="5D75AE1A">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585220AB">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3CB2A6DE">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20E2AB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418" w:type="dxa"/>
            <w:gridSpan w:val="5"/>
            <w:tcBorders>
              <w:tl2br w:val="nil"/>
              <w:tr2bl w:val="nil"/>
            </w:tcBorders>
            <w:shd w:val="clear" w:color="auto" w:fill="auto"/>
            <w:noWrap/>
            <w:vAlign w:val="center"/>
          </w:tcPr>
          <w:p w14:paraId="5098EC61">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b/>
                <w:bCs/>
                <w:color w:val="auto"/>
                <w:kern w:val="0"/>
                <w:sz w:val="21"/>
                <w:szCs w:val="21"/>
                <w:highlight w:val="none"/>
                <w:lang w:val="en-US" w:eastAsia="zh-CN" w:bidi="ar"/>
              </w:rPr>
              <w:t>四、分割输送线</w:t>
            </w:r>
          </w:p>
        </w:tc>
      </w:tr>
      <w:tr w14:paraId="2B7A5E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C1607D5">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2553" w:type="dxa"/>
            <w:tcBorders>
              <w:tl2br w:val="nil"/>
              <w:tr2bl w:val="nil"/>
            </w:tcBorders>
            <w:shd w:val="clear" w:color="auto" w:fill="auto"/>
            <w:vAlign w:val="center"/>
          </w:tcPr>
          <w:p w14:paraId="07248A8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分割输送机</w:t>
            </w:r>
          </w:p>
        </w:tc>
        <w:tc>
          <w:tcPr>
            <w:tcW w:w="581" w:type="dxa"/>
            <w:tcBorders>
              <w:tl2br w:val="nil"/>
              <w:tr2bl w:val="nil"/>
            </w:tcBorders>
            <w:shd w:val="clear" w:color="auto" w:fill="auto"/>
            <w:noWrap/>
            <w:vAlign w:val="center"/>
          </w:tcPr>
          <w:p w14:paraId="40543FAC">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米</w:t>
            </w:r>
          </w:p>
        </w:tc>
        <w:tc>
          <w:tcPr>
            <w:tcW w:w="570" w:type="dxa"/>
            <w:tcBorders>
              <w:tl2br w:val="nil"/>
              <w:tr2bl w:val="nil"/>
            </w:tcBorders>
            <w:shd w:val="clear" w:color="auto" w:fill="auto"/>
            <w:noWrap/>
            <w:vAlign w:val="center"/>
          </w:tcPr>
          <w:p w14:paraId="1484AEB7">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p>
        </w:tc>
        <w:tc>
          <w:tcPr>
            <w:tcW w:w="3877" w:type="dxa"/>
            <w:tcBorders>
              <w:tl2br w:val="nil"/>
              <w:tr2bl w:val="nil"/>
            </w:tcBorders>
            <w:shd w:val="clear" w:color="auto" w:fill="auto"/>
            <w:vAlign w:val="center"/>
          </w:tcPr>
          <w:p w14:paraId="1DE14BB7">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材质为 </w:t>
            </w:r>
            <w:r>
              <w:rPr>
                <w:rFonts w:hint="default" w:cs="Times New Roman"/>
                <w:color w:val="auto"/>
                <w:kern w:val="0"/>
                <w:sz w:val="21"/>
                <w:szCs w:val="21"/>
                <w:highlight w:val="none"/>
                <w:lang w:val="en-US" w:eastAsia="zh-CN" w:bidi="ar"/>
              </w:rPr>
              <w:t xml:space="preserve">304 </w:t>
            </w:r>
            <w:r>
              <w:rPr>
                <w:rFonts w:hint="eastAsia" w:cs="Times New Roman"/>
                <w:color w:val="auto"/>
                <w:kern w:val="0"/>
                <w:sz w:val="21"/>
                <w:szCs w:val="21"/>
                <w:highlight w:val="none"/>
                <w:lang w:val="en-US" w:eastAsia="zh-CN" w:bidi="ar"/>
              </w:rPr>
              <w:t>不锈钢</w:t>
            </w:r>
          </w:p>
        </w:tc>
      </w:tr>
      <w:tr w14:paraId="6770A3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488B8E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p>
        </w:tc>
        <w:tc>
          <w:tcPr>
            <w:tcW w:w="2553" w:type="dxa"/>
            <w:tcBorders>
              <w:tl2br w:val="nil"/>
              <w:tr2bl w:val="nil"/>
            </w:tcBorders>
            <w:shd w:val="clear" w:color="auto" w:fill="auto"/>
            <w:vAlign w:val="center"/>
          </w:tcPr>
          <w:p w14:paraId="3ACE1B67">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分割工作台</w:t>
            </w:r>
          </w:p>
        </w:tc>
        <w:tc>
          <w:tcPr>
            <w:tcW w:w="581" w:type="dxa"/>
            <w:tcBorders>
              <w:tl2br w:val="nil"/>
              <w:tr2bl w:val="nil"/>
            </w:tcBorders>
            <w:shd w:val="clear" w:color="auto" w:fill="auto"/>
            <w:noWrap/>
            <w:vAlign w:val="center"/>
          </w:tcPr>
          <w:p w14:paraId="61474124">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张</w:t>
            </w:r>
          </w:p>
        </w:tc>
        <w:tc>
          <w:tcPr>
            <w:tcW w:w="570" w:type="dxa"/>
            <w:tcBorders>
              <w:tl2br w:val="nil"/>
              <w:tr2bl w:val="nil"/>
            </w:tcBorders>
            <w:shd w:val="clear" w:color="auto" w:fill="auto"/>
            <w:noWrap/>
            <w:vAlign w:val="center"/>
          </w:tcPr>
          <w:p w14:paraId="63DE4EBC">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20</w:t>
            </w:r>
          </w:p>
        </w:tc>
        <w:tc>
          <w:tcPr>
            <w:tcW w:w="3877" w:type="dxa"/>
            <w:tcBorders>
              <w:tl2br w:val="nil"/>
              <w:tr2bl w:val="nil"/>
            </w:tcBorders>
            <w:shd w:val="clear" w:color="auto" w:fill="auto"/>
            <w:vAlign w:val="center"/>
          </w:tcPr>
          <w:p w14:paraId="0572502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材质为 </w:t>
            </w:r>
            <w:r>
              <w:rPr>
                <w:rFonts w:hint="default" w:cs="Times New Roman"/>
                <w:color w:val="auto"/>
                <w:kern w:val="0"/>
                <w:sz w:val="21"/>
                <w:szCs w:val="21"/>
                <w:highlight w:val="none"/>
                <w:lang w:val="en-US" w:eastAsia="zh-CN" w:bidi="ar"/>
              </w:rPr>
              <w:t xml:space="preserve">304 </w:t>
            </w:r>
            <w:r>
              <w:rPr>
                <w:rFonts w:hint="eastAsia" w:cs="Times New Roman"/>
                <w:color w:val="auto"/>
                <w:kern w:val="0"/>
                <w:sz w:val="21"/>
                <w:szCs w:val="21"/>
                <w:highlight w:val="none"/>
                <w:lang w:val="en-US" w:eastAsia="zh-CN" w:bidi="ar"/>
              </w:rPr>
              <w:t>不锈钢</w:t>
            </w:r>
          </w:p>
        </w:tc>
      </w:tr>
      <w:tr w14:paraId="4A01B4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7AF72E3">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w:t>
            </w:r>
          </w:p>
        </w:tc>
        <w:tc>
          <w:tcPr>
            <w:tcW w:w="2553" w:type="dxa"/>
            <w:tcBorders>
              <w:tl2br w:val="nil"/>
              <w:tr2bl w:val="nil"/>
            </w:tcBorders>
            <w:shd w:val="clear" w:color="auto" w:fill="auto"/>
            <w:vAlign w:val="center"/>
          </w:tcPr>
          <w:p w14:paraId="3D3F1EEB">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包装工作台</w:t>
            </w:r>
          </w:p>
        </w:tc>
        <w:tc>
          <w:tcPr>
            <w:tcW w:w="581" w:type="dxa"/>
            <w:tcBorders>
              <w:tl2br w:val="nil"/>
              <w:tr2bl w:val="nil"/>
            </w:tcBorders>
            <w:shd w:val="clear" w:color="auto" w:fill="auto"/>
            <w:noWrap/>
            <w:vAlign w:val="center"/>
          </w:tcPr>
          <w:p w14:paraId="5EF97C0B">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张</w:t>
            </w:r>
          </w:p>
        </w:tc>
        <w:tc>
          <w:tcPr>
            <w:tcW w:w="570" w:type="dxa"/>
            <w:tcBorders>
              <w:tl2br w:val="nil"/>
              <w:tr2bl w:val="nil"/>
            </w:tcBorders>
            <w:shd w:val="clear" w:color="auto" w:fill="auto"/>
            <w:noWrap/>
            <w:vAlign w:val="center"/>
          </w:tcPr>
          <w:p w14:paraId="79F4D931">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p>
        </w:tc>
        <w:tc>
          <w:tcPr>
            <w:tcW w:w="3877" w:type="dxa"/>
            <w:tcBorders>
              <w:tl2br w:val="nil"/>
              <w:tr2bl w:val="nil"/>
            </w:tcBorders>
            <w:shd w:val="clear" w:color="auto" w:fill="auto"/>
            <w:vAlign w:val="center"/>
          </w:tcPr>
          <w:p w14:paraId="1E8A07E2">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规格 </w:t>
            </w:r>
            <w:r>
              <w:rPr>
                <w:rFonts w:hint="default" w:cs="Times New Roman"/>
                <w:color w:val="auto"/>
                <w:kern w:val="0"/>
                <w:sz w:val="21"/>
                <w:szCs w:val="21"/>
                <w:highlight w:val="none"/>
                <w:lang w:val="en-US" w:eastAsia="zh-CN" w:bidi="ar"/>
              </w:rPr>
              <w:t xml:space="preserve">1800*900*800mm.2mm </w:t>
            </w:r>
          </w:p>
        </w:tc>
      </w:tr>
      <w:tr w14:paraId="63BC2C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5B1A70D">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w:t>
            </w:r>
          </w:p>
        </w:tc>
        <w:tc>
          <w:tcPr>
            <w:tcW w:w="2553" w:type="dxa"/>
            <w:tcBorders>
              <w:tl2br w:val="nil"/>
              <w:tr2bl w:val="nil"/>
            </w:tcBorders>
            <w:shd w:val="clear" w:color="auto" w:fill="auto"/>
            <w:vAlign w:val="center"/>
          </w:tcPr>
          <w:p w14:paraId="1D661225">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标准筒车</w:t>
            </w:r>
          </w:p>
        </w:tc>
        <w:tc>
          <w:tcPr>
            <w:tcW w:w="581" w:type="dxa"/>
            <w:tcBorders>
              <w:tl2br w:val="nil"/>
              <w:tr2bl w:val="nil"/>
            </w:tcBorders>
            <w:shd w:val="clear" w:color="auto" w:fill="auto"/>
            <w:noWrap/>
            <w:vAlign w:val="center"/>
          </w:tcPr>
          <w:p w14:paraId="40705E50">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台</w:t>
            </w:r>
          </w:p>
        </w:tc>
        <w:tc>
          <w:tcPr>
            <w:tcW w:w="570" w:type="dxa"/>
            <w:tcBorders>
              <w:tl2br w:val="nil"/>
              <w:tr2bl w:val="nil"/>
            </w:tcBorders>
            <w:shd w:val="clear" w:color="auto" w:fill="auto"/>
            <w:noWrap/>
            <w:vAlign w:val="center"/>
          </w:tcPr>
          <w:p w14:paraId="630DE1C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w:t>
            </w:r>
          </w:p>
        </w:tc>
        <w:tc>
          <w:tcPr>
            <w:tcW w:w="3877" w:type="dxa"/>
            <w:tcBorders>
              <w:tl2br w:val="nil"/>
              <w:tr2bl w:val="nil"/>
            </w:tcBorders>
            <w:shd w:val="clear" w:color="auto" w:fill="auto"/>
            <w:vAlign w:val="center"/>
          </w:tcPr>
          <w:p w14:paraId="66625B05">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default" w:cs="Times New Roman"/>
                <w:color w:val="auto"/>
                <w:kern w:val="0"/>
                <w:sz w:val="21"/>
                <w:szCs w:val="21"/>
                <w:highlight w:val="none"/>
                <w:lang w:val="en-US" w:eastAsia="zh-CN" w:bidi="ar"/>
              </w:rPr>
              <w:t>640×640×500mm</w:t>
            </w:r>
          </w:p>
        </w:tc>
      </w:tr>
      <w:tr w14:paraId="5FB521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390E050">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w:t>
            </w:r>
          </w:p>
        </w:tc>
        <w:tc>
          <w:tcPr>
            <w:tcW w:w="2553" w:type="dxa"/>
            <w:tcBorders>
              <w:tl2br w:val="nil"/>
              <w:tr2bl w:val="nil"/>
            </w:tcBorders>
            <w:shd w:val="clear" w:color="auto" w:fill="auto"/>
            <w:vAlign w:val="center"/>
          </w:tcPr>
          <w:p w14:paraId="535AD5B4">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冷库设备</w:t>
            </w:r>
          </w:p>
        </w:tc>
        <w:tc>
          <w:tcPr>
            <w:tcW w:w="581" w:type="dxa"/>
            <w:tcBorders>
              <w:tl2br w:val="nil"/>
              <w:tr2bl w:val="nil"/>
            </w:tcBorders>
            <w:shd w:val="clear" w:color="auto" w:fill="auto"/>
            <w:noWrap/>
            <w:vAlign w:val="center"/>
          </w:tcPr>
          <w:p w14:paraId="70D80C21">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项</w:t>
            </w:r>
          </w:p>
        </w:tc>
        <w:tc>
          <w:tcPr>
            <w:tcW w:w="570" w:type="dxa"/>
            <w:tcBorders>
              <w:tl2br w:val="nil"/>
              <w:tr2bl w:val="nil"/>
            </w:tcBorders>
            <w:shd w:val="clear" w:color="auto" w:fill="auto"/>
            <w:noWrap/>
            <w:vAlign w:val="center"/>
          </w:tcPr>
          <w:p w14:paraId="6AEFC03D">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2FC54B2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包括制冷系统、保温系统、电气控制系统等</w:t>
            </w:r>
          </w:p>
        </w:tc>
      </w:tr>
      <w:tr w14:paraId="72E40F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418" w:type="dxa"/>
            <w:gridSpan w:val="5"/>
            <w:tcBorders>
              <w:tl2br w:val="nil"/>
              <w:tr2bl w:val="nil"/>
            </w:tcBorders>
            <w:shd w:val="clear" w:color="auto" w:fill="auto"/>
            <w:noWrap/>
            <w:vAlign w:val="center"/>
          </w:tcPr>
          <w:p w14:paraId="511D75BC">
            <w:pPr>
              <w:widowControl/>
              <w:spacing w:line="360" w:lineRule="exact"/>
              <w:ind w:firstLine="0" w:firstLineChars="0"/>
              <w:jc w:val="center"/>
              <w:textAlignment w:val="center"/>
              <w:rPr>
                <w:rFonts w:cs="Times New Roman"/>
                <w:b/>
                <w:bCs/>
                <w:color w:val="auto"/>
                <w:sz w:val="21"/>
                <w:szCs w:val="21"/>
                <w:highlight w:val="none"/>
              </w:rPr>
            </w:pPr>
            <w:r>
              <w:rPr>
                <w:rFonts w:hint="eastAsia" w:ascii="Times New Roman" w:hAnsi="Times New Roman" w:eastAsia="宋体" w:cs="Times New Roman"/>
                <w:b/>
                <w:bCs/>
                <w:color w:val="auto"/>
                <w:kern w:val="0"/>
                <w:sz w:val="21"/>
                <w:szCs w:val="21"/>
                <w:highlight w:val="none"/>
                <w:lang w:val="en-US" w:eastAsia="zh-CN" w:bidi="ar"/>
              </w:rPr>
              <w:t>五、羊屠宰设备</w:t>
            </w:r>
          </w:p>
        </w:tc>
      </w:tr>
      <w:tr w14:paraId="784C78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8B0717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2553" w:type="dxa"/>
            <w:tcBorders>
              <w:tl2br w:val="nil"/>
              <w:tr2bl w:val="nil"/>
            </w:tcBorders>
            <w:shd w:val="clear" w:color="auto" w:fill="auto"/>
            <w:noWrap/>
            <w:vAlign w:val="center"/>
          </w:tcPr>
          <w:p w14:paraId="4B84326F">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bidi="ar"/>
              </w:rPr>
              <w:t>全自动放血线</w:t>
            </w:r>
          </w:p>
        </w:tc>
        <w:tc>
          <w:tcPr>
            <w:tcW w:w="581" w:type="dxa"/>
            <w:tcBorders>
              <w:tl2br w:val="nil"/>
              <w:tr2bl w:val="nil"/>
            </w:tcBorders>
            <w:shd w:val="clear" w:color="auto" w:fill="auto"/>
            <w:noWrap/>
            <w:vAlign w:val="center"/>
          </w:tcPr>
          <w:p w14:paraId="2410D257">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bidi="ar"/>
              </w:rPr>
              <w:t>米</w:t>
            </w:r>
          </w:p>
        </w:tc>
        <w:tc>
          <w:tcPr>
            <w:tcW w:w="570" w:type="dxa"/>
            <w:tcBorders>
              <w:tl2br w:val="nil"/>
              <w:tr2bl w:val="nil"/>
            </w:tcBorders>
            <w:shd w:val="clear" w:color="auto" w:fill="auto"/>
            <w:noWrap/>
            <w:vAlign w:val="center"/>
          </w:tcPr>
          <w:p w14:paraId="0990F6F2">
            <w:pPr>
              <w:widowControl/>
              <w:spacing w:line="36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45</w:t>
            </w:r>
          </w:p>
        </w:tc>
        <w:tc>
          <w:tcPr>
            <w:tcW w:w="3877" w:type="dxa"/>
            <w:tcBorders>
              <w:tl2br w:val="nil"/>
              <w:tr2bl w:val="nil"/>
            </w:tcBorders>
            <w:shd w:val="clear" w:color="auto" w:fill="auto"/>
            <w:vAlign w:val="center"/>
          </w:tcPr>
          <w:p w14:paraId="666F6713">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负载钩为12mm的不锈钢材质。</w:t>
            </w:r>
          </w:p>
        </w:tc>
      </w:tr>
      <w:tr w14:paraId="5FB3DD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A6EE752">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2</w:t>
            </w:r>
          </w:p>
        </w:tc>
        <w:tc>
          <w:tcPr>
            <w:tcW w:w="2553" w:type="dxa"/>
            <w:tcBorders>
              <w:tl2br w:val="nil"/>
              <w:tr2bl w:val="nil"/>
            </w:tcBorders>
            <w:shd w:val="clear" w:color="auto" w:fill="auto"/>
            <w:noWrap/>
            <w:vAlign w:val="center"/>
          </w:tcPr>
          <w:p w14:paraId="060E921E">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bidi="ar"/>
              </w:rPr>
              <w:t>动力系统</w:t>
            </w:r>
          </w:p>
        </w:tc>
        <w:tc>
          <w:tcPr>
            <w:tcW w:w="581" w:type="dxa"/>
            <w:tcBorders>
              <w:tl2br w:val="nil"/>
              <w:tr2bl w:val="nil"/>
            </w:tcBorders>
            <w:shd w:val="clear" w:color="auto" w:fill="auto"/>
            <w:noWrap/>
            <w:vAlign w:val="center"/>
          </w:tcPr>
          <w:p w14:paraId="357EE32F">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6B141D36">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71D27A43">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电机功率为5.5kw</w:t>
            </w:r>
          </w:p>
        </w:tc>
      </w:tr>
      <w:tr w14:paraId="655021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446B332">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3</w:t>
            </w:r>
          </w:p>
        </w:tc>
        <w:tc>
          <w:tcPr>
            <w:tcW w:w="2553" w:type="dxa"/>
            <w:tcBorders>
              <w:tl2br w:val="nil"/>
              <w:tr2bl w:val="nil"/>
            </w:tcBorders>
            <w:shd w:val="clear" w:color="auto" w:fill="auto"/>
            <w:noWrap/>
            <w:vAlign w:val="center"/>
          </w:tcPr>
          <w:p w14:paraId="245E638D">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张紧装置</w:t>
            </w:r>
          </w:p>
        </w:tc>
        <w:tc>
          <w:tcPr>
            <w:tcW w:w="581" w:type="dxa"/>
            <w:tcBorders>
              <w:tl2br w:val="nil"/>
              <w:tr2bl w:val="nil"/>
            </w:tcBorders>
            <w:shd w:val="clear" w:color="auto" w:fill="auto"/>
            <w:noWrap/>
            <w:vAlign w:val="center"/>
          </w:tcPr>
          <w:p w14:paraId="20BB620E">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6B475E7B">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0094391C">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整体框架为热镀锌国标材质</w:t>
            </w:r>
          </w:p>
        </w:tc>
      </w:tr>
      <w:tr w14:paraId="75232D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06ED452">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4</w:t>
            </w:r>
          </w:p>
        </w:tc>
        <w:tc>
          <w:tcPr>
            <w:tcW w:w="2553" w:type="dxa"/>
            <w:tcBorders>
              <w:tl2br w:val="nil"/>
              <w:tr2bl w:val="nil"/>
            </w:tcBorders>
            <w:shd w:val="clear" w:color="auto" w:fill="auto"/>
            <w:noWrap/>
            <w:vAlign w:val="center"/>
          </w:tcPr>
          <w:p w14:paraId="56AD220E">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导向装置</w:t>
            </w:r>
          </w:p>
        </w:tc>
        <w:tc>
          <w:tcPr>
            <w:tcW w:w="581" w:type="dxa"/>
            <w:tcBorders>
              <w:tl2br w:val="nil"/>
              <w:tr2bl w:val="nil"/>
            </w:tcBorders>
            <w:shd w:val="clear" w:color="auto" w:fill="auto"/>
            <w:noWrap/>
            <w:vAlign w:val="center"/>
          </w:tcPr>
          <w:p w14:paraId="59BA53BA">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59E84F01">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4</w:t>
            </w:r>
          </w:p>
        </w:tc>
        <w:tc>
          <w:tcPr>
            <w:tcW w:w="3877" w:type="dxa"/>
            <w:tcBorders>
              <w:tl2br w:val="nil"/>
              <w:tr2bl w:val="nil"/>
            </w:tcBorders>
            <w:shd w:val="clear" w:color="auto" w:fill="auto"/>
            <w:vAlign w:val="center"/>
          </w:tcPr>
          <w:p w14:paraId="5E8703EE">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高强度模锻铸造成型，材质为铸钢。</w:t>
            </w:r>
          </w:p>
        </w:tc>
      </w:tr>
      <w:tr w14:paraId="422B9A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4992333">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5</w:t>
            </w:r>
          </w:p>
        </w:tc>
        <w:tc>
          <w:tcPr>
            <w:tcW w:w="2553" w:type="dxa"/>
            <w:tcBorders>
              <w:tl2br w:val="nil"/>
              <w:tr2bl w:val="nil"/>
            </w:tcBorders>
            <w:shd w:val="clear" w:color="auto" w:fill="auto"/>
            <w:noWrap/>
            <w:vAlign w:val="center"/>
          </w:tcPr>
          <w:p w14:paraId="63273BD2">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积血槽</w:t>
            </w:r>
          </w:p>
        </w:tc>
        <w:tc>
          <w:tcPr>
            <w:tcW w:w="581" w:type="dxa"/>
            <w:tcBorders>
              <w:tl2br w:val="nil"/>
              <w:tr2bl w:val="nil"/>
            </w:tcBorders>
            <w:shd w:val="clear" w:color="auto" w:fill="auto"/>
            <w:noWrap/>
            <w:vAlign w:val="center"/>
          </w:tcPr>
          <w:p w14:paraId="32EEE4B8">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31819445">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335FE7C1">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整机采用不锈钢制作,厚度3MM</w:t>
            </w:r>
          </w:p>
        </w:tc>
      </w:tr>
      <w:tr w14:paraId="3B12E9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AD681F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6</w:t>
            </w:r>
          </w:p>
        </w:tc>
        <w:tc>
          <w:tcPr>
            <w:tcW w:w="2553" w:type="dxa"/>
            <w:tcBorders>
              <w:tl2br w:val="nil"/>
              <w:tr2bl w:val="nil"/>
            </w:tcBorders>
            <w:shd w:val="clear" w:color="auto" w:fill="auto"/>
            <w:noWrap/>
            <w:vAlign w:val="center"/>
          </w:tcPr>
          <w:p w14:paraId="2D95C671">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换轨站台</w:t>
            </w:r>
          </w:p>
        </w:tc>
        <w:tc>
          <w:tcPr>
            <w:tcW w:w="581" w:type="dxa"/>
            <w:tcBorders>
              <w:tl2br w:val="nil"/>
              <w:tr2bl w:val="nil"/>
            </w:tcBorders>
            <w:shd w:val="clear" w:color="auto" w:fill="auto"/>
            <w:noWrap/>
            <w:vAlign w:val="center"/>
          </w:tcPr>
          <w:p w14:paraId="1F551F0C">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1D45F15B">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top"/>
          </w:tcPr>
          <w:p w14:paraId="0C652CAA">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设备整体为不锈钢材质.尺寸为800*1200</w:t>
            </w:r>
          </w:p>
        </w:tc>
      </w:tr>
      <w:tr w14:paraId="6F2E1D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A6D27A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7</w:t>
            </w:r>
          </w:p>
        </w:tc>
        <w:tc>
          <w:tcPr>
            <w:tcW w:w="2553" w:type="dxa"/>
            <w:tcBorders>
              <w:tl2br w:val="nil"/>
              <w:tr2bl w:val="nil"/>
            </w:tcBorders>
            <w:shd w:val="clear" w:color="auto" w:fill="auto"/>
            <w:noWrap/>
            <w:vAlign w:val="center"/>
          </w:tcPr>
          <w:p w14:paraId="696D050D">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起伏装置</w:t>
            </w:r>
          </w:p>
        </w:tc>
        <w:tc>
          <w:tcPr>
            <w:tcW w:w="581" w:type="dxa"/>
            <w:tcBorders>
              <w:tl2br w:val="nil"/>
              <w:tr2bl w:val="nil"/>
            </w:tcBorders>
            <w:shd w:val="clear" w:color="auto" w:fill="auto"/>
            <w:noWrap/>
            <w:vAlign w:val="center"/>
          </w:tcPr>
          <w:p w14:paraId="412D27B5">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2DEADCA4">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top"/>
          </w:tcPr>
          <w:p w14:paraId="16FEC5E6">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整体为100国标型热镀锌工字钢材质</w:t>
            </w:r>
          </w:p>
        </w:tc>
      </w:tr>
      <w:tr w14:paraId="30A87D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BC2742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8</w:t>
            </w:r>
          </w:p>
        </w:tc>
        <w:tc>
          <w:tcPr>
            <w:tcW w:w="2553" w:type="dxa"/>
            <w:tcBorders>
              <w:tl2br w:val="nil"/>
              <w:tr2bl w:val="nil"/>
            </w:tcBorders>
            <w:shd w:val="clear" w:color="auto" w:fill="auto"/>
            <w:noWrap/>
            <w:vAlign w:val="center"/>
          </w:tcPr>
          <w:p w14:paraId="51F47CA7">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胴体预剥线</w:t>
            </w:r>
          </w:p>
        </w:tc>
        <w:tc>
          <w:tcPr>
            <w:tcW w:w="581" w:type="dxa"/>
            <w:tcBorders>
              <w:tl2br w:val="nil"/>
              <w:tr2bl w:val="nil"/>
            </w:tcBorders>
            <w:shd w:val="clear" w:color="auto" w:fill="auto"/>
            <w:noWrap/>
            <w:vAlign w:val="center"/>
          </w:tcPr>
          <w:p w14:paraId="0FAF5352">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米</w:t>
            </w:r>
          </w:p>
        </w:tc>
        <w:tc>
          <w:tcPr>
            <w:tcW w:w="570" w:type="dxa"/>
            <w:tcBorders>
              <w:tl2br w:val="nil"/>
              <w:tr2bl w:val="nil"/>
            </w:tcBorders>
            <w:shd w:val="clear" w:color="auto" w:fill="auto"/>
            <w:noWrap/>
            <w:vAlign w:val="center"/>
          </w:tcPr>
          <w:p w14:paraId="5A4D8870">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38</w:t>
            </w:r>
          </w:p>
        </w:tc>
        <w:tc>
          <w:tcPr>
            <w:tcW w:w="3877" w:type="dxa"/>
            <w:tcBorders>
              <w:tl2br w:val="nil"/>
              <w:tr2bl w:val="nil"/>
            </w:tcBorders>
            <w:shd w:val="clear" w:color="auto" w:fill="auto"/>
            <w:vAlign w:val="top"/>
          </w:tcPr>
          <w:p w14:paraId="1528033B">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支撑吊架为155模锻铸造材质</w:t>
            </w:r>
          </w:p>
        </w:tc>
      </w:tr>
      <w:tr w14:paraId="1C3E3F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2B3A48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9</w:t>
            </w:r>
          </w:p>
        </w:tc>
        <w:tc>
          <w:tcPr>
            <w:tcW w:w="2553" w:type="dxa"/>
            <w:tcBorders>
              <w:tl2br w:val="nil"/>
              <w:tr2bl w:val="nil"/>
            </w:tcBorders>
            <w:shd w:val="clear" w:color="auto" w:fill="auto"/>
            <w:noWrap/>
            <w:vAlign w:val="center"/>
          </w:tcPr>
          <w:p w14:paraId="198FEB10">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预剝及工作站台</w:t>
            </w:r>
          </w:p>
        </w:tc>
        <w:tc>
          <w:tcPr>
            <w:tcW w:w="581" w:type="dxa"/>
            <w:tcBorders>
              <w:tl2br w:val="nil"/>
              <w:tr2bl w:val="nil"/>
            </w:tcBorders>
            <w:shd w:val="clear" w:color="auto" w:fill="auto"/>
            <w:noWrap/>
            <w:vAlign w:val="center"/>
          </w:tcPr>
          <w:p w14:paraId="352D83AA">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组</w:t>
            </w:r>
          </w:p>
        </w:tc>
        <w:tc>
          <w:tcPr>
            <w:tcW w:w="570" w:type="dxa"/>
            <w:tcBorders>
              <w:tl2br w:val="nil"/>
              <w:tr2bl w:val="nil"/>
            </w:tcBorders>
            <w:shd w:val="clear" w:color="auto" w:fill="auto"/>
            <w:noWrap/>
            <w:vAlign w:val="center"/>
          </w:tcPr>
          <w:p w14:paraId="23F4899D">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6</w:t>
            </w:r>
          </w:p>
        </w:tc>
        <w:tc>
          <w:tcPr>
            <w:tcW w:w="3877" w:type="dxa"/>
            <w:tcBorders>
              <w:tl2br w:val="nil"/>
              <w:tr2bl w:val="nil"/>
            </w:tcBorders>
            <w:shd w:val="clear" w:color="auto" w:fill="auto"/>
            <w:vAlign w:val="top"/>
          </w:tcPr>
          <w:p w14:paraId="17436E06">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尺寸为800*1600</w:t>
            </w:r>
          </w:p>
        </w:tc>
      </w:tr>
      <w:tr w14:paraId="13A7BF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58AAF0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10</w:t>
            </w:r>
          </w:p>
        </w:tc>
        <w:tc>
          <w:tcPr>
            <w:tcW w:w="2553" w:type="dxa"/>
            <w:tcBorders>
              <w:tl2br w:val="nil"/>
              <w:tr2bl w:val="nil"/>
            </w:tcBorders>
            <w:shd w:val="clear" w:color="auto" w:fill="auto"/>
            <w:vAlign w:val="center"/>
          </w:tcPr>
          <w:p w14:paraId="0FB86284">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全自动工位输送线</w:t>
            </w:r>
          </w:p>
        </w:tc>
        <w:tc>
          <w:tcPr>
            <w:tcW w:w="581" w:type="dxa"/>
            <w:tcBorders>
              <w:tl2br w:val="nil"/>
              <w:tr2bl w:val="nil"/>
            </w:tcBorders>
            <w:shd w:val="clear" w:color="auto" w:fill="auto"/>
            <w:noWrap/>
            <w:vAlign w:val="center"/>
          </w:tcPr>
          <w:p w14:paraId="2AB80E4C">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32178BF8">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top"/>
          </w:tcPr>
          <w:p w14:paraId="1CBED8A9">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该自动输送机主要和扯皮机配套使用含一套气动提升装置.</w:t>
            </w:r>
          </w:p>
        </w:tc>
      </w:tr>
      <w:tr w14:paraId="01A1C3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635F79B">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11</w:t>
            </w:r>
          </w:p>
        </w:tc>
        <w:tc>
          <w:tcPr>
            <w:tcW w:w="2553" w:type="dxa"/>
            <w:tcBorders>
              <w:tl2br w:val="nil"/>
              <w:tr2bl w:val="nil"/>
            </w:tcBorders>
            <w:shd w:val="clear" w:color="auto" w:fill="auto"/>
            <w:vAlign w:val="center"/>
          </w:tcPr>
          <w:p w14:paraId="25EF8DC9">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动力系统</w:t>
            </w:r>
          </w:p>
        </w:tc>
        <w:tc>
          <w:tcPr>
            <w:tcW w:w="581" w:type="dxa"/>
            <w:tcBorders>
              <w:tl2br w:val="nil"/>
              <w:tr2bl w:val="nil"/>
            </w:tcBorders>
            <w:shd w:val="clear" w:color="auto" w:fill="auto"/>
            <w:noWrap/>
            <w:vAlign w:val="center"/>
          </w:tcPr>
          <w:p w14:paraId="50870288">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05349027">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4B286075">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电机功率为3kw</w:t>
            </w:r>
          </w:p>
        </w:tc>
      </w:tr>
      <w:tr w14:paraId="36C8D2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DFFDC19">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12</w:t>
            </w:r>
          </w:p>
        </w:tc>
        <w:tc>
          <w:tcPr>
            <w:tcW w:w="2553" w:type="dxa"/>
            <w:tcBorders>
              <w:tl2br w:val="nil"/>
              <w:tr2bl w:val="nil"/>
            </w:tcBorders>
            <w:shd w:val="clear" w:color="auto" w:fill="auto"/>
            <w:noWrap/>
            <w:vAlign w:val="center"/>
          </w:tcPr>
          <w:p w14:paraId="394104C6">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张紧装置</w:t>
            </w:r>
          </w:p>
        </w:tc>
        <w:tc>
          <w:tcPr>
            <w:tcW w:w="581" w:type="dxa"/>
            <w:tcBorders>
              <w:tl2br w:val="nil"/>
              <w:tr2bl w:val="nil"/>
            </w:tcBorders>
            <w:shd w:val="clear" w:color="auto" w:fill="auto"/>
            <w:noWrap/>
            <w:vAlign w:val="center"/>
          </w:tcPr>
          <w:p w14:paraId="0578ADB7">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2C7D3DB2">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48775A11">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整体框架为热镀锌国标材质</w:t>
            </w:r>
          </w:p>
        </w:tc>
      </w:tr>
      <w:tr w14:paraId="2020A1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6B61816">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13</w:t>
            </w:r>
          </w:p>
        </w:tc>
        <w:tc>
          <w:tcPr>
            <w:tcW w:w="2553" w:type="dxa"/>
            <w:tcBorders>
              <w:tl2br w:val="nil"/>
              <w:tr2bl w:val="nil"/>
            </w:tcBorders>
            <w:shd w:val="clear" w:color="auto" w:fill="auto"/>
            <w:noWrap/>
            <w:vAlign w:val="center"/>
          </w:tcPr>
          <w:p w14:paraId="7B29106F">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变频系统</w:t>
            </w:r>
          </w:p>
        </w:tc>
        <w:tc>
          <w:tcPr>
            <w:tcW w:w="581" w:type="dxa"/>
            <w:tcBorders>
              <w:tl2br w:val="nil"/>
              <w:tr2bl w:val="nil"/>
            </w:tcBorders>
            <w:shd w:val="clear" w:color="auto" w:fill="auto"/>
            <w:noWrap/>
            <w:vAlign w:val="center"/>
          </w:tcPr>
          <w:p w14:paraId="7F3CC7DE">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5AA33DC9">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2</w:t>
            </w:r>
          </w:p>
        </w:tc>
        <w:tc>
          <w:tcPr>
            <w:tcW w:w="3877" w:type="dxa"/>
            <w:tcBorders>
              <w:tl2br w:val="nil"/>
              <w:tr2bl w:val="nil"/>
            </w:tcBorders>
            <w:shd w:val="clear" w:color="auto" w:fill="auto"/>
            <w:vAlign w:val="center"/>
          </w:tcPr>
          <w:p w14:paraId="1D6AC4AB">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含控制箱总成系统，液晶显示屏，旋钮式调节。</w:t>
            </w:r>
          </w:p>
        </w:tc>
      </w:tr>
      <w:tr w14:paraId="7A181F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816F52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14</w:t>
            </w:r>
          </w:p>
        </w:tc>
        <w:tc>
          <w:tcPr>
            <w:tcW w:w="2553" w:type="dxa"/>
            <w:tcBorders>
              <w:tl2br w:val="nil"/>
              <w:tr2bl w:val="nil"/>
            </w:tcBorders>
            <w:shd w:val="clear" w:color="auto" w:fill="auto"/>
            <w:noWrap/>
            <w:vAlign w:val="center"/>
          </w:tcPr>
          <w:p w14:paraId="486B8FC8">
            <w:pPr>
              <w:widowControl/>
              <w:spacing w:line="36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自动卫检线</w:t>
            </w:r>
          </w:p>
        </w:tc>
        <w:tc>
          <w:tcPr>
            <w:tcW w:w="581" w:type="dxa"/>
            <w:tcBorders>
              <w:tl2br w:val="nil"/>
              <w:tr2bl w:val="nil"/>
            </w:tcBorders>
            <w:shd w:val="clear" w:color="auto" w:fill="auto"/>
            <w:noWrap/>
            <w:vAlign w:val="center"/>
          </w:tcPr>
          <w:p w14:paraId="358568F7">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5EAB6435">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06CB8A41">
            <w:pPr>
              <w:widowControl/>
              <w:spacing w:line="36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输送周长为2400mm，输送套组为20组，输送间距为1200mm</w:t>
            </w:r>
          </w:p>
        </w:tc>
      </w:tr>
      <w:tr w14:paraId="13A05C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084EC5E">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15</w:t>
            </w:r>
          </w:p>
        </w:tc>
        <w:tc>
          <w:tcPr>
            <w:tcW w:w="2553" w:type="dxa"/>
            <w:tcBorders>
              <w:tl2br w:val="nil"/>
              <w:tr2bl w:val="nil"/>
            </w:tcBorders>
            <w:shd w:val="clear" w:color="auto" w:fill="auto"/>
            <w:noWrap/>
            <w:vAlign w:val="center"/>
          </w:tcPr>
          <w:p w14:paraId="1FC7C3BD">
            <w:pPr>
              <w:widowControl/>
              <w:spacing w:line="36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动力系统</w:t>
            </w:r>
          </w:p>
        </w:tc>
        <w:tc>
          <w:tcPr>
            <w:tcW w:w="581" w:type="dxa"/>
            <w:tcBorders>
              <w:tl2br w:val="nil"/>
              <w:tr2bl w:val="nil"/>
            </w:tcBorders>
            <w:shd w:val="clear" w:color="auto" w:fill="auto"/>
            <w:noWrap/>
            <w:vAlign w:val="center"/>
          </w:tcPr>
          <w:p w14:paraId="775AFD17">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2FA4C8C4">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60152967">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电机功率为3kw</w:t>
            </w:r>
          </w:p>
        </w:tc>
      </w:tr>
      <w:tr w14:paraId="634675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ABB0EAA">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16</w:t>
            </w:r>
          </w:p>
        </w:tc>
        <w:tc>
          <w:tcPr>
            <w:tcW w:w="2553" w:type="dxa"/>
            <w:tcBorders>
              <w:tl2br w:val="nil"/>
              <w:tr2bl w:val="nil"/>
            </w:tcBorders>
            <w:shd w:val="clear" w:color="auto" w:fill="auto"/>
            <w:noWrap/>
            <w:vAlign w:val="center"/>
          </w:tcPr>
          <w:p w14:paraId="2A62117C">
            <w:pPr>
              <w:widowControl/>
              <w:spacing w:line="36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张紧系统</w:t>
            </w:r>
          </w:p>
        </w:tc>
        <w:tc>
          <w:tcPr>
            <w:tcW w:w="581" w:type="dxa"/>
            <w:tcBorders>
              <w:tl2br w:val="nil"/>
              <w:tr2bl w:val="nil"/>
            </w:tcBorders>
            <w:shd w:val="clear" w:color="auto" w:fill="auto"/>
            <w:noWrap/>
            <w:vAlign w:val="center"/>
          </w:tcPr>
          <w:p w14:paraId="3824CED1">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套</w:t>
            </w:r>
          </w:p>
        </w:tc>
        <w:tc>
          <w:tcPr>
            <w:tcW w:w="570" w:type="dxa"/>
            <w:tcBorders>
              <w:tl2br w:val="nil"/>
              <w:tr2bl w:val="nil"/>
            </w:tcBorders>
            <w:shd w:val="clear" w:color="auto" w:fill="auto"/>
            <w:noWrap/>
            <w:vAlign w:val="center"/>
          </w:tcPr>
          <w:p w14:paraId="3ADCF02A">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w:t>
            </w:r>
          </w:p>
        </w:tc>
        <w:tc>
          <w:tcPr>
            <w:tcW w:w="3877" w:type="dxa"/>
            <w:tcBorders>
              <w:tl2br w:val="nil"/>
              <w:tr2bl w:val="nil"/>
            </w:tcBorders>
            <w:shd w:val="clear" w:color="auto" w:fill="auto"/>
            <w:vAlign w:val="center"/>
          </w:tcPr>
          <w:p w14:paraId="539A311D">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整体框架为热镀锌国标材质，主体为铸造成型</w:t>
            </w:r>
          </w:p>
        </w:tc>
      </w:tr>
      <w:tr w14:paraId="1A34D2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CEE141C">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17</w:t>
            </w:r>
          </w:p>
        </w:tc>
        <w:tc>
          <w:tcPr>
            <w:tcW w:w="2553" w:type="dxa"/>
            <w:tcBorders>
              <w:tl2br w:val="nil"/>
              <w:tr2bl w:val="nil"/>
            </w:tcBorders>
            <w:shd w:val="clear" w:color="auto" w:fill="auto"/>
            <w:noWrap/>
            <w:vAlign w:val="center"/>
          </w:tcPr>
          <w:p w14:paraId="0BE3C036">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内脏滑槽</w:t>
            </w:r>
          </w:p>
        </w:tc>
        <w:tc>
          <w:tcPr>
            <w:tcW w:w="581" w:type="dxa"/>
            <w:tcBorders>
              <w:tl2br w:val="nil"/>
              <w:tr2bl w:val="nil"/>
            </w:tcBorders>
            <w:shd w:val="clear" w:color="auto" w:fill="auto"/>
            <w:noWrap/>
            <w:vAlign w:val="center"/>
          </w:tcPr>
          <w:p w14:paraId="29F1E2FF">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6514395D">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2</w:t>
            </w:r>
          </w:p>
        </w:tc>
        <w:tc>
          <w:tcPr>
            <w:tcW w:w="3877" w:type="dxa"/>
            <w:tcBorders>
              <w:tl2br w:val="nil"/>
              <w:tr2bl w:val="nil"/>
            </w:tcBorders>
            <w:shd w:val="clear" w:color="auto" w:fill="auto"/>
            <w:vAlign w:val="center"/>
          </w:tcPr>
          <w:p w14:paraId="22B125F8">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整体不锈钢材质，u型制作.</w:t>
            </w:r>
          </w:p>
        </w:tc>
      </w:tr>
      <w:tr w14:paraId="2E4ABE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47EB867C">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18</w:t>
            </w:r>
          </w:p>
        </w:tc>
        <w:tc>
          <w:tcPr>
            <w:tcW w:w="2553" w:type="dxa"/>
            <w:tcBorders>
              <w:tl2br w:val="nil"/>
              <w:tr2bl w:val="nil"/>
            </w:tcBorders>
            <w:shd w:val="clear" w:color="auto" w:fill="auto"/>
            <w:noWrap/>
            <w:vAlign w:val="center"/>
          </w:tcPr>
          <w:p w14:paraId="0EA7C5A1">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扯皮机</w:t>
            </w:r>
          </w:p>
        </w:tc>
        <w:tc>
          <w:tcPr>
            <w:tcW w:w="581" w:type="dxa"/>
            <w:tcBorders>
              <w:tl2br w:val="nil"/>
              <w:tr2bl w:val="nil"/>
            </w:tcBorders>
            <w:shd w:val="clear" w:color="auto" w:fill="auto"/>
            <w:noWrap/>
            <w:vAlign w:val="center"/>
          </w:tcPr>
          <w:p w14:paraId="49B39831">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0F52A50E">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3FCDD05E">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主体采用 150x150X3 不锈钢方管制作</w:t>
            </w:r>
          </w:p>
        </w:tc>
      </w:tr>
      <w:tr w14:paraId="2B206A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3AFA1CA1">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19</w:t>
            </w:r>
          </w:p>
        </w:tc>
        <w:tc>
          <w:tcPr>
            <w:tcW w:w="2553" w:type="dxa"/>
            <w:tcBorders>
              <w:tl2br w:val="nil"/>
              <w:tr2bl w:val="nil"/>
            </w:tcBorders>
            <w:shd w:val="clear" w:color="auto" w:fill="auto"/>
            <w:noWrap/>
            <w:vAlign w:val="center"/>
          </w:tcPr>
          <w:p w14:paraId="414C393F">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排酸及输送线</w:t>
            </w:r>
          </w:p>
        </w:tc>
        <w:tc>
          <w:tcPr>
            <w:tcW w:w="581" w:type="dxa"/>
            <w:tcBorders>
              <w:tl2br w:val="nil"/>
              <w:tr2bl w:val="nil"/>
            </w:tcBorders>
            <w:shd w:val="clear" w:color="auto" w:fill="auto"/>
            <w:noWrap/>
            <w:vAlign w:val="center"/>
          </w:tcPr>
          <w:p w14:paraId="5DF6F93D">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米</w:t>
            </w:r>
          </w:p>
        </w:tc>
        <w:tc>
          <w:tcPr>
            <w:tcW w:w="570" w:type="dxa"/>
            <w:tcBorders>
              <w:tl2br w:val="nil"/>
              <w:tr2bl w:val="nil"/>
            </w:tcBorders>
            <w:shd w:val="clear" w:color="auto" w:fill="auto"/>
            <w:noWrap/>
            <w:vAlign w:val="center"/>
          </w:tcPr>
          <w:p w14:paraId="28452B47">
            <w:pPr>
              <w:widowControl/>
              <w:spacing w:line="36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2</w:t>
            </w:r>
            <w:r>
              <w:rPr>
                <w:rFonts w:hint="eastAsia" w:ascii="Times New Roman" w:hAnsi="Times New Roman" w:eastAsia="宋体" w:cs="Times New Roman"/>
                <w:color w:val="auto"/>
                <w:kern w:val="0"/>
                <w:sz w:val="21"/>
                <w:szCs w:val="21"/>
                <w:highlight w:val="none"/>
                <w:lang w:val="en-US" w:eastAsia="zh-CN" w:bidi="ar"/>
              </w:rPr>
              <w:t>75</w:t>
            </w:r>
          </w:p>
        </w:tc>
        <w:tc>
          <w:tcPr>
            <w:tcW w:w="3877" w:type="dxa"/>
            <w:tcBorders>
              <w:tl2br w:val="nil"/>
              <w:tr2bl w:val="nil"/>
            </w:tcBorders>
            <w:shd w:val="clear" w:color="auto" w:fill="auto"/>
            <w:vAlign w:val="top"/>
          </w:tcPr>
          <w:p w14:paraId="69F74083">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支撑吊架为155模锻铸造材质，热镀锌工艺处理</w:t>
            </w:r>
          </w:p>
        </w:tc>
      </w:tr>
      <w:tr w14:paraId="32BABE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3A70BC6">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20</w:t>
            </w:r>
          </w:p>
        </w:tc>
        <w:tc>
          <w:tcPr>
            <w:tcW w:w="2553" w:type="dxa"/>
            <w:tcBorders>
              <w:tl2br w:val="nil"/>
              <w:tr2bl w:val="nil"/>
            </w:tcBorders>
            <w:shd w:val="clear" w:color="auto" w:fill="auto"/>
            <w:noWrap/>
            <w:vAlign w:val="center"/>
          </w:tcPr>
          <w:p w14:paraId="6A6430BC">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弯轨</w:t>
            </w:r>
          </w:p>
        </w:tc>
        <w:tc>
          <w:tcPr>
            <w:tcW w:w="581" w:type="dxa"/>
            <w:tcBorders>
              <w:tl2br w:val="nil"/>
              <w:tr2bl w:val="nil"/>
            </w:tcBorders>
            <w:shd w:val="clear" w:color="auto" w:fill="auto"/>
            <w:noWrap/>
            <w:vAlign w:val="center"/>
          </w:tcPr>
          <w:p w14:paraId="37CF57DD">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300838F9">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73</w:t>
            </w:r>
          </w:p>
        </w:tc>
        <w:tc>
          <w:tcPr>
            <w:tcW w:w="3877" w:type="dxa"/>
            <w:tcBorders>
              <w:tl2br w:val="nil"/>
              <w:tr2bl w:val="nil"/>
            </w:tcBorders>
            <w:shd w:val="clear" w:color="auto" w:fill="auto"/>
            <w:vAlign w:val="center"/>
          </w:tcPr>
          <w:p w14:paraId="474A0931">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模锻铸造成型，热镀锌</w:t>
            </w:r>
          </w:p>
        </w:tc>
      </w:tr>
      <w:tr w14:paraId="5777F6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1232D40">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21</w:t>
            </w:r>
          </w:p>
        </w:tc>
        <w:tc>
          <w:tcPr>
            <w:tcW w:w="2553" w:type="dxa"/>
            <w:tcBorders>
              <w:tl2br w:val="nil"/>
              <w:tr2bl w:val="nil"/>
            </w:tcBorders>
            <w:shd w:val="clear" w:color="auto" w:fill="auto"/>
            <w:noWrap/>
            <w:vAlign w:val="center"/>
          </w:tcPr>
          <w:p w14:paraId="37198AEA">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道叉</w:t>
            </w:r>
          </w:p>
        </w:tc>
        <w:tc>
          <w:tcPr>
            <w:tcW w:w="581" w:type="dxa"/>
            <w:tcBorders>
              <w:tl2br w:val="nil"/>
              <w:tr2bl w:val="nil"/>
            </w:tcBorders>
            <w:shd w:val="clear" w:color="auto" w:fill="auto"/>
            <w:noWrap/>
            <w:vAlign w:val="center"/>
          </w:tcPr>
          <w:p w14:paraId="044600A3">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0E1574BF">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55</w:t>
            </w:r>
          </w:p>
        </w:tc>
        <w:tc>
          <w:tcPr>
            <w:tcW w:w="3877" w:type="dxa"/>
            <w:tcBorders>
              <w:tl2br w:val="nil"/>
              <w:tr2bl w:val="nil"/>
            </w:tcBorders>
            <w:shd w:val="clear" w:color="auto" w:fill="auto"/>
            <w:vAlign w:val="center"/>
          </w:tcPr>
          <w:p w14:paraId="4B60B681">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模锻铸造成型，热镀锌</w:t>
            </w:r>
          </w:p>
        </w:tc>
      </w:tr>
      <w:tr w14:paraId="2CDB12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2279168">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22</w:t>
            </w:r>
          </w:p>
        </w:tc>
        <w:tc>
          <w:tcPr>
            <w:tcW w:w="2553" w:type="dxa"/>
            <w:tcBorders>
              <w:tl2br w:val="nil"/>
              <w:tr2bl w:val="nil"/>
            </w:tcBorders>
            <w:shd w:val="clear" w:color="auto" w:fill="auto"/>
            <w:noWrap/>
            <w:vAlign w:val="center"/>
          </w:tcPr>
          <w:p w14:paraId="4BD69480">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自动落羊器</w:t>
            </w:r>
          </w:p>
        </w:tc>
        <w:tc>
          <w:tcPr>
            <w:tcW w:w="581" w:type="dxa"/>
            <w:tcBorders>
              <w:tl2br w:val="nil"/>
              <w:tr2bl w:val="nil"/>
            </w:tcBorders>
            <w:shd w:val="clear" w:color="auto" w:fill="auto"/>
            <w:noWrap/>
            <w:vAlign w:val="center"/>
          </w:tcPr>
          <w:p w14:paraId="1A07D2C1">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6C41A672">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1083A398">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整体国标热镀锌材质，含自动感应装置，气动装置</w:t>
            </w:r>
          </w:p>
        </w:tc>
      </w:tr>
      <w:tr w14:paraId="58F7B4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F4394C6">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23</w:t>
            </w:r>
          </w:p>
        </w:tc>
        <w:tc>
          <w:tcPr>
            <w:tcW w:w="2553" w:type="dxa"/>
            <w:tcBorders>
              <w:tl2br w:val="nil"/>
              <w:tr2bl w:val="nil"/>
            </w:tcBorders>
            <w:shd w:val="clear" w:color="auto" w:fill="auto"/>
            <w:noWrap/>
            <w:vAlign w:val="center"/>
          </w:tcPr>
          <w:p w14:paraId="3C1FFB13">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全自动智能烫池</w:t>
            </w:r>
          </w:p>
        </w:tc>
        <w:tc>
          <w:tcPr>
            <w:tcW w:w="581" w:type="dxa"/>
            <w:tcBorders>
              <w:tl2br w:val="nil"/>
              <w:tr2bl w:val="nil"/>
            </w:tcBorders>
            <w:shd w:val="clear" w:color="auto" w:fill="auto"/>
            <w:noWrap/>
            <w:vAlign w:val="center"/>
          </w:tcPr>
          <w:p w14:paraId="4CA18D5D">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14856856">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3A15C434">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整体不锈钢材质，2200*1800*850</w:t>
            </w:r>
          </w:p>
        </w:tc>
      </w:tr>
      <w:tr w14:paraId="1B9970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ABA418E">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24</w:t>
            </w:r>
          </w:p>
        </w:tc>
        <w:tc>
          <w:tcPr>
            <w:tcW w:w="2553" w:type="dxa"/>
            <w:tcBorders>
              <w:tl2br w:val="nil"/>
              <w:tr2bl w:val="nil"/>
            </w:tcBorders>
            <w:shd w:val="clear" w:color="auto" w:fill="auto"/>
            <w:noWrap/>
            <w:vAlign w:val="center"/>
          </w:tcPr>
          <w:p w14:paraId="66721F98">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新型全自动羊抛毛机</w:t>
            </w:r>
          </w:p>
        </w:tc>
        <w:tc>
          <w:tcPr>
            <w:tcW w:w="581" w:type="dxa"/>
            <w:tcBorders>
              <w:tl2br w:val="nil"/>
              <w:tr2bl w:val="nil"/>
            </w:tcBorders>
            <w:shd w:val="clear" w:color="auto" w:fill="auto"/>
            <w:noWrap/>
            <w:vAlign w:val="center"/>
          </w:tcPr>
          <w:p w14:paraId="61CCE3BB">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0849F181">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7082E9F9">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技术尺寸为2600*1900*1700</w:t>
            </w:r>
          </w:p>
        </w:tc>
      </w:tr>
      <w:tr w14:paraId="76EDE3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DB7CA85">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25</w:t>
            </w:r>
          </w:p>
        </w:tc>
        <w:tc>
          <w:tcPr>
            <w:tcW w:w="2553" w:type="dxa"/>
            <w:tcBorders>
              <w:tl2br w:val="nil"/>
              <w:tr2bl w:val="nil"/>
            </w:tcBorders>
            <w:shd w:val="clear" w:color="auto" w:fill="auto"/>
            <w:noWrap/>
            <w:vAlign w:val="center"/>
          </w:tcPr>
          <w:p w14:paraId="3195EDEA">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白条提升机</w:t>
            </w:r>
          </w:p>
        </w:tc>
        <w:tc>
          <w:tcPr>
            <w:tcW w:w="581" w:type="dxa"/>
            <w:tcBorders>
              <w:tl2br w:val="nil"/>
              <w:tr2bl w:val="nil"/>
            </w:tcBorders>
            <w:shd w:val="clear" w:color="auto" w:fill="auto"/>
            <w:noWrap/>
            <w:vAlign w:val="center"/>
          </w:tcPr>
          <w:p w14:paraId="21959931">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18CDE659">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799B7DBF">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整体热镀锌国标材质，功率为2.2kw</w:t>
            </w:r>
          </w:p>
        </w:tc>
      </w:tr>
      <w:tr w14:paraId="564143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498F74B">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26</w:t>
            </w:r>
          </w:p>
        </w:tc>
        <w:tc>
          <w:tcPr>
            <w:tcW w:w="2553" w:type="dxa"/>
            <w:tcBorders>
              <w:tl2br w:val="nil"/>
              <w:tr2bl w:val="nil"/>
            </w:tcBorders>
            <w:shd w:val="clear" w:color="auto" w:fill="auto"/>
            <w:noWrap/>
            <w:vAlign w:val="center"/>
          </w:tcPr>
          <w:p w14:paraId="28EEE6FB">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白条清水池</w:t>
            </w:r>
          </w:p>
        </w:tc>
        <w:tc>
          <w:tcPr>
            <w:tcW w:w="581" w:type="dxa"/>
            <w:tcBorders>
              <w:tl2br w:val="nil"/>
              <w:tr2bl w:val="nil"/>
            </w:tcBorders>
            <w:shd w:val="clear" w:color="auto" w:fill="auto"/>
            <w:noWrap/>
            <w:vAlign w:val="center"/>
          </w:tcPr>
          <w:p w14:paraId="77011AB9">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0DC269C7">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1BBB6A7D">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整体不锈钢材质，不锈钢框架支撑结构</w:t>
            </w:r>
          </w:p>
        </w:tc>
      </w:tr>
      <w:tr w14:paraId="1ECC31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36AF1715">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27</w:t>
            </w:r>
          </w:p>
        </w:tc>
        <w:tc>
          <w:tcPr>
            <w:tcW w:w="2553" w:type="dxa"/>
            <w:tcBorders>
              <w:tl2br w:val="nil"/>
              <w:tr2bl w:val="nil"/>
            </w:tcBorders>
            <w:shd w:val="clear" w:color="auto" w:fill="auto"/>
            <w:noWrap/>
            <w:vAlign w:val="center"/>
          </w:tcPr>
          <w:p w14:paraId="4F02999C">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扣脚链</w:t>
            </w:r>
          </w:p>
        </w:tc>
        <w:tc>
          <w:tcPr>
            <w:tcW w:w="581" w:type="dxa"/>
            <w:tcBorders>
              <w:tl2br w:val="nil"/>
              <w:tr2bl w:val="nil"/>
            </w:tcBorders>
            <w:shd w:val="clear" w:color="auto" w:fill="auto"/>
            <w:noWrap/>
            <w:vAlign w:val="center"/>
          </w:tcPr>
          <w:p w14:paraId="51696127">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2C874F51">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30</w:t>
            </w:r>
          </w:p>
        </w:tc>
        <w:tc>
          <w:tcPr>
            <w:tcW w:w="3877" w:type="dxa"/>
            <w:tcBorders>
              <w:tl2br w:val="nil"/>
              <w:tr2bl w:val="nil"/>
            </w:tcBorders>
            <w:shd w:val="clear" w:color="auto" w:fill="auto"/>
            <w:vAlign w:val="center"/>
          </w:tcPr>
          <w:p w14:paraId="39353E31">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热镀套管，链条为不锈钢材质</w:t>
            </w:r>
          </w:p>
        </w:tc>
      </w:tr>
      <w:tr w14:paraId="4D1543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3BCA1E5C">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28</w:t>
            </w:r>
          </w:p>
        </w:tc>
        <w:tc>
          <w:tcPr>
            <w:tcW w:w="2553" w:type="dxa"/>
            <w:tcBorders>
              <w:tl2br w:val="nil"/>
              <w:tr2bl w:val="nil"/>
            </w:tcBorders>
            <w:shd w:val="clear" w:color="auto" w:fill="auto"/>
            <w:noWrap/>
            <w:vAlign w:val="center"/>
          </w:tcPr>
          <w:p w14:paraId="08F542EF">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滑轮</w:t>
            </w:r>
          </w:p>
        </w:tc>
        <w:tc>
          <w:tcPr>
            <w:tcW w:w="581" w:type="dxa"/>
            <w:tcBorders>
              <w:tl2br w:val="nil"/>
              <w:tr2bl w:val="nil"/>
            </w:tcBorders>
            <w:shd w:val="clear" w:color="auto" w:fill="auto"/>
            <w:noWrap/>
            <w:vAlign w:val="center"/>
          </w:tcPr>
          <w:p w14:paraId="5AFA57CA">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18B1E811">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300</w:t>
            </w:r>
          </w:p>
        </w:tc>
        <w:tc>
          <w:tcPr>
            <w:tcW w:w="3877" w:type="dxa"/>
            <w:tcBorders>
              <w:tl2br w:val="nil"/>
              <w:tr2bl w:val="nil"/>
            </w:tcBorders>
            <w:shd w:val="clear" w:color="auto" w:fill="auto"/>
            <w:vAlign w:val="center"/>
          </w:tcPr>
          <w:p w14:paraId="733EC9E6">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模锻铸造成型，热镀锌</w:t>
            </w:r>
          </w:p>
        </w:tc>
      </w:tr>
      <w:tr w14:paraId="7774E1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A72E62F">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29</w:t>
            </w:r>
          </w:p>
        </w:tc>
        <w:tc>
          <w:tcPr>
            <w:tcW w:w="2553" w:type="dxa"/>
            <w:tcBorders>
              <w:tl2br w:val="nil"/>
              <w:tr2bl w:val="nil"/>
            </w:tcBorders>
            <w:shd w:val="clear" w:color="auto" w:fill="auto"/>
            <w:noWrap/>
            <w:vAlign w:val="center"/>
          </w:tcPr>
          <w:p w14:paraId="2C506952">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W钩</w:t>
            </w:r>
          </w:p>
        </w:tc>
        <w:tc>
          <w:tcPr>
            <w:tcW w:w="581" w:type="dxa"/>
            <w:tcBorders>
              <w:tl2br w:val="nil"/>
              <w:tr2bl w:val="nil"/>
            </w:tcBorders>
            <w:shd w:val="clear" w:color="auto" w:fill="auto"/>
            <w:noWrap/>
            <w:vAlign w:val="center"/>
          </w:tcPr>
          <w:p w14:paraId="1FBCFFEF">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3D186764">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300</w:t>
            </w:r>
          </w:p>
        </w:tc>
        <w:tc>
          <w:tcPr>
            <w:tcW w:w="3877" w:type="dxa"/>
            <w:tcBorders>
              <w:tl2br w:val="nil"/>
              <w:tr2bl w:val="nil"/>
            </w:tcBorders>
            <w:shd w:val="clear" w:color="auto" w:fill="auto"/>
            <w:vAlign w:val="center"/>
          </w:tcPr>
          <w:p w14:paraId="5F8979BD">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整体采用不锈钢材质，直径10mm.</w:t>
            </w:r>
          </w:p>
        </w:tc>
      </w:tr>
      <w:tr w14:paraId="05192E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8355298">
            <w:pPr>
              <w:widowControl/>
              <w:spacing w:line="360" w:lineRule="exact"/>
              <w:ind w:firstLine="0" w:firstLineChars="0"/>
              <w:jc w:val="center"/>
              <w:textAlignment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30</w:t>
            </w:r>
          </w:p>
        </w:tc>
        <w:tc>
          <w:tcPr>
            <w:tcW w:w="2553" w:type="dxa"/>
            <w:tcBorders>
              <w:tl2br w:val="nil"/>
              <w:tr2bl w:val="nil"/>
            </w:tcBorders>
            <w:shd w:val="clear" w:color="auto" w:fill="auto"/>
            <w:noWrap/>
            <w:vAlign w:val="center"/>
          </w:tcPr>
          <w:p w14:paraId="5428C967">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电子轨道称</w:t>
            </w:r>
          </w:p>
        </w:tc>
        <w:tc>
          <w:tcPr>
            <w:tcW w:w="581" w:type="dxa"/>
            <w:tcBorders>
              <w:tl2br w:val="nil"/>
              <w:tr2bl w:val="nil"/>
            </w:tcBorders>
            <w:shd w:val="clear" w:color="auto" w:fill="auto"/>
            <w:noWrap/>
            <w:vAlign w:val="center"/>
          </w:tcPr>
          <w:p w14:paraId="36AD8EF0">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4B18E65F">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4FF3AF6A">
            <w:pPr>
              <w:widowControl/>
              <w:spacing w:line="360" w:lineRule="exact"/>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bidi="ar"/>
              </w:rPr>
              <w:t>镀锌结构，长度800mm，含显示屏和打印装置</w:t>
            </w:r>
          </w:p>
        </w:tc>
      </w:tr>
      <w:tr w14:paraId="4E693D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418" w:type="dxa"/>
            <w:gridSpan w:val="5"/>
            <w:tcBorders>
              <w:tl2br w:val="nil"/>
              <w:tr2bl w:val="nil"/>
            </w:tcBorders>
            <w:shd w:val="clear" w:color="auto" w:fill="auto"/>
            <w:noWrap/>
            <w:vAlign w:val="center"/>
          </w:tcPr>
          <w:p w14:paraId="5A94F89A">
            <w:pPr>
              <w:widowControl/>
              <w:spacing w:line="360" w:lineRule="exact"/>
              <w:ind w:firstLine="0" w:firstLineChars="0"/>
              <w:jc w:val="center"/>
              <w:textAlignment w:val="center"/>
              <w:rPr>
                <w:rFonts w:cs="Times New Roman"/>
                <w:b/>
                <w:bCs/>
                <w:color w:val="auto"/>
                <w:sz w:val="21"/>
                <w:szCs w:val="21"/>
                <w:highlight w:val="none"/>
              </w:rPr>
            </w:pPr>
            <w:r>
              <w:rPr>
                <w:rFonts w:cs="Times New Roman"/>
                <w:b/>
                <w:bCs/>
                <w:color w:val="auto"/>
                <w:kern w:val="0"/>
                <w:sz w:val="21"/>
                <w:szCs w:val="21"/>
                <w:highlight w:val="none"/>
                <w:lang w:bidi="ar"/>
              </w:rPr>
              <w:t>四、排酸间设备</w:t>
            </w:r>
          </w:p>
        </w:tc>
      </w:tr>
      <w:tr w14:paraId="03F702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E6D97D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2553" w:type="dxa"/>
            <w:tcBorders>
              <w:tl2br w:val="nil"/>
              <w:tr2bl w:val="nil"/>
            </w:tcBorders>
            <w:shd w:val="clear" w:color="auto" w:fill="auto"/>
            <w:vAlign w:val="center"/>
          </w:tcPr>
          <w:p w14:paraId="6A85CB81">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管轨手推线</w:t>
            </w:r>
          </w:p>
        </w:tc>
        <w:tc>
          <w:tcPr>
            <w:tcW w:w="581" w:type="dxa"/>
            <w:tcBorders>
              <w:tl2br w:val="nil"/>
              <w:tr2bl w:val="nil"/>
            </w:tcBorders>
            <w:shd w:val="clear" w:color="auto" w:fill="auto"/>
            <w:noWrap/>
            <w:vAlign w:val="center"/>
          </w:tcPr>
          <w:p w14:paraId="27473F09">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米</w:t>
            </w:r>
          </w:p>
        </w:tc>
        <w:tc>
          <w:tcPr>
            <w:tcW w:w="570" w:type="dxa"/>
            <w:tcBorders>
              <w:tl2br w:val="nil"/>
              <w:tr2bl w:val="nil"/>
            </w:tcBorders>
            <w:shd w:val="clear" w:color="auto" w:fill="auto"/>
            <w:noWrap/>
            <w:vAlign w:val="center"/>
          </w:tcPr>
          <w:p w14:paraId="54A3084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140</w:t>
            </w:r>
          </w:p>
        </w:tc>
        <w:tc>
          <w:tcPr>
            <w:tcW w:w="3877" w:type="dxa"/>
            <w:tcBorders>
              <w:tl2br w:val="nil"/>
              <w:tr2bl w:val="nil"/>
            </w:tcBorders>
            <w:shd w:val="clear" w:color="auto" w:fill="auto"/>
            <w:vAlign w:val="center"/>
          </w:tcPr>
          <w:p w14:paraId="7437D360">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w:t>
            </w:r>
          </w:p>
        </w:tc>
      </w:tr>
      <w:tr w14:paraId="6A5EA7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EF0AA12">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2</w:t>
            </w:r>
          </w:p>
        </w:tc>
        <w:tc>
          <w:tcPr>
            <w:tcW w:w="2553" w:type="dxa"/>
            <w:tcBorders>
              <w:tl2br w:val="nil"/>
              <w:tr2bl w:val="nil"/>
            </w:tcBorders>
            <w:shd w:val="clear" w:color="auto" w:fill="auto"/>
            <w:vAlign w:val="center"/>
          </w:tcPr>
          <w:p w14:paraId="26BC8188">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道叉</w:t>
            </w:r>
          </w:p>
        </w:tc>
        <w:tc>
          <w:tcPr>
            <w:tcW w:w="581" w:type="dxa"/>
            <w:tcBorders>
              <w:tl2br w:val="nil"/>
              <w:tr2bl w:val="nil"/>
            </w:tcBorders>
            <w:shd w:val="clear" w:color="auto" w:fill="auto"/>
            <w:noWrap/>
            <w:vAlign w:val="center"/>
          </w:tcPr>
          <w:p w14:paraId="5BCB9E29">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49B84B26">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10</w:t>
            </w:r>
          </w:p>
        </w:tc>
        <w:tc>
          <w:tcPr>
            <w:tcW w:w="3877" w:type="dxa"/>
            <w:tcBorders>
              <w:tl2br w:val="nil"/>
              <w:tr2bl w:val="nil"/>
            </w:tcBorders>
            <w:shd w:val="clear" w:color="auto" w:fill="auto"/>
            <w:vAlign w:val="center"/>
          </w:tcPr>
          <w:p w14:paraId="53BC11ED">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w:t>
            </w:r>
          </w:p>
        </w:tc>
      </w:tr>
      <w:tr w14:paraId="343E30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721F066">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3</w:t>
            </w:r>
          </w:p>
        </w:tc>
        <w:tc>
          <w:tcPr>
            <w:tcW w:w="2553" w:type="dxa"/>
            <w:tcBorders>
              <w:tl2br w:val="nil"/>
              <w:tr2bl w:val="nil"/>
            </w:tcBorders>
            <w:shd w:val="clear" w:color="auto" w:fill="auto"/>
            <w:vAlign w:val="center"/>
          </w:tcPr>
          <w:p w14:paraId="04D37C66">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弯道</w:t>
            </w:r>
          </w:p>
        </w:tc>
        <w:tc>
          <w:tcPr>
            <w:tcW w:w="581" w:type="dxa"/>
            <w:tcBorders>
              <w:tl2br w:val="nil"/>
              <w:tr2bl w:val="nil"/>
            </w:tcBorders>
            <w:shd w:val="clear" w:color="auto" w:fill="auto"/>
            <w:noWrap/>
            <w:vAlign w:val="center"/>
          </w:tcPr>
          <w:p w14:paraId="2AE743D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件</w:t>
            </w:r>
          </w:p>
        </w:tc>
        <w:tc>
          <w:tcPr>
            <w:tcW w:w="570" w:type="dxa"/>
            <w:tcBorders>
              <w:tl2br w:val="nil"/>
              <w:tr2bl w:val="nil"/>
            </w:tcBorders>
            <w:shd w:val="clear" w:color="auto" w:fill="auto"/>
            <w:noWrap/>
            <w:vAlign w:val="center"/>
          </w:tcPr>
          <w:p w14:paraId="13AA6E4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17</w:t>
            </w:r>
          </w:p>
        </w:tc>
        <w:tc>
          <w:tcPr>
            <w:tcW w:w="3877" w:type="dxa"/>
            <w:tcBorders>
              <w:tl2br w:val="nil"/>
              <w:tr2bl w:val="nil"/>
            </w:tcBorders>
            <w:shd w:val="clear" w:color="auto" w:fill="auto"/>
            <w:vAlign w:val="center"/>
          </w:tcPr>
          <w:p w14:paraId="6C46F9F7">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w:t>
            </w:r>
          </w:p>
        </w:tc>
      </w:tr>
      <w:tr w14:paraId="7FAD33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61B735D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4</w:t>
            </w:r>
          </w:p>
        </w:tc>
        <w:tc>
          <w:tcPr>
            <w:tcW w:w="2553" w:type="dxa"/>
            <w:tcBorders>
              <w:tl2br w:val="nil"/>
              <w:tr2bl w:val="nil"/>
            </w:tcBorders>
            <w:shd w:val="clear" w:color="auto" w:fill="auto"/>
            <w:vAlign w:val="center"/>
          </w:tcPr>
          <w:p w14:paraId="5E6E103F">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双轨手推线</w:t>
            </w:r>
          </w:p>
        </w:tc>
        <w:tc>
          <w:tcPr>
            <w:tcW w:w="581" w:type="dxa"/>
            <w:tcBorders>
              <w:tl2br w:val="nil"/>
              <w:tr2bl w:val="nil"/>
            </w:tcBorders>
            <w:shd w:val="clear" w:color="auto" w:fill="auto"/>
            <w:noWrap/>
            <w:vAlign w:val="center"/>
          </w:tcPr>
          <w:p w14:paraId="75F8484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米</w:t>
            </w:r>
          </w:p>
        </w:tc>
        <w:tc>
          <w:tcPr>
            <w:tcW w:w="570" w:type="dxa"/>
            <w:tcBorders>
              <w:tl2br w:val="nil"/>
              <w:tr2bl w:val="nil"/>
            </w:tcBorders>
            <w:shd w:val="clear" w:color="auto" w:fill="auto"/>
            <w:noWrap/>
            <w:vAlign w:val="center"/>
          </w:tcPr>
          <w:p w14:paraId="74D8FFDB">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270</w:t>
            </w:r>
          </w:p>
        </w:tc>
        <w:tc>
          <w:tcPr>
            <w:tcW w:w="3877" w:type="dxa"/>
            <w:tcBorders>
              <w:tl2br w:val="nil"/>
              <w:tr2bl w:val="nil"/>
            </w:tcBorders>
            <w:shd w:val="clear" w:color="auto" w:fill="auto"/>
            <w:vAlign w:val="center"/>
          </w:tcPr>
          <w:p w14:paraId="5A10374D">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w:t>
            </w:r>
          </w:p>
        </w:tc>
      </w:tr>
      <w:tr w14:paraId="1EBE10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F3E220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5</w:t>
            </w:r>
          </w:p>
        </w:tc>
        <w:tc>
          <w:tcPr>
            <w:tcW w:w="2553" w:type="dxa"/>
            <w:tcBorders>
              <w:tl2br w:val="nil"/>
              <w:tr2bl w:val="nil"/>
            </w:tcBorders>
            <w:shd w:val="clear" w:color="auto" w:fill="auto"/>
            <w:vAlign w:val="center"/>
          </w:tcPr>
          <w:p w14:paraId="5C9C67C3">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双向道叉</w:t>
            </w:r>
          </w:p>
        </w:tc>
        <w:tc>
          <w:tcPr>
            <w:tcW w:w="581" w:type="dxa"/>
            <w:tcBorders>
              <w:tl2br w:val="nil"/>
              <w:tr2bl w:val="nil"/>
            </w:tcBorders>
            <w:shd w:val="clear" w:color="auto" w:fill="auto"/>
            <w:noWrap/>
            <w:vAlign w:val="center"/>
          </w:tcPr>
          <w:p w14:paraId="60936BDE">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50D84C28">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36</w:t>
            </w:r>
          </w:p>
        </w:tc>
        <w:tc>
          <w:tcPr>
            <w:tcW w:w="3877" w:type="dxa"/>
            <w:tcBorders>
              <w:tl2br w:val="nil"/>
              <w:tr2bl w:val="nil"/>
            </w:tcBorders>
            <w:shd w:val="clear" w:color="auto" w:fill="auto"/>
            <w:vAlign w:val="center"/>
          </w:tcPr>
          <w:p w14:paraId="5A14970C">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w:t>
            </w:r>
          </w:p>
        </w:tc>
      </w:tr>
      <w:tr w14:paraId="0579F4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E6DF33F">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6</w:t>
            </w:r>
          </w:p>
        </w:tc>
        <w:tc>
          <w:tcPr>
            <w:tcW w:w="2553" w:type="dxa"/>
            <w:tcBorders>
              <w:tl2br w:val="nil"/>
              <w:tr2bl w:val="nil"/>
            </w:tcBorders>
            <w:shd w:val="clear" w:color="auto" w:fill="auto"/>
            <w:vAlign w:val="center"/>
          </w:tcPr>
          <w:p w14:paraId="27DCA57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三向道叉</w:t>
            </w:r>
          </w:p>
        </w:tc>
        <w:tc>
          <w:tcPr>
            <w:tcW w:w="581" w:type="dxa"/>
            <w:tcBorders>
              <w:tl2br w:val="nil"/>
              <w:tr2bl w:val="nil"/>
            </w:tcBorders>
            <w:shd w:val="clear" w:color="auto" w:fill="auto"/>
            <w:noWrap/>
            <w:vAlign w:val="center"/>
          </w:tcPr>
          <w:p w14:paraId="7EDBEABF">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套</w:t>
            </w:r>
          </w:p>
        </w:tc>
        <w:tc>
          <w:tcPr>
            <w:tcW w:w="570" w:type="dxa"/>
            <w:tcBorders>
              <w:tl2br w:val="nil"/>
              <w:tr2bl w:val="nil"/>
            </w:tcBorders>
            <w:shd w:val="clear" w:color="auto" w:fill="auto"/>
            <w:noWrap/>
            <w:vAlign w:val="center"/>
          </w:tcPr>
          <w:p w14:paraId="1C2E44D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14</w:t>
            </w:r>
          </w:p>
        </w:tc>
        <w:tc>
          <w:tcPr>
            <w:tcW w:w="3877" w:type="dxa"/>
            <w:tcBorders>
              <w:tl2br w:val="nil"/>
              <w:tr2bl w:val="nil"/>
            </w:tcBorders>
            <w:shd w:val="clear" w:color="auto" w:fill="auto"/>
            <w:vAlign w:val="center"/>
          </w:tcPr>
          <w:p w14:paraId="0E33BCBD">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w:t>
            </w:r>
          </w:p>
        </w:tc>
      </w:tr>
      <w:tr w14:paraId="7EFE52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4E5440FE">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7</w:t>
            </w:r>
          </w:p>
        </w:tc>
        <w:tc>
          <w:tcPr>
            <w:tcW w:w="2553" w:type="dxa"/>
            <w:tcBorders>
              <w:tl2br w:val="nil"/>
              <w:tr2bl w:val="nil"/>
            </w:tcBorders>
            <w:shd w:val="clear" w:color="auto" w:fill="auto"/>
            <w:vAlign w:val="center"/>
          </w:tcPr>
          <w:p w14:paraId="49E530CB">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弯道</w:t>
            </w:r>
          </w:p>
        </w:tc>
        <w:tc>
          <w:tcPr>
            <w:tcW w:w="581" w:type="dxa"/>
            <w:tcBorders>
              <w:tl2br w:val="nil"/>
              <w:tr2bl w:val="nil"/>
            </w:tcBorders>
            <w:shd w:val="clear" w:color="auto" w:fill="auto"/>
            <w:noWrap/>
            <w:vAlign w:val="center"/>
          </w:tcPr>
          <w:p w14:paraId="764C3BF6">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件</w:t>
            </w:r>
          </w:p>
        </w:tc>
        <w:tc>
          <w:tcPr>
            <w:tcW w:w="570" w:type="dxa"/>
            <w:tcBorders>
              <w:tl2br w:val="nil"/>
              <w:tr2bl w:val="nil"/>
            </w:tcBorders>
            <w:shd w:val="clear" w:color="auto" w:fill="auto"/>
            <w:noWrap/>
            <w:vAlign w:val="center"/>
          </w:tcPr>
          <w:p w14:paraId="18331173">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120</w:t>
            </w:r>
          </w:p>
        </w:tc>
        <w:tc>
          <w:tcPr>
            <w:tcW w:w="3877" w:type="dxa"/>
            <w:tcBorders>
              <w:tl2br w:val="nil"/>
              <w:tr2bl w:val="nil"/>
            </w:tcBorders>
            <w:shd w:val="clear" w:color="auto" w:fill="auto"/>
            <w:vAlign w:val="center"/>
          </w:tcPr>
          <w:p w14:paraId="01482E60">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w:t>
            </w:r>
          </w:p>
        </w:tc>
      </w:tr>
      <w:tr w14:paraId="46EE90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418" w:type="dxa"/>
            <w:gridSpan w:val="5"/>
            <w:tcBorders>
              <w:tl2br w:val="nil"/>
              <w:tr2bl w:val="nil"/>
            </w:tcBorders>
            <w:shd w:val="clear" w:color="auto" w:fill="auto"/>
            <w:noWrap/>
            <w:vAlign w:val="center"/>
          </w:tcPr>
          <w:p w14:paraId="388EDF3A">
            <w:pPr>
              <w:widowControl/>
              <w:spacing w:line="360" w:lineRule="exact"/>
              <w:ind w:firstLine="0" w:firstLineChars="0"/>
              <w:jc w:val="center"/>
              <w:textAlignment w:val="center"/>
              <w:rPr>
                <w:rFonts w:cs="Times New Roman"/>
                <w:b/>
                <w:bCs/>
                <w:color w:val="auto"/>
                <w:sz w:val="21"/>
                <w:szCs w:val="21"/>
                <w:highlight w:val="none"/>
              </w:rPr>
            </w:pPr>
            <w:r>
              <w:rPr>
                <w:rFonts w:cs="Times New Roman"/>
                <w:b/>
                <w:bCs/>
                <w:color w:val="auto"/>
                <w:kern w:val="0"/>
                <w:sz w:val="21"/>
                <w:szCs w:val="21"/>
                <w:highlight w:val="none"/>
                <w:lang w:bidi="ar"/>
              </w:rPr>
              <w:t>五、分割包装设备</w:t>
            </w:r>
          </w:p>
        </w:tc>
      </w:tr>
      <w:tr w14:paraId="58B781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23DBDDB">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2553" w:type="dxa"/>
            <w:tcBorders>
              <w:tl2br w:val="nil"/>
              <w:tr2bl w:val="nil"/>
            </w:tcBorders>
            <w:shd w:val="clear" w:color="auto" w:fill="auto"/>
            <w:vAlign w:val="center"/>
          </w:tcPr>
          <w:p w14:paraId="37CFA6D7">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剔骨工作台</w:t>
            </w:r>
          </w:p>
        </w:tc>
        <w:tc>
          <w:tcPr>
            <w:tcW w:w="581" w:type="dxa"/>
            <w:tcBorders>
              <w:tl2br w:val="nil"/>
              <w:tr2bl w:val="nil"/>
            </w:tcBorders>
            <w:shd w:val="clear" w:color="auto" w:fill="auto"/>
            <w:noWrap/>
            <w:vAlign w:val="center"/>
          </w:tcPr>
          <w:p w14:paraId="05463B57">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313012C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2</w:t>
            </w:r>
          </w:p>
        </w:tc>
        <w:tc>
          <w:tcPr>
            <w:tcW w:w="3877" w:type="dxa"/>
            <w:tcBorders>
              <w:tl2br w:val="nil"/>
              <w:tr2bl w:val="nil"/>
            </w:tcBorders>
            <w:shd w:val="clear" w:color="auto" w:fill="auto"/>
            <w:vAlign w:val="center"/>
          </w:tcPr>
          <w:p w14:paraId="11DDBA08">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1800X900X800，不锈钢材质：304</w:t>
            </w:r>
          </w:p>
        </w:tc>
      </w:tr>
      <w:tr w14:paraId="15F658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C2FB84E">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2</w:t>
            </w:r>
          </w:p>
        </w:tc>
        <w:tc>
          <w:tcPr>
            <w:tcW w:w="2553" w:type="dxa"/>
            <w:tcBorders>
              <w:tl2br w:val="nil"/>
              <w:tr2bl w:val="nil"/>
            </w:tcBorders>
            <w:shd w:val="clear" w:color="auto" w:fill="auto"/>
            <w:vAlign w:val="center"/>
          </w:tcPr>
          <w:p w14:paraId="153DEF5E">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分割输送机</w:t>
            </w:r>
          </w:p>
        </w:tc>
        <w:tc>
          <w:tcPr>
            <w:tcW w:w="581" w:type="dxa"/>
            <w:tcBorders>
              <w:tl2br w:val="nil"/>
              <w:tr2bl w:val="nil"/>
            </w:tcBorders>
            <w:shd w:val="clear" w:color="auto" w:fill="auto"/>
            <w:noWrap/>
            <w:vAlign w:val="center"/>
          </w:tcPr>
          <w:p w14:paraId="39D390F3">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45A2AB3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3CA0B686">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电机功率为1.1kw</w:t>
            </w:r>
          </w:p>
        </w:tc>
      </w:tr>
      <w:tr w14:paraId="263BE8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D62743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3</w:t>
            </w:r>
          </w:p>
        </w:tc>
        <w:tc>
          <w:tcPr>
            <w:tcW w:w="2553" w:type="dxa"/>
            <w:tcBorders>
              <w:tl2br w:val="nil"/>
              <w:tr2bl w:val="nil"/>
            </w:tcBorders>
            <w:shd w:val="clear" w:color="auto" w:fill="auto"/>
            <w:vAlign w:val="center"/>
          </w:tcPr>
          <w:p w14:paraId="5CD12605">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分割台</w:t>
            </w:r>
          </w:p>
        </w:tc>
        <w:tc>
          <w:tcPr>
            <w:tcW w:w="581" w:type="dxa"/>
            <w:tcBorders>
              <w:tl2br w:val="nil"/>
              <w:tr2bl w:val="nil"/>
            </w:tcBorders>
            <w:shd w:val="clear" w:color="auto" w:fill="auto"/>
            <w:noWrap/>
            <w:vAlign w:val="center"/>
          </w:tcPr>
          <w:p w14:paraId="3596222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7BE4BCE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10</w:t>
            </w:r>
          </w:p>
        </w:tc>
        <w:tc>
          <w:tcPr>
            <w:tcW w:w="3877" w:type="dxa"/>
            <w:tcBorders>
              <w:tl2br w:val="nil"/>
              <w:tr2bl w:val="nil"/>
            </w:tcBorders>
            <w:shd w:val="clear" w:color="auto" w:fill="auto"/>
            <w:vAlign w:val="center"/>
          </w:tcPr>
          <w:p w14:paraId="4647C5D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1200X700X800</w:t>
            </w:r>
          </w:p>
        </w:tc>
      </w:tr>
      <w:tr w14:paraId="197F67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39DFC91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4</w:t>
            </w:r>
          </w:p>
        </w:tc>
        <w:tc>
          <w:tcPr>
            <w:tcW w:w="2553" w:type="dxa"/>
            <w:tcBorders>
              <w:tl2br w:val="nil"/>
              <w:tr2bl w:val="nil"/>
            </w:tcBorders>
            <w:shd w:val="clear" w:color="auto" w:fill="auto"/>
            <w:vAlign w:val="center"/>
          </w:tcPr>
          <w:p w14:paraId="252CA34B">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包装工作台</w:t>
            </w:r>
          </w:p>
        </w:tc>
        <w:tc>
          <w:tcPr>
            <w:tcW w:w="581" w:type="dxa"/>
            <w:tcBorders>
              <w:tl2br w:val="nil"/>
              <w:tr2bl w:val="nil"/>
            </w:tcBorders>
            <w:shd w:val="clear" w:color="auto" w:fill="auto"/>
            <w:noWrap/>
            <w:vAlign w:val="center"/>
          </w:tcPr>
          <w:p w14:paraId="410FD85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78FF8189">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2</w:t>
            </w:r>
          </w:p>
        </w:tc>
        <w:tc>
          <w:tcPr>
            <w:tcW w:w="3877" w:type="dxa"/>
            <w:tcBorders>
              <w:tl2br w:val="nil"/>
              <w:tr2bl w:val="nil"/>
            </w:tcBorders>
            <w:shd w:val="clear" w:color="auto" w:fill="auto"/>
            <w:vAlign w:val="center"/>
          </w:tcPr>
          <w:p w14:paraId="24ED035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外形尺寸:1800X900X800mm</w:t>
            </w:r>
          </w:p>
        </w:tc>
      </w:tr>
      <w:tr w14:paraId="7347FE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C803167">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5</w:t>
            </w:r>
          </w:p>
        </w:tc>
        <w:tc>
          <w:tcPr>
            <w:tcW w:w="2553" w:type="dxa"/>
            <w:tcBorders>
              <w:tl2br w:val="nil"/>
              <w:tr2bl w:val="nil"/>
            </w:tcBorders>
            <w:shd w:val="clear" w:color="auto" w:fill="auto"/>
            <w:vAlign w:val="center"/>
          </w:tcPr>
          <w:p w14:paraId="39889A9A">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真空包装</w:t>
            </w:r>
          </w:p>
        </w:tc>
        <w:tc>
          <w:tcPr>
            <w:tcW w:w="581" w:type="dxa"/>
            <w:tcBorders>
              <w:tl2br w:val="nil"/>
              <w:tr2bl w:val="nil"/>
            </w:tcBorders>
            <w:shd w:val="clear" w:color="auto" w:fill="auto"/>
            <w:noWrap/>
            <w:vAlign w:val="center"/>
          </w:tcPr>
          <w:p w14:paraId="75DB1AA1">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39D02C2B">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135F24BA">
            <w:pPr>
              <w:widowControl/>
              <w:spacing w:line="360" w:lineRule="exact"/>
              <w:ind w:firstLine="0" w:firstLineChars="0"/>
              <w:jc w:val="center"/>
              <w:textAlignment w:val="center"/>
              <w:rPr>
                <w:rFonts w:cs="Times New Roman"/>
                <w:color w:val="auto"/>
                <w:kern w:val="0"/>
                <w:sz w:val="21"/>
                <w:szCs w:val="21"/>
                <w:highlight w:val="none"/>
                <w:lang w:bidi="ar"/>
              </w:rPr>
            </w:pPr>
            <w:r>
              <w:rPr>
                <w:rFonts w:cs="Times New Roman"/>
                <w:color w:val="auto"/>
                <w:kern w:val="0"/>
                <w:sz w:val="21"/>
                <w:szCs w:val="21"/>
                <w:highlight w:val="none"/>
                <w:lang w:bidi="ar"/>
              </w:rPr>
              <w:t>DZ-800/2S</w:t>
            </w:r>
          </w:p>
        </w:tc>
      </w:tr>
      <w:tr w14:paraId="25ABD0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AAB187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6</w:t>
            </w:r>
          </w:p>
        </w:tc>
        <w:tc>
          <w:tcPr>
            <w:tcW w:w="2553" w:type="dxa"/>
            <w:tcBorders>
              <w:tl2br w:val="nil"/>
              <w:tr2bl w:val="nil"/>
            </w:tcBorders>
            <w:shd w:val="clear" w:color="auto" w:fill="auto"/>
            <w:vAlign w:val="center"/>
          </w:tcPr>
          <w:p w14:paraId="07914E1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热缩机</w:t>
            </w:r>
          </w:p>
        </w:tc>
        <w:tc>
          <w:tcPr>
            <w:tcW w:w="581" w:type="dxa"/>
            <w:tcBorders>
              <w:tl2br w:val="nil"/>
              <w:tr2bl w:val="nil"/>
            </w:tcBorders>
            <w:shd w:val="clear" w:color="auto" w:fill="auto"/>
            <w:noWrap/>
            <w:vAlign w:val="center"/>
          </w:tcPr>
          <w:p w14:paraId="2B2B87B1">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4C995F00">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34FACEE5">
            <w:pPr>
              <w:widowControl/>
              <w:spacing w:line="360" w:lineRule="exact"/>
              <w:ind w:firstLine="420"/>
              <w:jc w:val="center"/>
              <w:textAlignment w:val="center"/>
              <w:rPr>
                <w:rFonts w:cs="Times New Roman"/>
                <w:color w:val="auto"/>
                <w:sz w:val="21"/>
                <w:szCs w:val="21"/>
                <w:highlight w:val="none"/>
              </w:rPr>
            </w:pPr>
            <w:r>
              <w:rPr>
                <w:rFonts w:cs="Times New Roman"/>
                <w:color w:val="auto"/>
                <w:sz w:val="21"/>
                <w:szCs w:val="21"/>
                <w:highlight w:val="none"/>
              </w:rPr>
              <w:t>/</w:t>
            </w:r>
          </w:p>
        </w:tc>
      </w:tr>
      <w:tr w14:paraId="1552F6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2D667F2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7</w:t>
            </w:r>
          </w:p>
        </w:tc>
        <w:tc>
          <w:tcPr>
            <w:tcW w:w="2553" w:type="dxa"/>
            <w:tcBorders>
              <w:tl2br w:val="nil"/>
              <w:tr2bl w:val="nil"/>
            </w:tcBorders>
            <w:shd w:val="clear" w:color="auto" w:fill="auto"/>
            <w:noWrap/>
            <w:vAlign w:val="center"/>
          </w:tcPr>
          <w:p w14:paraId="0F675FDB">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速冻架车</w:t>
            </w:r>
          </w:p>
        </w:tc>
        <w:tc>
          <w:tcPr>
            <w:tcW w:w="581" w:type="dxa"/>
            <w:tcBorders>
              <w:tl2br w:val="nil"/>
              <w:tr2bl w:val="nil"/>
            </w:tcBorders>
            <w:shd w:val="clear" w:color="auto" w:fill="auto"/>
            <w:noWrap/>
            <w:vAlign w:val="center"/>
          </w:tcPr>
          <w:p w14:paraId="6B0F3A7F">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辆</w:t>
            </w:r>
          </w:p>
        </w:tc>
        <w:tc>
          <w:tcPr>
            <w:tcW w:w="570" w:type="dxa"/>
            <w:tcBorders>
              <w:tl2br w:val="nil"/>
              <w:tr2bl w:val="nil"/>
            </w:tcBorders>
            <w:shd w:val="clear" w:color="auto" w:fill="auto"/>
            <w:noWrap/>
            <w:vAlign w:val="center"/>
          </w:tcPr>
          <w:p w14:paraId="3F1F835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20</w:t>
            </w:r>
          </w:p>
        </w:tc>
        <w:tc>
          <w:tcPr>
            <w:tcW w:w="3877" w:type="dxa"/>
            <w:tcBorders>
              <w:tl2br w:val="nil"/>
              <w:tr2bl w:val="nil"/>
            </w:tcBorders>
            <w:shd w:val="clear" w:color="auto" w:fill="auto"/>
            <w:vAlign w:val="center"/>
          </w:tcPr>
          <w:p w14:paraId="21E0ADF5">
            <w:pPr>
              <w:widowControl/>
              <w:spacing w:line="360" w:lineRule="exact"/>
              <w:ind w:firstLine="420"/>
              <w:jc w:val="center"/>
              <w:textAlignment w:val="center"/>
              <w:rPr>
                <w:rFonts w:cs="Times New Roman"/>
                <w:color w:val="auto"/>
                <w:sz w:val="21"/>
                <w:szCs w:val="21"/>
                <w:highlight w:val="none"/>
              </w:rPr>
            </w:pPr>
            <w:r>
              <w:rPr>
                <w:rFonts w:cs="Times New Roman"/>
                <w:color w:val="auto"/>
                <w:sz w:val="21"/>
                <w:szCs w:val="21"/>
                <w:highlight w:val="none"/>
              </w:rPr>
              <w:t>/</w:t>
            </w:r>
          </w:p>
        </w:tc>
      </w:tr>
      <w:tr w14:paraId="035425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C47CC7E">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8</w:t>
            </w:r>
          </w:p>
        </w:tc>
        <w:tc>
          <w:tcPr>
            <w:tcW w:w="2553" w:type="dxa"/>
            <w:tcBorders>
              <w:tl2br w:val="nil"/>
              <w:tr2bl w:val="nil"/>
            </w:tcBorders>
            <w:shd w:val="clear" w:color="auto" w:fill="auto"/>
            <w:noWrap/>
            <w:vAlign w:val="center"/>
          </w:tcPr>
          <w:p w14:paraId="382D79E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全自动打包机</w:t>
            </w:r>
          </w:p>
        </w:tc>
        <w:tc>
          <w:tcPr>
            <w:tcW w:w="581" w:type="dxa"/>
            <w:tcBorders>
              <w:tl2br w:val="nil"/>
              <w:tr2bl w:val="nil"/>
            </w:tcBorders>
            <w:shd w:val="clear" w:color="auto" w:fill="auto"/>
            <w:noWrap/>
            <w:vAlign w:val="center"/>
          </w:tcPr>
          <w:p w14:paraId="6C95A219">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台</w:t>
            </w:r>
          </w:p>
        </w:tc>
        <w:tc>
          <w:tcPr>
            <w:tcW w:w="570" w:type="dxa"/>
            <w:tcBorders>
              <w:tl2br w:val="nil"/>
              <w:tr2bl w:val="nil"/>
            </w:tcBorders>
            <w:shd w:val="clear" w:color="auto" w:fill="auto"/>
            <w:noWrap/>
            <w:vAlign w:val="center"/>
          </w:tcPr>
          <w:p w14:paraId="24C64DF2">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w:t>
            </w:r>
          </w:p>
        </w:tc>
        <w:tc>
          <w:tcPr>
            <w:tcW w:w="3877" w:type="dxa"/>
            <w:tcBorders>
              <w:tl2br w:val="nil"/>
              <w:tr2bl w:val="nil"/>
            </w:tcBorders>
            <w:shd w:val="clear" w:color="auto" w:fill="auto"/>
            <w:vAlign w:val="center"/>
          </w:tcPr>
          <w:p w14:paraId="036579C3">
            <w:pPr>
              <w:widowControl/>
              <w:spacing w:line="360" w:lineRule="exact"/>
              <w:ind w:firstLine="420"/>
              <w:jc w:val="center"/>
              <w:textAlignment w:val="center"/>
              <w:rPr>
                <w:rFonts w:cs="Times New Roman"/>
                <w:color w:val="auto"/>
                <w:sz w:val="21"/>
                <w:szCs w:val="21"/>
                <w:highlight w:val="none"/>
              </w:rPr>
            </w:pPr>
            <w:r>
              <w:rPr>
                <w:rFonts w:cs="Times New Roman"/>
                <w:color w:val="auto"/>
                <w:sz w:val="21"/>
                <w:szCs w:val="21"/>
                <w:highlight w:val="none"/>
              </w:rPr>
              <w:t>/</w:t>
            </w:r>
          </w:p>
        </w:tc>
      </w:tr>
      <w:tr w14:paraId="6616D9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418" w:type="dxa"/>
            <w:gridSpan w:val="5"/>
            <w:tcBorders>
              <w:tl2br w:val="nil"/>
              <w:tr2bl w:val="nil"/>
            </w:tcBorders>
            <w:shd w:val="clear" w:color="auto" w:fill="auto"/>
            <w:noWrap/>
            <w:vAlign w:val="center"/>
          </w:tcPr>
          <w:p w14:paraId="7162BC5A">
            <w:pPr>
              <w:widowControl/>
              <w:spacing w:line="360" w:lineRule="exact"/>
              <w:ind w:firstLine="420"/>
              <w:jc w:val="center"/>
              <w:textAlignment w:val="center"/>
              <w:rPr>
                <w:rFonts w:hint="eastAsia" w:eastAsia="宋体" w:cs="Times New Roman"/>
                <w:color w:val="auto"/>
                <w:sz w:val="21"/>
                <w:szCs w:val="21"/>
                <w:highlight w:val="none"/>
                <w:lang w:eastAsia="zh-CN"/>
              </w:rPr>
            </w:pPr>
            <w:r>
              <w:rPr>
                <w:rFonts w:hint="eastAsia" w:cs="Times New Roman"/>
                <w:b/>
                <w:bCs/>
                <w:color w:val="auto"/>
                <w:kern w:val="0"/>
                <w:sz w:val="21"/>
                <w:szCs w:val="21"/>
                <w:highlight w:val="none"/>
                <w:lang w:val="en-US" w:eastAsia="zh-CN" w:bidi="ar"/>
              </w:rPr>
              <w:t>六</w:t>
            </w:r>
            <w:r>
              <w:rPr>
                <w:rFonts w:cs="Times New Roman"/>
                <w:b/>
                <w:bCs/>
                <w:color w:val="auto"/>
                <w:kern w:val="0"/>
                <w:sz w:val="21"/>
                <w:szCs w:val="21"/>
                <w:highlight w:val="none"/>
                <w:lang w:bidi="ar"/>
              </w:rPr>
              <w:t>、</w:t>
            </w:r>
            <w:r>
              <w:rPr>
                <w:rFonts w:hint="eastAsia" w:cs="Times New Roman"/>
                <w:b/>
                <w:bCs/>
                <w:color w:val="auto"/>
                <w:kern w:val="0"/>
                <w:sz w:val="21"/>
                <w:szCs w:val="21"/>
                <w:highlight w:val="none"/>
                <w:lang w:val="en-US" w:eastAsia="zh-CN" w:bidi="ar"/>
              </w:rPr>
              <w:t>环保</w:t>
            </w:r>
            <w:r>
              <w:rPr>
                <w:rFonts w:cs="Times New Roman"/>
                <w:b/>
                <w:bCs/>
                <w:color w:val="auto"/>
                <w:kern w:val="0"/>
                <w:sz w:val="21"/>
                <w:szCs w:val="21"/>
                <w:highlight w:val="none"/>
                <w:lang w:bidi="ar"/>
              </w:rPr>
              <w:t>设备</w:t>
            </w:r>
          </w:p>
        </w:tc>
      </w:tr>
      <w:tr w14:paraId="75BD7C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0593D265">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1</w:t>
            </w:r>
          </w:p>
        </w:tc>
        <w:tc>
          <w:tcPr>
            <w:tcW w:w="2553" w:type="dxa"/>
            <w:tcBorders>
              <w:tl2br w:val="nil"/>
              <w:tr2bl w:val="nil"/>
            </w:tcBorders>
            <w:shd w:val="clear" w:color="auto" w:fill="auto"/>
            <w:noWrap/>
            <w:vAlign w:val="center"/>
          </w:tcPr>
          <w:p w14:paraId="48934443">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絮凝反应池</w:t>
            </w:r>
          </w:p>
        </w:tc>
        <w:tc>
          <w:tcPr>
            <w:tcW w:w="581" w:type="dxa"/>
            <w:tcBorders>
              <w:tl2br w:val="nil"/>
              <w:tr2bl w:val="nil"/>
            </w:tcBorders>
            <w:shd w:val="clear" w:color="auto" w:fill="auto"/>
            <w:noWrap/>
            <w:vAlign w:val="center"/>
          </w:tcPr>
          <w:p w14:paraId="22D9C991">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个</w:t>
            </w:r>
          </w:p>
        </w:tc>
        <w:tc>
          <w:tcPr>
            <w:tcW w:w="570" w:type="dxa"/>
            <w:tcBorders>
              <w:tl2br w:val="nil"/>
              <w:tr2bl w:val="nil"/>
            </w:tcBorders>
            <w:shd w:val="clear" w:color="auto" w:fill="auto"/>
            <w:noWrap/>
            <w:vAlign w:val="center"/>
          </w:tcPr>
          <w:p w14:paraId="2C72AB6A">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2</w:t>
            </w:r>
          </w:p>
        </w:tc>
        <w:tc>
          <w:tcPr>
            <w:tcW w:w="3877" w:type="dxa"/>
            <w:vMerge w:val="restart"/>
            <w:tcBorders>
              <w:tl2br w:val="nil"/>
              <w:tr2bl w:val="nil"/>
            </w:tcBorders>
            <w:shd w:val="clear" w:color="auto" w:fill="auto"/>
            <w:vAlign w:val="center"/>
          </w:tcPr>
          <w:p w14:paraId="509AFDEA">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碳钢防腐/</w:t>
            </w:r>
          </w:p>
        </w:tc>
      </w:tr>
      <w:tr w14:paraId="176E1C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1DBCBAEE">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2</w:t>
            </w:r>
          </w:p>
        </w:tc>
        <w:tc>
          <w:tcPr>
            <w:tcW w:w="2553" w:type="dxa"/>
            <w:tcBorders>
              <w:tl2br w:val="nil"/>
              <w:tr2bl w:val="nil"/>
            </w:tcBorders>
            <w:shd w:val="clear" w:color="auto" w:fill="auto"/>
            <w:noWrap/>
            <w:vAlign w:val="center"/>
          </w:tcPr>
          <w:p w14:paraId="30902CCF">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接触池</w:t>
            </w:r>
          </w:p>
        </w:tc>
        <w:tc>
          <w:tcPr>
            <w:tcW w:w="581" w:type="dxa"/>
            <w:tcBorders>
              <w:tl2br w:val="nil"/>
              <w:tr2bl w:val="nil"/>
            </w:tcBorders>
            <w:shd w:val="clear" w:color="auto" w:fill="auto"/>
            <w:noWrap/>
            <w:vAlign w:val="center"/>
          </w:tcPr>
          <w:p w14:paraId="341D70F3">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个</w:t>
            </w:r>
          </w:p>
        </w:tc>
        <w:tc>
          <w:tcPr>
            <w:tcW w:w="570" w:type="dxa"/>
            <w:tcBorders>
              <w:tl2br w:val="nil"/>
              <w:tr2bl w:val="nil"/>
            </w:tcBorders>
            <w:shd w:val="clear" w:color="auto" w:fill="auto"/>
            <w:noWrap/>
            <w:vAlign w:val="center"/>
          </w:tcPr>
          <w:p w14:paraId="57A115E5">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3877" w:type="dxa"/>
            <w:vMerge w:val="continue"/>
            <w:tcBorders>
              <w:tl2br w:val="nil"/>
              <w:tr2bl w:val="nil"/>
            </w:tcBorders>
            <w:shd w:val="clear" w:color="auto" w:fill="auto"/>
            <w:vAlign w:val="center"/>
          </w:tcPr>
          <w:p w14:paraId="5798A43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p>
        </w:tc>
      </w:tr>
      <w:tr w14:paraId="53C509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7E71372C">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3</w:t>
            </w:r>
          </w:p>
        </w:tc>
        <w:tc>
          <w:tcPr>
            <w:tcW w:w="2553" w:type="dxa"/>
            <w:tcBorders>
              <w:tl2br w:val="nil"/>
              <w:tr2bl w:val="nil"/>
            </w:tcBorders>
            <w:shd w:val="clear" w:color="auto" w:fill="auto"/>
            <w:noWrap/>
            <w:vAlign w:val="center"/>
          </w:tcPr>
          <w:p w14:paraId="74EE927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浮上分离池</w:t>
            </w:r>
          </w:p>
        </w:tc>
        <w:tc>
          <w:tcPr>
            <w:tcW w:w="581" w:type="dxa"/>
            <w:tcBorders>
              <w:tl2br w:val="nil"/>
              <w:tr2bl w:val="nil"/>
            </w:tcBorders>
            <w:shd w:val="clear" w:color="auto" w:fill="auto"/>
            <w:noWrap/>
            <w:vAlign w:val="center"/>
          </w:tcPr>
          <w:p w14:paraId="245F22B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个</w:t>
            </w:r>
          </w:p>
        </w:tc>
        <w:tc>
          <w:tcPr>
            <w:tcW w:w="570" w:type="dxa"/>
            <w:tcBorders>
              <w:tl2br w:val="nil"/>
              <w:tr2bl w:val="nil"/>
            </w:tcBorders>
            <w:shd w:val="clear" w:color="auto" w:fill="auto"/>
            <w:noWrap/>
            <w:vAlign w:val="center"/>
          </w:tcPr>
          <w:p w14:paraId="5EB3E88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3877" w:type="dxa"/>
            <w:vMerge w:val="continue"/>
            <w:tcBorders>
              <w:tl2br w:val="nil"/>
              <w:tr2bl w:val="nil"/>
            </w:tcBorders>
            <w:shd w:val="clear" w:color="auto" w:fill="auto"/>
            <w:vAlign w:val="center"/>
          </w:tcPr>
          <w:p w14:paraId="7D04B28A">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p>
        </w:tc>
      </w:tr>
      <w:tr w14:paraId="3E7C9C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837" w:type="dxa"/>
            <w:tcBorders>
              <w:tl2br w:val="nil"/>
              <w:tr2bl w:val="nil"/>
            </w:tcBorders>
            <w:shd w:val="clear" w:color="auto" w:fill="auto"/>
            <w:noWrap/>
            <w:vAlign w:val="center"/>
          </w:tcPr>
          <w:p w14:paraId="5A3B264E">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4</w:t>
            </w:r>
          </w:p>
        </w:tc>
        <w:tc>
          <w:tcPr>
            <w:tcW w:w="2553" w:type="dxa"/>
            <w:tcBorders>
              <w:tl2br w:val="nil"/>
              <w:tr2bl w:val="nil"/>
            </w:tcBorders>
            <w:shd w:val="clear" w:color="auto" w:fill="auto"/>
            <w:noWrap/>
            <w:vAlign w:val="center"/>
          </w:tcPr>
          <w:p w14:paraId="31035E3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清水池</w:t>
            </w:r>
          </w:p>
        </w:tc>
        <w:tc>
          <w:tcPr>
            <w:tcW w:w="581" w:type="dxa"/>
            <w:tcBorders>
              <w:tl2br w:val="nil"/>
              <w:tr2bl w:val="nil"/>
            </w:tcBorders>
            <w:shd w:val="clear" w:color="auto" w:fill="auto"/>
            <w:noWrap/>
            <w:vAlign w:val="center"/>
          </w:tcPr>
          <w:p w14:paraId="770E948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个</w:t>
            </w:r>
          </w:p>
        </w:tc>
        <w:tc>
          <w:tcPr>
            <w:tcW w:w="570" w:type="dxa"/>
            <w:tcBorders>
              <w:tl2br w:val="nil"/>
              <w:tr2bl w:val="nil"/>
            </w:tcBorders>
            <w:shd w:val="clear" w:color="auto" w:fill="auto"/>
            <w:noWrap/>
            <w:vAlign w:val="center"/>
          </w:tcPr>
          <w:p w14:paraId="75A27CBB">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3877" w:type="dxa"/>
            <w:vMerge w:val="continue"/>
            <w:tcBorders>
              <w:tl2br w:val="nil"/>
              <w:tr2bl w:val="nil"/>
            </w:tcBorders>
            <w:shd w:val="clear" w:color="auto" w:fill="auto"/>
            <w:vAlign w:val="center"/>
          </w:tcPr>
          <w:p w14:paraId="44836619">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p>
        </w:tc>
      </w:tr>
      <w:tr w14:paraId="433F9D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04FE88A0">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16C5953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出渣槽</w:t>
            </w:r>
          </w:p>
        </w:tc>
        <w:tc>
          <w:tcPr>
            <w:tcW w:w="0" w:type="auto"/>
            <w:shd w:val="clear" w:color="auto" w:fill="auto"/>
            <w:vAlign w:val="center"/>
          </w:tcPr>
          <w:p w14:paraId="7D305D9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个</w:t>
            </w:r>
          </w:p>
        </w:tc>
        <w:tc>
          <w:tcPr>
            <w:tcW w:w="0" w:type="auto"/>
            <w:shd w:val="clear" w:color="auto" w:fill="auto"/>
            <w:vAlign w:val="center"/>
          </w:tcPr>
          <w:p w14:paraId="356EA271">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3877" w:type="dxa"/>
            <w:vMerge w:val="continue"/>
            <w:vAlign w:val="center"/>
          </w:tcPr>
          <w:p w14:paraId="504A979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p>
        </w:tc>
      </w:tr>
      <w:tr w14:paraId="65686D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4DB84CC7">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E6E6E6"/>
            <w:vAlign w:val="center"/>
          </w:tcPr>
          <w:p w14:paraId="4EA5C00C">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机械格栅</w:t>
            </w:r>
          </w:p>
        </w:tc>
        <w:tc>
          <w:tcPr>
            <w:tcW w:w="0" w:type="auto"/>
            <w:shd w:val="clear" w:color="auto" w:fill="E6E6E6"/>
            <w:vAlign w:val="center"/>
          </w:tcPr>
          <w:p w14:paraId="6A033D71">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台</w:t>
            </w:r>
          </w:p>
        </w:tc>
        <w:tc>
          <w:tcPr>
            <w:tcW w:w="0" w:type="auto"/>
            <w:shd w:val="clear" w:color="auto" w:fill="E6E6E6"/>
            <w:vAlign w:val="center"/>
          </w:tcPr>
          <w:p w14:paraId="6846E976">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3877" w:type="dxa"/>
            <w:shd w:val="clear" w:color="auto" w:fill="E6E6E6"/>
            <w:vAlign w:val="center"/>
          </w:tcPr>
          <w:p w14:paraId="76C9FFE1">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100m³/d</w:t>
            </w:r>
          </w:p>
        </w:tc>
      </w:tr>
      <w:tr w14:paraId="15F1F2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070F1BFA">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74EDA21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调节池提升泵</w:t>
            </w:r>
          </w:p>
        </w:tc>
        <w:tc>
          <w:tcPr>
            <w:tcW w:w="0" w:type="auto"/>
            <w:shd w:val="clear" w:color="auto" w:fill="auto"/>
            <w:vAlign w:val="center"/>
          </w:tcPr>
          <w:p w14:paraId="4ED51775">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台</w:t>
            </w:r>
          </w:p>
        </w:tc>
        <w:tc>
          <w:tcPr>
            <w:tcW w:w="0" w:type="auto"/>
            <w:shd w:val="clear" w:color="auto" w:fill="auto"/>
            <w:vAlign w:val="center"/>
          </w:tcPr>
          <w:p w14:paraId="6A14AEFA">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2</w:t>
            </w:r>
          </w:p>
        </w:tc>
        <w:tc>
          <w:tcPr>
            <w:tcW w:w="0" w:type="auto"/>
            <w:shd w:val="clear" w:color="auto" w:fill="auto"/>
            <w:vAlign w:val="center"/>
          </w:tcPr>
          <w:p w14:paraId="78572D7F">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w:t>
            </w:r>
          </w:p>
        </w:tc>
      </w:tr>
      <w:tr w14:paraId="1C955D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1C238D70">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0EE4B674">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液位控制器</w:t>
            </w:r>
          </w:p>
        </w:tc>
        <w:tc>
          <w:tcPr>
            <w:tcW w:w="0" w:type="auto"/>
            <w:shd w:val="clear" w:color="auto" w:fill="auto"/>
            <w:vAlign w:val="center"/>
          </w:tcPr>
          <w:p w14:paraId="5850D409">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22D45D81">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1A7DFAF9">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配套</w:t>
            </w:r>
          </w:p>
        </w:tc>
      </w:tr>
      <w:tr w14:paraId="7DD401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08FE4AE4">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5FE3FD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穿孔曝气装置</w:t>
            </w:r>
          </w:p>
        </w:tc>
        <w:tc>
          <w:tcPr>
            <w:tcW w:w="0" w:type="auto"/>
            <w:shd w:val="clear" w:color="auto" w:fill="auto"/>
            <w:vAlign w:val="center"/>
          </w:tcPr>
          <w:p w14:paraId="18F9ED1B">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0CDEE155">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00B4CC6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穿孔管</w:t>
            </w:r>
          </w:p>
        </w:tc>
      </w:tr>
      <w:tr w14:paraId="414AC9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0CAC0719">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2EAAC99B">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曝气风机</w:t>
            </w:r>
          </w:p>
        </w:tc>
        <w:tc>
          <w:tcPr>
            <w:tcW w:w="0" w:type="auto"/>
            <w:shd w:val="clear" w:color="auto" w:fill="auto"/>
            <w:vAlign w:val="center"/>
          </w:tcPr>
          <w:p w14:paraId="45E6D901">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台</w:t>
            </w:r>
          </w:p>
        </w:tc>
        <w:tc>
          <w:tcPr>
            <w:tcW w:w="0" w:type="auto"/>
            <w:shd w:val="clear" w:color="auto" w:fill="auto"/>
            <w:vAlign w:val="center"/>
          </w:tcPr>
          <w:p w14:paraId="608F03C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0CB369D3">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HC-100S</w:t>
            </w:r>
          </w:p>
        </w:tc>
      </w:tr>
      <w:tr w14:paraId="721E38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4DE9CA3C">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20001703">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厌氧池生物填料</w:t>
            </w:r>
          </w:p>
        </w:tc>
        <w:tc>
          <w:tcPr>
            <w:tcW w:w="0" w:type="auto"/>
            <w:shd w:val="clear" w:color="auto" w:fill="auto"/>
            <w:vAlign w:val="center"/>
          </w:tcPr>
          <w:p w14:paraId="1BF8FD7B">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0CF8306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76D4D9E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弹性填料 (80%安装密</w:t>
            </w:r>
          </w:p>
          <w:p w14:paraId="118481F4">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度)</w:t>
            </w:r>
          </w:p>
        </w:tc>
      </w:tr>
      <w:tr w14:paraId="6AF7C6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45BE8EC8">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49417A08">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厌氧池</w:t>
            </w:r>
          </w:p>
          <w:p w14:paraId="24A17726">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生物填料支架</w:t>
            </w:r>
          </w:p>
        </w:tc>
        <w:tc>
          <w:tcPr>
            <w:tcW w:w="0" w:type="auto"/>
            <w:shd w:val="clear" w:color="auto" w:fill="auto"/>
            <w:vAlign w:val="center"/>
          </w:tcPr>
          <w:p w14:paraId="1537D8A0">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59599B7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46434D0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角钢加螺纹碳钢</w:t>
            </w:r>
          </w:p>
        </w:tc>
      </w:tr>
      <w:tr w14:paraId="237806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2ED8B3B6">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03CE63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潜水搅拌机</w:t>
            </w:r>
          </w:p>
        </w:tc>
        <w:tc>
          <w:tcPr>
            <w:tcW w:w="0" w:type="auto"/>
            <w:shd w:val="clear" w:color="auto" w:fill="auto"/>
            <w:vAlign w:val="center"/>
          </w:tcPr>
          <w:p w14:paraId="5F31EB54">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4BDA5C1A">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2</w:t>
            </w:r>
          </w:p>
        </w:tc>
        <w:tc>
          <w:tcPr>
            <w:tcW w:w="0" w:type="auto"/>
            <w:shd w:val="clear" w:color="auto" w:fill="auto"/>
            <w:vAlign w:val="center"/>
          </w:tcPr>
          <w:p w14:paraId="1074595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QJB-1.5</w:t>
            </w:r>
          </w:p>
        </w:tc>
      </w:tr>
      <w:tr w14:paraId="2CA7E0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02B5F863">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62D47B00">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缺氧池  生物填料</w:t>
            </w:r>
          </w:p>
        </w:tc>
        <w:tc>
          <w:tcPr>
            <w:tcW w:w="0" w:type="auto"/>
            <w:shd w:val="clear" w:color="auto" w:fill="auto"/>
            <w:vAlign w:val="center"/>
          </w:tcPr>
          <w:p w14:paraId="66111E2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6523BEB3">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5F06F9DA">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弹性填料 (80%安装密</w:t>
            </w:r>
          </w:p>
          <w:p w14:paraId="74BA4E4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度)</w:t>
            </w:r>
          </w:p>
        </w:tc>
      </w:tr>
      <w:tr w14:paraId="5D2EAC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0D095B60">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7A83CBFC">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缺氧池</w:t>
            </w:r>
          </w:p>
          <w:p w14:paraId="2586CBCC">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生物填料支架</w:t>
            </w:r>
          </w:p>
        </w:tc>
        <w:tc>
          <w:tcPr>
            <w:tcW w:w="0" w:type="auto"/>
            <w:shd w:val="clear" w:color="auto" w:fill="auto"/>
            <w:vAlign w:val="center"/>
          </w:tcPr>
          <w:p w14:paraId="17FC2CFC">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7440A42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15B88A94">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角钢加螺纹碳钢</w:t>
            </w:r>
          </w:p>
        </w:tc>
      </w:tr>
      <w:tr w14:paraId="377BBD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2C9D1839">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1C25B89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缺氧池曝气头</w:t>
            </w:r>
          </w:p>
        </w:tc>
        <w:tc>
          <w:tcPr>
            <w:tcW w:w="0" w:type="auto"/>
            <w:shd w:val="clear" w:color="auto" w:fill="auto"/>
            <w:vAlign w:val="center"/>
          </w:tcPr>
          <w:p w14:paraId="3376F026">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批</w:t>
            </w:r>
          </w:p>
        </w:tc>
        <w:tc>
          <w:tcPr>
            <w:tcW w:w="0" w:type="auto"/>
            <w:shd w:val="clear" w:color="auto" w:fill="auto"/>
            <w:vAlign w:val="center"/>
          </w:tcPr>
          <w:p w14:paraId="2889EDA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47C039EF">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直径 216</w:t>
            </w:r>
          </w:p>
        </w:tc>
      </w:tr>
      <w:tr w14:paraId="32CC84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03169518">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7640E254">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好氧池  生物填料</w:t>
            </w:r>
          </w:p>
        </w:tc>
        <w:tc>
          <w:tcPr>
            <w:tcW w:w="0" w:type="auto"/>
            <w:shd w:val="clear" w:color="auto" w:fill="auto"/>
            <w:vAlign w:val="center"/>
          </w:tcPr>
          <w:p w14:paraId="58810D8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239D1660">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5A4222F1">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弹性填料 (80%安装密</w:t>
            </w:r>
          </w:p>
          <w:p w14:paraId="6DFBE2C6">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度)</w:t>
            </w:r>
          </w:p>
        </w:tc>
      </w:tr>
      <w:tr w14:paraId="0CBBF0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1F1B98A8">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E944050">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好氧池</w:t>
            </w:r>
          </w:p>
          <w:p w14:paraId="48BEEFDA">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生物填料支架</w:t>
            </w:r>
          </w:p>
        </w:tc>
        <w:tc>
          <w:tcPr>
            <w:tcW w:w="0" w:type="auto"/>
            <w:shd w:val="clear" w:color="auto" w:fill="auto"/>
            <w:vAlign w:val="center"/>
          </w:tcPr>
          <w:p w14:paraId="0F4D3610">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1013E94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365FC11B">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角钢加螺纹碳钢</w:t>
            </w:r>
          </w:p>
        </w:tc>
      </w:tr>
      <w:tr w14:paraId="1BBEF8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68326FEB">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1F1275BF">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好氧池布水器</w:t>
            </w:r>
          </w:p>
        </w:tc>
        <w:tc>
          <w:tcPr>
            <w:tcW w:w="0" w:type="auto"/>
            <w:shd w:val="clear" w:color="auto" w:fill="auto"/>
            <w:vAlign w:val="center"/>
          </w:tcPr>
          <w:p w14:paraId="7BCBA35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2C0FA7E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7F4C8CD6">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碳钢防腐</w:t>
            </w:r>
          </w:p>
        </w:tc>
      </w:tr>
      <w:tr w14:paraId="296CCE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49006DA4">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FA100AA">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接触氧化池 曝气装置</w:t>
            </w:r>
          </w:p>
        </w:tc>
        <w:tc>
          <w:tcPr>
            <w:tcW w:w="0" w:type="auto"/>
            <w:shd w:val="clear" w:color="auto" w:fill="auto"/>
            <w:vAlign w:val="center"/>
          </w:tcPr>
          <w:p w14:paraId="52AE40DF">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批</w:t>
            </w:r>
          </w:p>
        </w:tc>
        <w:tc>
          <w:tcPr>
            <w:tcW w:w="0" w:type="auto"/>
            <w:shd w:val="clear" w:color="auto" w:fill="auto"/>
            <w:vAlign w:val="center"/>
          </w:tcPr>
          <w:p w14:paraId="278D2369">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36CE90EF">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配套</w:t>
            </w:r>
          </w:p>
        </w:tc>
      </w:tr>
      <w:tr w14:paraId="439D1D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2C71CE73">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006F8B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二沉池污泥回流系 统</w:t>
            </w:r>
          </w:p>
        </w:tc>
        <w:tc>
          <w:tcPr>
            <w:tcW w:w="0" w:type="auto"/>
            <w:shd w:val="clear" w:color="auto" w:fill="auto"/>
            <w:vAlign w:val="center"/>
          </w:tcPr>
          <w:p w14:paraId="47100C5C">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674D937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47164351">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配套</w:t>
            </w:r>
          </w:p>
        </w:tc>
      </w:tr>
      <w:tr w14:paraId="59200B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07A473D4">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6C59A9D0">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污泥回流泵</w:t>
            </w:r>
          </w:p>
        </w:tc>
        <w:tc>
          <w:tcPr>
            <w:tcW w:w="0" w:type="auto"/>
            <w:shd w:val="clear" w:color="auto" w:fill="auto"/>
            <w:vAlign w:val="center"/>
          </w:tcPr>
          <w:p w14:paraId="2D4307A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台</w:t>
            </w:r>
          </w:p>
        </w:tc>
        <w:tc>
          <w:tcPr>
            <w:tcW w:w="0" w:type="auto"/>
            <w:shd w:val="clear" w:color="auto" w:fill="auto"/>
            <w:vAlign w:val="center"/>
          </w:tcPr>
          <w:p w14:paraId="480DC874">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08D5E3BE">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w:t>
            </w:r>
          </w:p>
        </w:tc>
      </w:tr>
      <w:tr w14:paraId="189B44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215DECA6">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7ED753E5">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污泥池硝化液泵</w:t>
            </w:r>
          </w:p>
        </w:tc>
        <w:tc>
          <w:tcPr>
            <w:tcW w:w="0" w:type="auto"/>
            <w:shd w:val="clear" w:color="auto" w:fill="auto"/>
            <w:vAlign w:val="center"/>
          </w:tcPr>
          <w:p w14:paraId="2F1CD50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361EB74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56BF917E">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w:t>
            </w:r>
          </w:p>
        </w:tc>
      </w:tr>
      <w:tr w14:paraId="116CD7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1DAB890B">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711470B">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清水池导流管</w:t>
            </w:r>
          </w:p>
        </w:tc>
        <w:tc>
          <w:tcPr>
            <w:tcW w:w="0" w:type="auto"/>
            <w:shd w:val="clear" w:color="auto" w:fill="auto"/>
            <w:vAlign w:val="center"/>
          </w:tcPr>
          <w:p w14:paraId="23551AB0">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4F947FFC">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6A635440">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碳钢防腐</w:t>
            </w:r>
          </w:p>
        </w:tc>
      </w:tr>
      <w:tr w14:paraId="7810FA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13E3279B">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AA80E5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风机</w:t>
            </w:r>
          </w:p>
        </w:tc>
        <w:tc>
          <w:tcPr>
            <w:tcW w:w="0" w:type="auto"/>
            <w:shd w:val="clear" w:color="auto" w:fill="auto"/>
            <w:vAlign w:val="center"/>
          </w:tcPr>
          <w:p w14:paraId="6CA73E0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台</w:t>
            </w:r>
          </w:p>
        </w:tc>
        <w:tc>
          <w:tcPr>
            <w:tcW w:w="0" w:type="auto"/>
            <w:shd w:val="clear" w:color="auto" w:fill="auto"/>
            <w:vAlign w:val="center"/>
          </w:tcPr>
          <w:p w14:paraId="26B8AC8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2</w:t>
            </w:r>
          </w:p>
        </w:tc>
        <w:tc>
          <w:tcPr>
            <w:tcW w:w="0" w:type="auto"/>
            <w:shd w:val="clear" w:color="auto" w:fill="auto"/>
            <w:vAlign w:val="center"/>
          </w:tcPr>
          <w:p w14:paraId="48CB63FF">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w:t>
            </w:r>
          </w:p>
        </w:tc>
      </w:tr>
      <w:tr w14:paraId="310924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5C8F4206">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4CFFBA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风机止回阀、泄气</w:t>
            </w:r>
          </w:p>
          <w:p w14:paraId="03C517C0">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阀</w:t>
            </w:r>
          </w:p>
        </w:tc>
        <w:tc>
          <w:tcPr>
            <w:tcW w:w="0" w:type="auto"/>
            <w:shd w:val="clear" w:color="auto" w:fill="auto"/>
            <w:vAlign w:val="center"/>
          </w:tcPr>
          <w:p w14:paraId="50B3FE8D">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664E3CA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2</w:t>
            </w:r>
          </w:p>
        </w:tc>
        <w:tc>
          <w:tcPr>
            <w:tcW w:w="0" w:type="auto"/>
            <w:shd w:val="clear" w:color="auto" w:fill="auto"/>
            <w:vAlign w:val="center"/>
          </w:tcPr>
          <w:p w14:paraId="5262053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标配</w:t>
            </w:r>
          </w:p>
        </w:tc>
      </w:tr>
      <w:tr w14:paraId="3226E0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3E736C21">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1533C75F">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消毒系统</w:t>
            </w:r>
          </w:p>
        </w:tc>
        <w:tc>
          <w:tcPr>
            <w:tcW w:w="0" w:type="auto"/>
            <w:shd w:val="clear" w:color="auto" w:fill="auto"/>
            <w:vAlign w:val="center"/>
          </w:tcPr>
          <w:p w14:paraId="347D98F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60D16291">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33136DA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含加药桶、搅拌装置、 加药泵</w:t>
            </w:r>
          </w:p>
        </w:tc>
      </w:tr>
      <w:tr w14:paraId="627B38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4CE5DFC1">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1574E398">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电控制系统</w:t>
            </w:r>
          </w:p>
        </w:tc>
        <w:tc>
          <w:tcPr>
            <w:tcW w:w="0" w:type="auto"/>
            <w:shd w:val="clear" w:color="auto" w:fill="auto"/>
            <w:vAlign w:val="center"/>
          </w:tcPr>
          <w:p w14:paraId="275C68B5">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shd w:val="clear" w:color="auto" w:fill="auto"/>
            <w:vAlign w:val="center"/>
          </w:tcPr>
          <w:p w14:paraId="151D045A">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6F9EC685">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手自一体</w:t>
            </w:r>
          </w:p>
        </w:tc>
      </w:tr>
      <w:tr w14:paraId="25CAF1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5A24494B">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4D85F49">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污泥叠螺机</w:t>
            </w:r>
          </w:p>
        </w:tc>
        <w:tc>
          <w:tcPr>
            <w:tcW w:w="0" w:type="auto"/>
            <w:shd w:val="clear" w:color="auto" w:fill="auto"/>
            <w:vAlign w:val="center"/>
          </w:tcPr>
          <w:p w14:paraId="6F2D981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vAlign w:val="center"/>
          </w:tcPr>
          <w:p w14:paraId="6D020673">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704A6FD5">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DL201</w:t>
            </w:r>
          </w:p>
        </w:tc>
      </w:tr>
      <w:tr w14:paraId="7DFED6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5F9CA43D">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E16B45C">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加药系统</w:t>
            </w:r>
          </w:p>
        </w:tc>
        <w:tc>
          <w:tcPr>
            <w:tcW w:w="0" w:type="auto"/>
            <w:shd w:val="clear" w:color="auto" w:fill="auto"/>
            <w:vAlign w:val="center"/>
          </w:tcPr>
          <w:p w14:paraId="3B0312C2">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vAlign w:val="center"/>
          </w:tcPr>
          <w:p w14:paraId="7A4D2DC6">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09C6235E">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含加药泵、搅拌系统、存储 系统等</w:t>
            </w:r>
          </w:p>
        </w:tc>
      </w:tr>
      <w:tr w14:paraId="2D042E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0B47AD13">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19AA65B">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电控箱</w:t>
            </w:r>
          </w:p>
        </w:tc>
        <w:tc>
          <w:tcPr>
            <w:tcW w:w="0" w:type="auto"/>
            <w:shd w:val="clear" w:color="auto" w:fill="auto"/>
            <w:vAlign w:val="center"/>
          </w:tcPr>
          <w:p w14:paraId="329FF659">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en-US"/>
              </w:rPr>
            </w:pPr>
            <w:r>
              <w:rPr>
                <w:rFonts w:hint="eastAsia" w:ascii="Times New Roman" w:hAnsi="Times New Roman" w:eastAsia="宋体" w:cs="Times New Roman"/>
                <w:snapToGrid w:val="0"/>
                <w:color w:val="auto"/>
                <w:sz w:val="21"/>
                <w:highlight w:val="none"/>
                <w:lang w:val="en-US" w:eastAsia="zh-CN"/>
              </w:rPr>
              <w:t>套</w:t>
            </w:r>
          </w:p>
        </w:tc>
        <w:tc>
          <w:tcPr>
            <w:tcW w:w="0" w:type="auto"/>
            <w:vAlign w:val="center"/>
          </w:tcPr>
          <w:p w14:paraId="60996557">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1</w:t>
            </w:r>
          </w:p>
        </w:tc>
        <w:tc>
          <w:tcPr>
            <w:tcW w:w="0" w:type="auto"/>
            <w:shd w:val="clear" w:color="auto" w:fill="auto"/>
            <w:vAlign w:val="center"/>
          </w:tcPr>
          <w:p w14:paraId="2977A60E">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w:t>
            </w:r>
          </w:p>
        </w:tc>
      </w:tr>
      <w:tr w14:paraId="3BA0ED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60937225">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5D86DB6">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污泥泵</w:t>
            </w:r>
          </w:p>
        </w:tc>
        <w:tc>
          <w:tcPr>
            <w:tcW w:w="0" w:type="auto"/>
            <w:vAlign w:val="center"/>
          </w:tcPr>
          <w:p w14:paraId="615CDE04">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台</w:t>
            </w:r>
          </w:p>
        </w:tc>
        <w:tc>
          <w:tcPr>
            <w:tcW w:w="0" w:type="auto"/>
            <w:vAlign w:val="center"/>
          </w:tcPr>
          <w:p w14:paraId="4C837C08">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1</w:t>
            </w:r>
          </w:p>
        </w:tc>
        <w:tc>
          <w:tcPr>
            <w:tcW w:w="0" w:type="auto"/>
            <w:vAlign w:val="center"/>
          </w:tcPr>
          <w:p w14:paraId="434E5F59">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w:t>
            </w:r>
          </w:p>
        </w:tc>
      </w:tr>
      <w:tr w14:paraId="52D66A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Align w:val="center"/>
          </w:tcPr>
          <w:p w14:paraId="4558E249">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6B77CAA5">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风机</w:t>
            </w:r>
          </w:p>
        </w:tc>
        <w:tc>
          <w:tcPr>
            <w:tcW w:w="0" w:type="auto"/>
            <w:vAlign w:val="center"/>
          </w:tcPr>
          <w:p w14:paraId="3033162B">
            <w:pPr>
              <w:pStyle w:val="16"/>
              <w:spacing w:line="360" w:lineRule="exac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台</w:t>
            </w:r>
          </w:p>
        </w:tc>
        <w:tc>
          <w:tcPr>
            <w:tcW w:w="0" w:type="auto"/>
            <w:vAlign w:val="center"/>
          </w:tcPr>
          <w:p w14:paraId="797C4AF6">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4</w:t>
            </w:r>
          </w:p>
        </w:tc>
        <w:tc>
          <w:tcPr>
            <w:tcW w:w="0" w:type="auto"/>
            <w:vAlign w:val="center"/>
          </w:tcPr>
          <w:p w14:paraId="47C2CB43">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w:t>
            </w:r>
          </w:p>
        </w:tc>
      </w:tr>
      <w:tr w14:paraId="79AAD8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0" w:type="auto"/>
            <w:vAlign w:val="center"/>
          </w:tcPr>
          <w:p w14:paraId="6DE28DBE">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p>
        </w:tc>
        <w:tc>
          <w:tcPr>
            <w:tcW w:w="0" w:type="auto"/>
            <w:shd w:val="clear" w:color="auto" w:fill="auto"/>
            <w:vAlign w:val="center"/>
          </w:tcPr>
          <w:p w14:paraId="3B3BD274">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活性炭净化装置</w:t>
            </w:r>
          </w:p>
        </w:tc>
        <w:tc>
          <w:tcPr>
            <w:tcW w:w="0" w:type="auto"/>
            <w:vAlign w:val="center"/>
          </w:tcPr>
          <w:p w14:paraId="655EDF28">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台</w:t>
            </w:r>
          </w:p>
        </w:tc>
        <w:tc>
          <w:tcPr>
            <w:tcW w:w="0" w:type="auto"/>
            <w:vAlign w:val="center"/>
          </w:tcPr>
          <w:p w14:paraId="51732382">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2</w:t>
            </w:r>
          </w:p>
        </w:tc>
        <w:tc>
          <w:tcPr>
            <w:tcW w:w="0" w:type="auto"/>
            <w:vAlign w:val="center"/>
          </w:tcPr>
          <w:p w14:paraId="1D10E69C">
            <w:pPr>
              <w:pStyle w:val="16"/>
              <w:spacing w:line="360" w:lineRule="exac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w:t>
            </w:r>
          </w:p>
        </w:tc>
      </w:tr>
    </w:tbl>
    <w:p w14:paraId="1231F134">
      <w:pPr>
        <w:pStyle w:val="4"/>
        <w:spacing w:after="156"/>
        <w:rPr>
          <w:rFonts w:cs="Times New Roman"/>
          <w:color w:val="auto"/>
          <w:highlight w:val="none"/>
        </w:rPr>
      </w:pPr>
      <w:r>
        <w:rPr>
          <w:rFonts w:cs="Times New Roman"/>
          <w:color w:val="auto"/>
          <w:highlight w:val="none"/>
        </w:rPr>
        <w:t>3.1.4主要原辅材料</w:t>
      </w:r>
      <w:r>
        <w:rPr>
          <w:rFonts w:hint="eastAsia" w:cs="Times New Roman"/>
          <w:color w:val="auto"/>
          <w:highlight w:val="none"/>
          <w:lang w:eastAsia="zh-CN"/>
        </w:rPr>
        <w:t>、</w:t>
      </w:r>
      <w:r>
        <w:rPr>
          <w:rFonts w:hint="eastAsia" w:cs="Times New Roman"/>
          <w:color w:val="auto"/>
          <w:highlight w:val="none"/>
          <w:lang w:val="en-US" w:eastAsia="zh-CN"/>
        </w:rPr>
        <w:t>燃料</w:t>
      </w:r>
      <w:r>
        <w:rPr>
          <w:rFonts w:cs="Times New Roman"/>
          <w:color w:val="auto"/>
          <w:highlight w:val="none"/>
        </w:rPr>
        <w:t>消耗</w:t>
      </w:r>
      <w:bookmarkEnd w:id="106"/>
    </w:p>
    <w:p w14:paraId="1D7B8BE3">
      <w:pPr>
        <w:pStyle w:val="117"/>
        <w:adjustRightInd w:val="0"/>
        <w:snapToGrid w:val="0"/>
        <w:spacing w:line="360" w:lineRule="auto"/>
        <w:rPr>
          <w:rFonts w:cs="Times New Roman"/>
          <w:snapToGrid w:val="0"/>
          <w:color w:val="auto"/>
          <w:highlight w:val="none"/>
        </w:rPr>
      </w:pPr>
      <w:r>
        <w:rPr>
          <w:rFonts w:cs="Times New Roman"/>
          <w:snapToGrid w:val="0"/>
          <w:color w:val="auto"/>
          <w:highlight w:val="none"/>
        </w:rPr>
        <w:t>项目原辅材料</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燃料</w:t>
      </w:r>
      <w:r>
        <w:rPr>
          <w:rFonts w:cs="Times New Roman"/>
          <w:snapToGrid w:val="0"/>
          <w:color w:val="auto"/>
          <w:highlight w:val="none"/>
        </w:rPr>
        <w:t>消耗情况见表</w:t>
      </w:r>
      <w:r>
        <w:rPr>
          <w:rFonts w:hint="eastAsia" w:cs="Times New Roman"/>
          <w:snapToGrid w:val="0"/>
          <w:color w:val="auto"/>
          <w:highlight w:val="none"/>
        </w:rPr>
        <w:t>3-1-</w:t>
      </w:r>
      <w:r>
        <w:rPr>
          <w:rFonts w:cs="Times New Roman"/>
          <w:snapToGrid w:val="0"/>
          <w:color w:val="auto"/>
          <w:highlight w:val="none"/>
        </w:rPr>
        <w:t>3。</w:t>
      </w:r>
    </w:p>
    <w:p w14:paraId="2766FEA2">
      <w:pPr>
        <w:widowControl/>
        <w:spacing w:line="360" w:lineRule="exact"/>
        <w:ind w:firstLine="0" w:firstLineChars="0"/>
        <w:jc w:val="center"/>
        <w:rPr>
          <w:rFonts w:eastAsia="黑体" w:cs="Times New Roman"/>
          <w:snapToGrid w:val="0"/>
          <w:color w:val="auto"/>
          <w:kern w:val="0"/>
          <w:sz w:val="21"/>
          <w:szCs w:val="21"/>
          <w:highlight w:val="none"/>
        </w:rPr>
      </w:pPr>
      <w:r>
        <w:rPr>
          <w:rFonts w:eastAsia="黑体" w:cs="Times New Roman"/>
          <w:snapToGrid w:val="0"/>
          <w:color w:val="auto"/>
          <w:kern w:val="0"/>
          <w:sz w:val="21"/>
          <w:szCs w:val="21"/>
          <w:highlight w:val="none"/>
        </w:rPr>
        <w:t>表</w:t>
      </w:r>
      <w:r>
        <w:rPr>
          <w:rFonts w:hint="eastAsia" w:eastAsia="黑体" w:cs="Times New Roman"/>
          <w:snapToGrid w:val="0"/>
          <w:color w:val="auto"/>
          <w:kern w:val="0"/>
          <w:sz w:val="21"/>
          <w:szCs w:val="21"/>
          <w:highlight w:val="none"/>
        </w:rPr>
        <w:t>3-1-</w:t>
      </w:r>
      <w:r>
        <w:rPr>
          <w:rFonts w:eastAsia="黑体" w:cs="Times New Roman"/>
          <w:snapToGrid w:val="0"/>
          <w:color w:val="auto"/>
          <w:kern w:val="0"/>
          <w:sz w:val="21"/>
          <w:szCs w:val="21"/>
          <w:highlight w:val="none"/>
        </w:rPr>
        <w:t>3  项目原辅材料</w:t>
      </w:r>
      <w:r>
        <w:rPr>
          <w:rFonts w:hint="eastAsia" w:eastAsia="黑体" w:cs="Times New Roman"/>
          <w:snapToGrid w:val="0"/>
          <w:color w:val="auto"/>
          <w:kern w:val="0"/>
          <w:sz w:val="21"/>
          <w:szCs w:val="21"/>
          <w:highlight w:val="none"/>
          <w:lang w:eastAsia="zh-CN"/>
        </w:rPr>
        <w:t>、</w:t>
      </w:r>
      <w:r>
        <w:rPr>
          <w:rFonts w:hint="eastAsia" w:eastAsia="黑体" w:cs="Times New Roman"/>
          <w:snapToGrid w:val="0"/>
          <w:color w:val="auto"/>
          <w:kern w:val="0"/>
          <w:sz w:val="21"/>
          <w:szCs w:val="21"/>
          <w:highlight w:val="none"/>
          <w:lang w:val="en-US" w:eastAsia="zh-CN"/>
        </w:rPr>
        <w:t>燃料</w:t>
      </w:r>
      <w:r>
        <w:rPr>
          <w:rFonts w:eastAsia="黑体" w:cs="Times New Roman"/>
          <w:snapToGrid w:val="0"/>
          <w:color w:val="auto"/>
          <w:kern w:val="0"/>
          <w:sz w:val="21"/>
          <w:szCs w:val="21"/>
          <w:highlight w:val="none"/>
        </w:rPr>
        <w:t>消耗情况表</w:t>
      </w:r>
    </w:p>
    <w:tbl>
      <w:tblPr>
        <w:tblStyle w:val="398"/>
        <w:tblW w:w="498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4"/>
        <w:gridCol w:w="2007"/>
        <w:gridCol w:w="2233"/>
        <w:gridCol w:w="3381"/>
      </w:tblGrid>
      <w:tr w14:paraId="11B05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14" w:type="pct"/>
            <w:vAlign w:val="center"/>
          </w:tcPr>
          <w:p w14:paraId="2BB71BB2">
            <w:pPr>
              <w:pStyle w:val="73"/>
              <w:rPr>
                <w:rFonts w:cs="Times New Roman"/>
                <w:snapToGrid w:val="0"/>
                <w:color w:val="auto"/>
                <w:highlight w:val="none"/>
              </w:rPr>
            </w:pPr>
            <w:r>
              <w:rPr>
                <w:rFonts w:cs="Times New Roman"/>
                <w:snapToGrid w:val="0"/>
                <w:color w:val="auto"/>
                <w:highlight w:val="none"/>
              </w:rPr>
              <w:t>序号</w:t>
            </w:r>
          </w:p>
        </w:tc>
        <w:tc>
          <w:tcPr>
            <w:tcW w:w="1181" w:type="pct"/>
            <w:vAlign w:val="center"/>
          </w:tcPr>
          <w:p w14:paraId="44DA08DA">
            <w:pPr>
              <w:pStyle w:val="73"/>
              <w:rPr>
                <w:rFonts w:cs="Times New Roman"/>
                <w:snapToGrid w:val="0"/>
                <w:color w:val="auto"/>
                <w:highlight w:val="none"/>
              </w:rPr>
            </w:pPr>
            <w:r>
              <w:rPr>
                <w:rFonts w:cs="Times New Roman"/>
                <w:snapToGrid w:val="0"/>
                <w:color w:val="auto"/>
                <w:highlight w:val="none"/>
              </w:rPr>
              <w:t>名称</w:t>
            </w:r>
          </w:p>
        </w:tc>
        <w:tc>
          <w:tcPr>
            <w:tcW w:w="1314" w:type="pct"/>
            <w:vAlign w:val="center"/>
          </w:tcPr>
          <w:p w14:paraId="0341CAE0">
            <w:pPr>
              <w:pStyle w:val="73"/>
              <w:rPr>
                <w:rFonts w:cs="Times New Roman"/>
                <w:snapToGrid w:val="0"/>
                <w:color w:val="auto"/>
                <w:highlight w:val="none"/>
              </w:rPr>
            </w:pPr>
            <w:r>
              <w:rPr>
                <w:rFonts w:cs="Times New Roman"/>
                <w:snapToGrid w:val="0"/>
                <w:color w:val="auto"/>
                <w:highlight w:val="none"/>
              </w:rPr>
              <w:t>年消耗量</w:t>
            </w:r>
          </w:p>
        </w:tc>
        <w:tc>
          <w:tcPr>
            <w:tcW w:w="1989" w:type="pct"/>
            <w:vAlign w:val="center"/>
          </w:tcPr>
          <w:p w14:paraId="07385A95">
            <w:pPr>
              <w:pStyle w:val="73"/>
              <w:rPr>
                <w:rFonts w:cs="Times New Roman"/>
                <w:snapToGrid w:val="0"/>
                <w:color w:val="auto"/>
                <w:highlight w:val="none"/>
              </w:rPr>
            </w:pPr>
            <w:r>
              <w:rPr>
                <w:rFonts w:cs="Times New Roman"/>
                <w:snapToGrid w:val="0"/>
                <w:color w:val="auto"/>
                <w:highlight w:val="none"/>
              </w:rPr>
              <w:t>备注</w:t>
            </w:r>
          </w:p>
        </w:tc>
      </w:tr>
      <w:tr w14:paraId="5572FC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514" w:type="pct"/>
            <w:vAlign w:val="center"/>
          </w:tcPr>
          <w:p w14:paraId="00212C26">
            <w:pPr>
              <w:pStyle w:val="73"/>
              <w:rPr>
                <w:rFonts w:cs="Times New Roman"/>
                <w:snapToGrid w:val="0"/>
                <w:color w:val="auto"/>
                <w:highlight w:val="none"/>
              </w:rPr>
            </w:pPr>
            <w:r>
              <w:rPr>
                <w:rFonts w:cs="Times New Roman"/>
                <w:snapToGrid w:val="0"/>
                <w:color w:val="auto"/>
                <w:highlight w:val="none"/>
              </w:rPr>
              <w:t>1</w:t>
            </w:r>
          </w:p>
        </w:tc>
        <w:tc>
          <w:tcPr>
            <w:tcW w:w="1181" w:type="pct"/>
            <w:vAlign w:val="center"/>
          </w:tcPr>
          <w:p w14:paraId="60BF2D28">
            <w:pPr>
              <w:pStyle w:val="73"/>
              <w:rPr>
                <w:rFonts w:cs="Times New Roman"/>
                <w:snapToGrid w:val="0"/>
                <w:color w:val="auto"/>
                <w:highlight w:val="none"/>
              </w:rPr>
            </w:pPr>
            <w:r>
              <w:rPr>
                <w:rFonts w:cs="Times New Roman"/>
                <w:snapToGrid w:val="0"/>
                <w:color w:val="auto"/>
                <w:highlight w:val="none"/>
                <w:lang w:val="en-US"/>
              </w:rPr>
              <w:t>肉</w:t>
            </w:r>
            <w:r>
              <w:rPr>
                <w:rFonts w:cs="Times New Roman"/>
                <w:snapToGrid w:val="0"/>
                <w:color w:val="auto"/>
                <w:highlight w:val="none"/>
              </w:rPr>
              <w:t>牛</w:t>
            </w:r>
          </w:p>
        </w:tc>
        <w:tc>
          <w:tcPr>
            <w:tcW w:w="1314" w:type="pct"/>
            <w:vAlign w:val="center"/>
          </w:tcPr>
          <w:p w14:paraId="0616E654">
            <w:pPr>
              <w:pStyle w:val="73"/>
              <w:rPr>
                <w:rFonts w:cs="Times New Roman"/>
                <w:snapToGrid w:val="0"/>
                <w:color w:val="auto"/>
                <w:highlight w:val="none"/>
              </w:rPr>
            </w:pPr>
            <w:r>
              <w:rPr>
                <w:rFonts w:hint="eastAsia" w:cs="Times New Roman"/>
                <w:snapToGrid w:val="0"/>
                <w:color w:val="auto"/>
                <w:highlight w:val="none"/>
                <w:lang w:val="en-US" w:eastAsia="zh-CN"/>
              </w:rPr>
              <w:t>30000</w:t>
            </w:r>
            <w:r>
              <w:rPr>
                <w:rFonts w:cs="Times New Roman"/>
                <w:snapToGrid w:val="0"/>
                <w:color w:val="auto"/>
                <w:highlight w:val="none"/>
              </w:rPr>
              <w:t>头</w:t>
            </w:r>
          </w:p>
        </w:tc>
        <w:tc>
          <w:tcPr>
            <w:tcW w:w="1989" w:type="pct"/>
            <w:vAlign w:val="center"/>
          </w:tcPr>
          <w:p w14:paraId="6E97F9F4">
            <w:pPr>
              <w:pStyle w:val="73"/>
              <w:rPr>
                <w:rFonts w:cs="Times New Roman"/>
                <w:snapToGrid w:val="0"/>
                <w:color w:val="auto"/>
                <w:highlight w:val="none"/>
              </w:rPr>
            </w:pPr>
            <w:r>
              <w:rPr>
                <w:rFonts w:cs="Times New Roman"/>
                <w:snapToGrid w:val="0"/>
                <w:color w:val="auto"/>
                <w:highlight w:val="none"/>
                <w:lang w:val="en-US"/>
              </w:rPr>
              <w:t>活屠重500</w:t>
            </w:r>
            <w:r>
              <w:rPr>
                <w:rFonts w:cs="Times New Roman"/>
                <w:snapToGrid w:val="0"/>
                <w:color w:val="auto"/>
                <w:highlight w:val="none"/>
              </w:rPr>
              <w:t>kg</w:t>
            </w:r>
            <w:r>
              <w:rPr>
                <w:rFonts w:cs="Times New Roman"/>
                <w:snapToGrid w:val="0"/>
                <w:color w:val="auto"/>
                <w:highlight w:val="none"/>
                <w:lang w:val="en-US"/>
              </w:rPr>
              <w:t>/</w:t>
            </w:r>
            <w:r>
              <w:rPr>
                <w:rFonts w:cs="Times New Roman"/>
                <w:snapToGrid w:val="0"/>
                <w:color w:val="auto"/>
                <w:highlight w:val="none"/>
              </w:rPr>
              <w:t>头</w:t>
            </w:r>
          </w:p>
        </w:tc>
      </w:tr>
      <w:tr w14:paraId="00DF61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514" w:type="pct"/>
            <w:vAlign w:val="center"/>
          </w:tcPr>
          <w:p w14:paraId="7D00801A">
            <w:pPr>
              <w:pStyle w:val="73"/>
              <w:rPr>
                <w:rFonts w:cs="Times New Roman"/>
                <w:snapToGrid w:val="0"/>
                <w:color w:val="auto"/>
                <w:highlight w:val="none"/>
              </w:rPr>
            </w:pPr>
            <w:r>
              <w:rPr>
                <w:rFonts w:cs="Times New Roman"/>
                <w:snapToGrid w:val="0"/>
                <w:color w:val="auto"/>
                <w:highlight w:val="none"/>
              </w:rPr>
              <w:t>2</w:t>
            </w:r>
          </w:p>
        </w:tc>
        <w:tc>
          <w:tcPr>
            <w:tcW w:w="1181" w:type="pct"/>
            <w:vAlign w:val="center"/>
          </w:tcPr>
          <w:p w14:paraId="797ED0AB">
            <w:pPr>
              <w:pStyle w:val="73"/>
              <w:rPr>
                <w:rFonts w:cs="Times New Roman"/>
                <w:snapToGrid w:val="0"/>
                <w:color w:val="auto"/>
                <w:highlight w:val="none"/>
                <w:lang w:val="en-US"/>
              </w:rPr>
            </w:pPr>
            <w:r>
              <w:rPr>
                <w:rFonts w:hint="eastAsia" w:cs="Times New Roman"/>
                <w:snapToGrid w:val="0"/>
                <w:color w:val="auto"/>
                <w:highlight w:val="none"/>
                <w:lang w:val="en-US"/>
              </w:rPr>
              <w:t>肉</w:t>
            </w:r>
            <w:r>
              <w:rPr>
                <w:rFonts w:cs="Times New Roman"/>
                <w:snapToGrid w:val="0"/>
                <w:color w:val="auto"/>
                <w:highlight w:val="none"/>
                <w:lang w:val="en-US"/>
              </w:rPr>
              <w:t>羊</w:t>
            </w:r>
          </w:p>
        </w:tc>
        <w:tc>
          <w:tcPr>
            <w:tcW w:w="1314" w:type="pct"/>
            <w:vAlign w:val="center"/>
          </w:tcPr>
          <w:p w14:paraId="19A61999">
            <w:pPr>
              <w:pStyle w:val="73"/>
              <w:rPr>
                <w:rFonts w:cs="Times New Roman"/>
                <w:snapToGrid w:val="0"/>
                <w:color w:val="auto"/>
                <w:highlight w:val="none"/>
                <w:lang w:val="en-US"/>
              </w:rPr>
            </w:pPr>
            <w:r>
              <w:rPr>
                <w:rFonts w:hint="eastAsia" w:cs="Times New Roman"/>
                <w:snapToGrid w:val="0"/>
                <w:color w:val="auto"/>
                <w:highlight w:val="none"/>
                <w:lang w:val="en-US" w:eastAsia="zh-CN"/>
              </w:rPr>
              <w:t>150000</w:t>
            </w:r>
            <w:r>
              <w:rPr>
                <w:rFonts w:cs="Times New Roman"/>
                <w:snapToGrid w:val="0"/>
                <w:color w:val="auto"/>
                <w:highlight w:val="none"/>
                <w:lang w:val="en-US"/>
              </w:rPr>
              <w:t>只</w:t>
            </w:r>
          </w:p>
        </w:tc>
        <w:tc>
          <w:tcPr>
            <w:tcW w:w="1989" w:type="pct"/>
            <w:vAlign w:val="center"/>
          </w:tcPr>
          <w:p w14:paraId="53F509BC">
            <w:pPr>
              <w:pStyle w:val="73"/>
              <w:rPr>
                <w:rFonts w:cs="Times New Roman"/>
                <w:snapToGrid w:val="0"/>
                <w:color w:val="auto"/>
                <w:highlight w:val="none"/>
              </w:rPr>
            </w:pPr>
            <w:r>
              <w:rPr>
                <w:rFonts w:cs="Times New Roman"/>
                <w:snapToGrid w:val="0"/>
                <w:color w:val="auto"/>
                <w:highlight w:val="none"/>
                <w:lang w:val="en-US"/>
              </w:rPr>
              <w:t>活屠重50</w:t>
            </w:r>
            <w:r>
              <w:rPr>
                <w:rFonts w:cs="Times New Roman"/>
                <w:snapToGrid w:val="0"/>
                <w:color w:val="auto"/>
                <w:highlight w:val="none"/>
              </w:rPr>
              <w:t>kg</w:t>
            </w:r>
            <w:r>
              <w:rPr>
                <w:rFonts w:cs="Times New Roman"/>
                <w:snapToGrid w:val="0"/>
                <w:color w:val="auto"/>
                <w:highlight w:val="none"/>
                <w:lang w:val="en-US"/>
              </w:rPr>
              <w:t>/</w:t>
            </w:r>
            <w:r>
              <w:rPr>
                <w:rFonts w:cs="Times New Roman"/>
                <w:snapToGrid w:val="0"/>
                <w:color w:val="auto"/>
                <w:highlight w:val="none"/>
              </w:rPr>
              <w:t>头</w:t>
            </w:r>
          </w:p>
        </w:tc>
      </w:tr>
      <w:tr w14:paraId="1C98B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514" w:type="pct"/>
            <w:vAlign w:val="center"/>
          </w:tcPr>
          <w:p w14:paraId="5EE8A8A2">
            <w:pPr>
              <w:pStyle w:val="73"/>
              <w:rPr>
                <w:rFonts w:cs="Times New Roman"/>
                <w:snapToGrid w:val="0"/>
                <w:color w:val="auto"/>
                <w:highlight w:val="none"/>
              </w:rPr>
            </w:pPr>
            <w:r>
              <w:rPr>
                <w:rFonts w:cs="Times New Roman"/>
                <w:snapToGrid w:val="0"/>
                <w:color w:val="auto"/>
                <w:highlight w:val="none"/>
                <w:lang w:val="en-US"/>
              </w:rPr>
              <w:t>3</w:t>
            </w:r>
          </w:p>
        </w:tc>
        <w:tc>
          <w:tcPr>
            <w:tcW w:w="1181" w:type="pct"/>
            <w:vAlign w:val="center"/>
          </w:tcPr>
          <w:p w14:paraId="16A44BA5">
            <w:pPr>
              <w:widowControl/>
              <w:spacing w:line="360" w:lineRule="exact"/>
              <w:ind w:firstLine="0" w:firstLineChars="0"/>
              <w:jc w:val="center"/>
              <w:rPr>
                <w:rFonts w:cs="Times New Roman"/>
                <w:snapToGrid w:val="0"/>
                <w:color w:val="auto"/>
                <w:sz w:val="21"/>
                <w:szCs w:val="21"/>
                <w:highlight w:val="none"/>
              </w:rPr>
            </w:pPr>
            <w:r>
              <w:rPr>
                <w:rFonts w:cs="Times New Roman"/>
                <w:snapToGrid w:val="0"/>
                <w:color w:val="auto"/>
                <w:sz w:val="21"/>
                <w:szCs w:val="21"/>
                <w:highlight w:val="none"/>
              </w:rPr>
              <w:t>消毒剂（</w:t>
            </w:r>
            <w:r>
              <w:rPr>
                <w:rFonts w:hint="eastAsia" w:cs="Times New Roman"/>
                <w:snapToGrid w:val="0"/>
                <w:color w:val="auto"/>
                <w:sz w:val="21"/>
                <w:szCs w:val="21"/>
                <w:highlight w:val="none"/>
                <w:lang w:val="en-US" w:eastAsia="zh-CN"/>
              </w:rPr>
              <w:t>次氯酸钠</w:t>
            </w:r>
            <w:r>
              <w:rPr>
                <w:rFonts w:cs="Times New Roman"/>
                <w:snapToGrid w:val="0"/>
                <w:color w:val="auto"/>
                <w:sz w:val="21"/>
                <w:szCs w:val="21"/>
                <w:highlight w:val="none"/>
              </w:rPr>
              <w:t>）</w:t>
            </w:r>
          </w:p>
        </w:tc>
        <w:tc>
          <w:tcPr>
            <w:tcW w:w="1314" w:type="pct"/>
            <w:vAlign w:val="center"/>
          </w:tcPr>
          <w:p w14:paraId="6C6F056B">
            <w:pPr>
              <w:pStyle w:val="16"/>
              <w:spacing w:line="360" w:lineRule="exact"/>
              <w:ind w:firstLine="0" w:firstLineChars="0"/>
              <w:jc w:val="center"/>
              <w:rPr>
                <w:rFonts w:cs="Times New Roman"/>
                <w:snapToGrid w:val="0"/>
                <w:color w:val="auto"/>
                <w:sz w:val="21"/>
                <w:highlight w:val="none"/>
                <w:lang w:val="zh-CN"/>
              </w:rPr>
            </w:pPr>
            <w:r>
              <w:rPr>
                <w:rFonts w:hint="eastAsia" w:cs="Times New Roman"/>
                <w:snapToGrid w:val="0"/>
                <w:color w:val="auto"/>
                <w:sz w:val="21"/>
                <w:highlight w:val="none"/>
                <w:lang w:val="en-US" w:eastAsia="zh-CN"/>
              </w:rPr>
              <w:t>5</w:t>
            </w:r>
            <w:r>
              <w:rPr>
                <w:rFonts w:cs="Times New Roman"/>
                <w:snapToGrid w:val="0"/>
                <w:color w:val="auto"/>
                <w:sz w:val="21"/>
                <w:highlight w:val="none"/>
              </w:rPr>
              <w:t>t/a</w:t>
            </w:r>
          </w:p>
        </w:tc>
        <w:tc>
          <w:tcPr>
            <w:tcW w:w="1989" w:type="pct"/>
            <w:vAlign w:val="center"/>
          </w:tcPr>
          <w:p w14:paraId="08A53B16">
            <w:pPr>
              <w:pStyle w:val="16"/>
              <w:spacing w:line="360" w:lineRule="exact"/>
              <w:ind w:firstLine="0" w:firstLineChars="0"/>
              <w:jc w:val="center"/>
              <w:rPr>
                <w:rFonts w:cs="Times New Roman"/>
                <w:snapToGrid w:val="0"/>
                <w:color w:val="auto"/>
                <w:sz w:val="21"/>
                <w:highlight w:val="none"/>
              </w:rPr>
            </w:pPr>
            <w:r>
              <w:rPr>
                <w:rFonts w:cs="Times New Roman"/>
                <w:snapToGrid w:val="0"/>
                <w:color w:val="auto"/>
                <w:sz w:val="21"/>
                <w:highlight w:val="none"/>
              </w:rPr>
              <w:t>厂内最大暂存量为</w:t>
            </w:r>
            <w:r>
              <w:rPr>
                <w:rFonts w:hint="eastAsia" w:cs="Times New Roman"/>
                <w:snapToGrid w:val="0"/>
                <w:color w:val="auto"/>
                <w:sz w:val="21"/>
                <w:highlight w:val="none"/>
                <w:lang w:val="en-US" w:eastAsia="zh-CN"/>
              </w:rPr>
              <w:t>2</w:t>
            </w:r>
            <w:r>
              <w:rPr>
                <w:rFonts w:cs="Times New Roman"/>
                <w:snapToGrid w:val="0"/>
                <w:color w:val="auto"/>
                <w:sz w:val="21"/>
                <w:highlight w:val="none"/>
              </w:rPr>
              <w:t>t</w:t>
            </w:r>
          </w:p>
        </w:tc>
      </w:tr>
      <w:tr w14:paraId="40980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514" w:type="pct"/>
            <w:vAlign w:val="center"/>
          </w:tcPr>
          <w:p w14:paraId="059C870B">
            <w:pPr>
              <w:pStyle w:val="73"/>
              <w:rPr>
                <w:rFonts w:cs="Times New Roman"/>
                <w:snapToGrid w:val="0"/>
                <w:color w:val="auto"/>
                <w:highlight w:val="none"/>
                <w:lang w:val="en-US"/>
              </w:rPr>
            </w:pPr>
            <w:r>
              <w:rPr>
                <w:rFonts w:cs="Times New Roman"/>
                <w:snapToGrid w:val="0"/>
                <w:color w:val="auto"/>
                <w:highlight w:val="none"/>
                <w:lang w:val="en-US"/>
              </w:rPr>
              <w:t>4</w:t>
            </w:r>
          </w:p>
        </w:tc>
        <w:tc>
          <w:tcPr>
            <w:tcW w:w="1181" w:type="pct"/>
            <w:vAlign w:val="center"/>
          </w:tcPr>
          <w:p w14:paraId="2B0B7EFA">
            <w:pPr>
              <w:widowControl/>
              <w:spacing w:line="360" w:lineRule="exact"/>
              <w:ind w:firstLine="0" w:firstLineChars="0"/>
              <w:jc w:val="center"/>
              <w:rPr>
                <w:rFonts w:cs="Times New Roman"/>
                <w:snapToGrid w:val="0"/>
                <w:color w:val="auto"/>
                <w:sz w:val="21"/>
                <w:szCs w:val="21"/>
                <w:highlight w:val="none"/>
              </w:rPr>
            </w:pPr>
            <w:r>
              <w:rPr>
                <w:rFonts w:cs="Times New Roman"/>
                <w:snapToGrid w:val="0"/>
                <w:color w:val="auto"/>
                <w:sz w:val="21"/>
                <w:szCs w:val="21"/>
                <w:highlight w:val="none"/>
              </w:rPr>
              <w:t>制冷剂R410A</w:t>
            </w:r>
          </w:p>
        </w:tc>
        <w:tc>
          <w:tcPr>
            <w:tcW w:w="1314" w:type="pct"/>
            <w:vAlign w:val="center"/>
          </w:tcPr>
          <w:p w14:paraId="59939742">
            <w:pPr>
              <w:pStyle w:val="16"/>
              <w:spacing w:line="360" w:lineRule="exact"/>
              <w:ind w:firstLine="0" w:firstLineChars="0"/>
              <w:jc w:val="center"/>
              <w:rPr>
                <w:rFonts w:cs="Times New Roman"/>
                <w:snapToGrid w:val="0"/>
                <w:color w:val="auto"/>
                <w:sz w:val="21"/>
                <w:highlight w:val="none"/>
                <w:lang w:val="zh-CN"/>
              </w:rPr>
            </w:pPr>
            <w:r>
              <w:rPr>
                <w:rFonts w:hint="eastAsia" w:cs="Times New Roman"/>
                <w:snapToGrid w:val="0"/>
                <w:color w:val="auto"/>
                <w:sz w:val="21"/>
                <w:highlight w:val="none"/>
                <w:lang w:val="en-US" w:eastAsia="zh-CN"/>
              </w:rPr>
              <w:t>0.32t</w:t>
            </w:r>
            <w:r>
              <w:rPr>
                <w:rFonts w:cs="Times New Roman"/>
                <w:snapToGrid w:val="0"/>
                <w:color w:val="auto"/>
                <w:sz w:val="21"/>
                <w:highlight w:val="none"/>
              </w:rPr>
              <w:t>/a</w:t>
            </w:r>
          </w:p>
        </w:tc>
        <w:tc>
          <w:tcPr>
            <w:tcW w:w="1989" w:type="pct"/>
            <w:vAlign w:val="center"/>
          </w:tcPr>
          <w:p w14:paraId="632DEF6C">
            <w:pPr>
              <w:pStyle w:val="16"/>
              <w:spacing w:line="360" w:lineRule="exact"/>
              <w:ind w:firstLine="0" w:firstLineChars="0"/>
              <w:jc w:val="center"/>
              <w:rPr>
                <w:rFonts w:hint="default" w:eastAsia="宋体" w:cs="Times New Roman"/>
                <w:snapToGrid w:val="0"/>
                <w:color w:val="auto"/>
                <w:sz w:val="21"/>
                <w:highlight w:val="none"/>
                <w:lang w:val="en-US" w:eastAsia="zh-CN"/>
              </w:rPr>
            </w:pPr>
            <w:r>
              <w:rPr>
                <w:rFonts w:hint="eastAsia" w:cs="Times New Roman"/>
                <w:snapToGrid w:val="0"/>
                <w:color w:val="auto"/>
                <w:sz w:val="21"/>
                <w:highlight w:val="none"/>
                <w:lang w:val="en-US" w:eastAsia="zh-CN"/>
              </w:rPr>
              <w:t>本项目采用氟制冷，</w:t>
            </w:r>
            <w:r>
              <w:rPr>
                <w:rFonts w:cs="Times New Roman"/>
                <w:snapToGrid w:val="0"/>
                <w:color w:val="auto"/>
                <w:sz w:val="21"/>
                <w:szCs w:val="21"/>
                <w:highlight w:val="none"/>
              </w:rPr>
              <w:t>R410A</w:t>
            </w:r>
            <w:r>
              <w:rPr>
                <w:rFonts w:hint="eastAsia" w:cs="Times New Roman"/>
                <w:snapToGrid w:val="0"/>
                <w:color w:val="auto"/>
                <w:sz w:val="21"/>
                <w:szCs w:val="21"/>
                <w:highlight w:val="none"/>
                <w:lang w:val="en-US" w:eastAsia="zh-CN"/>
              </w:rPr>
              <w:t>是环保型制冷剂，</w:t>
            </w:r>
            <w:r>
              <w:rPr>
                <w:rFonts w:cs="Times New Roman"/>
                <w:snapToGrid w:val="0"/>
                <w:color w:val="auto"/>
                <w:sz w:val="21"/>
                <w:highlight w:val="none"/>
              </w:rPr>
              <w:t>需要时由厂家派专人进行更换和补充</w:t>
            </w:r>
            <w:r>
              <w:rPr>
                <w:rFonts w:hint="eastAsia" w:cs="Times New Roman"/>
                <w:snapToGrid w:val="0"/>
                <w:color w:val="auto"/>
                <w:sz w:val="21"/>
                <w:highlight w:val="none"/>
                <w:lang w:eastAsia="zh-CN"/>
              </w:rPr>
              <w:t>，</w:t>
            </w:r>
            <w:r>
              <w:rPr>
                <w:rFonts w:hint="eastAsia" w:cs="Times New Roman"/>
                <w:snapToGrid w:val="0"/>
                <w:color w:val="auto"/>
                <w:sz w:val="21"/>
                <w:highlight w:val="none"/>
                <w:lang w:val="en-US" w:eastAsia="zh-CN"/>
              </w:rPr>
              <w:t>不在厂区内暂存</w:t>
            </w:r>
          </w:p>
        </w:tc>
      </w:tr>
      <w:tr w14:paraId="06E688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514" w:type="pct"/>
            <w:vAlign w:val="center"/>
          </w:tcPr>
          <w:p w14:paraId="34D9E7A6">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6</w:t>
            </w:r>
          </w:p>
        </w:tc>
        <w:tc>
          <w:tcPr>
            <w:tcW w:w="1181" w:type="pct"/>
            <w:vAlign w:val="center"/>
          </w:tcPr>
          <w:p w14:paraId="4A4A3C5E">
            <w:pPr>
              <w:widowControl/>
              <w:spacing w:line="360" w:lineRule="exact"/>
              <w:ind w:firstLine="0" w:firstLineChars="0"/>
              <w:jc w:val="center"/>
              <w:rPr>
                <w:rFonts w:hint="default"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活性炭</w:t>
            </w:r>
          </w:p>
        </w:tc>
        <w:tc>
          <w:tcPr>
            <w:tcW w:w="1314" w:type="pct"/>
            <w:vAlign w:val="center"/>
          </w:tcPr>
          <w:p w14:paraId="40A73CC6">
            <w:pPr>
              <w:pStyle w:val="16"/>
              <w:spacing w:line="360" w:lineRule="exact"/>
              <w:ind w:firstLine="0" w:firstLineChars="0"/>
              <w:jc w:val="center"/>
              <w:rPr>
                <w:rFonts w:hint="default" w:cs="Times New Roman"/>
                <w:snapToGrid w:val="0"/>
                <w:color w:val="auto"/>
                <w:sz w:val="21"/>
                <w:highlight w:val="none"/>
                <w:lang w:val="en-US" w:eastAsia="zh-CN"/>
              </w:rPr>
            </w:pPr>
            <w:r>
              <w:rPr>
                <w:rFonts w:hint="eastAsia" w:cs="Times New Roman"/>
                <w:snapToGrid w:val="0"/>
                <w:color w:val="auto"/>
                <w:sz w:val="21"/>
                <w:highlight w:val="none"/>
                <w:lang w:val="en-US" w:eastAsia="zh-CN"/>
              </w:rPr>
              <w:t>2t/a</w:t>
            </w:r>
          </w:p>
        </w:tc>
        <w:tc>
          <w:tcPr>
            <w:tcW w:w="1989" w:type="pct"/>
            <w:vAlign w:val="center"/>
          </w:tcPr>
          <w:p w14:paraId="6429EE52">
            <w:pPr>
              <w:pStyle w:val="16"/>
              <w:spacing w:line="360" w:lineRule="exact"/>
              <w:ind w:firstLine="0" w:firstLineChars="0"/>
              <w:jc w:val="center"/>
              <w:rPr>
                <w:rFonts w:hint="default" w:cs="Times New Roman"/>
                <w:snapToGrid w:val="0"/>
                <w:color w:val="auto"/>
                <w:sz w:val="21"/>
                <w:highlight w:val="none"/>
                <w:lang w:val="en-US" w:eastAsia="zh-CN"/>
              </w:rPr>
            </w:pPr>
            <w:r>
              <w:rPr>
                <w:rFonts w:hint="eastAsia" w:cs="Times New Roman"/>
                <w:snapToGrid w:val="0"/>
                <w:color w:val="auto"/>
                <w:sz w:val="21"/>
                <w:highlight w:val="none"/>
                <w:lang w:val="en-US" w:eastAsia="zh-CN"/>
              </w:rPr>
              <w:t>外购</w:t>
            </w:r>
          </w:p>
        </w:tc>
      </w:tr>
      <w:tr w14:paraId="71082D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514" w:type="pct"/>
            <w:vAlign w:val="center"/>
          </w:tcPr>
          <w:p w14:paraId="0CEEA9A3">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7</w:t>
            </w:r>
          </w:p>
        </w:tc>
        <w:tc>
          <w:tcPr>
            <w:tcW w:w="1181" w:type="pct"/>
            <w:vAlign w:val="center"/>
          </w:tcPr>
          <w:p w14:paraId="417134A7">
            <w:pPr>
              <w:widowControl/>
              <w:spacing w:line="360" w:lineRule="exact"/>
              <w:ind w:firstLine="0" w:firstLineChars="0"/>
              <w:jc w:val="center"/>
              <w:rPr>
                <w:rFonts w:hint="default"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消毒液</w:t>
            </w:r>
          </w:p>
        </w:tc>
        <w:tc>
          <w:tcPr>
            <w:tcW w:w="1314" w:type="pct"/>
            <w:vAlign w:val="center"/>
          </w:tcPr>
          <w:p w14:paraId="757B6189">
            <w:pPr>
              <w:pStyle w:val="16"/>
              <w:spacing w:line="360" w:lineRule="exact"/>
              <w:ind w:firstLine="0" w:firstLineChars="0"/>
              <w:jc w:val="center"/>
              <w:rPr>
                <w:rFonts w:hint="default" w:cs="Times New Roman"/>
                <w:snapToGrid w:val="0"/>
                <w:color w:val="auto"/>
                <w:sz w:val="21"/>
                <w:highlight w:val="none"/>
                <w:lang w:val="en-US" w:eastAsia="zh-CN"/>
              </w:rPr>
            </w:pPr>
            <w:r>
              <w:rPr>
                <w:rFonts w:hint="eastAsia" w:cs="Times New Roman"/>
                <w:snapToGrid w:val="0"/>
                <w:color w:val="auto"/>
                <w:sz w:val="21"/>
                <w:highlight w:val="none"/>
                <w:lang w:val="en-US" w:eastAsia="zh-CN"/>
              </w:rPr>
              <w:t>3.2t/a</w:t>
            </w:r>
          </w:p>
        </w:tc>
        <w:tc>
          <w:tcPr>
            <w:tcW w:w="1989" w:type="pct"/>
            <w:vAlign w:val="center"/>
          </w:tcPr>
          <w:p w14:paraId="65F53074">
            <w:pPr>
              <w:pStyle w:val="16"/>
              <w:spacing w:line="360" w:lineRule="exact"/>
              <w:ind w:firstLine="0" w:firstLineChars="0"/>
              <w:jc w:val="center"/>
              <w:rPr>
                <w:rFonts w:hint="eastAsia" w:cs="Times New Roman"/>
                <w:snapToGrid w:val="0"/>
                <w:color w:val="auto"/>
                <w:sz w:val="21"/>
                <w:highlight w:val="none"/>
                <w:lang w:val="en-US" w:eastAsia="zh-CN"/>
              </w:rPr>
            </w:pPr>
            <w:r>
              <w:rPr>
                <w:rFonts w:hint="eastAsia" w:cs="Times New Roman"/>
                <w:snapToGrid w:val="0"/>
                <w:color w:val="auto"/>
                <w:sz w:val="21"/>
                <w:highlight w:val="none"/>
                <w:lang w:val="en-US" w:eastAsia="zh-CN"/>
              </w:rPr>
              <w:t>外购</w:t>
            </w:r>
          </w:p>
        </w:tc>
      </w:tr>
      <w:tr w14:paraId="5F2C9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514" w:type="pct"/>
            <w:vAlign w:val="center"/>
          </w:tcPr>
          <w:p w14:paraId="23F49DBA">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8</w:t>
            </w:r>
          </w:p>
        </w:tc>
        <w:tc>
          <w:tcPr>
            <w:tcW w:w="1181" w:type="pct"/>
            <w:vAlign w:val="center"/>
          </w:tcPr>
          <w:p w14:paraId="27607606">
            <w:pPr>
              <w:widowControl/>
              <w:spacing w:line="360" w:lineRule="exact"/>
              <w:ind w:firstLine="0" w:firstLineChars="0"/>
              <w:jc w:val="center"/>
              <w:rPr>
                <w:rFonts w:hint="default"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除臭剂</w:t>
            </w:r>
          </w:p>
        </w:tc>
        <w:tc>
          <w:tcPr>
            <w:tcW w:w="1314" w:type="pct"/>
            <w:vAlign w:val="center"/>
          </w:tcPr>
          <w:p w14:paraId="0FB9B29C">
            <w:pPr>
              <w:pStyle w:val="16"/>
              <w:spacing w:line="360" w:lineRule="exact"/>
              <w:ind w:firstLine="0" w:firstLineChars="0"/>
              <w:jc w:val="center"/>
              <w:rPr>
                <w:rFonts w:hint="default" w:cs="Times New Roman"/>
                <w:snapToGrid w:val="0"/>
                <w:color w:val="auto"/>
                <w:sz w:val="21"/>
                <w:highlight w:val="none"/>
                <w:lang w:val="en-US" w:eastAsia="zh-CN"/>
              </w:rPr>
            </w:pPr>
            <w:r>
              <w:rPr>
                <w:rFonts w:hint="eastAsia" w:cs="Times New Roman"/>
                <w:snapToGrid w:val="0"/>
                <w:color w:val="auto"/>
                <w:sz w:val="21"/>
                <w:highlight w:val="none"/>
                <w:lang w:val="en-US" w:eastAsia="zh-CN"/>
              </w:rPr>
              <w:t>12t/a</w:t>
            </w:r>
          </w:p>
        </w:tc>
        <w:tc>
          <w:tcPr>
            <w:tcW w:w="1989" w:type="pct"/>
            <w:vAlign w:val="center"/>
          </w:tcPr>
          <w:p w14:paraId="3A02E86A">
            <w:pPr>
              <w:pStyle w:val="16"/>
              <w:spacing w:line="360" w:lineRule="exact"/>
              <w:ind w:firstLine="0" w:firstLineChars="0"/>
              <w:jc w:val="center"/>
              <w:rPr>
                <w:rFonts w:hint="eastAsia" w:cs="Times New Roman"/>
                <w:snapToGrid w:val="0"/>
                <w:color w:val="auto"/>
                <w:sz w:val="21"/>
                <w:highlight w:val="none"/>
                <w:lang w:val="en-US" w:eastAsia="zh-CN"/>
              </w:rPr>
            </w:pPr>
            <w:r>
              <w:rPr>
                <w:rFonts w:hint="eastAsia" w:cs="Times New Roman"/>
                <w:snapToGrid w:val="0"/>
                <w:color w:val="auto"/>
                <w:sz w:val="21"/>
                <w:highlight w:val="none"/>
                <w:lang w:val="en-US" w:eastAsia="zh-CN"/>
              </w:rPr>
              <w:t>外购</w:t>
            </w:r>
          </w:p>
        </w:tc>
      </w:tr>
    </w:tbl>
    <w:p w14:paraId="1202CA9A">
      <w:pPr>
        <w:pStyle w:val="117"/>
        <w:adjustRightInd w:val="0"/>
        <w:snapToGrid w:val="0"/>
        <w:spacing w:before="156" w:beforeLines="50" w:line="360" w:lineRule="auto"/>
        <w:rPr>
          <w:rFonts w:cs="Times New Roman"/>
          <w:snapToGrid w:val="0"/>
          <w:color w:val="auto"/>
          <w:szCs w:val="24"/>
          <w:highlight w:val="none"/>
        </w:rPr>
      </w:pPr>
      <w:r>
        <w:rPr>
          <w:rFonts w:cs="Times New Roman"/>
          <w:snapToGrid w:val="0"/>
          <w:color w:val="auto"/>
          <w:szCs w:val="24"/>
          <w:highlight w:val="none"/>
        </w:rPr>
        <w:t>（1）</w:t>
      </w:r>
      <w:r>
        <w:rPr>
          <w:rFonts w:hint="eastAsia" w:cs="Times New Roman"/>
          <w:color w:val="auto"/>
          <w:szCs w:val="24"/>
          <w:highlight w:val="none"/>
          <w:lang w:val="en-US" w:eastAsia="zh-CN"/>
        </w:rPr>
        <w:t>次氯酸钠</w:t>
      </w:r>
      <w:r>
        <w:rPr>
          <w:rFonts w:cs="Times New Roman"/>
          <w:color w:val="auto"/>
          <w:szCs w:val="24"/>
          <w:highlight w:val="none"/>
        </w:rPr>
        <w:t>：</w:t>
      </w:r>
      <w:r>
        <w:rPr>
          <w:rFonts w:hint="eastAsia" w:cs="Times New Roman"/>
          <w:color w:val="auto"/>
          <w:szCs w:val="24"/>
          <w:highlight w:val="none"/>
        </w:rPr>
        <w:t>次氯化钠的消毒机理涉及氧化作用、新生态氧的作用以及氯化作用。其中，氧化作用被普遍认为是主要的消毒机制。当次氯酸钠在溶液中水解后，次氯酸根离子会得到电子而呈现强氧化性。这种强氧化性的离子能够轻易地穿透细胞壁，破坏细菌的酶系统，进而导致细胞死亡。这种独特的杀菌方式使得次氯酸钠成为一种高效且安全的消毒剂。</w:t>
      </w:r>
    </w:p>
    <w:p w14:paraId="1CF8AAA2">
      <w:pPr>
        <w:pStyle w:val="117"/>
        <w:adjustRightInd w:val="0"/>
        <w:snapToGrid w:val="0"/>
        <w:spacing w:line="360" w:lineRule="auto"/>
        <w:rPr>
          <w:rFonts w:cs="Times New Roman"/>
          <w:snapToGrid w:val="0"/>
          <w:color w:val="auto"/>
          <w:szCs w:val="24"/>
          <w:highlight w:val="none"/>
        </w:rPr>
      </w:pPr>
      <w:r>
        <w:rPr>
          <w:rFonts w:cs="Times New Roman"/>
          <w:snapToGrid w:val="0"/>
          <w:color w:val="auto"/>
          <w:szCs w:val="24"/>
          <w:highlight w:val="none"/>
        </w:rPr>
        <w:t>（2）</w:t>
      </w:r>
      <w:r>
        <w:rPr>
          <w:rFonts w:cs="Times New Roman"/>
          <w:color w:val="auto"/>
          <w:szCs w:val="24"/>
          <w:highlight w:val="none"/>
        </w:rPr>
        <w:t>制冷剂R410A：</w:t>
      </w:r>
      <w:r>
        <w:rPr>
          <w:rFonts w:eastAsia="Times New Roman" w:cs="Times New Roman"/>
          <w:color w:val="auto"/>
          <w:szCs w:val="24"/>
          <w:highlight w:val="none"/>
        </w:rPr>
        <w:t>R410A</w:t>
      </w:r>
      <w:r>
        <w:rPr>
          <w:rFonts w:cs="Times New Roman"/>
          <w:color w:val="auto"/>
          <w:szCs w:val="24"/>
          <w:highlight w:val="none"/>
        </w:rPr>
        <w:t>，是一种</w:t>
      </w:r>
      <w:r>
        <w:rPr>
          <w:rFonts w:hint="eastAsia" w:cs="Times New Roman"/>
          <w:color w:val="auto"/>
          <w:szCs w:val="24"/>
          <w:highlight w:val="none"/>
          <w:lang w:val="en-US" w:eastAsia="zh-CN"/>
        </w:rPr>
        <w:t>环保型</w:t>
      </w:r>
      <w:r>
        <w:rPr>
          <w:rFonts w:cs="Times New Roman"/>
          <w:color w:val="auto"/>
          <w:szCs w:val="24"/>
          <w:highlight w:val="none"/>
        </w:rPr>
        <w:t>混合制冷剂，它是由</w:t>
      </w:r>
      <w:r>
        <w:rPr>
          <w:rFonts w:eastAsia="Times New Roman" w:cs="Times New Roman"/>
          <w:color w:val="auto"/>
          <w:szCs w:val="24"/>
          <w:highlight w:val="none"/>
        </w:rPr>
        <w:t>50%R32</w:t>
      </w:r>
      <w:r>
        <w:rPr>
          <w:rFonts w:cs="Times New Roman"/>
          <w:color w:val="auto"/>
          <w:szCs w:val="24"/>
          <w:highlight w:val="none"/>
        </w:rPr>
        <w:t>（二氟甲烷）和</w:t>
      </w:r>
      <w:r>
        <w:rPr>
          <w:rFonts w:eastAsia="Times New Roman" w:cs="Times New Roman"/>
          <w:color w:val="auto"/>
          <w:szCs w:val="24"/>
          <w:highlight w:val="none"/>
        </w:rPr>
        <w:t>50%R125</w:t>
      </w:r>
      <w:r>
        <w:rPr>
          <w:rFonts w:cs="Times New Roman"/>
          <w:color w:val="auto"/>
          <w:szCs w:val="24"/>
          <w:highlight w:val="none"/>
        </w:rPr>
        <w:t>（五氟乙烷</w:t>
      </w:r>
      <w:r>
        <w:rPr>
          <w:rFonts w:cs="Times New Roman"/>
          <w:color w:val="auto"/>
          <w:spacing w:val="-24"/>
          <w:szCs w:val="24"/>
          <w:highlight w:val="none"/>
        </w:rPr>
        <w:t>）</w:t>
      </w:r>
      <w:r>
        <w:rPr>
          <w:rFonts w:cs="Times New Roman"/>
          <w:color w:val="auto"/>
          <w:spacing w:val="-7"/>
          <w:szCs w:val="24"/>
          <w:highlight w:val="none"/>
        </w:rPr>
        <w:t>组成的混合物，其优点在于可以根据具体的使用要求，对各种性质，如</w:t>
      </w:r>
      <w:r>
        <w:rPr>
          <w:rFonts w:cs="Times New Roman"/>
          <w:color w:val="auto"/>
          <w:spacing w:val="-3"/>
          <w:szCs w:val="24"/>
          <w:highlight w:val="none"/>
        </w:rPr>
        <w:t>易燃性、容量、排气温度和效能加以考虑，量身合成一种制冷剂，属于</w:t>
      </w:r>
      <w:r>
        <w:rPr>
          <w:rFonts w:eastAsia="Times New Roman" w:cs="Times New Roman"/>
          <w:color w:val="auto"/>
          <w:szCs w:val="24"/>
          <w:highlight w:val="none"/>
        </w:rPr>
        <w:t>R22</w:t>
      </w:r>
      <w:r>
        <w:rPr>
          <w:rFonts w:cs="Times New Roman"/>
          <w:color w:val="auto"/>
          <w:spacing w:val="-7"/>
          <w:szCs w:val="24"/>
          <w:highlight w:val="none"/>
        </w:rPr>
        <w:t>的环</w:t>
      </w:r>
      <w:r>
        <w:rPr>
          <w:rFonts w:cs="Times New Roman"/>
          <w:color w:val="auto"/>
          <w:spacing w:val="-3"/>
          <w:szCs w:val="24"/>
          <w:highlight w:val="none"/>
        </w:rPr>
        <w:t>保替代品。</w:t>
      </w:r>
      <w:r>
        <w:rPr>
          <w:rFonts w:eastAsia="Times New Roman" w:cs="Times New Roman"/>
          <w:color w:val="auto"/>
          <w:szCs w:val="24"/>
          <w:highlight w:val="none"/>
        </w:rPr>
        <w:t>R410A</w:t>
      </w:r>
      <w:r>
        <w:rPr>
          <w:rFonts w:cs="Times New Roman"/>
          <w:color w:val="auto"/>
          <w:spacing w:val="-4"/>
          <w:szCs w:val="24"/>
          <w:highlight w:val="none"/>
        </w:rPr>
        <w:t>外观无色，不浑浊，易挥发，沸点</w:t>
      </w:r>
      <w:r>
        <w:rPr>
          <w:rFonts w:eastAsia="Times New Roman" w:cs="Times New Roman"/>
          <w:color w:val="auto"/>
          <w:szCs w:val="24"/>
          <w:highlight w:val="none"/>
        </w:rPr>
        <w:t>-51.6</w:t>
      </w:r>
      <w:r>
        <w:rPr>
          <w:rFonts w:cs="Times New Roman"/>
          <w:color w:val="auto"/>
          <w:szCs w:val="24"/>
          <w:highlight w:val="none"/>
        </w:rPr>
        <w:t>℃，凝固点</w:t>
      </w:r>
      <w:r>
        <w:rPr>
          <w:rFonts w:eastAsia="Times New Roman" w:cs="Times New Roman"/>
          <w:color w:val="auto"/>
          <w:szCs w:val="24"/>
          <w:highlight w:val="none"/>
        </w:rPr>
        <w:t>-155</w:t>
      </w:r>
      <w:r>
        <w:rPr>
          <w:rFonts w:cs="Times New Roman"/>
          <w:color w:val="auto"/>
          <w:spacing w:val="-3"/>
          <w:szCs w:val="24"/>
          <w:highlight w:val="none"/>
        </w:rPr>
        <w:t>℃，不</w:t>
      </w:r>
      <w:r>
        <w:rPr>
          <w:rFonts w:cs="Times New Roman"/>
          <w:color w:val="auto"/>
          <w:szCs w:val="24"/>
          <w:highlight w:val="none"/>
        </w:rPr>
        <w:t>属于破坏臭氧层物质清单。</w:t>
      </w:r>
    </w:p>
    <w:p w14:paraId="5D361C9D">
      <w:pPr>
        <w:pStyle w:val="4"/>
        <w:spacing w:after="156"/>
        <w:rPr>
          <w:rFonts w:cs="Times New Roman"/>
          <w:color w:val="auto"/>
          <w:highlight w:val="none"/>
        </w:rPr>
      </w:pPr>
      <w:bookmarkStart w:id="107" w:name="_Toc1085"/>
      <w:r>
        <w:rPr>
          <w:rFonts w:cs="Times New Roman"/>
          <w:color w:val="auto"/>
          <w:highlight w:val="none"/>
        </w:rPr>
        <w:t>3.1.5产品方案</w:t>
      </w:r>
      <w:bookmarkEnd w:id="107"/>
    </w:p>
    <w:p w14:paraId="4F6082EB">
      <w:pPr>
        <w:jc w:val="left"/>
        <w:rPr>
          <w:rFonts w:eastAsia="黑体" w:cs="Times New Roman"/>
          <w:snapToGrid w:val="0"/>
          <w:color w:val="auto"/>
          <w:kern w:val="0"/>
          <w:szCs w:val="24"/>
          <w:highlight w:val="none"/>
          <w:lang w:val="zh-CN"/>
        </w:rPr>
      </w:pPr>
      <w:r>
        <w:rPr>
          <w:rFonts w:cs="Times New Roman"/>
          <w:snapToGrid w:val="0"/>
          <w:color w:val="auto"/>
          <w:kern w:val="0"/>
          <w:highlight w:val="none"/>
        </w:rPr>
        <w:t>本项目运营期主要进行牛、羊的屠宰，</w:t>
      </w:r>
      <w:r>
        <w:rPr>
          <w:rFonts w:hint="eastAsia" w:cs="Times New Roman"/>
          <w:color w:val="auto"/>
          <w:highlight w:val="none"/>
        </w:rPr>
        <w:t>屠宰量为肉牛</w:t>
      </w:r>
      <w:r>
        <w:rPr>
          <w:rFonts w:hint="eastAsia" w:cs="Times New Roman"/>
          <w:color w:val="auto"/>
          <w:highlight w:val="none"/>
          <w:lang w:val="en-US" w:eastAsia="zh-CN"/>
        </w:rPr>
        <w:t>100</w:t>
      </w:r>
      <w:r>
        <w:rPr>
          <w:rFonts w:hint="eastAsia" w:cs="Times New Roman"/>
          <w:color w:val="auto"/>
          <w:highlight w:val="none"/>
        </w:rPr>
        <w:t>头/d，肉羊</w:t>
      </w:r>
      <w:r>
        <w:rPr>
          <w:rFonts w:hint="eastAsia" w:cs="Times New Roman"/>
          <w:color w:val="auto"/>
          <w:highlight w:val="none"/>
          <w:lang w:val="en-US" w:eastAsia="zh-CN"/>
        </w:rPr>
        <w:t>500</w:t>
      </w:r>
      <w:r>
        <w:rPr>
          <w:rFonts w:hint="eastAsia" w:cs="Times New Roman"/>
          <w:color w:val="auto"/>
          <w:highlight w:val="none"/>
        </w:rPr>
        <w:t>只/d</w:t>
      </w:r>
      <w:r>
        <w:rPr>
          <w:rFonts w:hint="eastAsia" w:cs="Times New Roman"/>
          <w:color w:val="auto"/>
          <w:highlight w:val="none"/>
          <w:lang w:eastAsia="zh-CN"/>
        </w:rPr>
        <w:t>，</w:t>
      </w:r>
      <w:r>
        <w:rPr>
          <w:rFonts w:hint="eastAsia" w:cs="Times New Roman"/>
          <w:color w:val="auto"/>
          <w:highlight w:val="none"/>
        </w:rPr>
        <w:t>按设计</w:t>
      </w:r>
      <w:r>
        <w:rPr>
          <w:rFonts w:hint="eastAsia" w:cs="Times New Roman"/>
          <w:color w:val="auto"/>
          <w:highlight w:val="none"/>
          <w:lang w:val="en-US" w:eastAsia="zh-CN"/>
        </w:rPr>
        <w:t>300</w:t>
      </w:r>
      <w:r>
        <w:rPr>
          <w:rFonts w:hint="eastAsia" w:cs="Times New Roman"/>
          <w:color w:val="auto"/>
          <w:highlight w:val="none"/>
        </w:rPr>
        <w:t>天工作计算，</w:t>
      </w:r>
      <w:r>
        <w:rPr>
          <w:rFonts w:hint="eastAsia" w:cs="Times New Roman"/>
          <w:color w:val="auto"/>
          <w:highlight w:val="none"/>
          <w:lang w:eastAsia="zh-CN"/>
        </w:rPr>
        <w:t>年屠宰肉牛</w:t>
      </w:r>
      <w:r>
        <w:rPr>
          <w:rFonts w:hint="eastAsia" w:cs="Times New Roman"/>
          <w:color w:val="auto"/>
          <w:highlight w:val="none"/>
          <w:lang w:val="en-US" w:eastAsia="zh-CN"/>
        </w:rPr>
        <w:t>30000</w:t>
      </w:r>
      <w:r>
        <w:rPr>
          <w:rFonts w:hint="eastAsia" w:cs="Times New Roman"/>
          <w:color w:val="auto"/>
          <w:highlight w:val="none"/>
          <w:lang w:eastAsia="zh-CN"/>
        </w:rPr>
        <w:t>头、肉羊</w:t>
      </w:r>
      <w:r>
        <w:rPr>
          <w:rFonts w:hint="eastAsia" w:cs="Times New Roman"/>
          <w:color w:val="auto"/>
          <w:highlight w:val="none"/>
          <w:lang w:val="en-US" w:eastAsia="zh-CN"/>
        </w:rPr>
        <w:t>150</w:t>
      </w:r>
      <w:r>
        <w:rPr>
          <w:rFonts w:hint="eastAsia" w:cs="Times New Roman"/>
          <w:color w:val="auto"/>
          <w:highlight w:val="none"/>
          <w:lang w:eastAsia="zh-CN"/>
        </w:rPr>
        <w:t>000只。</w:t>
      </w:r>
    </w:p>
    <w:p w14:paraId="0CC8459C">
      <w:pPr>
        <w:widowControl/>
        <w:spacing w:line="360" w:lineRule="exact"/>
        <w:ind w:firstLine="0" w:firstLineChars="0"/>
        <w:jc w:val="center"/>
        <w:rPr>
          <w:rFonts w:eastAsia="黑体" w:cs="Times New Roman"/>
          <w:snapToGrid w:val="0"/>
          <w:color w:val="auto"/>
          <w:kern w:val="0"/>
          <w:szCs w:val="24"/>
          <w:highlight w:val="none"/>
          <w:lang w:val="zh-CN"/>
        </w:rPr>
      </w:pPr>
    </w:p>
    <w:p w14:paraId="44E2E727">
      <w:pPr>
        <w:widowControl/>
        <w:spacing w:line="360" w:lineRule="exact"/>
        <w:ind w:firstLine="0" w:firstLineChars="0"/>
        <w:jc w:val="center"/>
        <w:rPr>
          <w:rFonts w:eastAsia="黑体" w:cs="Times New Roman"/>
          <w:snapToGrid w:val="0"/>
          <w:color w:val="auto"/>
          <w:kern w:val="0"/>
          <w:szCs w:val="24"/>
          <w:highlight w:val="none"/>
          <w:lang w:val="zh-CN"/>
        </w:rPr>
      </w:pPr>
      <w:r>
        <w:rPr>
          <w:rFonts w:eastAsia="黑体" w:cs="Times New Roman"/>
          <w:snapToGrid w:val="0"/>
          <w:color w:val="auto"/>
          <w:kern w:val="0"/>
          <w:szCs w:val="24"/>
          <w:highlight w:val="none"/>
          <w:lang w:val="zh-CN"/>
        </w:rPr>
        <w:t>表</w:t>
      </w:r>
      <w:r>
        <w:rPr>
          <w:rFonts w:hint="eastAsia" w:eastAsia="黑体" w:cs="Times New Roman"/>
          <w:snapToGrid w:val="0"/>
          <w:color w:val="auto"/>
          <w:kern w:val="0"/>
          <w:szCs w:val="24"/>
          <w:highlight w:val="none"/>
          <w:lang w:val="zh-CN"/>
        </w:rPr>
        <w:t>3-1-</w:t>
      </w:r>
      <w:r>
        <w:rPr>
          <w:rFonts w:eastAsia="黑体" w:cs="Times New Roman"/>
          <w:snapToGrid w:val="0"/>
          <w:color w:val="auto"/>
          <w:kern w:val="0"/>
          <w:szCs w:val="24"/>
          <w:highlight w:val="none"/>
        </w:rPr>
        <w:t xml:space="preserve">4  </w:t>
      </w:r>
      <w:r>
        <w:rPr>
          <w:rFonts w:eastAsia="黑体" w:cs="Times New Roman"/>
          <w:snapToGrid w:val="0"/>
          <w:color w:val="auto"/>
          <w:kern w:val="0"/>
          <w:szCs w:val="24"/>
          <w:highlight w:val="none"/>
          <w:lang w:val="zh-CN"/>
        </w:rPr>
        <w:t>产品方案</w:t>
      </w:r>
    </w:p>
    <w:tbl>
      <w:tblPr>
        <w:tblStyle w:val="398"/>
        <w:tblW w:w="490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3"/>
        <w:gridCol w:w="3200"/>
        <w:gridCol w:w="4084"/>
      </w:tblGrid>
      <w:tr w14:paraId="433BB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42" w:type="pct"/>
            <w:vAlign w:val="center"/>
          </w:tcPr>
          <w:p w14:paraId="5AE7A8A5">
            <w:pPr>
              <w:pStyle w:val="73"/>
              <w:rPr>
                <w:rFonts w:cs="Times New Roman"/>
                <w:snapToGrid w:val="0"/>
                <w:color w:val="auto"/>
                <w:highlight w:val="none"/>
              </w:rPr>
            </w:pPr>
            <w:r>
              <w:rPr>
                <w:rFonts w:cs="Times New Roman"/>
                <w:snapToGrid w:val="0"/>
                <w:color w:val="auto"/>
                <w:highlight w:val="none"/>
              </w:rPr>
              <w:t>序号</w:t>
            </w:r>
          </w:p>
        </w:tc>
        <w:tc>
          <w:tcPr>
            <w:tcW w:w="1913" w:type="pct"/>
            <w:vAlign w:val="center"/>
          </w:tcPr>
          <w:p w14:paraId="00339539">
            <w:pPr>
              <w:pStyle w:val="73"/>
              <w:rPr>
                <w:rFonts w:cs="Times New Roman"/>
                <w:snapToGrid w:val="0"/>
                <w:color w:val="auto"/>
                <w:highlight w:val="none"/>
              </w:rPr>
            </w:pPr>
            <w:r>
              <w:rPr>
                <w:rFonts w:cs="Times New Roman"/>
                <w:snapToGrid w:val="0"/>
                <w:color w:val="auto"/>
                <w:highlight w:val="none"/>
              </w:rPr>
              <w:t>产品名称</w:t>
            </w:r>
          </w:p>
        </w:tc>
        <w:tc>
          <w:tcPr>
            <w:tcW w:w="2443" w:type="pct"/>
            <w:vAlign w:val="center"/>
          </w:tcPr>
          <w:p w14:paraId="4A91D89C">
            <w:pPr>
              <w:pStyle w:val="73"/>
              <w:rPr>
                <w:rFonts w:cs="Times New Roman"/>
                <w:snapToGrid w:val="0"/>
                <w:color w:val="auto"/>
                <w:highlight w:val="none"/>
              </w:rPr>
            </w:pPr>
            <w:r>
              <w:rPr>
                <w:rFonts w:cs="Times New Roman"/>
                <w:snapToGrid w:val="0"/>
                <w:color w:val="auto"/>
                <w:highlight w:val="none"/>
              </w:rPr>
              <w:t>产量t/a</w:t>
            </w:r>
          </w:p>
        </w:tc>
      </w:tr>
      <w:tr w14:paraId="6C07F1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642" w:type="pct"/>
            <w:vAlign w:val="center"/>
          </w:tcPr>
          <w:p w14:paraId="50EF7772">
            <w:pPr>
              <w:pStyle w:val="73"/>
              <w:rPr>
                <w:rFonts w:cs="Times New Roman"/>
                <w:snapToGrid w:val="0"/>
                <w:color w:val="auto"/>
                <w:highlight w:val="none"/>
              </w:rPr>
            </w:pPr>
            <w:r>
              <w:rPr>
                <w:rFonts w:cs="Times New Roman"/>
                <w:snapToGrid w:val="0"/>
                <w:color w:val="auto"/>
                <w:highlight w:val="none"/>
              </w:rPr>
              <w:t>1</w:t>
            </w:r>
          </w:p>
        </w:tc>
        <w:tc>
          <w:tcPr>
            <w:tcW w:w="1913" w:type="pct"/>
            <w:vAlign w:val="center"/>
          </w:tcPr>
          <w:p w14:paraId="2D9EAB5D">
            <w:pPr>
              <w:widowControl/>
              <w:spacing w:line="360" w:lineRule="exact"/>
              <w:ind w:firstLine="0" w:firstLineChars="0"/>
              <w:jc w:val="center"/>
              <w:textAlignment w:val="center"/>
              <w:rPr>
                <w:rFonts w:cs="Times New Roman"/>
                <w:snapToGrid w:val="0"/>
                <w:color w:val="auto"/>
                <w:highlight w:val="none"/>
              </w:rPr>
            </w:pPr>
            <w:r>
              <w:rPr>
                <w:rFonts w:cs="Times New Roman"/>
                <w:snapToGrid w:val="0"/>
                <w:color w:val="auto"/>
                <w:kern w:val="0"/>
                <w:sz w:val="21"/>
                <w:szCs w:val="21"/>
                <w:highlight w:val="none"/>
                <w:lang w:bidi="ar"/>
              </w:rPr>
              <w:t>牛、羊肉</w:t>
            </w:r>
          </w:p>
        </w:tc>
        <w:tc>
          <w:tcPr>
            <w:tcW w:w="2443" w:type="pct"/>
            <w:vAlign w:val="center"/>
          </w:tcPr>
          <w:p w14:paraId="6354DDB2">
            <w:pPr>
              <w:widowControl/>
              <w:spacing w:line="360" w:lineRule="exact"/>
              <w:ind w:firstLine="0" w:firstLineChars="0"/>
              <w:jc w:val="center"/>
              <w:textAlignment w:val="center"/>
              <w:rPr>
                <w:rFonts w:hint="default" w:ascii="Times New Roman" w:hAnsi="Times New Roman" w:eastAsia="宋体" w:cs="Times New Roman"/>
                <w:snapToGrid w:val="0"/>
                <w:color w:val="auto"/>
                <w:kern w:val="0"/>
                <w:sz w:val="21"/>
                <w:szCs w:val="21"/>
                <w:highlight w:val="none"/>
                <w:lang w:val="en-US" w:bidi="ar"/>
              </w:rPr>
            </w:pPr>
            <w:r>
              <w:rPr>
                <w:rFonts w:hint="eastAsia" w:cs="Times New Roman"/>
                <w:snapToGrid w:val="0"/>
                <w:color w:val="auto"/>
                <w:kern w:val="0"/>
                <w:sz w:val="21"/>
                <w:szCs w:val="21"/>
                <w:highlight w:val="none"/>
                <w:lang w:val="en-US" w:eastAsia="zh-CN" w:bidi="ar"/>
              </w:rPr>
              <w:t>12750</w:t>
            </w:r>
          </w:p>
        </w:tc>
      </w:tr>
      <w:tr w14:paraId="0561A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642" w:type="pct"/>
            <w:vAlign w:val="center"/>
          </w:tcPr>
          <w:p w14:paraId="3BE8AB3E">
            <w:pPr>
              <w:pStyle w:val="73"/>
              <w:rPr>
                <w:rFonts w:cs="Times New Roman"/>
                <w:snapToGrid w:val="0"/>
                <w:color w:val="auto"/>
                <w:highlight w:val="none"/>
              </w:rPr>
            </w:pPr>
            <w:r>
              <w:rPr>
                <w:rFonts w:cs="Times New Roman"/>
                <w:snapToGrid w:val="0"/>
                <w:color w:val="auto"/>
                <w:highlight w:val="none"/>
              </w:rPr>
              <w:t>2</w:t>
            </w:r>
          </w:p>
        </w:tc>
        <w:tc>
          <w:tcPr>
            <w:tcW w:w="1913" w:type="pct"/>
            <w:vAlign w:val="center"/>
          </w:tcPr>
          <w:p w14:paraId="62A483D0">
            <w:pPr>
              <w:widowControl/>
              <w:spacing w:line="360" w:lineRule="exact"/>
              <w:ind w:firstLine="0" w:firstLineChars="0"/>
              <w:jc w:val="center"/>
              <w:textAlignment w:val="center"/>
              <w:rPr>
                <w:rFonts w:cs="Times New Roman"/>
                <w:snapToGrid w:val="0"/>
                <w:color w:val="auto"/>
                <w:highlight w:val="none"/>
              </w:rPr>
            </w:pPr>
            <w:r>
              <w:rPr>
                <w:rFonts w:cs="Times New Roman"/>
                <w:snapToGrid w:val="0"/>
                <w:color w:val="auto"/>
                <w:kern w:val="0"/>
                <w:sz w:val="21"/>
                <w:szCs w:val="21"/>
                <w:highlight w:val="none"/>
                <w:lang w:bidi="ar"/>
              </w:rPr>
              <w:t>内脏</w:t>
            </w:r>
          </w:p>
        </w:tc>
        <w:tc>
          <w:tcPr>
            <w:tcW w:w="2443" w:type="pct"/>
            <w:vAlign w:val="center"/>
          </w:tcPr>
          <w:p w14:paraId="59DF2C9C">
            <w:pPr>
              <w:widowControl/>
              <w:spacing w:line="360" w:lineRule="exact"/>
              <w:ind w:firstLine="0" w:firstLineChars="0"/>
              <w:jc w:val="center"/>
              <w:textAlignment w:val="center"/>
              <w:rPr>
                <w:rFonts w:hint="default" w:ascii="Times New Roman" w:hAnsi="Times New Roman" w:eastAsia="宋体" w:cs="Times New Roman"/>
                <w:snapToGrid w:val="0"/>
                <w:color w:val="auto"/>
                <w:kern w:val="0"/>
                <w:sz w:val="21"/>
                <w:szCs w:val="21"/>
                <w:highlight w:val="none"/>
                <w:lang w:val="en-US" w:eastAsia="zh-CN" w:bidi="ar"/>
              </w:rPr>
            </w:pPr>
            <w:r>
              <w:rPr>
                <w:rFonts w:hint="eastAsia" w:cs="Times New Roman"/>
                <w:snapToGrid w:val="0"/>
                <w:color w:val="auto"/>
                <w:kern w:val="0"/>
                <w:sz w:val="21"/>
                <w:szCs w:val="21"/>
                <w:highlight w:val="none"/>
                <w:lang w:val="en-US" w:eastAsia="zh-CN" w:bidi="ar"/>
              </w:rPr>
              <w:t>2700</w:t>
            </w:r>
          </w:p>
        </w:tc>
      </w:tr>
      <w:tr w14:paraId="21CCDC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642" w:type="pct"/>
            <w:vAlign w:val="center"/>
          </w:tcPr>
          <w:p w14:paraId="13264F3A">
            <w:pPr>
              <w:pStyle w:val="73"/>
              <w:rPr>
                <w:rFonts w:cs="Times New Roman"/>
                <w:snapToGrid w:val="0"/>
                <w:color w:val="auto"/>
                <w:highlight w:val="none"/>
              </w:rPr>
            </w:pPr>
            <w:r>
              <w:rPr>
                <w:rFonts w:cs="Times New Roman"/>
                <w:snapToGrid w:val="0"/>
                <w:color w:val="auto"/>
                <w:highlight w:val="none"/>
              </w:rPr>
              <w:t>3</w:t>
            </w:r>
          </w:p>
        </w:tc>
        <w:tc>
          <w:tcPr>
            <w:tcW w:w="1913" w:type="pct"/>
            <w:vAlign w:val="center"/>
          </w:tcPr>
          <w:p w14:paraId="43D11433">
            <w:pPr>
              <w:widowControl/>
              <w:spacing w:line="360" w:lineRule="exact"/>
              <w:ind w:firstLine="0" w:firstLineChars="0"/>
              <w:jc w:val="center"/>
              <w:textAlignment w:val="center"/>
              <w:rPr>
                <w:rFonts w:cs="Times New Roman"/>
                <w:snapToGrid w:val="0"/>
                <w:color w:val="auto"/>
                <w:highlight w:val="none"/>
              </w:rPr>
            </w:pPr>
            <w:r>
              <w:rPr>
                <w:rFonts w:cs="Times New Roman"/>
                <w:snapToGrid w:val="0"/>
                <w:color w:val="auto"/>
                <w:kern w:val="0"/>
                <w:sz w:val="21"/>
                <w:szCs w:val="21"/>
                <w:highlight w:val="none"/>
                <w:lang w:bidi="ar"/>
              </w:rPr>
              <w:t>头、蹄</w:t>
            </w:r>
          </w:p>
        </w:tc>
        <w:tc>
          <w:tcPr>
            <w:tcW w:w="2443" w:type="pct"/>
            <w:vAlign w:val="center"/>
          </w:tcPr>
          <w:p w14:paraId="79B630E7">
            <w:pPr>
              <w:widowControl/>
              <w:spacing w:line="360" w:lineRule="exact"/>
              <w:ind w:firstLine="0" w:firstLineChars="0"/>
              <w:jc w:val="center"/>
              <w:textAlignment w:val="center"/>
              <w:rPr>
                <w:rFonts w:hint="default" w:ascii="Times New Roman" w:hAnsi="Times New Roman" w:eastAsia="宋体" w:cs="Times New Roman"/>
                <w:snapToGrid w:val="0"/>
                <w:color w:val="auto"/>
                <w:kern w:val="0"/>
                <w:sz w:val="21"/>
                <w:szCs w:val="21"/>
                <w:highlight w:val="none"/>
                <w:lang w:val="en-US" w:eastAsia="zh-CN" w:bidi="ar"/>
              </w:rPr>
            </w:pPr>
            <w:r>
              <w:rPr>
                <w:rFonts w:hint="eastAsia" w:cs="Times New Roman"/>
                <w:snapToGrid w:val="0"/>
                <w:color w:val="auto"/>
                <w:kern w:val="0"/>
                <w:sz w:val="21"/>
                <w:szCs w:val="21"/>
                <w:highlight w:val="none"/>
                <w:lang w:val="en-US" w:eastAsia="zh-CN" w:bidi="ar"/>
              </w:rPr>
              <w:t>1350</w:t>
            </w:r>
          </w:p>
        </w:tc>
      </w:tr>
      <w:tr w14:paraId="6B8F1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642" w:type="pct"/>
            <w:vAlign w:val="center"/>
          </w:tcPr>
          <w:p w14:paraId="13796B21">
            <w:pPr>
              <w:pStyle w:val="73"/>
              <w:rPr>
                <w:rFonts w:cs="Times New Roman"/>
                <w:snapToGrid w:val="0"/>
                <w:color w:val="auto"/>
                <w:highlight w:val="none"/>
              </w:rPr>
            </w:pPr>
            <w:r>
              <w:rPr>
                <w:rFonts w:cs="Times New Roman"/>
                <w:snapToGrid w:val="0"/>
                <w:color w:val="auto"/>
                <w:highlight w:val="none"/>
              </w:rPr>
              <w:t>4</w:t>
            </w:r>
          </w:p>
        </w:tc>
        <w:tc>
          <w:tcPr>
            <w:tcW w:w="1913" w:type="pct"/>
            <w:vAlign w:val="center"/>
          </w:tcPr>
          <w:p w14:paraId="7A847B25">
            <w:pPr>
              <w:widowControl/>
              <w:spacing w:line="360" w:lineRule="exact"/>
              <w:ind w:firstLine="0" w:firstLineChars="0"/>
              <w:jc w:val="center"/>
              <w:textAlignment w:val="center"/>
              <w:rPr>
                <w:rFonts w:cs="Times New Roman"/>
                <w:snapToGrid w:val="0"/>
                <w:color w:val="auto"/>
                <w:highlight w:val="none"/>
              </w:rPr>
            </w:pPr>
            <w:r>
              <w:rPr>
                <w:rFonts w:cs="Times New Roman"/>
                <w:snapToGrid w:val="0"/>
                <w:color w:val="auto"/>
                <w:kern w:val="0"/>
                <w:sz w:val="21"/>
                <w:szCs w:val="21"/>
                <w:highlight w:val="none"/>
                <w:lang w:bidi="ar"/>
              </w:rPr>
              <w:t>牛、羊血</w:t>
            </w:r>
          </w:p>
        </w:tc>
        <w:tc>
          <w:tcPr>
            <w:tcW w:w="2443" w:type="pct"/>
            <w:vAlign w:val="center"/>
          </w:tcPr>
          <w:p w14:paraId="78726F09">
            <w:pPr>
              <w:widowControl/>
              <w:spacing w:line="360" w:lineRule="exact"/>
              <w:ind w:firstLine="0" w:firstLineChars="0"/>
              <w:jc w:val="center"/>
              <w:textAlignment w:val="center"/>
              <w:rPr>
                <w:rFonts w:hint="default" w:ascii="Times New Roman" w:hAnsi="Times New Roman" w:eastAsia="宋体" w:cs="Times New Roman"/>
                <w:snapToGrid w:val="0"/>
                <w:color w:val="auto"/>
                <w:kern w:val="0"/>
                <w:sz w:val="21"/>
                <w:szCs w:val="21"/>
                <w:highlight w:val="none"/>
                <w:lang w:val="en-US" w:eastAsia="zh-CN" w:bidi="ar"/>
              </w:rPr>
            </w:pPr>
            <w:r>
              <w:rPr>
                <w:rFonts w:hint="eastAsia" w:cs="Times New Roman"/>
                <w:snapToGrid w:val="0"/>
                <w:color w:val="auto"/>
                <w:kern w:val="0"/>
                <w:sz w:val="21"/>
                <w:szCs w:val="21"/>
                <w:highlight w:val="none"/>
                <w:lang w:val="en-US" w:eastAsia="zh-CN" w:bidi="ar"/>
              </w:rPr>
              <w:t>1025</w:t>
            </w:r>
          </w:p>
        </w:tc>
      </w:tr>
      <w:tr w14:paraId="07B00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642" w:type="pct"/>
            <w:vAlign w:val="center"/>
          </w:tcPr>
          <w:p w14:paraId="65FAB6A4">
            <w:pPr>
              <w:pStyle w:val="73"/>
              <w:rPr>
                <w:rFonts w:cs="Times New Roman"/>
                <w:snapToGrid w:val="0"/>
                <w:color w:val="auto"/>
                <w:highlight w:val="none"/>
                <w:lang w:val="en-US"/>
              </w:rPr>
            </w:pPr>
            <w:r>
              <w:rPr>
                <w:rFonts w:cs="Times New Roman"/>
                <w:snapToGrid w:val="0"/>
                <w:color w:val="auto"/>
                <w:highlight w:val="none"/>
                <w:lang w:val="en-US"/>
              </w:rPr>
              <w:t>5</w:t>
            </w:r>
          </w:p>
        </w:tc>
        <w:tc>
          <w:tcPr>
            <w:tcW w:w="1913" w:type="pct"/>
            <w:vAlign w:val="center"/>
          </w:tcPr>
          <w:p w14:paraId="1E2AFF75">
            <w:pPr>
              <w:widowControl/>
              <w:spacing w:line="360" w:lineRule="exact"/>
              <w:ind w:firstLine="0" w:firstLineChars="0"/>
              <w:jc w:val="center"/>
              <w:textAlignment w:val="center"/>
              <w:rPr>
                <w:rFonts w:cs="Times New Roman"/>
                <w:snapToGrid w:val="0"/>
                <w:color w:val="auto"/>
                <w:highlight w:val="none"/>
              </w:rPr>
            </w:pPr>
            <w:r>
              <w:rPr>
                <w:rFonts w:cs="Times New Roman"/>
                <w:snapToGrid w:val="0"/>
                <w:color w:val="auto"/>
                <w:kern w:val="0"/>
                <w:sz w:val="21"/>
                <w:szCs w:val="21"/>
                <w:highlight w:val="none"/>
                <w:lang w:bidi="ar"/>
              </w:rPr>
              <w:t>牛、羊皮</w:t>
            </w:r>
          </w:p>
        </w:tc>
        <w:tc>
          <w:tcPr>
            <w:tcW w:w="2443" w:type="pct"/>
            <w:vAlign w:val="center"/>
          </w:tcPr>
          <w:p w14:paraId="370F1EC8">
            <w:pPr>
              <w:widowControl/>
              <w:spacing w:line="360" w:lineRule="exact"/>
              <w:ind w:firstLine="0" w:firstLineChars="0"/>
              <w:jc w:val="center"/>
              <w:textAlignment w:val="center"/>
              <w:rPr>
                <w:rFonts w:hint="default" w:ascii="Times New Roman" w:hAnsi="Times New Roman" w:eastAsia="宋体" w:cs="Times New Roman"/>
                <w:snapToGrid w:val="0"/>
                <w:color w:val="auto"/>
                <w:kern w:val="0"/>
                <w:sz w:val="21"/>
                <w:szCs w:val="21"/>
                <w:highlight w:val="none"/>
                <w:lang w:val="en-US" w:eastAsia="zh-CN" w:bidi="ar"/>
              </w:rPr>
            </w:pPr>
            <w:r>
              <w:rPr>
                <w:rFonts w:hint="eastAsia" w:cs="Times New Roman"/>
                <w:snapToGrid w:val="0"/>
                <w:color w:val="auto"/>
                <w:kern w:val="0"/>
                <w:sz w:val="21"/>
                <w:szCs w:val="21"/>
                <w:highlight w:val="none"/>
                <w:lang w:val="en-US" w:eastAsia="zh-CN" w:bidi="ar"/>
              </w:rPr>
              <w:t>1050</w:t>
            </w:r>
          </w:p>
        </w:tc>
      </w:tr>
      <w:tr w14:paraId="5BEAC3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642" w:type="pct"/>
            <w:vAlign w:val="center"/>
          </w:tcPr>
          <w:p w14:paraId="6D9C0E51">
            <w:pPr>
              <w:pStyle w:val="73"/>
              <w:rPr>
                <w:rFonts w:hint="eastAsia" w:eastAsia="宋体" w:cs="Times New Roman"/>
                <w:snapToGrid w:val="0"/>
                <w:color w:val="auto"/>
                <w:highlight w:val="none"/>
                <w:lang w:val="en-US" w:eastAsia="zh-CN"/>
              </w:rPr>
            </w:pPr>
            <w:bookmarkStart w:id="108" w:name="_Toc18469"/>
            <w:r>
              <w:rPr>
                <w:rFonts w:hint="eastAsia" w:cs="Times New Roman"/>
                <w:snapToGrid w:val="0"/>
                <w:color w:val="auto"/>
                <w:highlight w:val="none"/>
                <w:lang w:val="en-US" w:eastAsia="zh-CN"/>
              </w:rPr>
              <w:t>6</w:t>
            </w:r>
          </w:p>
        </w:tc>
        <w:tc>
          <w:tcPr>
            <w:tcW w:w="1913" w:type="pct"/>
            <w:vAlign w:val="center"/>
          </w:tcPr>
          <w:p w14:paraId="4362D9E9">
            <w:pPr>
              <w:widowControl/>
              <w:spacing w:line="360" w:lineRule="exact"/>
              <w:ind w:firstLine="0" w:firstLineChars="0"/>
              <w:jc w:val="center"/>
              <w:textAlignment w:val="center"/>
              <w:rPr>
                <w:rFonts w:hint="default" w:eastAsia="宋体" w:cs="Times New Roman"/>
                <w:snapToGrid w:val="0"/>
                <w:color w:val="auto"/>
                <w:kern w:val="0"/>
                <w:sz w:val="21"/>
                <w:szCs w:val="21"/>
                <w:highlight w:val="none"/>
                <w:lang w:val="en-US" w:eastAsia="zh-CN" w:bidi="ar"/>
              </w:rPr>
            </w:pPr>
            <w:r>
              <w:rPr>
                <w:rFonts w:hint="eastAsia" w:cs="Times New Roman"/>
                <w:snapToGrid w:val="0"/>
                <w:color w:val="auto"/>
                <w:kern w:val="0"/>
                <w:sz w:val="21"/>
                <w:szCs w:val="21"/>
                <w:highlight w:val="none"/>
                <w:lang w:val="en-US" w:eastAsia="zh-CN" w:bidi="ar"/>
              </w:rPr>
              <w:t>骨骼</w:t>
            </w:r>
          </w:p>
        </w:tc>
        <w:tc>
          <w:tcPr>
            <w:tcW w:w="2443" w:type="pct"/>
            <w:vAlign w:val="center"/>
          </w:tcPr>
          <w:p w14:paraId="015A359A">
            <w:pPr>
              <w:widowControl/>
              <w:spacing w:line="360" w:lineRule="exact"/>
              <w:ind w:firstLine="0" w:firstLineChars="0"/>
              <w:jc w:val="center"/>
              <w:textAlignment w:val="center"/>
              <w:rPr>
                <w:rFonts w:hint="default" w:cs="Times New Roman"/>
                <w:snapToGrid w:val="0"/>
                <w:color w:val="auto"/>
                <w:kern w:val="0"/>
                <w:sz w:val="21"/>
                <w:szCs w:val="21"/>
                <w:highlight w:val="none"/>
                <w:lang w:val="en-US" w:eastAsia="zh-CN" w:bidi="ar"/>
              </w:rPr>
            </w:pPr>
            <w:r>
              <w:rPr>
                <w:rFonts w:hint="eastAsia" w:cs="Times New Roman"/>
                <w:snapToGrid w:val="0"/>
                <w:color w:val="auto"/>
                <w:kern w:val="0"/>
                <w:sz w:val="21"/>
                <w:szCs w:val="21"/>
                <w:highlight w:val="none"/>
                <w:lang w:val="en-US" w:eastAsia="zh-CN" w:bidi="ar"/>
              </w:rPr>
              <w:t>2225</w:t>
            </w:r>
          </w:p>
        </w:tc>
      </w:tr>
      <w:tr w14:paraId="19C1BF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556" w:type="pct"/>
            <w:gridSpan w:val="2"/>
            <w:vAlign w:val="center"/>
          </w:tcPr>
          <w:p w14:paraId="648FA6A4">
            <w:pPr>
              <w:widowControl/>
              <w:spacing w:line="360" w:lineRule="exact"/>
              <w:ind w:firstLine="0" w:firstLineChars="0"/>
              <w:jc w:val="center"/>
              <w:textAlignment w:val="center"/>
              <w:rPr>
                <w:rFonts w:hint="default" w:cs="Times New Roman"/>
                <w:snapToGrid w:val="0"/>
                <w:color w:val="auto"/>
                <w:kern w:val="0"/>
                <w:sz w:val="21"/>
                <w:szCs w:val="21"/>
                <w:highlight w:val="none"/>
                <w:lang w:val="en-US" w:eastAsia="zh-CN" w:bidi="ar"/>
              </w:rPr>
            </w:pPr>
            <w:r>
              <w:rPr>
                <w:rFonts w:hint="eastAsia" w:cs="Times New Roman"/>
                <w:snapToGrid w:val="0"/>
                <w:color w:val="auto"/>
                <w:kern w:val="0"/>
                <w:sz w:val="21"/>
                <w:szCs w:val="21"/>
                <w:highlight w:val="none"/>
                <w:lang w:val="en-US" w:eastAsia="zh-CN" w:bidi="ar"/>
              </w:rPr>
              <w:t>合计</w:t>
            </w:r>
          </w:p>
        </w:tc>
        <w:tc>
          <w:tcPr>
            <w:tcW w:w="2443" w:type="pct"/>
            <w:vAlign w:val="center"/>
          </w:tcPr>
          <w:p w14:paraId="6629F6E1">
            <w:pPr>
              <w:widowControl/>
              <w:spacing w:line="360" w:lineRule="exact"/>
              <w:ind w:firstLine="0" w:firstLineChars="0"/>
              <w:jc w:val="center"/>
              <w:textAlignment w:val="center"/>
              <w:rPr>
                <w:rFonts w:hint="eastAsia" w:cs="Times New Roman"/>
                <w:snapToGrid w:val="0"/>
                <w:color w:val="auto"/>
                <w:kern w:val="0"/>
                <w:sz w:val="21"/>
                <w:szCs w:val="21"/>
                <w:highlight w:val="none"/>
                <w:lang w:val="en-US" w:eastAsia="zh-CN" w:bidi="ar"/>
              </w:rPr>
            </w:pPr>
            <w:r>
              <w:rPr>
                <w:rFonts w:hint="eastAsia" w:cs="Times New Roman"/>
                <w:snapToGrid w:val="0"/>
                <w:color w:val="auto"/>
                <w:kern w:val="0"/>
                <w:sz w:val="21"/>
                <w:szCs w:val="21"/>
                <w:highlight w:val="none"/>
                <w:lang w:val="en-US" w:eastAsia="zh-CN" w:bidi="ar"/>
              </w:rPr>
              <w:fldChar w:fldCharType="begin"/>
            </w:r>
            <w:r>
              <w:rPr>
                <w:rFonts w:hint="eastAsia" w:cs="Times New Roman"/>
                <w:snapToGrid w:val="0"/>
                <w:color w:val="auto"/>
                <w:kern w:val="0"/>
                <w:sz w:val="21"/>
                <w:szCs w:val="21"/>
                <w:highlight w:val="none"/>
                <w:lang w:val="en-US" w:eastAsia="zh-CN" w:bidi="ar"/>
              </w:rPr>
              <w:instrText xml:space="preserve"> = sum(C2:C7) \* MERGEFORMAT </w:instrText>
            </w:r>
            <w:r>
              <w:rPr>
                <w:rFonts w:hint="eastAsia" w:cs="Times New Roman"/>
                <w:snapToGrid w:val="0"/>
                <w:color w:val="auto"/>
                <w:kern w:val="0"/>
                <w:sz w:val="21"/>
                <w:szCs w:val="21"/>
                <w:highlight w:val="none"/>
                <w:lang w:val="en-US" w:eastAsia="zh-CN" w:bidi="ar"/>
              </w:rPr>
              <w:fldChar w:fldCharType="separate"/>
            </w:r>
            <w:r>
              <w:rPr>
                <w:rFonts w:hint="eastAsia" w:cs="Times New Roman"/>
                <w:snapToGrid w:val="0"/>
                <w:color w:val="auto"/>
                <w:kern w:val="0"/>
                <w:sz w:val="21"/>
                <w:szCs w:val="21"/>
                <w:highlight w:val="none"/>
                <w:lang w:val="en-US" w:eastAsia="zh-CN" w:bidi="ar"/>
              </w:rPr>
              <w:t>21100</w:t>
            </w:r>
            <w:r>
              <w:rPr>
                <w:rFonts w:hint="eastAsia" w:cs="Times New Roman"/>
                <w:snapToGrid w:val="0"/>
                <w:color w:val="auto"/>
                <w:kern w:val="0"/>
                <w:sz w:val="21"/>
                <w:szCs w:val="21"/>
                <w:highlight w:val="none"/>
                <w:lang w:val="en-US" w:eastAsia="zh-CN" w:bidi="ar"/>
              </w:rPr>
              <w:fldChar w:fldCharType="end"/>
            </w:r>
          </w:p>
        </w:tc>
      </w:tr>
    </w:tbl>
    <w:p w14:paraId="115F9A79">
      <w:pPr>
        <w:keepNext/>
        <w:keepLines/>
        <w:adjustRightInd/>
        <w:snapToGrid/>
        <w:spacing w:line="500" w:lineRule="exact"/>
        <w:ind w:firstLine="0" w:firstLineChars="0"/>
        <w:jc w:val="left"/>
        <w:outlineLvl w:val="2"/>
        <w:rPr>
          <w:rFonts w:eastAsia="黑体" w:cs="Times New Roman"/>
          <w:bCs/>
          <w:snapToGrid w:val="0"/>
          <w:color w:val="auto"/>
          <w:kern w:val="0"/>
          <w:szCs w:val="32"/>
          <w:highlight w:val="none"/>
        </w:rPr>
      </w:pPr>
      <w:r>
        <w:rPr>
          <w:rFonts w:eastAsia="黑体" w:cs="Times New Roman"/>
          <w:bCs/>
          <w:snapToGrid w:val="0"/>
          <w:color w:val="auto"/>
          <w:kern w:val="0"/>
          <w:szCs w:val="32"/>
          <w:highlight w:val="none"/>
        </w:rPr>
        <w:t>3.1.6生产班制及劳动定员</w:t>
      </w:r>
      <w:bookmarkEnd w:id="108"/>
    </w:p>
    <w:p w14:paraId="281D7879">
      <w:pPr>
        <w:adjustRightInd/>
        <w:snapToGrid/>
        <w:spacing w:line="500" w:lineRule="exact"/>
        <w:rPr>
          <w:rFonts w:hint="default" w:eastAsia="宋体" w:cs="Times New Roman"/>
          <w:snapToGrid w:val="0"/>
          <w:color w:val="auto"/>
          <w:kern w:val="0"/>
          <w:highlight w:val="none"/>
          <w:lang w:val="en-US" w:eastAsia="zh-CN"/>
        </w:rPr>
      </w:pPr>
      <w:r>
        <w:rPr>
          <w:rFonts w:cs="Times New Roman"/>
          <w:snapToGrid w:val="0"/>
          <w:color w:val="auto"/>
          <w:kern w:val="0"/>
          <w:highlight w:val="none"/>
        </w:rPr>
        <w:t>本项目劳动定员</w:t>
      </w:r>
      <w:r>
        <w:rPr>
          <w:rFonts w:hint="eastAsia" w:cs="Times New Roman"/>
          <w:snapToGrid w:val="0"/>
          <w:color w:val="auto"/>
          <w:kern w:val="0"/>
          <w:highlight w:val="none"/>
          <w:lang w:val="en-US" w:eastAsia="zh-CN"/>
        </w:rPr>
        <w:t>30</w:t>
      </w:r>
      <w:r>
        <w:rPr>
          <w:rFonts w:cs="Times New Roman"/>
          <w:snapToGrid w:val="0"/>
          <w:color w:val="auto"/>
          <w:kern w:val="0"/>
          <w:highlight w:val="none"/>
        </w:rPr>
        <w:t>人，</w:t>
      </w:r>
      <w:r>
        <w:rPr>
          <w:rFonts w:hint="eastAsia" w:cs="Times New Roman"/>
          <w:snapToGrid w:val="0"/>
          <w:color w:val="auto"/>
          <w:kern w:val="0"/>
          <w:highlight w:val="none"/>
          <w:lang w:val="en-US" w:eastAsia="zh-CN"/>
        </w:rPr>
        <w:t>屠宰车间一班制，</w:t>
      </w:r>
      <w:r>
        <w:rPr>
          <w:rFonts w:cs="Times New Roman"/>
          <w:snapToGrid w:val="0"/>
          <w:color w:val="auto"/>
          <w:kern w:val="0"/>
          <w:highlight w:val="none"/>
        </w:rPr>
        <w:t>每班8小时，年工作3</w:t>
      </w:r>
      <w:r>
        <w:rPr>
          <w:rFonts w:hint="eastAsia" w:cs="Times New Roman"/>
          <w:snapToGrid w:val="0"/>
          <w:color w:val="auto"/>
          <w:kern w:val="0"/>
          <w:highlight w:val="none"/>
          <w:lang w:val="en-US" w:eastAsia="zh-CN"/>
        </w:rPr>
        <w:t>0</w:t>
      </w:r>
      <w:r>
        <w:rPr>
          <w:rFonts w:cs="Times New Roman"/>
          <w:snapToGrid w:val="0"/>
          <w:color w:val="auto"/>
          <w:kern w:val="0"/>
          <w:highlight w:val="none"/>
        </w:rPr>
        <w:t>0天</w:t>
      </w:r>
      <w:r>
        <w:rPr>
          <w:rFonts w:hint="eastAsia" w:cs="Times New Roman"/>
          <w:snapToGrid w:val="0"/>
          <w:color w:val="auto"/>
          <w:kern w:val="0"/>
          <w:highlight w:val="none"/>
          <w:lang w:eastAsia="zh-CN"/>
        </w:rPr>
        <w:t>；</w:t>
      </w:r>
      <w:r>
        <w:rPr>
          <w:rFonts w:hint="eastAsia" w:cs="Times New Roman"/>
          <w:snapToGrid w:val="0"/>
          <w:color w:val="auto"/>
          <w:kern w:val="0"/>
          <w:highlight w:val="none"/>
          <w:lang w:val="en-US" w:eastAsia="zh-CN"/>
        </w:rPr>
        <w:t>待宰圈运行时间为16小时，年工作300天</w:t>
      </w:r>
      <w:r>
        <w:rPr>
          <w:rFonts w:cs="Times New Roman"/>
          <w:snapToGrid w:val="0"/>
          <w:color w:val="auto"/>
          <w:kern w:val="0"/>
          <w:highlight w:val="none"/>
        </w:rPr>
        <w:t>。</w:t>
      </w:r>
      <w:r>
        <w:rPr>
          <w:rFonts w:hint="eastAsia"/>
          <w:color w:val="auto"/>
          <w:highlight w:val="none"/>
          <w:lang w:val="en-US" w:eastAsia="zh-CN"/>
        </w:rPr>
        <w:t>不设置食堂及宿舍。</w:t>
      </w:r>
    </w:p>
    <w:p w14:paraId="071D8FBC">
      <w:pPr>
        <w:keepNext/>
        <w:keepLines/>
        <w:spacing w:line="500" w:lineRule="exact"/>
        <w:ind w:firstLine="0" w:firstLineChars="0"/>
        <w:jc w:val="left"/>
        <w:outlineLvl w:val="1"/>
        <w:rPr>
          <w:rFonts w:eastAsia="黑体" w:cs="Times New Roman"/>
          <w:bCs/>
          <w:snapToGrid w:val="0"/>
          <w:color w:val="auto"/>
          <w:kern w:val="0"/>
          <w:sz w:val="28"/>
          <w:szCs w:val="32"/>
          <w:highlight w:val="none"/>
        </w:rPr>
      </w:pPr>
      <w:bookmarkStart w:id="109" w:name="_Toc2198"/>
      <w:r>
        <w:rPr>
          <w:rFonts w:eastAsia="黑体" w:cs="Times New Roman"/>
          <w:bCs/>
          <w:snapToGrid w:val="0"/>
          <w:color w:val="auto"/>
          <w:kern w:val="0"/>
          <w:sz w:val="28"/>
          <w:szCs w:val="32"/>
          <w:highlight w:val="none"/>
        </w:rPr>
        <w:t>3.2公用及辅助工程</w:t>
      </w:r>
      <w:bookmarkEnd w:id="109"/>
    </w:p>
    <w:p w14:paraId="289D29A6">
      <w:pPr>
        <w:keepNext/>
        <w:keepLines/>
        <w:adjustRightInd/>
        <w:snapToGrid/>
        <w:spacing w:line="500" w:lineRule="exact"/>
        <w:ind w:firstLine="0" w:firstLineChars="0"/>
        <w:jc w:val="left"/>
        <w:outlineLvl w:val="2"/>
        <w:rPr>
          <w:rFonts w:eastAsia="黑体" w:cs="Times New Roman"/>
          <w:bCs/>
          <w:snapToGrid w:val="0"/>
          <w:color w:val="auto"/>
          <w:kern w:val="0"/>
          <w:szCs w:val="32"/>
          <w:highlight w:val="none"/>
        </w:rPr>
      </w:pPr>
      <w:bookmarkStart w:id="110" w:name="_Toc19128"/>
      <w:r>
        <w:rPr>
          <w:rFonts w:eastAsia="黑体" w:cs="Times New Roman"/>
          <w:bCs/>
          <w:snapToGrid w:val="0"/>
          <w:color w:val="auto"/>
          <w:kern w:val="0"/>
          <w:szCs w:val="32"/>
          <w:highlight w:val="none"/>
        </w:rPr>
        <w:t>3.2.1给水工程</w:t>
      </w:r>
      <w:bookmarkEnd w:id="110"/>
    </w:p>
    <w:p w14:paraId="671B0375">
      <w:pPr>
        <w:spacing w:line="500" w:lineRule="exact"/>
        <w:rPr>
          <w:rFonts w:cs="Times New Roman"/>
          <w:snapToGrid w:val="0"/>
          <w:color w:val="auto"/>
          <w:kern w:val="0"/>
          <w:highlight w:val="none"/>
        </w:rPr>
      </w:pPr>
      <w:bookmarkStart w:id="111" w:name="_Hlk480319058"/>
      <w:r>
        <w:rPr>
          <w:rFonts w:cs="Times New Roman"/>
          <w:snapToGrid w:val="0"/>
          <w:color w:val="auto"/>
          <w:kern w:val="0"/>
          <w:highlight w:val="none"/>
        </w:rPr>
        <w:t>本项目运营期用水由市政供水，用于生产及员工生活。</w:t>
      </w:r>
    </w:p>
    <w:p w14:paraId="56575B51">
      <w:pPr>
        <w:spacing w:line="500" w:lineRule="exact"/>
        <w:rPr>
          <w:rFonts w:cs="Times New Roman"/>
          <w:snapToGrid w:val="0"/>
          <w:color w:val="auto"/>
          <w:kern w:val="0"/>
          <w:highlight w:val="none"/>
        </w:rPr>
      </w:pPr>
      <w:r>
        <w:rPr>
          <w:rFonts w:cs="Times New Roman"/>
          <w:snapToGrid w:val="0"/>
          <w:color w:val="auto"/>
          <w:kern w:val="0"/>
          <w:highlight w:val="none"/>
        </w:rPr>
        <w:t>（1）生活用水</w:t>
      </w:r>
    </w:p>
    <w:p w14:paraId="1C97A8F2">
      <w:pPr>
        <w:spacing w:line="500" w:lineRule="exact"/>
        <w:rPr>
          <w:rFonts w:cs="Times New Roman"/>
          <w:snapToGrid w:val="0"/>
          <w:color w:val="auto"/>
          <w:kern w:val="0"/>
          <w:highlight w:val="none"/>
        </w:rPr>
      </w:pPr>
      <w:r>
        <w:rPr>
          <w:rFonts w:cs="Times New Roman"/>
          <w:snapToGrid w:val="0"/>
          <w:color w:val="auto"/>
          <w:kern w:val="0"/>
          <w:highlight w:val="none"/>
        </w:rPr>
        <w:t>本项目职工人数为</w:t>
      </w:r>
      <w:r>
        <w:rPr>
          <w:rFonts w:hint="eastAsia" w:cs="Times New Roman"/>
          <w:snapToGrid w:val="0"/>
          <w:color w:val="auto"/>
          <w:kern w:val="0"/>
          <w:highlight w:val="none"/>
          <w:lang w:val="en-US" w:eastAsia="zh-CN"/>
        </w:rPr>
        <w:t>30</w:t>
      </w:r>
      <w:r>
        <w:rPr>
          <w:rFonts w:cs="Times New Roman"/>
          <w:snapToGrid w:val="0"/>
          <w:color w:val="auto"/>
          <w:kern w:val="0"/>
          <w:highlight w:val="none"/>
        </w:rPr>
        <w:t>人，年工作3</w:t>
      </w:r>
      <w:r>
        <w:rPr>
          <w:rFonts w:hint="eastAsia" w:cs="Times New Roman"/>
          <w:snapToGrid w:val="0"/>
          <w:color w:val="auto"/>
          <w:kern w:val="0"/>
          <w:highlight w:val="none"/>
          <w:lang w:val="en-US" w:eastAsia="zh-CN"/>
        </w:rPr>
        <w:t>0</w:t>
      </w:r>
      <w:r>
        <w:rPr>
          <w:rFonts w:cs="Times New Roman"/>
          <w:snapToGrid w:val="0"/>
          <w:color w:val="auto"/>
          <w:kern w:val="0"/>
          <w:highlight w:val="none"/>
        </w:rPr>
        <w:t>0d，</w:t>
      </w:r>
      <w:r>
        <w:rPr>
          <w:rFonts w:cs="Times New Roman"/>
          <w:color w:val="auto"/>
          <w:highlight w:val="none"/>
        </w:rPr>
        <w:t>根据黑龙江省地方标准《用水定额》（DB23/T727-2021），生活用水以80L/d人计</w:t>
      </w:r>
      <w:r>
        <w:rPr>
          <w:rFonts w:cs="Times New Roman"/>
          <w:snapToGrid w:val="0"/>
          <w:color w:val="auto"/>
          <w:kern w:val="0"/>
          <w:highlight w:val="none"/>
        </w:rPr>
        <w:t>，则生活用水量为</w:t>
      </w:r>
      <w:r>
        <w:rPr>
          <w:rFonts w:hint="eastAsia" w:cs="Times New Roman"/>
          <w:snapToGrid w:val="0"/>
          <w:color w:val="auto"/>
          <w:kern w:val="0"/>
          <w:highlight w:val="none"/>
          <w:lang w:val="en-US" w:eastAsia="zh-CN"/>
        </w:rPr>
        <w:t>2.4</w:t>
      </w:r>
      <w:r>
        <w:rPr>
          <w:rFonts w:cs="Times New Roman"/>
          <w:snapToGrid w:val="0"/>
          <w:color w:val="auto"/>
          <w:kern w:val="0"/>
          <w:highlight w:val="none"/>
        </w:rPr>
        <w:t>m</w:t>
      </w:r>
      <w:r>
        <w:rPr>
          <w:rFonts w:cs="Times New Roman"/>
          <w:snapToGrid w:val="0"/>
          <w:color w:val="auto"/>
          <w:kern w:val="0"/>
          <w:highlight w:val="none"/>
          <w:vertAlign w:val="superscript"/>
        </w:rPr>
        <w:t>3</w:t>
      </w:r>
      <w:r>
        <w:rPr>
          <w:rFonts w:cs="Times New Roman"/>
          <w:snapToGrid w:val="0"/>
          <w:color w:val="auto"/>
          <w:kern w:val="0"/>
          <w:highlight w:val="none"/>
        </w:rPr>
        <w:t>/d，</w:t>
      </w:r>
      <w:r>
        <w:rPr>
          <w:rFonts w:hint="eastAsia" w:cs="Times New Roman"/>
          <w:snapToGrid w:val="0"/>
          <w:color w:val="auto"/>
          <w:kern w:val="0"/>
          <w:highlight w:val="none"/>
          <w:lang w:val="en-US" w:eastAsia="zh-CN"/>
        </w:rPr>
        <w:t>720</w:t>
      </w:r>
      <w:r>
        <w:rPr>
          <w:rFonts w:cs="Times New Roman"/>
          <w:snapToGrid w:val="0"/>
          <w:color w:val="auto"/>
          <w:kern w:val="0"/>
          <w:highlight w:val="none"/>
        </w:rPr>
        <w:t>m</w:t>
      </w:r>
      <w:r>
        <w:rPr>
          <w:rFonts w:cs="Times New Roman"/>
          <w:snapToGrid w:val="0"/>
          <w:color w:val="auto"/>
          <w:kern w:val="0"/>
          <w:highlight w:val="none"/>
          <w:vertAlign w:val="superscript"/>
        </w:rPr>
        <w:t>3</w:t>
      </w:r>
      <w:r>
        <w:rPr>
          <w:rFonts w:cs="Times New Roman"/>
          <w:snapToGrid w:val="0"/>
          <w:color w:val="auto"/>
          <w:kern w:val="0"/>
          <w:highlight w:val="none"/>
        </w:rPr>
        <w:t>/a。</w:t>
      </w:r>
    </w:p>
    <w:bookmarkEnd w:id="111"/>
    <w:p w14:paraId="353D4A04">
      <w:pPr>
        <w:spacing w:line="500" w:lineRule="exact"/>
        <w:rPr>
          <w:rFonts w:cs="Times New Roman"/>
          <w:color w:val="auto"/>
          <w:highlight w:val="none"/>
        </w:rPr>
      </w:pPr>
      <w:r>
        <w:rPr>
          <w:rFonts w:cs="Times New Roman"/>
          <w:color w:val="auto"/>
          <w:highlight w:val="none"/>
        </w:rPr>
        <w:t>（2）</w:t>
      </w:r>
      <w:r>
        <w:rPr>
          <w:rFonts w:hint="eastAsia" w:cs="Times New Roman"/>
          <w:color w:val="auto"/>
          <w:highlight w:val="none"/>
          <w:lang w:val="en-US" w:eastAsia="zh-CN"/>
        </w:rPr>
        <w:t>屠宰</w:t>
      </w:r>
      <w:r>
        <w:rPr>
          <w:rFonts w:cs="Times New Roman"/>
          <w:color w:val="auto"/>
          <w:highlight w:val="none"/>
        </w:rPr>
        <w:t>用水</w:t>
      </w:r>
    </w:p>
    <w:p w14:paraId="42A70DAC">
      <w:pPr>
        <w:spacing w:line="500" w:lineRule="exact"/>
        <w:rPr>
          <w:rFonts w:ascii="Times New Roman" w:hAnsi="Times New Roman" w:eastAsia="宋体" w:cs="Times New Roman"/>
          <w:snapToGrid w:val="0"/>
          <w:color w:val="auto"/>
          <w:kern w:val="0"/>
          <w:highlight w:val="none"/>
        </w:rPr>
      </w:pPr>
      <w:r>
        <w:rPr>
          <w:rFonts w:cs="Times New Roman"/>
          <w:color w:val="auto"/>
          <w:highlight w:val="none"/>
        </w:rPr>
        <w:t>屠宰废水指屠宰过程</w:t>
      </w:r>
      <w:r>
        <w:rPr>
          <w:rFonts w:cs="Times New Roman"/>
          <w:snapToGrid w:val="0"/>
          <w:color w:val="auto"/>
          <w:kern w:val="0"/>
          <w:highlight w:val="none"/>
        </w:rPr>
        <w:t>产生的废水，包括屠宰时进行的圈栏冲洗、胴体及内脏洗涤、车间冲洗</w:t>
      </w:r>
      <w:r>
        <w:rPr>
          <w:rFonts w:hint="eastAsia" w:cs="Times New Roman"/>
          <w:snapToGrid w:val="0"/>
          <w:color w:val="auto"/>
          <w:kern w:val="0"/>
          <w:highlight w:val="none"/>
          <w:lang w:eastAsia="zh-CN"/>
        </w:rPr>
        <w:t>、</w:t>
      </w:r>
      <w:r>
        <w:rPr>
          <w:rFonts w:hint="eastAsia" w:cs="Times New Roman"/>
          <w:snapToGrid w:val="0"/>
          <w:color w:val="auto"/>
          <w:kern w:val="0"/>
          <w:highlight w:val="none"/>
          <w:lang w:val="en-US" w:eastAsia="zh-CN"/>
        </w:rPr>
        <w:t>检疫室排水</w:t>
      </w:r>
      <w:r>
        <w:rPr>
          <w:rFonts w:cs="Times New Roman"/>
          <w:snapToGrid w:val="0"/>
          <w:color w:val="auto"/>
          <w:kern w:val="0"/>
          <w:highlight w:val="none"/>
        </w:rPr>
        <w:t>等过程产生的废水，宏观上主要含有的污染物为血污、碎肉、蓄毛、未消化的食物及尿液等，微观上主要含有的污染物为COD、BOD</w:t>
      </w:r>
      <w:r>
        <w:rPr>
          <w:rFonts w:cs="Times New Roman"/>
          <w:snapToGrid w:val="0"/>
          <w:color w:val="auto"/>
          <w:kern w:val="0"/>
          <w:highlight w:val="none"/>
          <w:vertAlign w:val="subscript"/>
        </w:rPr>
        <w:t>5</w:t>
      </w:r>
      <w:r>
        <w:rPr>
          <w:rFonts w:cs="Times New Roman"/>
          <w:snapToGrid w:val="0"/>
          <w:color w:val="auto"/>
          <w:kern w:val="0"/>
          <w:highlight w:val="none"/>
        </w:rPr>
        <w:t>、SS、氨氮、</w:t>
      </w:r>
      <w:r>
        <w:rPr>
          <w:rFonts w:ascii="Times New Roman" w:hAnsi="Times New Roman" w:eastAsia="宋体" w:cs="Times New Roman"/>
          <w:snapToGrid w:val="0"/>
          <w:color w:val="auto"/>
          <w:kern w:val="0"/>
          <w:highlight w:val="none"/>
        </w:rPr>
        <w:t>动植物油、总氮及总磷。</w:t>
      </w:r>
    </w:p>
    <w:p w14:paraId="3A09D125">
      <w:pPr>
        <w:spacing w:line="500" w:lineRule="exact"/>
        <w:rPr>
          <w:rFonts w:cs="Times New Roman"/>
          <w:snapToGrid w:val="0"/>
          <w:color w:val="auto"/>
          <w:kern w:val="0"/>
          <w:highlight w:val="none"/>
        </w:rPr>
      </w:pPr>
      <w:r>
        <w:rPr>
          <w:rFonts w:ascii="Times New Roman" w:hAnsi="Times New Roman" w:eastAsia="宋体" w:cs="Times New Roman"/>
          <w:snapToGrid w:val="0"/>
          <w:color w:val="auto"/>
          <w:kern w:val="0"/>
          <w:highlight w:val="none"/>
        </w:rPr>
        <w:t>本项目</w:t>
      </w:r>
      <w:r>
        <w:rPr>
          <w:rFonts w:hint="eastAsia" w:ascii="Times New Roman" w:hAnsi="Times New Roman" w:eastAsia="宋体" w:cs="Times New Roman"/>
          <w:snapToGrid w:val="0"/>
          <w:color w:val="auto"/>
          <w:kern w:val="0"/>
          <w:highlight w:val="none"/>
        </w:rPr>
        <w:t>屠宰量为肉牛</w:t>
      </w:r>
      <w:r>
        <w:rPr>
          <w:rFonts w:hint="eastAsia" w:cs="Times New Roman"/>
          <w:snapToGrid w:val="0"/>
          <w:color w:val="auto"/>
          <w:kern w:val="0"/>
          <w:highlight w:val="none"/>
          <w:lang w:val="en-US" w:eastAsia="zh-CN"/>
        </w:rPr>
        <w:t>100</w:t>
      </w:r>
      <w:r>
        <w:rPr>
          <w:rFonts w:hint="eastAsia" w:ascii="Times New Roman" w:hAnsi="Times New Roman" w:eastAsia="宋体" w:cs="Times New Roman"/>
          <w:snapToGrid w:val="0"/>
          <w:color w:val="auto"/>
          <w:kern w:val="0"/>
          <w:highlight w:val="none"/>
        </w:rPr>
        <w:t>头/d，肉羊</w:t>
      </w:r>
      <w:r>
        <w:rPr>
          <w:rFonts w:hint="eastAsia" w:cs="Times New Roman"/>
          <w:snapToGrid w:val="0"/>
          <w:color w:val="auto"/>
          <w:kern w:val="0"/>
          <w:highlight w:val="none"/>
          <w:lang w:val="en-US" w:eastAsia="zh-CN"/>
        </w:rPr>
        <w:t>500</w:t>
      </w:r>
      <w:r>
        <w:rPr>
          <w:rFonts w:hint="eastAsia" w:ascii="Times New Roman" w:hAnsi="Times New Roman" w:eastAsia="宋体" w:cs="Times New Roman"/>
          <w:snapToGrid w:val="0"/>
          <w:color w:val="auto"/>
          <w:kern w:val="0"/>
          <w:highlight w:val="none"/>
        </w:rPr>
        <w:t>只/d</w:t>
      </w:r>
      <w:r>
        <w:rPr>
          <w:rFonts w:hint="eastAsia" w:ascii="Times New Roman" w:hAnsi="Times New Roman" w:eastAsia="宋体" w:cs="Times New Roman"/>
          <w:snapToGrid w:val="0"/>
          <w:color w:val="auto"/>
          <w:kern w:val="0"/>
          <w:highlight w:val="none"/>
          <w:lang w:eastAsia="zh-CN"/>
        </w:rPr>
        <w:t>，</w:t>
      </w:r>
      <w:r>
        <w:rPr>
          <w:rFonts w:hint="eastAsia" w:ascii="Times New Roman" w:hAnsi="Times New Roman" w:eastAsia="宋体" w:cs="Times New Roman"/>
          <w:snapToGrid w:val="0"/>
          <w:color w:val="auto"/>
          <w:kern w:val="0"/>
          <w:highlight w:val="none"/>
        </w:rPr>
        <w:t>按设计3</w:t>
      </w:r>
      <w:r>
        <w:rPr>
          <w:rFonts w:hint="eastAsia" w:cs="Times New Roman"/>
          <w:snapToGrid w:val="0"/>
          <w:color w:val="auto"/>
          <w:kern w:val="0"/>
          <w:highlight w:val="none"/>
          <w:lang w:val="en-US" w:eastAsia="zh-CN"/>
        </w:rPr>
        <w:t>0</w:t>
      </w:r>
      <w:r>
        <w:rPr>
          <w:rFonts w:ascii="Times New Roman" w:hAnsi="Times New Roman" w:eastAsia="宋体" w:cs="Times New Roman"/>
          <w:snapToGrid w:val="0"/>
          <w:color w:val="auto"/>
          <w:kern w:val="0"/>
          <w:highlight w:val="none"/>
        </w:rPr>
        <w:t>0</w:t>
      </w:r>
      <w:r>
        <w:rPr>
          <w:rFonts w:hint="eastAsia" w:ascii="Times New Roman" w:hAnsi="Times New Roman" w:eastAsia="宋体" w:cs="Times New Roman"/>
          <w:snapToGrid w:val="0"/>
          <w:color w:val="auto"/>
          <w:kern w:val="0"/>
          <w:highlight w:val="none"/>
        </w:rPr>
        <w:t>天工作计算，</w:t>
      </w:r>
      <w:r>
        <w:rPr>
          <w:rFonts w:hint="eastAsia" w:cs="Times New Roman"/>
          <w:snapToGrid w:val="0"/>
          <w:color w:val="auto"/>
          <w:kern w:val="0"/>
          <w:highlight w:val="none"/>
          <w:lang w:eastAsia="zh-CN"/>
        </w:rPr>
        <w:t>年屠宰肉牛</w:t>
      </w:r>
      <w:r>
        <w:rPr>
          <w:rFonts w:hint="eastAsia" w:cs="Times New Roman"/>
          <w:snapToGrid w:val="0"/>
          <w:color w:val="auto"/>
          <w:kern w:val="0"/>
          <w:highlight w:val="none"/>
          <w:lang w:val="en-US" w:eastAsia="zh-CN"/>
        </w:rPr>
        <w:t>30000</w:t>
      </w:r>
      <w:r>
        <w:rPr>
          <w:rFonts w:hint="eastAsia" w:cs="Times New Roman"/>
          <w:snapToGrid w:val="0"/>
          <w:color w:val="auto"/>
          <w:kern w:val="0"/>
          <w:highlight w:val="none"/>
          <w:lang w:eastAsia="zh-CN"/>
        </w:rPr>
        <w:t>头、肉羊</w:t>
      </w:r>
      <w:r>
        <w:rPr>
          <w:rFonts w:hint="eastAsia" w:cs="Times New Roman"/>
          <w:snapToGrid w:val="0"/>
          <w:color w:val="auto"/>
          <w:kern w:val="0"/>
          <w:highlight w:val="none"/>
          <w:lang w:val="en-US" w:eastAsia="zh-CN"/>
        </w:rPr>
        <w:t>150</w:t>
      </w:r>
      <w:r>
        <w:rPr>
          <w:rFonts w:hint="eastAsia" w:cs="Times New Roman"/>
          <w:snapToGrid w:val="0"/>
          <w:color w:val="auto"/>
          <w:kern w:val="0"/>
          <w:highlight w:val="none"/>
          <w:lang w:eastAsia="zh-CN"/>
        </w:rPr>
        <w:t>000只</w:t>
      </w:r>
      <w:r>
        <w:rPr>
          <w:rFonts w:hint="eastAsia" w:ascii="Times New Roman" w:hAnsi="Times New Roman" w:eastAsia="宋体" w:cs="Times New Roman"/>
          <w:snapToGrid w:val="0"/>
          <w:color w:val="auto"/>
          <w:kern w:val="0"/>
          <w:highlight w:val="none"/>
          <w:lang w:eastAsia="zh-CN"/>
        </w:rPr>
        <w:t>。</w:t>
      </w:r>
      <w:r>
        <w:rPr>
          <w:rFonts w:cs="Times New Roman"/>
          <w:snapToGrid w:val="0"/>
          <w:color w:val="auto"/>
          <w:kern w:val="0"/>
          <w:highlight w:val="none"/>
        </w:rPr>
        <w:t>根据《135屠宰及肉类加工行业系数手册》中1351牲畜屠宰行业产污系数表可知，工业废水量为0.941吨/头牛，0.27吨/只羊，则本项目屠宰过程中排水量约为</w:t>
      </w:r>
      <w:r>
        <w:rPr>
          <w:rFonts w:hint="eastAsia" w:cs="Times New Roman"/>
          <w:snapToGrid w:val="0"/>
          <w:color w:val="auto"/>
          <w:kern w:val="0"/>
          <w:highlight w:val="none"/>
          <w:lang w:val="en-US" w:eastAsia="zh-CN"/>
        </w:rPr>
        <w:t>68730</w:t>
      </w:r>
      <w:r>
        <w:rPr>
          <w:rFonts w:cs="Times New Roman"/>
          <w:snapToGrid w:val="0"/>
          <w:color w:val="auto"/>
          <w:kern w:val="0"/>
          <w:highlight w:val="none"/>
        </w:rPr>
        <w:t>t/a（</w:t>
      </w:r>
      <w:r>
        <w:rPr>
          <w:rFonts w:hint="eastAsia" w:cs="Times New Roman"/>
          <w:snapToGrid w:val="0"/>
          <w:color w:val="auto"/>
          <w:kern w:val="0"/>
          <w:highlight w:val="none"/>
          <w:lang w:val="en-US" w:eastAsia="zh-CN"/>
        </w:rPr>
        <w:t>229.1</w:t>
      </w:r>
      <w:r>
        <w:rPr>
          <w:rFonts w:cs="Times New Roman"/>
          <w:snapToGrid w:val="0"/>
          <w:color w:val="auto"/>
          <w:kern w:val="0"/>
          <w:highlight w:val="none"/>
        </w:rPr>
        <w:t>t/d），排污系数按照0.8计，则项目运营期屠宰的用水量为</w:t>
      </w:r>
      <w:r>
        <w:rPr>
          <w:rFonts w:hint="eastAsia" w:cs="Times New Roman"/>
          <w:snapToGrid w:val="0"/>
          <w:color w:val="auto"/>
          <w:kern w:val="0"/>
          <w:highlight w:val="none"/>
          <w:lang w:val="en-US" w:eastAsia="zh-CN"/>
        </w:rPr>
        <w:t>85912.5</w:t>
      </w:r>
      <w:r>
        <w:rPr>
          <w:rFonts w:cs="Times New Roman"/>
          <w:snapToGrid w:val="0"/>
          <w:color w:val="auto"/>
          <w:kern w:val="0"/>
          <w:highlight w:val="none"/>
        </w:rPr>
        <w:t>t/a（</w:t>
      </w:r>
      <w:r>
        <w:rPr>
          <w:rFonts w:hint="eastAsia" w:cs="Times New Roman"/>
          <w:snapToGrid w:val="0"/>
          <w:color w:val="auto"/>
          <w:kern w:val="0"/>
          <w:highlight w:val="none"/>
          <w:lang w:val="en-US" w:eastAsia="zh-CN"/>
        </w:rPr>
        <w:t>286.375</w:t>
      </w:r>
      <w:r>
        <w:rPr>
          <w:rFonts w:cs="Times New Roman"/>
          <w:snapToGrid w:val="0"/>
          <w:color w:val="auto"/>
          <w:kern w:val="0"/>
          <w:highlight w:val="none"/>
        </w:rPr>
        <w:t>t/d）。</w:t>
      </w:r>
    </w:p>
    <w:p w14:paraId="03AAA1AB">
      <w:pPr>
        <w:numPr>
          <w:ilvl w:val="0"/>
          <w:numId w:val="0"/>
        </w:numPr>
        <w:spacing w:line="500" w:lineRule="exact"/>
        <w:ind w:leftChars="200"/>
        <w:rPr>
          <w:rFonts w:hint="eastAsia" w:cs="Times New Roman"/>
          <w:snapToGrid w:val="0"/>
          <w:color w:val="auto"/>
          <w:kern w:val="0"/>
          <w:highlight w:val="none"/>
          <w:lang w:val="en-US" w:eastAsia="zh-CN"/>
        </w:rPr>
      </w:pPr>
      <w:r>
        <w:rPr>
          <w:rFonts w:hint="eastAsia" w:cs="Times New Roman"/>
          <w:snapToGrid w:val="0"/>
          <w:color w:val="auto"/>
          <w:kern w:val="0"/>
          <w:highlight w:val="none"/>
          <w:lang w:val="en-US" w:eastAsia="zh-CN"/>
        </w:rPr>
        <w:t>（3）车辆冲洗用水</w:t>
      </w:r>
    </w:p>
    <w:p w14:paraId="0AC367BC">
      <w:pPr>
        <w:ind w:firstLine="480"/>
        <w:rPr>
          <w:rFonts w:hint="default"/>
          <w:color w:val="auto"/>
          <w:highlight w:val="none"/>
          <w:lang w:val="en-US" w:eastAsia="zh-CN"/>
        </w:rPr>
      </w:pPr>
      <w:r>
        <w:rPr>
          <w:rFonts w:hint="eastAsia"/>
          <w:color w:val="auto"/>
          <w:highlight w:val="none"/>
        </w:rPr>
        <w:t>运输车辆在运输过程中沾染牲畜排泄物，在完成牲畜装卸后需对车辆进行清洗，本项目日运输车辆约</w:t>
      </w:r>
      <w:r>
        <w:rPr>
          <w:rFonts w:hint="eastAsia"/>
          <w:color w:val="auto"/>
          <w:highlight w:val="none"/>
          <w:lang w:val="en-US" w:eastAsia="zh-CN"/>
        </w:rPr>
        <w:t>10</w:t>
      </w:r>
      <w:r>
        <w:rPr>
          <w:rFonts w:hint="eastAsia"/>
          <w:color w:val="auto"/>
          <w:highlight w:val="none"/>
        </w:rPr>
        <w:t>辆/d，每辆车冲洗用水量按200L/辆计，则运输车辆冲洗用水量为</w:t>
      </w:r>
      <w:r>
        <w:rPr>
          <w:rFonts w:hint="eastAsia"/>
          <w:color w:val="auto"/>
          <w:highlight w:val="none"/>
          <w:lang w:val="en-US" w:eastAsia="zh-CN"/>
        </w:rPr>
        <w:t>2</w:t>
      </w:r>
      <w:r>
        <w:rPr>
          <w:rFonts w:hint="eastAsia"/>
          <w:color w:val="auto"/>
          <w:highlight w:val="none"/>
        </w:rPr>
        <w:t>m</w:t>
      </w:r>
      <w:r>
        <w:rPr>
          <w:rFonts w:hint="eastAsia"/>
          <w:color w:val="auto"/>
          <w:highlight w:val="none"/>
          <w:vertAlign w:val="superscript"/>
        </w:rPr>
        <w:t>3</w:t>
      </w:r>
      <w:r>
        <w:rPr>
          <w:rFonts w:hint="eastAsia"/>
          <w:color w:val="auto"/>
          <w:highlight w:val="none"/>
        </w:rPr>
        <w:t>/d（</w:t>
      </w:r>
      <w:r>
        <w:rPr>
          <w:rFonts w:hint="eastAsia"/>
          <w:color w:val="auto"/>
          <w:highlight w:val="none"/>
          <w:lang w:val="en-US" w:eastAsia="zh-CN"/>
        </w:rPr>
        <w:t>600</w:t>
      </w:r>
      <w:r>
        <w:rPr>
          <w:color w:val="auto"/>
          <w:highlight w:val="none"/>
        </w:rPr>
        <w:t>m</w:t>
      </w:r>
      <w:r>
        <w:rPr>
          <w:color w:val="auto"/>
          <w:highlight w:val="none"/>
          <w:vertAlign w:val="superscript"/>
        </w:rPr>
        <w:t>3</w:t>
      </w:r>
      <w:r>
        <w:rPr>
          <w:rFonts w:hint="eastAsia"/>
          <w:color w:val="auto"/>
          <w:highlight w:val="none"/>
        </w:rPr>
        <w:t>/a）。</w:t>
      </w:r>
    </w:p>
    <w:p w14:paraId="6489783F">
      <w:pPr>
        <w:spacing w:line="500" w:lineRule="exact"/>
        <w:rPr>
          <w:rFonts w:cs="Times New Roman"/>
          <w:snapToGrid w:val="0"/>
          <w:color w:val="auto"/>
          <w:kern w:val="0"/>
          <w:highlight w:val="none"/>
        </w:rPr>
      </w:pPr>
      <w:r>
        <w:rPr>
          <w:rFonts w:cs="Times New Roman"/>
          <w:snapToGrid w:val="0"/>
          <w:color w:val="auto"/>
          <w:kern w:val="0"/>
          <w:highlight w:val="none"/>
        </w:rPr>
        <w:t>综上，本项目运行后全年总用水量约为</w:t>
      </w:r>
      <w:r>
        <w:rPr>
          <w:rFonts w:hint="eastAsia" w:cs="Times New Roman"/>
          <w:snapToGrid w:val="0"/>
          <w:color w:val="auto"/>
          <w:kern w:val="0"/>
          <w:highlight w:val="none"/>
          <w:lang w:val="en-US" w:eastAsia="zh-CN"/>
        </w:rPr>
        <w:t>290.775</w:t>
      </w:r>
      <w:r>
        <w:rPr>
          <w:rFonts w:cs="Times New Roman"/>
          <w:snapToGrid w:val="0"/>
          <w:color w:val="auto"/>
          <w:kern w:val="0"/>
          <w:highlight w:val="none"/>
        </w:rPr>
        <w:t>t/d，</w:t>
      </w:r>
      <w:r>
        <w:rPr>
          <w:rFonts w:hint="eastAsia" w:cs="Times New Roman"/>
          <w:snapToGrid w:val="0"/>
          <w:color w:val="auto"/>
          <w:kern w:val="0"/>
          <w:highlight w:val="none"/>
          <w:lang w:val="en-US" w:eastAsia="zh-CN"/>
        </w:rPr>
        <w:t>87232.5</w:t>
      </w:r>
      <w:r>
        <w:rPr>
          <w:rFonts w:cs="Times New Roman"/>
          <w:snapToGrid w:val="0"/>
          <w:color w:val="auto"/>
          <w:kern w:val="0"/>
          <w:highlight w:val="none"/>
        </w:rPr>
        <w:t>t/a。用水情况详见下表。</w:t>
      </w:r>
    </w:p>
    <w:p w14:paraId="4EBA00EA">
      <w:pPr>
        <w:spacing w:line="240" w:lineRule="auto"/>
        <w:ind w:firstLine="482"/>
        <w:jc w:val="center"/>
        <w:rPr>
          <w:rFonts w:cs="Times New Roman"/>
          <w:b/>
          <w:bCs/>
          <w:snapToGrid w:val="0"/>
          <w:color w:val="auto"/>
          <w:kern w:val="0"/>
          <w:szCs w:val="24"/>
          <w:highlight w:val="none"/>
        </w:rPr>
      </w:pPr>
      <w:r>
        <w:rPr>
          <w:rFonts w:cs="Times New Roman"/>
          <w:b/>
          <w:bCs/>
          <w:snapToGrid w:val="0"/>
          <w:color w:val="auto"/>
          <w:kern w:val="0"/>
          <w:szCs w:val="24"/>
          <w:highlight w:val="none"/>
          <w:lang w:val="zh-CN"/>
        </w:rPr>
        <w:t>表3-2-1</w:t>
      </w:r>
      <w:r>
        <w:rPr>
          <w:rFonts w:cs="Times New Roman"/>
          <w:b/>
          <w:bCs/>
          <w:snapToGrid w:val="0"/>
          <w:color w:val="auto"/>
          <w:kern w:val="0"/>
          <w:szCs w:val="24"/>
          <w:highlight w:val="none"/>
        </w:rPr>
        <w:t xml:space="preserve">  </w:t>
      </w:r>
      <w:r>
        <w:rPr>
          <w:rFonts w:cs="Times New Roman"/>
          <w:b/>
          <w:bCs/>
          <w:snapToGrid w:val="0"/>
          <w:color w:val="auto"/>
          <w:kern w:val="0"/>
          <w:szCs w:val="24"/>
          <w:highlight w:val="none"/>
          <w:lang w:val="zh-CN"/>
        </w:rPr>
        <w:t>项目用水情况一览表</w:t>
      </w:r>
    </w:p>
    <w:tbl>
      <w:tblPr>
        <w:tblStyle w:val="39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97"/>
        <w:gridCol w:w="1890"/>
        <w:gridCol w:w="1386"/>
        <w:gridCol w:w="1863"/>
        <w:gridCol w:w="1483"/>
      </w:tblGrid>
      <w:tr w14:paraId="6033DC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113" w:type="pct"/>
            <w:vAlign w:val="center"/>
          </w:tcPr>
          <w:p w14:paraId="4E1DEA7B">
            <w:pPr>
              <w:pStyle w:val="75"/>
              <w:rPr>
                <w:color w:val="auto"/>
                <w:highlight w:val="none"/>
                <w:lang w:val="zh-CN"/>
              </w:rPr>
            </w:pPr>
            <w:r>
              <w:rPr>
                <w:color w:val="auto"/>
                <w:highlight w:val="none"/>
                <w:lang w:val="zh-CN"/>
              </w:rPr>
              <w:t>项目</w:t>
            </w:r>
          </w:p>
        </w:tc>
        <w:tc>
          <w:tcPr>
            <w:tcW w:w="1109" w:type="pct"/>
            <w:vAlign w:val="center"/>
          </w:tcPr>
          <w:p w14:paraId="3DA33330">
            <w:pPr>
              <w:pStyle w:val="75"/>
              <w:rPr>
                <w:color w:val="auto"/>
                <w:highlight w:val="none"/>
                <w:lang w:val="zh-CN"/>
              </w:rPr>
            </w:pPr>
            <w:r>
              <w:rPr>
                <w:color w:val="auto"/>
                <w:highlight w:val="none"/>
                <w:lang w:val="zh-CN"/>
              </w:rPr>
              <w:t>员工生活用水</w:t>
            </w:r>
          </w:p>
        </w:tc>
        <w:tc>
          <w:tcPr>
            <w:tcW w:w="813" w:type="pct"/>
            <w:vAlign w:val="center"/>
          </w:tcPr>
          <w:p w14:paraId="6D71FA41">
            <w:pPr>
              <w:pStyle w:val="75"/>
              <w:rPr>
                <w:color w:val="auto"/>
                <w:highlight w:val="none"/>
                <w:lang w:val="zh-CN"/>
              </w:rPr>
            </w:pPr>
            <w:r>
              <w:rPr>
                <w:color w:val="auto"/>
                <w:highlight w:val="none"/>
                <w:lang w:val="zh-CN"/>
              </w:rPr>
              <w:t>屠宰用水</w:t>
            </w:r>
          </w:p>
        </w:tc>
        <w:tc>
          <w:tcPr>
            <w:tcW w:w="1093" w:type="pct"/>
            <w:vAlign w:val="center"/>
          </w:tcPr>
          <w:p w14:paraId="549E4F77">
            <w:pPr>
              <w:pStyle w:val="75"/>
              <w:rPr>
                <w:rFonts w:hint="default" w:eastAsia="宋体"/>
                <w:color w:val="auto"/>
                <w:highlight w:val="none"/>
                <w:lang w:val="en-US" w:eastAsia="zh-CN"/>
              </w:rPr>
            </w:pPr>
            <w:r>
              <w:rPr>
                <w:rFonts w:hint="eastAsia"/>
                <w:color w:val="auto"/>
                <w:highlight w:val="none"/>
                <w:lang w:val="en-US" w:eastAsia="zh-CN"/>
              </w:rPr>
              <w:t>车辆冲洗用水</w:t>
            </w:r>
          </w:p>
        </w:tc>
        <w:tc>
          <w:tcPr>
            <w:tcW w:w="870" w:type="pct"/>
            <w:vAlign w:val="center"/>
          </w:tcPr>
          <w:p w14:paraId="503012EF">
            <w:pPr>
              <w:pStyle w:val="75"/>
              <w:rPr>
                <w:color w:val="auto"/>
                <w:highlight w:val="none"/>
                <w:lang w:val="zh-CN"/>
              </w:rPr>
            </w:pPr>
            <w:r>
              <w:rPr>
                <w:color w:val="auto"/>
                <w:highlight w:val="none"/>
                <w:lang w:val="zh-CN"/>
              </w:rPr>
              <w:t>小计</w:t>
            </w:r>
          </w:p>
        </w:tc>
      </w:tr>
      <w:tr w14:paraId="6B0523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3" w:type="pct"/>
            <w:vAlign w:val="center"/>
          </w:tcPr>
          <w:p w14:paraId="2CE19161">
            <w:pPr>
              <w:pStyle w:val="75"/>
              <w:rPr>
                <w:color w:val="auto"/>
                <w:highlight w:val="none"/>
              </w:rPr>
            </w:pPr>
            <w:r>
              <w:rPr>
                <w:color w:val="auto"/>
                <w:highlight w:val="none"/>
                <w:lang w:val="zh-CN"/>
              </w:rPr>
              <w:t>日用水量</w:t>
            </w:r>
            <w:r>
              <w:rPr>
                <w:color w:val="auto"/>
                <w:highlight w:val="none"/>
              </w:rPr>
              <w:t>（t/d）</w:t>
            </w:r>
          </w:p>
        </w:tc>
        <w:tc>
          <w:tcPr>
            <w:tcW w:w="1109" w:type="pct"/>
            <w:vAlign w:val="center"/>
          </w:tcPr>
          <w:p w14:paraId="4B93B439">
            <w:pPr>
              <w:pStyle w:val="75"/>
              <w:rPr>
                <w:rFonts w:hint="default" w:eastAsia="宋体"/>
                <w:color w:val="auto"/>
                <w:highlight w:val="none"/>
                <w:lang w:val="en-US" w:eastAsia="zh-CN"/>
              </w:rPr>
            </w:pPr>
            <w:r>
              <w:rPr>
                <w:rFonts w:hint="eastAsia"/>
                <w:color w:val="auto"/>
                <w:highlight w:val="none"/>
                <w:lang w:val="en-US" w:eastAsia="zh-CN"/>
              </w:rPr>
              <w:t>2.4</w:t>
            </w:r>
          </w:p>
        </w:tc>
        <w:tc>
          <w:tcPr>
            <w:tcW w:w="813" w:type="pct"/>
            <w:vAlign w:val="center"/>
          </w:tcPr>
          <w:p w14:paraId="08B62D6C">
            <w:pPr>
              <w:pStyle w:val="75"/>
              <w:rPr>
                <w:rFonts w:hint="default" w:eastAsia="宋体"/>
                <w:color w:val="auto"/>
                <w:highlight w:val="none"/>
                <w:lang w:val="en-US" w:eastAsia="zh-CN"/>
              </w:rPr>
            </w:pPr>
            <w:r>
              <w:rPr>
                <w:rFonts w:hint="eastAsia"/>
                <w:color w:val="auto"/>
                <w:highlight w:val="none"/>
                <w:lang w:val="en-US" w:eastAsia="zh-CN"/>
              </w:rPr>
              <w:t>286.375</w:t>
            </w:r>
          </w:p>
        </w:tc>
        <w:tc>
          <w:tcPr>
            <w:tcW w:w="1093" w:type="pct"/>
            <w:vAlign w:val="center"/>
          </w:tcPr>
          <w:p w14:paraId="3D8C1931">
            <w:pPr>
              <w:pStyle w:val="75"/>
              <w:rPr>
                <w:rFonts w:hint="default" w:eastAsia="宋体"/>
                <w:color w:val="auto"/>
                <w:highlight w:val="none"/>
                <w:lang w:val="en-US" w:eastAsia="zh-CN"/>
              </w:rPr>
            </w:pPr>
            <w:r>
              <w:rPr>
                <w:rFonts w:hint="eastAsia"/>
                <w:color w:val="auto"/>
                <w:highlight w:val="none"/>
                <w:lang w:val="en-US" w:eastAsia="zh-CN"/>
              </w:rPr>
              <w:t>2.0</w:t>
            </w:r>
          </w:p>
        </w:tc>
        <w:tc>
          <w:tcPr>
            <w:tcW w:w="870" w:type="pct"/>
            <w:vAlign w:val="center"/>
          </w:tcPr>
          <w:p w14:paraId="512166DE">
            <w:pPr>
              <w:pStyle w:val="75"/>
              <w:rPr>
                <w:rFonts w:hint="default" w:eastAsia="宋体"/>
                <w:color w:val="auto"/>
                <w:highlight w:val="none"/>
                <w:lang w:val="en-US" w:eastAsia="zh-CN"/>
              </w:rPr>
            </w:pPr>
            <w:r>
              <w:rPr>
                <w:rFonts w:hint="eastAsia"/>
                <w:color w:val="auto"/>
                <w:highlight w:val="none"/>
                <w:lang w:val="en-US" w:eastAsia="zh-CN"/>
              </w:rPr>
              <w:t>290.775</w:t>
            </w:r>
          </w:p>
        </w:tc>
      </w:tr>
      <w:tr w14:paraId="0BFC6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3" w:type="pct"/>
            <w:vAlign w:val="center"/>
          </w:tcPr>
          <w:p w14:paraId="12F2422E">
            <w:pPr>
              <w:pStyle w:val="75"/>
              <w:rPr>
                <w:color w:val="auto"/>
                <w:highlight w:val="none"/>
                <w:lang w:val="zh-CN"/>
              </w:rPr>
            </w:pPr>
            <w:r>
              <w:rPr>
                <w:color w:val="auto"/>
                <w:highlight w:val="none"/>
                <w:lang w:val="zh-CN"/>
              </w:rPr>
              <w:t>年用水量（t/a）</w:t>
            </w:r>
          </w:p>
        </w:tc>
        <w:tc>
          <w:tcPr>
            <w:tcW w:w="1109" w:type="pct"/>
            <w:vAlign w:val="center"/>
          </w:tcPr>
          <w:p w14:paraId="451C938C">
            <w:pPr>
              <w:pStyle w:val="75"/>
              <w:rPr>
                <w:rFonts w:hint="default" w:eastAsia="宋体"/>
                <w:color w:val="auto"/>
                <w:highlight w:val="none"/>
                <w:lang w:val="en-US" w:eastAsia="zh-CN"/>
              </w:rPr>
            </w:pPr>
            <w:r>
              <w:rPr>
                <w:rFonts w:hint="eastAsia"/>
                <w:color w:val="auto"/>
                <w:highlight w:val="none"/>
                <w:lang w:val="en-US" w:eastAsia="zh-CN"/>
              </w:rPr>
              <w:t>720</w:t>
            </w:r>
          </w:p>
        </w:tc>
        <w:tc>
          <w:tcPr>
            <w:tcW w:w="813" w:type="pct"/>
            <w:vAlign w:val="center"/>
          </w:tcPr>
          <w:p w14:paraId="235DCE55">
            <w:pPr>
              <w:pStyle w:val="75"/>
              <w:rPr>
                <w:rFonts w:hint="default" w:eastAsia="宋体"/>
                <w:color w:val="auto"/>
                <w:highlight w:val="none"/>
                <w:lang w:val="en-US" w:eastAsia="zh-CN"/>
              </w:rPr>
            </w:pPr>
            <w:r>
              <w:rPr>
                <w:rFonts w:hint="eastAsia"/>
                <w:color w:val="auto"/>
                <w:highlight w:val="none"/>
                <w:lang w:val="en-US" w:eastAsia="zh-CN"/>
              </w:rPr>
              <w:t>85912.5</w:t>
            </w:r>
          </w:p>
        </w:tc>
        <w:tc>
          <w:tcPr>
            <w:tcW w:w="1093" w:type="pct"/>
            <w:vAlign w:val="center"/>
          </w:tcPr>
          <w:p w14:paraId="773F1E3D">
            <w:pPr>
              <w:pStyle w:val="75"/>
              <w:rPr>
                <w:rFonts w:hint="default" w:eastAsia="宋体"/>
                <w:color w:val="auto"/>
                <w:highlight w:val="none"/>
                <w:lang w:val="en-US" w:eastAsia="zh-CN"/>
              </w:rPr>
            </w:pPr>
            <w:r>
              <w:rPr>
                <w:rFonts w:hint="eastAsia"/>
                <w:color w:val="auto"/>
                <w:highlight w:val="none"/>
                <w:lang w:val="en-US" w:eastAsia="zh-CN"/>
              </w:rPr>
              <w:t>600</w:t>
            </w:r>
          </w:p>
        </w:tc>
        <w:tc>
          <w:tcPr>
            <w:tcW w:w="870" w:type="pct"/>
            <w:vAlign w:val="center"/>
          </w:tcPr>
          <w:p w14:paraId="3CDB7FE8">
            <w:pPr>
              <w:pStyle w:val="75"/>
              <w:rPr>
                <w:rFonts w:hint="default" w:eastAsia="宋体"/>
                <w:color w:val="auto"/>
                <w:highlight w:val="none"/>
                <w:lang w:val="en-US" w:eastAsia="zh-CN"/>
              </w:rPr>
            </w:pPr>
            <w:r>
              <w:rPr>
                <w:rFonts w:hint="eastAsia"/>
                <w:color w:val="auto"/>
                <w:highlight w:val="none"/>
                <w:lang w:val="en-US" w:eastAsia="zh-CN"/>
              </w:rPr>
              <w:t>87232.5</w:t>
            </w:r>
          </w:p>
        </w:tc>
      </w:tr>
    </w:tbl>
    <w:p w14:paraId="524285D5">
      <w:pPr>
        <w:keepNext/>
        <w:keepLines/>
        <w:adjustRightInd/>
        <w:snapToGrid/>
        <w:spacing w:line="500" w:lineRule="exact"/>
        <w:ind w:firstLine="0" w:firstLineChars="0"/>
        <w:jc w:val="left"/>
        <w:outlineLvl w:val="2"/>
        <w:rPr>
          <w:rFonts w:eastAsia="黑体" w:cs="Times New Roman"/>
          <w:bCs/>
          <w:snapToGrid w:val="0"/>
          <w:color w:val="auto"/>
          <w:kern w:val="0"/>
          <w:szCs w:val="32"/>
          <w:highlight w:val="none"/>
        </w:rPr>
      </w:pPr>
      <w:bookmarkStart w:id="112" w:name="_Toc16933"/>
      <w:r>
        <w:rPr>
          <w:rFonts w:eastAsia="黑体" w:cs="Times New Roman"/>
          <w:bCs/>
          <w:snapToGrid w:val="0"/>
          <w:color w:val="auto"/>
          <w:kern w:val="0"/>
          <w:szCs w:val="32"/>
          <w:highlight w:val="none"/>
        </w:rPr>
        <w:t>3.2.2排水工程</w:t>
      </w:r>
      <w:bookmarkEnd w:id="112"/>
    </w:p>
    <w:p w14:paraId="7F8796AB">
      <w:pPr>
        <w:spacing w:line="500" w:lineRule="exact"/>
        <w:rPr>
          <w:rFonts w:cs="Times New Roman"/>
          <w:snapToGrid w:val="0"/>
          <w:color w:val="auto"/>
          <w:kern w:val="0"/>
          <w:highlight w:val="none"/>
        </w:rPr>
      </w:pPr>
      <w:bookmarkStart w:id="113" w:name="_Hlk480325836"/>
      <w:r>
        <w:rPr>
          <w:rFonts w:cs="Times New Roman"/>
          <w:snapToGrid w:val="0"/>
          <w:color w:val="auto"/>
          <w:kern w:val="0"/>
          <w:highlight w:val="none"/>
        </w:rPr>
        <w:t>屠宰场废水主要包括</w:t>
      </w:r>
      <w:bookmarkStart w:id="114" w:name="_Hlk520450417"/>
      <w:r>
        <w:rPr>
          <w:rFonts w:cs="Times New Roman"/>
          <w:snapToGrid w:val="0"/>
          <w:color w:val="auto"/>
          <w:kern w:val="0"/>
          <w:highlight w:val="none"/>
        </w:rPr>
        <w:t>职工生活污水、生产废水。</w:t>
      </w:r>
    </w:p>
    <w:bookmarkEnd w:id="114"/>
    <w:p w14:paraId="1F798AA6">
      <w:pPr>
        <w:spacing w:line="500" w:lineRule="exact"/>
        <w:rPr>
          <w:rFonts w:cs="Times New Roman"/>
          <w:snapToGrid w:val="0"/>
          <w:color w:val="auto"/>
          <w:kern w:val="0"/>
          <w:highlight w:val="none"/>
        </w:rPr>
      </w:pPr>
      <w:r>
        <w:rPr>
          <w:rFonts w:cs="Times New Roman"/>
          <w:snapToGrid w:val="0"/>
          <w:color w:val="auto"/>
          <w:kern w:val="0"/>
          <w:highlight w:val="none"/>
        </w:rPr>
        <w:t>（1）</w:t>
      </w:r>
      <w:r>
        <w:rPr>
          <w:rFonts w:cs="Times New Roman"/>
          <w:snapToGrid w:val="0"/>
          <w:color w:val="auto"/>
          <w:highlight w:val="none"/>
        </w:rPr>
        <w:t>生活污水</w:t>
      </w:r>
    </w:p>
    <w:p w14:paraId="4CD1FBC6">
      <w:pPr>
        <w:spacing w:line="500" w:lineRule="exact"/>
        <w:rPr>
          <w:rFonts w:cs="Times New Roman"/>
          <w:snapToGrid w:val="0"/>
          <w:color w:val="auto"/>
          <w:kern w:val="0"/>
          <w:highlight w:val="none"/>
        </w:rPr>
      </w:pPr>
      <w:r>
        <w:rPr>
          <w:rFonts w:cs="Times New Roman"/>
          <w:snapToGrid w:val="0"/>
          <w:color w:val="auto"/>
          <w:kern w:val="0"/>
          <w:highlight w:val="none"/>
        </w:rPr>
        <w:t>本项目生活用水量为</w:t>
      </w:r>
      <w:r>
        <w:rPr>
          <w:rFonts w:hint="eastAsia" w:cs="Times New Roman"/>
          <w:snapToGrid w:val="0"/>
          <w:color w:val="auto"/>
          <w:kern w:val="0"/>
          <w:highlight w:val="none"/>
          <w:lang w:val="en-US" w:eastAsia="zh-CN"/>
        </w:rPr>
        <w:t>2.4</w:t>
      </w:r>
      <w:r>
        <w:rPr>
          <w:rFonts w:cs="Times New Roman"/>
          <w:snapToGrid w:val="0"/>
          <w:color w:val="auto"/>
          <w:kern w:val="0"/>
          <w:highlight w:val="none"/>
        </w:rPr>
        <w:t>m</w:t>
      </w:r>
      <w:r>
        <w:rPr>
          <w:rFonts w:cs="Times New Roman"/>
          <w:snapToGrid w:val="0"/>
          <w:color w:val="auto"/>
          <w:kern w:val="0"/>
          <w:highlight w:val="none"/>
          <w:vertAlign w:val="superscript"/>
        </w:rPr>
        <w:t>3</w:t>
      </w:r>
      <w:r>
        <w:rPr>
          <w:rFonts w:cs="Times New Roman"/>
          <w:snapToGrid w:val="0"/>
          <w:color w:val="auto"/>
          <w:kern w:val="0"/>
          <w:highlight w:val="none"/>
        </w:rPr>
        <w:t>/d，</w:t>
      </w:r>
      <w:r>
        <w:rPr>
          <w:rFonts w:hint="eastAsia" w:cs="Times New Roman"/>
          <w:snapToGrid w:val="0"/>
          <w:color w:val="auto"/>
          <w:kern w:val="0"/>
          <w:highlight w:val="none"/>
          <w:lang w:val="en-US" w:eastAsia="zh-CN"/>
        </w:rPr>
        <w:t>720</w:t>
      </w:r>
      <w:r>
        <w:rPr>
          <w:rFonts w:cs="Times New Roman"/>
          <w:snapToGrid w:val="0"/>
          <w:color w:val="auto"/>
          <w:kern w:val="0"/>
          <w:highlight w:val="none"/>
        </w:rPr>
        <w:t>m</w:t>
      </w:r>
      <w:r>
        <w:rPr>
          <w:rFonts w:cs="Times New Roman"/>
          <w:snapToGrid w:val="0"/>
          <w:color w:val="auto"/>
          <w:kern w:val="0"/>
          <w:highlight w:val="none"/>
          <w:vertAlign w:val="superscript"/>
        </w:rPr>
        <w:t>3</w:t>
      </w:r>
      <w:r>
        <w:rPr>
          <w:rFonts w:cs="Times New Roman"/>
          <w:snapToGrid w:val="0"/>
          <w:color w:val="auto"/>
          <w:kern w:val="0"/>
          <w:highlight w:val="none"/>
        </w:rPr>
        <w:t>/a。</w:t>
      </w:r>
      <w:r>
        <w:rPr>
          <w:rFonts w:cs="Times New Roman"/>
          <w:snapToGrid w:val="0"/>
          <w:color w:val="auto"/>
          <w:highlight w:val="none"/>
        </w:rPr>
        <w:t>排水量按用水量的80%计，则生活污水量为</w:t>
      </w:r>
      <w:r>
        <w:rPr>
          <w:rFonts w:hint="eastAsia" w:cs="Times New Roman"/>
          <w:snapToGrid w:val="0"/>
          <w:color w:val="auto"/>
          <w:highlight w:val="none"/>
          <w:lang w:val="en-US" w:eastAsia="zh-CN"/>
        </w:rPr>
        <w:t>1.92</w:t>
      </w:r>
      <w:r>
        <w:rPr>
          <w:rFonts w:cs="Times New Roman"/>
          <w:snapToGrid w:val="0"/>
          <w:color w:val="auto"/>
          <w:kern w:val="0"/>
          <w:highlight w:val="none"/>
        </w:rPr>
        <w:t>m</w:t>
      </w:r>
      <w:r>
        <w:rPr>
          <w:rFonts w:cs="Times New Roman"/>
          <w:snapToGrid w:val="0"/>
          <w:color w:val="auto"/>
          <w:kern w:val="0"/>
          <w:highlight w:val="none"/>
          <w:vertAlign w:val="superscript"/>
        </w:rPr>
        <w:t>3</w:t>
      </w:r>
      <w:r>
        <w:rPr>
          <w:rFonts w:cs="Times New Roman"/>
          <w:snapToGrid w:val="0"/>
          <w:color w:val="auto"/>
          <w:kern w:val="0"/>
          <w:highlight w:val="none"/>
        </w:rPr>
        <w:t>/d</w:t>
      </w:r>
      <w:r>
        <w:rPr>
          <w:rFonts w:cs="Times New Roman"/>
          <w:snapToGrid w:val="0"/>
          <w:color w:val="auto"/>
          <w:highlight w:val="none"/>
        </w:rPr>
        <w:t>，</w:t>
      </w:r>
      <w:r>
        <w:rPr>
          <w:rFonts w:hint="eastAsia" w:cs="Times New Roman"/>
          <w:snapToGrid w:val="0"/>
          <w:color w:val="auto"/>
          <w:highlight w:val="none"/>
          <w:lang w:val="en-US" w:eastAsia="zh-CN"/>
        </w:rPr>
        <w:t>576</w:t>
      </w:r>
      <w:r>
        <w:rPr>
          <w:rFonts w:cs="Times New Roman"/>
          <w:snapToGrid w:val="0"/>
          <w:color w:val="auto"/>
          <w:highlight w:val="none"/>
        </w:rPr>
        <w:t>t/a。</w:t>
      </w:r>
    </w:p>
    <w:p w14:paraId="478A699E">
      <w:pPr>
        <w:spacing w:line="500" w:lineRule="exact"/>
        <w:rPr>
          <w:rFonts w:cs="Times New Roman"/>
          <w:snapToGrid w:val="0"/>
          <w:color w:val="auto"/>
          <w:kern w:val="0"/>
          <w:highlight w:val="none"/>
        </w:rPr>
      </w:pPr>
      <w:r>
        <w:rPr>
          <w:rFonts w:cs="Times New Roman"/>
          <w:snapToGrid w:val="0"/>
          <w:color w:val="auto"/>
          <w:kern w:val="0"/>
          <w:highlight w:val="none"/>
        </w:rPr>
        <w:t>（2）生产废水</w:t>
      </w:r>
    </w:p>
    <w:p w14:paraId="1FD654A4">
      <w:pPr>
        <w:spacing w:line="500" w:lineRule="exact"/>
        <w:rPr>
          <w:rFonts w:ascii="Times New Roman" w:hAnsi="Times New Roman" w:eastAsia="宋体" w:cs="Times New Roman"/>
          <w:snapToGrid w:val="0"/>
          <w:color w:val="auto"/>
          <w:kern w:val="0"/>
          <w:highlight w:val="none"/>
        </w:rPr>
      </w:pPr>
      <w:bookmarkStart w:id="115" w:name="_Hlk479525300"/>
      <w:r>
        <w:rPr>
          <w:rFonts w:cs="Times New Roman"/>
          <w:color w:val="auto"/>
          <w:highlight w:val="none"/>
        </w:rPr>
        <w:t>屠宰废水</w:t>
      </w:r>
      <w:r>
        <w:rPr>
          <w:rFonts w:cs="Times New Roman"/>
          <w:snapToGrid w:val="0"/>
          <w:color w:val="auto"/>
          <w:kern w:val="0"/>
          <w:highlight w:val="none"/>
        </w:rPr>
        <w:t>包括屠宰时进行的</w:t>
      </w:r>
      <w:r>
        <w:rPr>
          <w:rFonts w:hint="eastAsia" w:cs="Times New Roman"/>
          <w:snapToGrid w:val="0"/>
          <w:color w:val="auto"/>
          <w:kern w:val="0"/>
          <w:highlight w:val="none"/>
          <w:lang w:val="en-US" w:eastAsia="zh-CN"/>
        </w:rPr>
        <w:t>待宰圈和隔离圈</w:t>
      </w:r>
      <w:r>
        <w:rPr>
          <w:rFonts w:cs="Times New Roman"/>
          <w:snapToGrid w:val="0"/>
          <w:color w:val="auto"/>
          <w:kern w:val="0"/>
          <w:highlight w:val="none"/>
        </w:rPr>
        <w:t>冲</w:t>
      </w:r>
      <w:r>
        <w:rPr>
          <w:rFonts w:cs="Times New Roman"/>
          <w:snapToGrid w:val="0"/>
          <w:color w:val="auto"/>
          <w:kern w:val="0"/>
          <w:highlight w:val="none"/>
        </w:rPr>
        <w:t>洗、</w:t>
      </w:r>
      <w:r>
        <w:rPr>
          <w:rFonts w:hint="eastAsia" w:cs="Times New Roman"/>
          <w:snapToGrid w:val="0"/>
          <w:color w:val="auto"/>
          <w:kern w:val="0"/>
          <w:highlight w:val="none"/>
        </w:rPr>
        <w:t>牛羊屠宰前喷淋冲洗、</w:t>
      </w:r>
      <w:r>
        <w:rPr>
          <w:rFonts w:cs="Times New Roman"/>
          <w:snapToGrid w:val="0"/>
          <w:color w:val="auto"/>
          <w:kern w:val="0"/>
          <w:highlight w:val="none"/>
        </w:rPr>
        <w:t>胴</w:t>
      </w:r>
      <w:r>
        <w:rPr>
          <w:rFonts w:cs="Times New Roman"/>
          <w:snapToGrid w:val="0"/>
          <w:color w:val="auto"/>
          <w:kern w:val="0"/>
          <w:highlight w:val="none"/>
        </w:rPr>
        <w:t>体及内脏洗涤、车间冲洗</w:t>
      </w:r>
      <w:r>
        <w:rPr>
          <w:rFonts w:hint="eastAsia" w:cs="Times New Roman"/>
          <w:snapToGrid w:val="0"/>
          <w:color w:val="auto"/>
          <w:kern w:val="0"/>
          <w:highlight w:val="none"/>
          <w:lang w:eastAsia="zh-CN"/>
        </w:rPr>
        <w:t>、</w:t>
      </w:r>
      <w:r>
        <w:rPr>
          <w:rFonts w:hint="eastAsia" w:cs="Times New Roman"/>
          <w:snapToGrid w:val="0"/>
          <w:color w:val="auto"/>
          <w:kern w:val="0"/>
          <w:highlight w:val="none"/>
          <w:lang w:val="en-US" w:eastAsia="zh-CN"/>
        </w:rPr>
        <w:t>检疫室排水</w:t>
      </w:r>
      <w:r>
        <w:rPr>
          <w:rFonts w:cs="Times New Roman"/>
          <w:snapToGrid w:val="0"/>
          <w:color w:val="auto"/>
          <w:kern w:val="0"/>
          <w:highlight w:val="none"/>
        </w:rPr>
        <w:t>等过程产生的废水，宏观上主要含有的污染物为血污、碎肉、蓄毛、未消化的食物及尿液等，微观上主要含有的污染物为COD、BOD</w:t>
      </w:r>
      <w:r>
        <w:rPr>
          <w:rFonts w:cs="Times New Roman"/>
          <w:snapToGrid w:val="0"/>
          <w:color w:val="auto"/>
          <w:kern w:val="0"/>
          <w:highlight w:val="none"/>
          <w:vertAlign w:val="subscript"/>
        </w:rPr>
        <w:t>5</w:t>
      </w:r>
      <w:r>
        <w:rPr>
          <w:rFonts w:cs="Times New Roman"/>
          <w:snapToGrid w:val="0"/>
          <w:color w:val="auto"/>
          <w:kern w:val="0"/>
          <w:highlight w:val="none"/>
        </w:rPr>
        <w:t>、SS、氨氮、动植物油</w:t>
      </w:r>
      <w:r>
        <w:rPr>
          <w:rFonts w:ascii="Times New Roman" w:hAnsi="Times New Roman" w:eastAsia="宋体" w:cs="Times New Roman"/>
          <w:snapToGrid w:val="0"/>
          <w:color w:val="auto"/>
          <w:kern w:val="0"/>
          <w:highlight w:val="none"/>
        </w:rPr>
        <w:t>、总氮及总磷。</w:t>
      </w:r>
    </w:p>
    <w:p w14:paraId="775B7E14">
      <w:pPr>
        <w:spacing w:line="500" w:lineRule="exact"/>
        <w:rPr>
          <w:rFonts w:hint="default" w:eastAsia="宋体" w:cs="Times New Roman"/>
          <w:snapToGrid w:val="0"/>
          <w:color w:val="auto"/>
          <w:kern w:val="0"/>
          <w:highlight w:val="none"/>
          <w:lang w:val="en-US" w:eastAsia="zh-CN"/>
        </w:rPr>
      </w:pPr>
      <w:r>
        <w:rPr>
          <w:rFonts w:ascii="Times New Roman" w:hAnsi="Times New Roman" w:eastAsia="宋体" w:cs="Times New Roman"/>
          <w:snapToGrid w:val="0"/>
          <w:color w:val="auto"/>
          <w:kern w:val="0"/>
          <w:highlight w:val="none"/>
        </w:rPr>
        <w:t>本项目</w:t>
      </w:r>
      <w:r>
        <w:rPr>
          <w:rFonts w:hint="eastAsia" w:ascii="Times New Roman" w:hAnsi="Times New Roman" w:eastAsia="宋体" w:cs="Times New Roman"/>
          <w:snapToGrid w:val="0"/>
          <w:color w:val="auto"/>
          <w:kern w:val="0"/>
          <w:highlight w:val="none"/>
        </w:rPr>
        <w:t>屠宰量为肉牛</w:t>
      </w:r>
      <w:r>
        <w:rPr>
          <w:rFonts w:hint="eastAsia" w:cs="Times New Roman"/>
          <w:snapToGrid w:val="0"/>
          <w:color w:val="auto"/>
          <w:kern w:val="0"/>
          <w:highlight w:val="none"/>
          <w:lang w:val="en-US" w:eastAsia="zh-CN"/>
        </w:rPr>
        <w:t>100</w:t>
      </w:r>
      <w:r>
        <w:rPr>
          <w:rFonts w:hint="eastAsia" w:ascii="Times New Roman" w:hAnsi="Times New Roman" w:eastAsia="宋体" w:cs="Times New Roman"/>
          <w:snapToGrid w:val="0"/>
          <w:color w:val="auto"/>
          <w:kern w:val="0"/>
          <w:highlight w:val="none"/>
        </w:rPr>
        <w:t>头/d，肉羊</w:t>
      </w:r>
      <w:r>
        <w:rPr>
          <w:rFonts w:hint="eastAsia" w:cs="Times New Roman"/>
          <w:snapToGrid w:val="0"/>
          <w:color w:val="auto"/>
          <w:kern w:val="0"/>
          <w:highlight w:val="none"/>
          <w:lang w:val="en-US" w:eastAsia="zh-CN"/>
        </w:rPr>
        <w:t>500</w:t>
      </w:r>
      <w:r>
        <w:rPr>
          <w:rFonts w:hint="eastAsia" w:ascii="Times New Roman" w:hAnsi="Times New Roman" w:eastAsia="宋体" w:cs="Times New Roman"/>
          <w:snapToGrid w:val="0"/>
          <w:color w:val="auto"/>
          <w:kern w:val="0"/>
          <w:highlight w:val="none"/>
        </w:rPr>
        <w:t>只/d</w:t>
      </w:r>
      <w:r>
        <w:rPr>
          <w:rFonts w:hint="eastAsia" w:ascii="Times New Roman" w:hAnsi="Times New Roman" w:eastAsia="宋体" w:cs="Times New Roman"/>
          <w:snapToGrid w:val="0"/>
          <w:color w:val="auto"/>
          <w:kern w:val="0"/>
          <w:highlight w:val="none"/>
          <w:lang w:eastAsia="zh-CN"/>
        </w:rPr>
        <w:t>，</w:t>
      </w:r>
      <w:r>
        <w:rPr>
          <w:rFonts w:hint="eastAsia" w:ascii="Times New Roman" w:hAnsi="Times New Roman" w:eastAsia="宋体" w:cs="Times New Roman"/>
          <w:snapToGrid w:val="0"/>
          <w:color w:val="auto"/>
          <w:kern w:val="0"/>
          <w:highlight w:val="none"/>
        </w:rPr>
        <w:t>按设计3</w:t>
      </w:r>
      <w:r>
        <w:rPr>
          <w:rFonts w:hint="eastAsia" w:cs="Times New Roman"/>
          <w:snapToGrid w:val="0"/>
          <w:color w:val="auto"/>
          <w:kern w:val="0"/>
          <w:highlight w:val="none"/>
          <w:lang w:val="en-US" w:eastAsia="zh-CN"/>
        </w:rPr>
        <w:t>0</w:t>
      </w:r>
      <w:r>
        <w:rPr>
          <w:rFonts w:ascii="Times New Roman" w:hAnsi="Times New Roman" w:eastAsia="宋体" w:cs="Times New Roman"/>
          <w:snapToGrid w:val="0"/>
          <w:color w:val="auto"/>
          <w:kern w:val="0"/>
          <w:highlight w:val="none"/>
        </w:rPr>
        <w:t>0</w:t>
      </w:r>
      <w:r>
        <w:rPr>
          <w:rFonts w:hint="eastAsia" w:ascii="Times New Roman" w:hAnsi="Times New Roman" w:eastAsia="宋体" w:cs="Times New Roman"/>
          <w:snapToGrid w:val="0"/>
          <w:color w:val="auto"/>
          <w:kern w:val="0"/>
          <w:highlight w:val="none"/>
        </w:rPr>
        <w:t>天工作计算，</w:t>
      </w:r>
      <w:r>
        <w:rPr>
          <w:rFonts w:hint="eastAsia" w:cs="Times New Roman"/>
          <w:snapToGrid w:val="0"/>
          <w:color w:val="auto"/>
          <w:kern w:val="0"/>
          <w:highlight w:val="none"/>
          <w:lang w:eastAsia="zh-CN"/>
        </w:rPr>
        <w:t>年屠宰肉牛</w:t>
      </w:r>
      <w:r>
        <w:rPr>
          <w:rFonts w:hint="eastAsia" w:cs="Times New Roman"/>
          <w:snapToGrid w:val="0"/>
          <w:color w:val="auto"/>
          <w:kern w:val="0"/>
          <w:highlight w:val="none"/>
          <w:lang w:val="en-US" w:eastAsia="zh-CN"/>
        </w:rPr>
        <w:t>30000</w:t>
      </w:r>
      <w:r>
        <w:rPr>
          <w:rFonts w:hint="eastAsia" w:cs="Times New Roman"/>
          <w:snapToGrid w:val="0"/>
          <w:color w:val="auto"/>
          <w:kern w:val="0"/>
          <w:highlight w:val="none"/>
          <w:lang w:eastAsia="zh-CN"/>
        </w:rPr>
        <w:t>头、肉羊</w:t>
      </w:r>
      <w:r>
        <w:rPr>
          <w:rFonts w:hint="eastAsia" w:cs="Times New Roman"/>
          <w:snapToGrid w:val="0"/>
          <w:color w:val="auto"/>
          <w:kern w:val="0"/>
          <w:highlight w:val="none"/>
          <w:lang w:val="en-US" w:eastAsia="zh-CN"/>
        </w:rPr>
        <w:t>150</w:t>
      </w:r>
      <w:r>
        <w:rPr>
          <w:rFonts w:hint="eastAsia" w:cs="Times New Roman"/>
          <w:snapToGrid w:val="0"/>
          <w:color w:val="auto"/>
          <w:kern w:val="0"/>
          <w:highlight w:val="none"/>
          <w:lang w:eastAsia="zh-CN"/>
        </w:rPr>
        <w:t>000只</w:t>
      </w:r>
      <w:r>
        <w:rPr>
          <w:rFonts w:hint="eastAsia" w:ascii="Times New Roman" w:hAnsi="Times New Roman" w:eastAsia="宋体" w:cs="Times New Roman"/>
          <w:snapToGrid w:val="0"/>
          <w:color w:val="auto"/>
          <w:kern w:val="0"/>
          <w:highlight w:val="none"/>
          <w:lang w:eastAsia="zh-CN"/>
        </w:rPr>
        <w:t>。</w:t>
      </w:r>
      <w:r>
        <w:rPr>
          <w:rFonts w:cs="Times New Roman"/>
          <w:snapToGrid w:val="0"/>
          <w:color w:val="auto"/>
          <w:kern w:val="0"/>
          <w:highlight w:val="none"/>
        </w:rPr>
        <w:t>根据《135屠宰及肉类加工行业系数手册》中1351牲畜屠宰行业产污系数表可知，工业废水量为0.941吨/头牛，0.27吨/只羊，则本项目屠宰过程中排水量约为</w:t>
      </w:r>
      <w:r>
        <w:rPr>
          <w:rFonts w:hint="eastAsia" w:cs="Times New Roman"/>
          <w:snapToGrid w:val="0"/>
          <w:color w:val="auto"/>
          <w:kern w:val="0"/>
          <w:highlight w:val="none"/>
          <w:lang w:val="en-US" w:eastAsia="zh-CN"/>
        </w:rPr>
        <w:t>68730</w:t>
      </w:r>
      <w:r>
        <w:rPr>
          <w:rFonts w:cs="Times New Roman"/>
          <w:snapToGrid w:val="0"/>
          <w:color w:val="auto"/>
          <w:kern w:val="0"/>
          <w:highlight w:val="none"/>
        </w:rPr>
        <w:t>t/a（</w:t>
      </w:r>
      <w:r>
        <w:rPr>
          <w:rFonts w:hint="eastAsia" w:cs="Times New Roman"/>
          <w:snapToGrid w:val="0"/>
          <w:color w:val="auto"/>
          <w:kern w:val="0"/>
          <w:highlight w:val="none"/>
          <w:lang w:val="en-US" w:eastAsia="zh-CN"/>
        </w:rPr>
        <w:t>229.1</w:t>
      </w:r>
      <w:r>
        <w:rPr>
          <w:rFonts w:cs="Times New Roman"/>
          <w:snapToGrid w:val="0"/>
          <w:color w:val="auto"/>
          <w:kern w:val="0"/>
          <w:highlight w:val="none"/>
        </w:rPr>
        <w:t>t/d）。</w:t>
      </w:r>
      <w:r>
        <w:rPr>
          <w:rFonts w:hint="eastAsia" w:cs="Times New Roman"/>
          <w:snapToGrid w:val="0"/>
          <w:color w:val="auto"/>
          <w:kern w:val="0"/>
          <w:highlight w:val="none"/>
          <w:lang w:val="en-US" w:eastAsia="zh-CN"/>
        </w:rPr>
        <w:t>其中隔离圈废水和检疫室排水单独收集，经消毒后排入厂区内污水处理站处理。</w:t>
      </w:r>
    </w:p>
    <w:bookmarkEnd w:id="115"/>
    <w:p w14:paraId="1B1C824A">
      <w:pPr>
        <w:pStyle w:val="117"/>
        <w:adjustRightInd w:val="0"/>
        <w:snapToGrid w:val="0"/>
        <w:rPr>
          <w:rFonts w:hint="eastAsia" w:cs="Times New Roman"/>
          <w:snapToGrid w:val="0"/>
          <w:color w:val="auto"/>
          <w:highlight w:val="none"/>
          <w:lang w:val="en-US" w:eastAsia="zh-CN"/>
        </w:rPr>
      </w:pPr>
      <w:bookmarkStart w:id="116" w:name="_Hlk479525778"/>
      <w:r>
        <w:rPr>
          <w:rFonts w:hint="eastAsia" w:cs="Times New Roman"/>
          <w:snapToGrid w:val="0"/>
          <w:color w:val="auto"/>
          <w:highlight w:val="none"/>
          <w:lang w:eastAsia="zh-CN"/>
        </w:rPr>
        <w:t>（</w:t>
      </w:r>
      <w:r>
        <w:rPr>
          <w:rFonts w:hint="eastAsia" w:cs="Times New Roman"/>
          <w:snapToGrid w:val="0"/>
          <w:color w:val="auto"/>
          <w:highlight w:val="none"/>
          <w:lang w:val="en-US" w:eastAsia="zh-CN"/>
        </w:rPr>
        <w:t>3</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车辆冲洗废水</w:t>
      </w:r>
    </w:p>
    <w:p w14:paraId="1791448F">
      <w:pPr>
        <w:pStyle w:val="117"/>
        <w:adjustRightInd w:val="0"/>
        <w:snapToGrid w:val="0"/>
        <w:rPr>
          <w:rFonts w:hint="eastAsia" w:eastAsia="宋体" w:cs="Times New Roman"/>
          <w:snapToGrid w:val="0"/>
          <w:color w:val="auto"/>
          <w:highlight w:val="none"/>
          <w:lang w:val="en-US" w:eastAsia="zh-CN"/>
        </w:rPr>
      </w:pPr>
      <w:r>
        <w:rPr>
          <w:rFonts w:hint="eastAsia" w:cs="Times New Roman"/>
          <w:snapToGrid w:val="0"/>
          <w:color w:val="auto"/>
          <w:highlight w:val="none"/>
          <w:lang w:val="en-US" w:eastAsia="zh-CN"/>
        </w:rPr>
        <w:t>本项目冲洗车辆用水量为</w:t>
      </w:r>
      <w:r>
        <w:rPr>
          <w:rFonts w:hint="eastAsia"/>
          <w:color w:val="auto"/>
          <w:highlight w:val="none"/>
          <w:lang w:val="en-US" w:eastAsia="zh-CN"/>
        </w:rPr>
        <w:t>2</w:t>
      </w:r>
      <w:r>
        <w:rPr>
          <w:rFonts w:hint="eastAsia"/>
          <w:color w:val="auto"/>
          <w:highlight w:val="none"/>
        </w:rPr>
        <w:t>m</w:t>
      </w:r>
      <w:r>
        <w:rPr>
          <w:rFonts w:hint="eastAsia"/>
          <w:color w:val="auto"/>
          <w:highlight w:val="none"/>
          <w:vertAlign w:val="superscript"/>
        </w:rPr>
        <w:t>3</w:t>
      </w:r>
      <w:r>
        <w:rPr>
          <w:rFonts w:hint="eastAsia"/>
          <w:color w:val="auto"/>
          <w:highlight w:val="none"/>
        </w:rPr>
        <w:t>/d（</w:t>
      </w:r>
      <w:r>
        <w:rPr>
          <w:rFonts w:hint="eastAsia"/>
          <w:color w:val="auto"/>
          <w:highlight w:val="none"/>
          <w:lang w:val="en-US" w:eastAsia="zh-CN"/>
        </w:rPr>
        <w:t>600</w:t>
      </w:r>
      <w:r>
        <w:rPr>
          <w:color w:val="auto"/>
          <w:highlight w:val="none"/>
        </w:rPr>
        <w:t>m</w:t>
      </w:r>
      <w:r>
        <w:rPr>
          <w:color w:val="auto"/>
          <w:highlight w:val="none"/>
          <w:vertAlign w:val="superscript"/>
        </w:rPr>
        <w:t>3</w:t>
      </w:r>
      <w:r>
        <w:rPr>
          <w:rFonts w:hint="eastAsia"/>
          <w:color w:val="auto"/>
          <w:highlight w:val="none"/>
        </w:rPr>
        <w:t>/a）</w:t>
      </w:r>
      <w:r>
        <w:rPr>
          <w:rFonts w:hint="eastAsia"/>
          <w:color w:val="auto"/>
          <w:highlight w:val="none"/>
          <w:lang w:eastAsia="zh-CN"/>
        </w:rPr>
        <w:t>，</w:t>
      </w:r>
      <w:r>
        <w:rPr>
          <w:rFonts w:hint="eastAsia" w:cs="Times New Roman"/>
          <w:snapToGrid w:val="0"/>
          <w:color w:val="auto"/>
          <w:highlight w:val="none"/>
          <w:lang w:val="en-US" w:eastAsia="zh-CN"/>
        </w:rPr>
        <w:t xml:space="preserve"> </w:t>
      </w:r>
      <w:r>
        <w:rPr>
          <w:rFonts w:cs="Times New Roman"/>
          <w:snapToGrid w:val="0"/>
          <w:color w:val="auto"/>
          <w:highlight w:val="none"/>
        </w:rPr>
        <w:t>排水量按用水量的80%计，则</w:t>
      </w:r>
      <w:r>
        <w:rPr>
          <w:rFonts w:hint="eastAsia" w:cs="Times New Roman"/>
          <w:snapToGrid w:val="0"/>
          <w:color w:val="auto"/>
          <w:highlight w:val="none"/>
          <w:lang w:val="en-US" w:eastAsia="zh-CN"/>
        </w:rPr>
        <w:t>车辆冲洗废水为1.6</w:t>
      </w:r>
      <w:r>
        <w:rPr>
          <w:rFonts w:hint="eastAsia"/>
          <w:color w:val="auto"/>
          <w:highlight w:val="none"/>
        </w:rPr>
        <w:t>m</w:t>
      </w:r>
      <w:r>
        <w:rPr>
          <w:rFonts w:hint="eastAsia"/>
          <w:color w:val="auto"/>
          <w:highlight w:val="none"/>
          <w:vertAlign w:val="superscript"/>
        </w:rPr>
        <w:t>3</w:t>
      </w:r>
      <w:r>
        <w:rPr>
          <w:rFonts w:hint="eastAsia"/>
          <w:color w:val="auto"/>
          <w:highlight w:val="none"/>
        </w:rPr>
        <w:t>/d（</w:t>
      </w:r>
      <w:r>
        <w:rPr>
          <w:rFonts w:hint="eastAsia"/>
          <w:color w:val="auto"/>
          <w:highlight w:val="none"/>
          <w:lang w:val="en-US" w:eastAsia="zh-CN"/>
        </w:rPr>
        <w:t>480</w:t>
      </w:r>
      <w:r>
        <w:rPr>
          <w:color w:val="auto"/>
          <w:highlight w:val="none"/>
        </w:rPr>
        <w:t>m</w:t>
      </w:r>
      <w:r>
        <w:rPr>
          <w:color w:val="auto"/>
          <w:highlight w:val="none"/>
          <w:vertAlign w:val="superscript"/>
        </w:rPr>
        <w:t>3</w:t>
      </w:r>
      <w:r>
        <w:rPr>
          <w:rFonts w:hint="eastAsia"/>
          <w:color w:val="auto"/>
          <w:highlight w:val="none"/>
        </w:rPr>
        <w:t>/a）</w:t>
      </w:r>
      <w:r>
        <w:rPr>
          <w:rFonts w:hint="eastAsia"/>
          <w:color w:val="auto"/>
          <w:highlight w:val="none"/>
          <w:lang w:eastAsia="zh-CN"/>
        </w:rPr>
        <w:t>。</w:t>
      </w:r>
    </w:p>
    <w:p w14:paraId="069F93F0">
      <w:pPr>
        <w:pStyle w:val="117"/>
        <w:adjustRightInd w:val="0"/>
        <w:snapToGrid w:val="0"/>
        <w:rPr>
          <w:rFonts w:hint="default" w:eastAsia="宋体" w:cs="Times New Roman"/>
          <w:snapToGrid w:val="0"/>
          <w:color w:val="auto"/>
          <w:highlight w:val="none"/>
          <w:lang w:val="en-US" w:eastAsia="zh-CN"/>
        </w:rPr>
      </w:pPr>
      <w:r>
        <w:rPr>
          <w:rFonts w:hint="eastAsia" w:cs="Times New Roman"/>
          <w:snapToGrid w:val="0"/>
          <w:color w:val="auto"/>
          <w:highlight w:val="none"/>
          <w:lang w:eastAsia="zh-CN"/>
        </w:rPr>
        <w:t>（</w:t>
      </w:r>
      <w:r>
        <w:rPr>
          <w:rFonts w:hint="eastAsia" w:cs="Times New Roman"/>
          <w:snapToGrid w:val="0"/>
          <w:color w:val="auto"/>
          <w:highlight w:val="none"/>
          <w:lang w:val="en-US" w:eastAsia="zh-CN"/>
        </w:rPr>
        <w:t>5</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冷库排酸废水</w:t>
      </w:r>
    </w:p>
    <w:p w14:paraId="26E30AED">
      <w:pPr>
        <w:pStyle w:val="117"/>
        <w:adjustRightInd w:val="0"/>
        <w:snapToGrid w:val="0"/>
        <w:rPr>
          <w:rFonts w:hint="default" w:cs="Times New Roman"/>
          <w:snapToGrid w:val="0"/>
          <w:color w:val="auto"/>
          <w:highlight w:val="none"/>
          <w:lang w:val="en-US" w:eastAsia="zh-CN"/>
        </w:rPr>
      </w:pPr>
      <w:r>
        <w:rPr>
          <w:rFonts w:hint="eastAsia" w:cs="Times New Roman"/>
          <w:snapToGrid w:val="0"/>
          <w:color w:val="auto"/>
          <w:highlight w:val="none"/>
          <w:lang w:val="en-US" w:eastAsia="zh-CN"/>
        </w:rPr>
        <w:t>本项目排酸工序使大多数微生物的生长繁殖受到抑制，肉毒梭菌和金黄色葡萄球菌等不再分泌毒素，肉中的酶发生作用，将部分蛋白质分解成氨基酸，同时排空血液及占体重18-20%的体液。本项目牛羊肉产生量为12750t/a，需要排酸的部分按总重的95%计，排出的废水（血液和体液）按20%计，则冷库排酸废水量为2422.5t/a，8.075t/d。</w:t>
      </w:r>
    </w:p>
    <w:p w14:paraId="054A6ABB">
      <w:pPr>
        <w:pStyle w:val="117"/>
        <w:adjustRightInd w:val="0"/>
        <w:snapToGrid w:val="0"/>
        <w:rPr>
          <w:rFonts w:cs="Times New Roman"/>
          <w:snapToGrid w:val="0"/>
          <w:color w:val="auto"/>
          <w:highlight w:val="none"/>
        </w:rPr>
      </w:pPr>
      <w:r>
        <w:rPr>
          <w:rFonts w:cs="Times New Roman"/>
          <w:snapToGrid w:val="0"/>
          <w:color w:val="auto"/>
          <w:highlight w:val="none"/>
        </w:rPr>
        <w:t>综上，项目运行后，屠宰废水、生活污水</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车辆冲洗水与冷库排酸废水</w:t>
      </w:r>
      <w:r>
        <w:rPr>
          <w:rFonts w:cs="Times New Roman"/>
          <w:snapToGrid w:val="0"/>
          <w:color w:val="auto"/>
          <w:highlight w:val="none"/>
        </w:rPr>
        <w:t>产生量为</w:t>
      </w:r>
      <w:r>
        <w:rPr>
          <w:rFonts w:hint="eastAsia" w:cs="Times New Roman"/>
          <w:snapToGrid w:val="0"/>
          <w:color w:val="auto"/>
          <w:highlight w:val="none"/>
          <w:lang w:val="en-US" w:eastAsia="zh-CN"/>
        </w:rPr>
        <w:t>75508.5</w:t>
      </w:r>
      <w:r>
        <w:rPr>
          <w:rFonts w:cs="Times New Roman"/>
          <w:snapToGrid w:val="0"/>
          <w:color w:val="auto"/>
          <w:highlight w:val="none"/>
        </w:rPr>
        <w:t>t/a，屠宰废水</w:t>
      </w:r>
      <w:r>
        <w:rPr>
          <w:rFonts w:hint="eastAsia" w:cs="Times New Roman"/>
          <w:snapToGrid w:val="0"/>
          <w:color w:val="auto"/>
          <w:highlight w:val="none"/>
          <w:lang w:val="en-US" w:eastAsia="zh-CN"/>
        </w:rPr>
        <w:t>、车辆冲洗水与冷库排酸废水</w:t>
      </w:r>
      <w:r>
        <w:rPr>
          <w:rFonts w:cs="Times New Roman"/>
          <w:snapToGrid w:val="0"/>
          <w:color w:val="auto"/>
          <w:highlight w:val="none"/>
        </w:rPr>
        <w:t>排入厂区自建污水处理站处理，污水处理站采用</w:t>
      </w:r>
      <w:r>
        <w:rPr>
          <w:rFonts w:cs="Times New Roman"/>
          <w:bCs/>
          <w:color w:val="auto"/>
          <w:szCs w:val="24"/>
          <w:highlight w:val="none"/>
        </w:rPr>
        <w:t>“格栅+</w:t>
      </w:r>
      <w:r>
        <w:rPr>
          <w:rFonts w:hint="eastAsia" w:cs="Times New Roman"/>
          <w:bCs/>
          <w:color w:val="auto"/>
          <w:szCs w:val="24"/>
          <w:highlight w:val="none"/>
          <w:lang w:val="en-US" w:eastAsia="zh-CN"/>
        </w:rPr>
        <w:t>隔油池</w:t>
      </w:r>
      <w:r>
        <w:rPr>
          <w:rFonts w:cs="Times New Roman"/>
          <w:bCs/>
          <w:color w:val="auto"/>
          <w:szCs w:val="24"/>
          <w:highlight w:val="none"/>
        </w:rPr>
        <w:t>+</w:t>
      </w:r>
      <w:r>
        <w:rPr>
          <w:rFonts w:hint="eastAsia" w:cs="Times New Roman"/>
          <w:bCs/>
          <w:color w:val="auto"/>
          <w:szCs w:val="24"/>
          <w:highlight w:val="none"/>
          <w:lang w:val="en-US" w:eastAsia="zh-CN"/>
        </w:rPr>
        <w:t>调节池</w:t>
      </w:r>
      <w:r>
        <w:rPr>
          <w:rFonts w:cs="Times New Roman"/>
          <w:bCs/>
          <w:color w:val="auto"/>
          <w:szCs w:val="24"/>
          <w:highlight w:val="none"/>
        </w:rPr>
        <w:t>+气浮+水解酸化+</w:t>
      </w:r>
      <w:r>
        <w:rPr>
          <w:rFonts w:hint="eastAsia" w:cs="Times New Roman"/>
          <w:bCs/>
          <w:color w:val="auto"/>
          <w:szCs w:val="24"/>
          <w:highlight w:val="none"/>
          <w:lang w:val="en-US" w:eastAsia="zh-CN"/>
        </w:rPr>
        <w:t>反硝化缺氧+好氧</w:t>
      </w:r>
      <w:r>
        <w:rPr>
          <w:rFonts w:cs="Times New Roman"/>
          <w:bCs/>
          <w:color w:val="auto"/>
          <w:szCs w:val="24"/>
          <w:highlight w:val="none"/>
        </w:rPr>
        <w:t>+沉淀+消毒（</w:t>
      </w:r>
      <w:r>
        <w:rPr>
          <w:rFonts w:hint="eastAsia" w:cs="Times New Roman"/>
          <w:bCs/>
          <w:color w:val="auto"/>
          <w:szCs w:val="24"/>
          <w:highlight w:val="none"/>
          <w:lang w:val="en-US" w:eastAsia="zh-CN"/>
        </w:rPr>
        <w:t>次氯酸钠</w:t>
      </w:r>
      <w:r>
        <w:rPr>
          <w:rFonts w:cs="Times New Roman"/>
          <w:bCs/>
          <w:color w:val="auto"/>
          <w:szCs w:val="24"/>
          <w:highlight w:val="none"/>
        </w:rPr>
        <w:t>）”</w:t>
      </w:r>
      <w:r>
        <w:rPr>
          <w:rFonts w:cs="Times New Roman"/>
          <w:snapToGrid w:val="0"/>
          <w:color w:val="auto"/>
          <w:highlight w:val="none"/>
        </w:rPr>
        <w:t>工艺，</w:t>
      </w:r>
      <w:r>
        <w:rPr>
          <w:rFonts w:cs="Times New Roman"/>
          <w:snapToGrid w:val="0"/>
          <w:color w:val="auto"/>
          <w:highlight w:val="none"/>
          <w:lang w:val="en-GB"/>
        </w:rPr>
        <w:t>处理达到《肉类加工工业水污染物排放标准》（GB13457-92）中畜类屠宰加工三级标准，并满足</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进水水质要求后，</w:t>
      </w:r>
      <w:r>
        <w:rPr>
          <w:rFonts w:cs="Times New Roman"/>
          <w:snapToGrid w:val="0"/>
          <w:color w:val="auto"/>
          <w:highlight w:val="none"/>
        </w:rPr>
        <w:t>与生活污水</w:t>
      </w:r>
      <w:r>
        <w:rPr>
          <w:rFonts w:cs="Times New Roman"/>
          <w:snapToGrid w:val="0"/>
          <w:color w:val="auto"/>
          <w:highlight w:val="none"/>
          <w:lang w:val="en-GB"/>
        </w:rPr>
        <w:t>经市政污水管网排入</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处理，达标后排入</w:t>
      </w:r>
      <w:r>
        <w:rPr>
          <w:rFonts w:hint="eastAsia" w:cs="Times New Roman"/>
          <w:snapToGrid w:val="0"/>
          <w:color w:val="auto"/>
          <w:highlight w:val="none"/>
          <w:lang w:val="en-GB" w:eastAsia="zh-CN"/>
        </w:rPr>
        <w:t>安邦河</w:t>
      </w:r>
      <w:r>
        <w:rPr>
          <w:rFonts w:cs="Times New Roman"/>
          <w:snapToGrid w:val="0"/>
          <w:color w:val="auto"/>
          <w:highlight w:val="none"/>
          <w:lang w:val="en-GB"/>
        </w:rPr>
        <w:t>。</w:t>
      </w:r>
      <w:r>
        <w:rPr>
          <w:rFonts w:cs="Times New Roman"/>
          <w:snapToGrid w:val="0"/>
          <w:color w:val="auto"/>
          <w:highlight w:val="none"/>
        </w:rPr>
        <w:t>项目排水情况见表3-2-2。项目水平衡图见图3-2-1。</w:t>
      </w:r>
    </w:p>
    <w:p w14:paraId="4A9DF2E2">
      <w:pPr>
        <w:spacing w:line="240" w:lineRule="auto"/>
        <w:ind w:firstLine="482"/>
        <w:jc w:val="center"/>
        <w:rPr>
          <w:rFonts w:cs="Times New Roman"/>
          <w:b/>
          <w:bCs/>
          <w:snapToGrid w:val="0"/>
          <w:color w:val="auto"/>
          <w:kern w:val="0"/>
          <w:szCs w:val="24"/>
          <w:highlight w:val="none"/>
          <w:lang w:val="zh-CN"/>
        </w:rPr>
      </w:pPr>
      <w:r>
        <w:rPr>
          <w:rFonts w:cs="Times New Roman"/>
          <w:b/>
          <w:bCs/>
          <w:snapToGrid w:val="0"/>
          <w:color w:val="auto"/>
          <w:kern w:val="0"/>
          <w:szCs w:val="24"/>
          <w:highlight w:val="none"/>
          <w:lang w:val="zh-CN"/>
        </w:rPr>
        <w:t>表3-2-2</w:t>
      </w:r>
      <w:r>
        <w:rPr>
          <w:rFonts w:cs="Times New Roman"/>
          <w:b/>
          <w:bCs/>
          <w:snapToGrid w:val="0"/>
          <w:color w:val="auto"/>
          <w:kern w:val="0"/>
          <w:szCs w:val="24"/>
          <w:highlight w:val="none"/>
          <w:lang w:val="en-US"/>
        </w:rPr>
        <w:t xml:space="preserve">  </w:t>
      </w:r>
      <w:r>
        <w:rPr>
          <w:rFonts w:cs="Times New Roman"/>
          <w:b/>
          <w:bCs/>
          <w:snapToGrid w:val="0"/>
          <w:color w:val="auto"/>
          <w:kern w:val="0"/>
          <w:szCs w:val="24"/>
          <w:highlight w:val="none"/>
          <w:lang w:val="zh-CN"/>
        </w:rPr>
        <w:t>项目排水情况一览表</w:t>
      </w:r>
    </w:p>
    <w:tbl>
      <w:tblPr>
        <w:tblStyle w:val="39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0"/>
        <w:gridCol w:w="1285"/>
        <w:gridCol w:w="1028"/>
        <w:gridCol w:w="1442"/>
        <w:gridCol w:w="1427"/>
        <w:gridCol w:w="1747"/>
      </w:tblGrid>
      <w:tr w14:paraId="0552A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933" w:type="pct"/>
            <w:vAlign w:val="center"/>
          </w:tcPr>
          <w:p w14:paraId="139914C5">
            <w:pPr>
              <w:adjustRightInd/>
              <w:snapToGrid/>
              <w:spacing w:line="240" w:lineRule="auto"/>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项目</w:t>
            </w:r>
          </w:p>
        </w:tc>
        <w:tc>
          <w:tcPr>
            <w:tcW w:w="754" w:type="pct"/>
            <w:vAlign w:val="center"/>
          </w:tcPr>
          <w:p w14:paraId="79420DFC">
            <w:pPr>
              <w:adjustRightInd/>
              <w:snapToGrid/>
              <w:spacing w:line="240" w:lineRule="auto"/>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屠宰废水</w:t>
            </w:r>
          </w:p>
        </w:tc>
        <w:tc>
          <w:tcPr>
            <w:tcW w:w="603" w:type="pct"/>
            <w:vAlign w:val="center"/>
          </w:tcPr>
          <w:p w14:paraId="140B9FFA">
            <w:pPr>
              <w:adjustRightInd/>
              <w:snapToGrid/>
              <w:spacing w:line="240" w:lineRule="auto"/>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员工生活污水</w:t>
            </w:r>
          </w:p>
        </w:tc>
        <w:tc>
          <w:tcPr>
            <w:tcW w:w="846" w:type="pct"/>
            <w:vAlign w:val="center"/>
          </w:tcPr>
          <w:p w14:paraId="21677B96">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车辆冲洗废水</w:t>
            </w:r>
          </w:p>
        </w:tc>
        <w:tc>
          <w:tcPr>
            <w:tcW w:w="837" w:type="pct"/>
            <w:vAlign w:val="center"/>
          </w:tcPr>
          <w:p w14:paraId="5DEE2AB4">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冷库排酸废水</w:t>
            </w:r>
          </w:p>
        </w:tc>
        <w:tc>
          <w:tcPr>
            <w:tcW w:w="1025" w:type="pct"/>
            <w:vAlign w:val="center"/>
          </w:tcPr>
          <w:p w14:paraId="51FD7A85">
            <w:pPr>
              <w:adjustRightInd/>
              <w:snapToGrid/>
              <w:spacing w:line="240" w:lineRule="auto"/>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小计</w:t>
            </w:r>
          </w:p>
        </w:tc>
      </w:tr>
      <w:tr w14:paraId="242DF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933" w:type="pct"/>
            <w:vAlign w:val="center"/>
          </w:tcPr>
          <w:p w14:paraId="166EC3CF">
            <w:pPr>
              <w:adjustRightInd/>
              <w:snapToGrid/>
              <w:spacing w:line="240" w:lineRule="auto"/>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lang w:val="zh-CN"/>
              </w:rPr>
              <w:t>日废水量</w:t>
            </w:r>
            <w:r>
              <w:rPr>
                <w:rFonts w:cs="Times New Roman"/>
                <w:snapToGrid w:val="0"/>
                <w:color w:val="auto"/>
                <w:kern w:val="0"/>
                <w:sz w:val="21"/>
                <w:highlight w:val="none"/>
              </w:rPr>
              <w:t>（t/d）</w:t>
            </w:r>
          </w:p>
        </w:tc>
        <w:tc>
          <w:tcPr>
            <w:tcW w:w="754" w:type="pct"/>
            <w:vAlign w:val="center"/>
          </w:tcPr>
          <w:p w14:paraId="7DEEDDC6">
            <w:pPr>
              <w:pStyle w:val="73"/>
              <w:rPr>
                <w:rFonts w:hint="default" w:eastAsia="宋体" w:cs="Times New Roman"/>
                <w:snapToGrid w:val="0"/>
                <w:color w:val="auto"/>
                <w:kern w:val="0"/>
                <w:highlight w:val="none"/>
                <w:lang w:val="en-US" w:eastAsia="zh-CN"/>
              </w:rPr>
            </w:pPr>
            <w:r>
              <w:rPr>
                <w:rFonts w:hint="eastAsia" w:cs="Times New Roman"/>
                <w:snapToGrid w:val="0"/>
                <w:color w:val="auto"/>
                <w:kern w:val="0"/>
                <w:highlight w:val="none"/>
                <w:lang w:val="en-US" w:eastAsia="zh-CN"/>
              </w:rPr>
              <w:t>229.1</w:t>
            </w:r>
          </w:p>
        </w:tc>
        <w:tc>
          <w:tcPr>
            <w:tcW w:w="603" w:type="pct"/>
            <w:vAlign w:val="center"/>
          </w:tcPr>
          <w:p w14:paraId="4A9AB567">
            <w:pPr>
              <w:pStyle w:val="73"/>
              <w:rPr>
                <w:rFonts w:hint="default" w:eastAsia="宋体" w:cs="Times New Roman"/>
                <w:snapToGrid w:val="0"/>
                <w:color w:val="auto"/>
                <w:kern w:val="0"/>
                <w:highlight w:val="none"/>
                <w:lang w:val="en-US" w:eastAsia="zh-CN"/>
              </w:rPr>
            </w:pPr>
            <w:r>
              <w:rPr>
                <w:rFonts w:hint="eastAsia" w:cs="Times New Roman"/>
                <w:snapToGrid w:val="0"/>
                <w:color w:val="auto"/>
                <w:kern w:val="0"/>
                <w:highlight w:val="none"/>
                <w:lang w:val="en-US" w:eastAsia="zh-CN"/>
              </w:rPr>
              <w:t>1.92</w:t>
            </w:r>
          </w:p>
        </w:tc>
        <w:tc>
          <w:tcPr>
            <w:tcW w:w="846" w:type="pct"/>
            <w:vAlign w:val="center"/>
          </w:tcPr>
          <w:p w14:paraId="512A5362">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1.6</w:t>
            </w:r>
          </w:p>
        </w:tc>
        <w:tc>
          <w:tcPr>
            <w:tcW w:w="837" w:type="pct"/>
            <w:vAlign w:val="center"/>
          </w:tcPr>
          <w:p w14:paraId="26DD9F40">
            <w:pPr>
              <w:pStyle w:val="73"/>
              <w:rPr>
                <w:rFonts w:hint="default" w:cs="Times New Roman"/>
                <w:snapToGrid w:val="0"/>
                <w:color w:val="auto"/>
                <w:highlight w:val="none"/>
                <w:lang w:val="en-US" w:eastAsia="zh-CN"/>
              </w:rPr>
            </w:pPr>
            <w:r>
              <w:rPr>
                <w:rFonts w:hint="eastAsia" w:cs="Times New Roman"/>
                <w:snapToGrid w:val="0"/>
                <w:color w:val="auto"/>
                <w:highlight w:val="none"/>
                <w:lang w:val="en-US" w:eastAsia="zh-CN"/>
              </w:rPr>
              <w:t>8.075</w:t>
            </w:r>
          </w:p>
        </w:tc>
        <w:tc>
          <w:tcPr>
            <w:tcW w:w="1025" w:type="pct"/>
            <w:vAlign w:val="center"/>
          </w:tcPr>
          <w:p w14:paraId="177B5D2F">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240.695</w:t>
            </w:r>
          </w:p>
        </w:tc>
      </w:tr>
      <w:tr w14:paraId="602118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933" w:type="pct"/>
            <w:vAlign w:val="center"/>
          </w:tcPr>
          <w:p w14:paraId="74986348">
            <w:pPr>
              <w:adjustRightInd/>
              <w:snapToGrid/>
              <w:spacing w:line="240" w:lineRule="auto"/>
              <w:ind w:firstLine="0" w:firstLineChars="0"/>
              <w:jc w:val="center"/>
              <w:rPr>
                <w:rFonts w:cs="Times New Roman"/>
                <w:snapToGrid w:val="0"/>
                <w:color w:val="auto"/>
                <w:kern w:val="0"/>
                <w:sz w:val="21"/>
                <w:highlight w:val="none"/>
                <w:lang w:val="zh-CN"/>
              </w:rPr>
            </w:pPr>
            <w:bookmarkStart w:id="117" w:name="_Hlk524520380"/>
            <w:r>
              <w:rPr>
                <w:rFonts w:cs="Times New Roman"/>
                <w:snapToGrid w:val="0"/>
                <w:color w:val="auto"/>
                <w:kern w:val="0"/>
                <w:sz w:val="21"/>
                <w:highlight w:val="none"/>
                <w:lang w:val="zh-CN"/>
              </w:rPr>
              <w:t>年废水量（t/a）</w:t>
            </w:r>
          </w:p>
        </w:tc>
        <w:tc>
          <w:tcPr>
            <w:tcW w:w="754" w:type="pct"/>
            <w:vAlign w:val="center"/>
          </w:tcPr>
          <w:p w14:paraId="3CE8015C">
            <w:pPr>
              <w:pStyle w:val="73"/>
              <w:rPr>
                <w:rFonts w:hint="default" w:eastAsia="等线" w:cs="Times New Roman"/>
                <w:snapToGrid w:val="0"/>
                <w:color w:val="auto"/>
                <w:kern w:val="0"/>
                <w:highlight w:val="none"/>
                <w:lang w:val="en-US" w:eastAsia="zh-CN"/>
              </w:rPr>
            </w:pPr>
            <w:r>
              <w:rPr>
                <w:rFonts w:hint="eastAsia" w:eastAsia="等线" w:cs="Times New Roman"/>
                <w:snapToGrid w:val="0"/>
                <w:color w:val="auto"/>
                <w:kern w:val="0"/>
                <w:highlight w:val="none"/>
                <w:lang w:val="en-US" w:eastAsia="zh-CN"/>
              </w:rPr>
              <w:t>68730</w:t>
            </w:r>
          </w:p>
        </w:tc>
        <w:tc>
          <w:tcPr>
            <w:tcW w:w="603" w:type="pct"/>
            <w:vAlign w:val="center"/>
          </w:tcPr>
          <w:p w14:paraId="2A86C924">
            <w:pPr>
              <w:pStyle w:val="73"/>
              <w:rPr>
                <w:rFonts w:hint="default" w:eastAsia="等线" w:cs="Times New Roman"/>
                <w:snapToGrid w:val="0"/>
                <w:color w:val="auto"/>
                <w:kern w:val="0"/>
                <w:highlight w:val="none"/>
                <w:lang w:val="en-US" w:eastAsia="zh-CN"/>
              </w:rPr>
            </w:pPr>
            <w:r>
              <w:rPr>
                <w:rFonts w:hint="eastAsia" w:eastAsia="等线" w:cs="Times New Roman"/>
                <w:snapToGrid w:val="0"/>
                <w:color w:val="auto"/>
                <w:kern w:val="0"/>
                <w:highlight w:val="none"/>
                <w:lang w:val="en-US" w:eastAsia="zh-CN"/>
              </w:rPr>
              <w:t>576</w:t>
            </w:r>
          </w:p>
        </w:tc>
        <w:tc>
          <w:tcPr>
            <w:tcW w:w="846" w:type="pct"/>
            <w:vAlign w:val="center"/>
          </w:tcPr>
          <w:p w14:paraId="193EB5B7">
            <w:pPr>
              <w:pStyle w:val="73"/>
              <w:rPr>
                <w:rFonts w:hint="default" w:eastAsia="等线" w:cs="Times New Roman"/>
                <w:snapToGrid w:val="0"/>
                <w:color w:val="auto"/>
                <w:highlight w:val="none"/>
                <w:lang w:val="en-US" w:eastAsia="zh-CN"/>
              </w:rPr>
            </w:pPr>
            <w:r>
              <w:rPr>
                <w:rFonts w:hint="eastAsia" w:eastAsia="等线" w:cs="Times New Roman"/>
                <w:snapToGrid w:val="0"/>
                <w:color w:val="auto"/>
                <w:highlight w:val="none"/>
                <w:lang w:val="en-US" w:eastAsia="zh-CN"/>
              </w:rPr>
              <w:t>480</w:t>
            </w:r>
          </w:p>
        </w:tc>
        <w:tc>
          <w:tcPr>
            <w:tcW w:w="837" w:type="pct"/>
            <w:vAlign w:val="center"/>
          </w:tcPr>
          <w:p w14:paraId="1634F730">
            <w:pPr>
              <w:pStyle w:val="73"/>
              <w:rPr>
                <w:rFonts w:hint="default" w:eastAsia="等线" w:cs="Times New Roman"/>
                <w:snapToGrid w:val="0"/>
                <w:color w:val="auto"/>
                <w:highlight w:val="none"/>
                <w:lang w:val="en-US" w:eastAsia="zh-CN"/>
              </w:rPr>
            </w:pPr>
            <w:r>
              <w:rPr>
                <w:rFonts w:hint="eastAsia" w:eastAsia="等线" w:cs="Times New Roman"/>
                <w:snapToGrid w:val="0"/>
                <w:color w:val="auto"/>
                <w:highlight w:val="none"/>
                <w:lang w:val="en-US" w:eastAsia="zh-CN"/>
              </w:rPr>
              <w:t>2422.5</w:t>
            </w:r>
          </w:p>
        </w:tc>
        <w:tc>
          <w:tcPr>
            <w:tcW w:w="1025" w:type="pct"/>
            <w:vAlign w:val="center"/>
          </w:tcPr>
          <w:p w14:paraId="7C5A03EC">
            <w:pPr>
              <w:pStyle w:val="73"/>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72208.5</w:t>
            </w:r>
          </w:p>
        </w:tc>
      </w:tr>
      <w:bookmarkEnd w:id="113"/>
      <w:bookmarkEnd w:id="116"/>
      <w:bookmarkEnd w:id="117"/>
    </w:tbl>
    <w:p w14:paraId="3AC213CF">
      <w:pPr>
        <w:keepNext w:val="0"/>
        <w:keepLines w:val="0"/>
        <w:pageBreakBefore w:val="0"/>
        <w:widowControl w:val="0"/>
        <w:kinsoku/>
        <w:wordWrap/>
        <w:overflowPunct/>
        <w:topLinePunct w:val="0"/>
        <w:autoSpaceDE/>
        <w:autoSpaceDN/>
        <w:bidi w:val="0"/>
        <w:spacing w:line="240" w:lineRule="auto"/>
        <w:ind w:left="0" w:firstLine="0" w:firstLineChars="0"/>
        <w:jc w:val="both"/>
        <w:textAlignment w:val="auto"/>
        <w:rPr>
          <w:rFonts w:cs="Times New Roman"/>
          <w:b/>
          <w:bCs/>
          <w:snapToGrid w:val="0"/>
          <w:color w:val="auto"/>
          <w:kern w:val="0"/>
          <w:sz w:val="21"/>
          <w:szCs w:val="21"/>
          <w:highlight w:val="none"/>
          <w:lang w:val="zh-CN"/>
        </w:rPr>
      </w:pPr>
      <w:bookmarkStart w:id="118" w:name="_Toc113078929"/>
      <w:bookmarkStart w:id="119" w:name="_Toc118087007"/>
      <w:bookmarkStart w:id="120" w:name="_Toc112420358"/>
      <w:bookmarkStart w:id="121" w:name="_Toc182022288"/>
    </w:p>
    <w:p w14:paraId="201AACF7">
      <w:pPr>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cs="Times New Roman"/>
          <w:b/>
          <w:bCs/>
          <w:snapToGrid w:val="0"/>
          <w:color w:val="auto"/>
          <w:kern w:val="0"/>
          <w:sz w:val="21"/>
          <w:szCs w:val="21"/>
          <w:highlight w:val="none"/>
          <w:lang w:val="zh-CN"/>
        </w:rPr>
      </w:pPr>
    </w:p>
    <w:p w14:paraId="4E5C1B4E">
      <w:pPr>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cs="Times New Roman"/>
          <w:b/>
          <w:bCs/>
          <w:snapToGrid w:val="0"/>
          <w:color w:val="auto"/>
          <w:kern w:val="0"/>
          <w:sz w:val="21"/>
          <w:szCs w:val="21"/>
          <w:highlight w:val="none"/>
          <w:lang w:val="zh-CN"/>
        </w:rPr>
      </w:pPr>
      <w:r>
        <w:rPr>
          <w:color w:val="auto"/>
          <w:highlight w:val="none"/>
        </w:rPr>
        <w:drawing>
          <wp:inline distT="0" distB="0" distL="114300" distR="114300">
            <wp:extent cx="5273040" cy="4568190"/>
            <wp:effectExtent l="0" t="0" r="3810" b="3810"/>
            <wp:docPr id="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
                    <pic:cNvPicPr>
                      <a:picLocks noChangeAspect="1"/>
                    </pic:cNvPicPr>
                  </pic:nvPicPr>
                  <pic:blipFill>
                    <a:blip r:embed="rId24"/>
                    <a:stretch>
                      <a:fillRect/>
                    </a:stretch>
                  </pic:blipFill>
                  <pic:spPr>
                    <a:xfrm>
                      <a:off x="0" y="0"/>
                      <a:ext cx="5273040" cy="4568190"/>
                    </a:xfrm>
                    <a:prstGeom prst="rect">
                      <a:avLst/>
                    </a:prstGeom>
                    <a:noFill/>
                    <a:ln>
                      <a:noFill/>
                    </a:ln>
                  </pic:spPr>
                </pic:pic>
              </a:graphicData>
            </a:graphic>
          </wp:inline>
        </w:drawing>
      </w:r>
    </w:p>
    <w:p w14:paraId="37EF9A70">
      <w:pPr>
        <w:keepNext w:val="0"/>
        <w:keepLines w:val="0"/>
        <w:pageBreakBefore w:val="0"/>
        <w:widowControl w:val="0"/>
        <w:kinsoku/>
        <w:wordWrap/>
        <w:overflowPunct/>
        <w:topLinePunct w:val="0"/>
        <w:autoSpaceDE/>
        <w:autoSpaceDN/>
        <w:bidi w:val="0"/>
        <w:spacing w:line="240" w:lineRule="auto"/>
        <w:ind w:left="0" w:firstLine="0" w:firstLineChars="0"/>
        <w:jc w:val="both"/>
        <w:textAlignment w:val="auto"/>
        <w:rPr>
          <w:rFonts w:cs="Times New Roman"/>
          <w:b/>
          <w:bCs/>
          <w:snapToGrid w:val="0"/>
          <w:color w:val="auto"/>
          <w:kern w:val="0"/>
          <w:sz w:val="21"/>
          <w:szCs w:val="21"/>
          <w:highlight w:val="none"/>
          <w:lang w:val="zh-CN"/>
        </w:rPr>
      </w:pPr>
    </w:p>
    <w:p w14:paraId="1095147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cs="Times New Roman"/>
          <w:snapToGrid w:val="0"/>
          <w:color w:val="auto"/>
          <w:kern w:val="0"/>
          <w:highlight w:val="none"/>
        </w:rPr>
      </w:pPr>
      <w:r>
        <w:rPr>
          <w:rFonts w:cs="Times New Roman"/>
          <w:b/>
          <w:bCs/>
          <w:snapToGrid w:val="0"/>
          <w:color w:val="auto"/>
          <w:kern w:val="0"/>
          <w:sz w:val="21"/>
          <w:szCs w:val="21"/>
          <w:highlight w:val="none"/>
          <w:lang w:val="zh-CN"/>
        </w:rPr>
        <w:t>图3-2-1</w:t>
      </w:r>
      <w:r>
        <w:rPr>
          <w:rFonts w:cs="Times New Roman"/>
          <w:b/>
          <w:bCs/>
          <w:snapToGrid w:val="0"/>
          <w:color w:val="auto"/>
          <w:kern w:val="0"/>
          <w:sz w:val="21"/>
          <w:szCs w:val="21"/>
          <w:highlight w:val="none"/>
        </w:rPr>
        <w:t xml:space="preserve">  </w:t>
      </w:r>
      <w:r>
        <w:rPr>
          <w:rFonts w:cs="Times New Roman"/>
          <w:b/>
          <w:bCs/>
          <w:snapToGrid w:val="0"/>
          <w:color w:val="auto"/>
          <w:kern w:val="0"/>
          <w:sz w:val="21"/>
          <w:szCs w:val="21"/>
          <w:highlight w:val="none"/>
          <w:lang w:val="zh-CN"/>
        </w:rPr>
        <w:t>水平衡图（单位：t/d）</w:t>
      </w:r>
    </w:p>
    <w:p w14:paraId="76EEF47D">
      <w:pPr>
        <w:keepNext w:val="0"/>
        <w:keepLines w:val="0"/>
        <w:pageBreakBefore w:val="0"/>
        <w:widowControl w:val="0"/>
        <w:kinsoku/>
        <w:wordWrap/>
        <w:overflowPunct/>
        <w:topLinePunct w:val="0"/>
        <w:autoSpaceDE/>
        <w:autoSpaceDN/>
        <w:bidi w:val="0"/>
        <w:spacing w:line="240" w:lineRule="auto"/>
        <w:ind w:left="0" w:firstLine="0" w:firstLineChars="0"/>
        <w:textAlignment w:val="auto"/>
        <w:rPr>
          <w:rFonts w:cs="Times New Roman"/>
          <w:b/>
          <w:bCs/>
          <w:snapToGrid w:val="0"/>
          <w:color w:val="auto"/>
          <w:kern w:val="0"/>
          <w:sz w:val="21"/>
          <w:szCs w:val="21"/>
          <w:highlight w:val="none"/>
          <w:lang w:val="zh-CN"/>
        </w:rPr>
      </w:pPr>
    </w:p>
    <w:p w14:paraId="1A14C009">
      <w:pPr>
        <w:pStyle w:val="4"/>
        <w:spacing w:after="156"/>
        <w:rPr>
          <w:rFonts w:cs="Times New Roman"/>
          <w:color w:val="auto"/>
          <w:highlight w:val="none"/>
        </w:rPr>
      </w:pPr>
      <w:bookmarkStart w:id="122" w:name="_Toc2515"/>
      <w:r>
        <w:rPr>
          <w:rFonts w:cs="Times New Roman"/>
          <w:color w:val="auto"/>
          <w:highlight w:val="none"/>
        </w:rPr>
        <w:t>3.2.3供电工程</w:t>
      </w:r>
      <w:bookmarkEnd w:id="118"/>
      <w:bookmarkEnd w:id="119"/>
      <w:bookmarkEnd w:id="120"/>
      <w:bookmarkEnd w:id="121"/>
      <w:bookmarkEnd w:id="122"/>
    </w:p>
    <w:p w14:paraId="33B63DAA">
      <w:pPr>
        <w:rPr>
          <w:rFonts w:cs="Times New Roman"/>
          <w:snapToGrid w:val="0"/>
          <w:color w:val="auto"/>
          <w:kern w:val="0"/>
          <w:highlight w:val="none"/>
        </w:rPr>
      </w:pPr>
      <w:r>
        <w:rPr>
          <w:rFonts w:cs="Times New Roman"/>
          <w:snapToGrid w:val="0"/>
          <w:color w:val="auto"/>
          <w:kern w:val="0"/>
          <w:highlight w:val="none"/>
        </w:rPr>
        <w:t>本项目运营期供电由市政供电电网提供。</w:t>
      </w:r>
    </w:p>
    <w:p w14:paraId="2591AC38">
      <w:pPr>
        <w:pStyle w:val="4"/>
        <w:spacing w:after="156"/>
        <w:rPr>
          <w:rFonts w:cs="Times New Roman"/>
          <w:color w:val="auto"/>
          <w:highlight w:val="none"/>
        </w:rPr>
      </w:pPr>
      <w:bookmarkStart w:id="123" w:name="_Toc12951"/>
      <w:r>
        <w:rPr>
          <w:rFonts w:cs="Times New Roman"/>
          <w:color w:val="auto"/>
          <w:highlight w:val="none"/>
        </w:rPr>
        <w:t>3.2.4供热工程</w:t>
      </w:r>
      <w:bookmarkEnd w:id="123"/>
    </w:p>
    <w:p w14:paraId="0DD35936">
      <w:pPr>
        <w:pStyle w:val="447"/>
        <w:adjustRightInd w:val="0"/>
        <w:snapToGrid w:val="0"/>
        <w:ind w:firstLine="480"/>
        <w:rPr>
          <w:rFonts w:hint="default" w:ascii="Times New Roman" w:hAnsi="Times New Roman" w:eastAsia="宋体" w:cs="Times New Roman"/>
          <w:color w:val="auto"/>
          <w:highlight w:val="none"/>
          <w:lang w:val="en-US" w:eastAsia="zh-CN"/>
        </w:rPr>
      </w:pPr>
      <w:r>
        <w:rPr>
          <w:rFonts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生产无需用热，冬季取暖依托市政热网。</w:t>
      </w:r>
    </w:p>
    <w:p w14:paraId="772B23E3">
      <w:pPr>
        <w:pStyle w:val="4"/>
        <w:spacing w:after="156"/>
        <w:rPr>
          <w:rFonts w:cs="Times New Roman"/>
          <w:color w:val="auto"/>
          <w:highlight w:val="none"/>
        </w:rPr>
      </w:pPr>
      <w:bookmarkStart w:id="124" w:name="_Toc23510"/>
      <w:r>
        <w:rPr>
          <w:rFonts w:cs="Times New Roman"/>
          <w:color w:val="auto"/>
          <w:highlight w:val="none"/>
        </w:rPr>
        <w:t>3.2.5制冷工程</w:t>
      </w:r>
      <w:bookmarkEnd w:id="124"/>
    </w:p>
    <w:p w14:paraId="615A7A67">
      <w:pPr>
        <w:pStyle w:val="117"/>
        <w:adjustRightInd w:val="0"/>
        <w:snapToGrid w:val="0"/>
        <w:spacing w:line="360" w:lineRule="auto"/>
        <w:rPr>
          <w:rFonts w:cs="Times New Roman"/>
          <w:color w:val="auto"/>
          <w:highlight w:val="none"/>
        </w:rPr>
      </w:pPr>
      <w:r>
        <w:rPr>
          <w:rFonts w:cs="Times New Roman"/>
          <w:color w:val="auto"/>
          <w:highlight w:val="none"/>
        </w:rPr>
        <w:t>采用风冷的方式控制冷却排酸间</w:t>
      </w:r>
      <w:r>
        <w:rPr>
          <w:rFonts w:hint="eastAsia" w:cs="Times New Roman"/>
          <w:color w:val="auto"/>
          <w:highlight w:val="none"/>
          <w:lang w:eastAsia="zh-CN"/>
        </w:rPr>
        <w:t>、</w:t>
      </w:r>
      <w:r>
        <w:rPr>
          <w:rFonts w:hint="eastAsia" w:cs="Times New Roman"/>
          <w:color w:val="auto"/>
          <w:highlight w:val="none"/>
          <w:lang w:val="en-US" w:eastAsia="zh-CN"/>
        </w:rPr>
        <w:t>冷藏库及速冻库</w:t>
      </w:r>
      <w:r>
        <w:rPr>
          <w:rFonts w:cs="Times New Roman"/>
          <w:color w:val="auto"/>
          <w:highlight w:val="none"/>
        </w:rPr>
        <w:t>的温度，风冷机的制冷剂为R410A。排酸库温度控制在0℃~4℃，冷藏库温度控制在-18℃左右，速冻库温度控制在-35℃左右。</w:t>
      </w:r>
    </w:p>
    <w:p w14:paraId="15676602">
      <w:pPr>
        <w:keepNext/>
        <w:keepLines/>
        <w:ind w:firstLine="0" w:firstLineChars="0"/>
        <w:jc w:val="left"/>
        <w:outlineLvl w:val="1"/>
        <w:rPr>
          <w:rFonts w:eastAsia="黑体" w:cs="Times New Roman"/>
          <w:bCs/>
          <w:snapToGrid w:val="0"/>
          <w:color w:val="auto"/>
          <w:kern w:val="0"/>
          <w:sz w:val="28"/>
          <w:szCs w:val="32"/>
          <w:highlight w:val="none"/>
        </w:rPr>
      </w:pPr>
      <w:bookmarkStart w:id="125" w:name="_Toc19622"/>
      <w:r>
        <w:rPr>
          <w:rFonts w:eastAsia="黑体" w:cs="Times New Roman"/>
          <w:bCs/>
          <w:snapToGrid w:val="0"/>
          <w:color w:val="auto"/>
          <w:kern w:val="0"/>
          <w:sz w:val="28"/>
          <w:szCs w:val="32"/>
          <w:highlight w:val="none"/>
        </w:rPr>
        <w:t>3.3项目生产工艺及产污环节</w:t>
      </w:r>
      <w:bookmarkEnd w:id="125"/>
    </w:p>
    <w:p w14:paraId="5831EA20">
      <w:pPr>
        <w:pStyle w:val="4"/>
        <w:spacing w:after="156"/>
        <w:rPr>
          <w:rFonts w:cs="Times New Roman"/>
          <w:b/>
          <w:color w:val="auto"/>
          <w:spacing w:val="16"/>
          <w:szCs w:val="24"/>
          <w:highlight w:val="none"/>
        </w:rPr>
      </w:pPr>
      <w:bookmarkStart w:id="126" w:name="_Toc28418"/>
      <w:r>
        <w:rPr>
          <w:rFonts w:cs="Times New Roman"/>
          <w:color w:val="auto"/>
          <w:highlight w:val="none"/>
        </w:rPr>
        <w:t>3.3.1牛、羊屠宰加工工艺流程</w:t>
      </w:r>
      <w:bookmarkEnd w:id="126"/>
      <w:bookmarkStart w:id="127" w:name="_Toc277178428"/>
      <w:bookmarkStart w:id="128" w:name="_Toc255202294"/>
      <w:bookmarkStart w:id="129" w:name="_Toc480447664"/>
    </w:p>
    <w:p w14:paraId="0BF1DE85">
      <w:pPr>
        <w:pStyle w:val="117"/>
        <w:adjustRightInd w:val="0"/>
        <w:snapToGrid w:val="0"/>
        <w:spacing w:line="240" w:lineRule="auto"/>
        <w:ind w:firstLine="0" w:firstLineChars="0"/>
        <w:jc w:val="center"/>
        <w:rPr>
          <w:rFonts w:cs="Times New Roman"/>
          <w:snapToGrid w:val="0"/>
          <w:color w:val="auto"/>
          <w:highlight w:val="none"/>
        </w:rPr>
      </w:pPr>
      <w:r>
        <w:rPr>
          <w:color w:val="auto"/>
          <w:highlight w:val="none"/>
        </w:rPr>
        <w:drawing>
          <wp:anchor distT="0" distB="0" distL="114300" distR="114300" simplePos="0" relativeHeight="251693056" behindDoc="0" locked="0" layoutInCell="1" allowOverlap="1">
            <wp:simplePos x="0" y="0"/>
            <wp:positionH relativeFrom="column">
              <wp:posOffset>2579370</wp:posOffset>
            </wp:positionH>
            <wp:positionV relativeFrom="paragraph">
              <wp:posOffset>4858385</wp:posOffset>
            </wp:positionV>
            <wp:extent cx="1950720" cy="1214755"/>
            <wp:effectExtent l="0" t="0" r="11430" b="4445"/>
            <wp:wrapNone/>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25"/>
                    <a:stretch>
                      <a:fillRect/>
                    </a:stretch>
                  </pic:blipFill>
                  <pic:spPr>
                    <a:xfrm>
                      <a:off x="0" y="0"/>
                      <a:ext cx="1950720" cy="1214755"/>
                    </a:xfrm>
                    <a:prstGeom prst="rect">
                      <a:avLst/>
                    </a:prstGeom>
                    <a:noFill/>
                    <a:ln>
                      <a:noFill/>
                    </a:ln>
                  </pic:spPr>
                </pic:pic>
              </a:graphicData>
            </a:graphic>
          </wp:anchor>
        </w:drawing>
      </w:r>
      <w:r>
        <w:rPr>
          <w:color w:val="auto"/>
          <w:highlight w:val="none"/>
        </w:rPr>
        <w:drawing>
          <wp:anchor distT="0" distB="0" distL="114300" distR="114300" simplePos="0" relativeHeight="251689984" behindDoc="0" locked="0" layoutInCell="1" allowOverlap="1">
            <wp:simplePos x="0" y="0"/>
            <wp:positionH relativeFrom="column">
              <wp:posOffset>2133600</wp:posOffset>
            </wp:positionH>
            <wp:positionV relativeFrom="paragraph">
              <wp:posOffset>5008245</wp:posOffset>
            </wp:positionV>
            <wp:extent cx="2011045" cy="749935"/>
            <wp:effectExtent l="0" t="0" r="8255" b="12065"/>
            <wp:wrapNone/>
            <wp:docPr id="1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
                    <pic:cNvPicPr>
                      <a:picLocks noChangeAspect="1"/>
                    </pic:cNvPicPr>
                  </pic:nvPicPr>
                  <pic:blipFill>
                    <a:blip r:embed="rId26"/>
                    <a:stretch>
                      <a:fillRect/>
                    </a:stretch>
                  </pic:blipFill>
                  <pic:spPr>
                    <a:xfrm>
                      <a:off x="0" y="0"/>
                      <a:ext cx="2011045" cy="749935"/>
                    </a:xfrm>
                    <a:prstGeom prst="rect">
                      <a:avLst/>
                    </a:prstGeom>
                    <a:noFill/>
                    <a:ln>
                      <a:noFill/>
                    </a:ln>
                  </pic:spPr>
                </pic:pic>
              </a:graphicData>
            </a:graphic>
          </wp:anchor>
        </w:drawing>
      </w:r>
      <w:r>
        <w:rPr>
          <w:rFonts w:cs="Times New Roman"/>
          <w:color w:val="auto"/>
          <w:highlight w:val="none"/>
        </w:rPr>
        <w:drawing>
          <wp:inline distT="0" distB="0" distL="114300" distR="114300">
            <wp:extent cx="4230370" cy="6565265"/>
            <wp:effectExtent l="0" t="0" r="17780" b="698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7"/>
                    <a:stretch>
                      <a:fillRect/>
                    </a:stretch>
                  </pic:blipFill>
                  <pic:spPr>
                    <a:xfrm>
                      <a:off x="0" y="0"/>
                      <a:ext cx="4230370" cy="6565265"/>
                    </a:xfrm>
                    <a:prstGeom prst="rect">
                      <a:avLst/>
                    </a:prstGeom>
                    <a:noFill/>
                    <a:ln>
                      <a:noFill/>
                    </a:ln>
                  </pic:spPr>
                </pic:pic>
              </a:graphicData>
            </a:graphic>
          </wp:inline>
        </w:drawing>
      </w:r>
    </w:p>
    <w:p w14:paraId="6EB72AA3">
      <w:pPr>
        <w:pStyle w:val="66"/>
        <w:spacing w:line="240" w:lineRule="auto"/>
        <w:rPr>
          <w:rFonts w:cs="Times New Roman"/>
          <w:b/>
          <w:bCs/>
          <w:color w:val="auto"/>
          <w:spacing w:val="16"/>
          <w:szCs w:val="24"/>
          <w:highlight w:val="none"/>
        </w:rPr>
      </w:pPr>
      <w:r>
        <w:rPr>
          <w:rFonts w:eastAsia="宋体" w:cs="Times New Roman"/>
          <w:b/>
          <w:bCs/>
          <w:snapToGrid w:val="0"/>
          <w:color w:val="auto"/>
          <w:sz w:val="21"/>
          <w:szCs w:val="21"/>
          <w:highlight w:val="none"/>
        </w:rPr>
        <w:t>图3-3-1</w:t>
      </w:r>
      <w:r>
        <w:rPr>
          <w:rFonts w:eastAsia="宋体" w:cs="Times New Roman"/>
          <w:b/>
          <w:bCs/>
          <w:snapToGrid w:val="0"/>
          <w:color w:val="auto"/>
          <w:sz w:val="21"/>
          <w:szCs w:val="21"/>
          <w:highlight w:val="none"/>
          <w:lang w:val="en-US"/>
        </w:rPr>
        <w:t xml:space="preserve">  牛、羊屠宰工艺流程及排污节点图</w:t>
      </w:r>
    </w:p>
    <w:p w14:paraId="05F97E3C">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1、待宰牛圈管理</w:t>
      </w:r>
    </w:p>
    <w:p w14:paraId="49A97592">
      <w:pPr>
        <w:spacing w:line="480" w:lineRule="exact"/>
        <w:ind w:firstLine="544"/>
        <w:rPr>
          <w:rFonts w:cs="Times New Roman"/>
          <w:color w:val="auto"/>
          <w:spacing w:val="16"/>
          <w:szCs w:val="24"/>
          <w:highlight w:val="none"/>
        </w:rPr>
      </w:pPr>
      <w:r>
        <w:rPr>
          <w:rFonts w:cs="Times New Roman"/>
          <w:color w:val="auto"/>
          <w:spacing w:val="16"/>
          <w:szCs w:val="24"/>
          <w:highlight w:val="none"/>
        </w:rPr>
        <w:t>宰前处理：育肥牛羊在在屠宰前一天被运到屠宰厂，存放在待宰圈内，必须保证牛羊有充分的休息时间，使活牛、羊保持安静的状态，防止代谢机能旺盛，同时</w:t>
      </w:r>
      <w:r>
        <w:rPr>
          <w:rFonts w:cs="Times New Roman"/>
          <w:color w:val="auto"/>
          <w:spacing w:val="16"/>
          <w:szCs w:val="24"/>
          <w:highlight w:val="none"/>
        </w:rPr>
        <w:t>宰前需要至少断食</w:t>
      </w:r>
      <w:r>
        <w:rPr>
          <w:rFonts w:hint="eastAsia" w:cs="Times New Roman"/>
          <w:color w:val="auto"/>
          <w:spacing w:val="16"/>
          <w:szCs w:val="24"/>
          <w:highlight w:val="none"/>
          <w:lang w:val="en-US" w:eastAsia="zh-CN"/>
        </w:rPr>
        <w:t>断水</w:t>
      </w:r>
      <w:r>
        <w:rPr>
          <w:rFonts w:cs="Times New Roman"/>
          <w:color w:val="auto"/>
          <w:spacing w:val="16"/>
          <w:szCs w:val="24"/>
          <w:highlight w:val="none"/>
        </w:rPr>
        <w:t>12小时，</w:t>
      </w:r>
      <w:r>
        <w:rPr>
          <w:rFonts w:cs="Times New Roman"/>
          <w:color w:val="auto"/>
          <w:spacing w:val="16"/>
          <w:szCs w:val="24"/>
          <w:highlight w:val="none"/>
        </w:rPr>
        <w:t>以利于宰后达到尸僵并降低pH值，从而抑制微生物的繁殖，防止胴体被污染。该阶段主要污染物为粪便和臭气。</w:t>
      </w:r>
    </w:p>
    <w:p w14:paraId="3C780CC2">
      <w:pPr>
        <w:spacing w:line="480" w:lineRule="exact"/>
        <w:ind w:firstLine="544"/>
        <w:rPr>
          <w:rFonts w:cs="Times New Roman"/>
          <w:b/>
          <w:bCs/>
          <w:color w:val="auto"/>
          <w:spacing w:val="16"/>
          <w:szCs w:val="24"/>
          <w:highlight w:val="none"/>
        </w:rPr>
      </w:pPr>
      <w:r>
        <w:rPr>
          <w:rFonts w:cs="Times New Roman"/>
          <w:color w:val="auto"/>
          <w:spacing w:val="16"/>
          <w:szCs w:val="24"/>
          <w:highlight w:val="none"/>
        </w:rPr>
        <w:t>宰前检查：宰前检查的目的是通过检疫、检测，以控制各种疾病的传入和扩散，减少污染，维护产品质量。它包括以下三个环节：进厂检疫、候宰检疫、宰前检疫。患一般传染病和普通疾病的生牲畜送急宰间迅速宰杀；疑似病牲畜送隔离间观察：确认患有国家规定病害的活牲畜、病死牲畜和死因不明的牲畜</w:t>
      </w:r>
      <w:r>
        <w:rPr>
          <w:rFonts w:hint="eastAsia" w:cs="Times New Roman"/>
          <w:color w:val="auto"/>
          <w:spacing w:val="16"/>
          <w:szCs w:val="24"/>
          <w:highlight w:val="none"/>
          <w:lang w:val="en-US" w:eastAsia="zh-CN"/>
        </w:rPr>
        <w:t>由双鸭山百奥迈斯生物科技有限公司</w:t>
      </w:r>
      <w:r>
        <w:rPr>
          <w:rFonts w:cs="Times New Roman"/>
          <w:color w:val="auto"/>
          <w:spacing w:val="16"/>
          <w:szCs w:val="24"/>
          <w:highlight w:val="none"/>
        </w:rPr>
        <w:t>进行无害化处理。急宰间生牲畜宰杀后按规定可食用的送屠宰车间处理，不可食用的</w:t>
      </w:r>
      <w:r>
        <w:rPr>
          <w:rFonts w:hint="eastAsia" w:cs="Times New Roman"/>
          <w:color w:val="auto"/>
          <w:spacing w:val="16"/>
          <w:szCs w:val="24"/>
          <w:highlight w:val="none"/>
          <w:lang w:val="en-US" w:eastAsia="zh-CN"/>
        </w:rPr>
        <w:t>由双鸭山百奥迈斯生物科技有限公司</w:t>
      </w:r>
      <w:r>
        <w:rPr>
          <w:rFonts w:cs="Times New Roman"/>
          <w:color w:val="auto"/>
          <w:spacing w:val="16"/>
          <w:szCs w:val="24"/>
          <w:highlight w:val="none"/>
        </w:rPr>
        <w:t>进行无害化处理。</w:t>
      </w:r>
    </w:p>
    <w:p w14:paraId="2536D9DB">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2、冲淋</w:t>
      </w:r>
    </w:p>
    <w:p w14:paraId="5557E10B">
      <w:pPr>
        <w:spacing w:line="480" w:lineRule="exact"/>
        <w:ind w:firstLine="544"/>
        <w:rPr>
          <w:rFonts w:cs="Times New Roman"/>
          <w:color w:val="auto"/>
          <w:spacing w:val="16"/>
          <w:szCs w:val="24"/>
          <w:highlight w:val="none"/>
        </w:rPr>
      </w:pPr>
      <w:r>
        <w:rPr>
          <w:rFonts w:cs="Times New Roman"/>
          <w:color w:val="auto"/>
          <w:spacing w:val="16"/>
          <w:szCs w:val="24"/>
          <w:highlight w:val="none"/>
        </w:rPr>
        <w:t>待宰牛</w:t>
      </w:r>
      <w:r>
        <w:rPr>
          <w:rFonts w:hint="eastAsia" w:cs="Times New Roman"/>
          <w:color w:val="auto"/>
          <w:spacing w:val="16"/>
          <w:szCs w:val="24"/>
          <w:highlight w:val="none"/>
          <w:lang w:eastAsia="zh-CN"/>
        </w:rPr>
        <w:t>、</w:t>
      </w:r>
      <w:r>
        <w:rPr>
          <w:rFonts w:hint="eastAsia" w:cs="Times New Roman"/>
          <w:color w:val="auto"/>
          <w:spacing w:val="16"/>
          <w:szCs w:val="24"/>
          <w:highlight w:val="none"/>
          <w:lang w:val="en-US" w:eastAsia="zh-CN"/>
        </w:rPr>
        <w:t>羊</w:t>
      </w:r>
      <w:r>
        <w:rPr>
          <w:rFonts w:cs="Times New Roman"/>
          <w:color w:val="auto"/>
          <w:spacing w:val="16"/>
          <w:szCs w:val="24"/>
          <w:highlight w:val="none"/>
        </w:rPr>
        <w:t>进入屠宰车间后，首先进行称重、喷淋冲洗，宰前对畜体进行冲洗，可去掉体表污染物和细菌，以防在以后的解体分割过程中被污染且冲洗后的畜体易于导电，有利于麻电击晕。</w:t>
      </w:r>
    </w:p>
    <w:p w14:paraId="4C533E43">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3、刺杀放血</w:t>
      </w:r>
    </w:p>
    <w:p w14:paraId="003D8A9B">
      <w:pPr>
        <w:spacing w:line="480" w:lineRule="exact"/>
        <w:ind w:firstLine="544"/>
        <w:rPr>
          <w:rFonts w:hint="default" w:eastAsia="宋体" w:cs="Times New Roman"/>
          <w:color w:val="auto"/>
          <w:spacing w:val="16"/>
          <w:szCs w:val="24"/>
          <w:highlight w:val="none"/>
          <w:lang w:val="en-US" w:eastAsia="zh-CN"/>
        </w:rPr>
      </w:pPr>
      <w:r>
        <w:rPr>
          <w:rFonts w:cs="Times New Roman"/>
          <w:color w:val="auto"/>
          <w:spacing w:val="16"/>
          <w:szCs w:val="24"/>
          <w:highlight w:val="none"/>
        </w:rPr>
        <w:t>经过冲淋后的活体牛</w:t>
      </w:r>
      <w:r>
        <w:rPr>
          <w:rFonts w:hint="eastAsia" w:cs="Times New Roman"/>
          <w:color w:val="auto"/>
          <w:spacing w:val="16"/>
          <w:szCs w:val="24"/>
          <w:highlight w:val="none"/>
          <w:lang w:eastAsia="zh-CN"/>
        </w:rPr>
        <w:t>、</w:t>
      </w:r>
      <w:r>
        <w:rPr>
          <w:rFonts w:hint="eastAsia" w:cs="Times New Roman"/>
          <w:color w:val="auto"/>
          <w:spacing w:val="16"/>
          <w:szCs w:val="24"/>
          <w:highlight w:val="none"/>
          <w:lang w:val="en-US" w:eastAsia="zh-CN"/>
        </w:rPr>
        <w:t>羊</w:t>
      </w:r>
      <w:r>
        <w:rPr>
          <w:rFonts w:cs="Times New Roman"/>
          <w:color w:val="auto"/>
          <w:spacing w:val="16"/>
          <w:szCs w:val="24"/>
          <w:highlight w:val="none"/>
        </w:rPr>
        <w:t>由牵牛机牵入击晕箱内进行麻电，在箱内用麻电器将 (电压120V，电流1.0A)对牛进行5～10秒的麻电，使牛</w:t>
      </w:r>
      <w:r>
        <w:rPr>
          <w:rFonts w:hint="eastAsia" w:cs="Times New Roman"/>
          <w:color w:val="auto"/>
          <w:spacing w:val="16"/>
          <w:szCs w:val="24"/>
          <w:highlight w:val="none"/>
          <w:lang w:eastAsia="zh-CN"/>
        </w:rPr>
        <w:t>、</w:t>
      </w:r>
      <w:r>
        <w:rPr>
          <w:rFonts w:hint="eastAsia" w:cs="Times New Roman"/>
          <w:color w:val="auto"/>
          <w:spacing w:val="16"/>
          <w:szCs w:val="24"/>
          <w:highlight w:val="none"/>
          <w:lang w:val="en-US" w:eastAsia="zh-CN"/>
        </w:rPr>
        <w:t>羊</w:t>
      </w:r>
      <w:r>
        <w:rPr>
          <w:rFonts w:cs="Times New Roman"/>
          <w:color w:val="auto"/>
          <w:spacing w:val="16"/>
          <w:szCs w:val="24"/>
          <w:highlight w:val="none"/>
        </w:rPr>
        <w:t>昏倒，在致晕后提升到放血轨道上采用放血输送机刺杀放血，在放血自动输送线上主要完成的工序：上挂、刺杀、沥血等，沥血时间一般为8min</w:t>
      </w:r>
      <w:r>
        <w:rPr>
          <w:rFonts w:hint="eastAsia" w:cs="Times New Roman"/>
          <w:color w:val="auto"/>
          <w:spacing w:val="16"/>
          <w:szCs w:val="24"/>
          <w:highlight w:val="none"/>
          <w:lang w:eastAsia="zh-CN"/>
        </w:rPr>
        <w:t>，</w:t>
      </w:r>
      <w:r>
        <w:rPr>
          <w:rFonts w:hint="eastAsia" w:cs="Times New Roman"/>
          <w:color w:val="auto"/>
          <w:spacing w:val="16"/>
          <w:szCs w:val="24"/>
          <w:highlight w:val="none"/>
          <w:lang w:val="en-US" w:eastAsia="zh-CN"/>
        </w:rPr>
        <w:t>牛、羊血由输送线下方配套的不锈钢</w:t>
      </w:r>
      <w:r>
        <w:rPr>
          <w:rFonts w:cs="Times New Roman"/>
          <w:color w:val="auto"/>
          <w:spacing w:val="16"/>
          <w:szCs w:val="24"/>
          <w:highlight w:val="none"/>
        </w:rPr>
        <w:t>沥</w:t>
      </w:r>
      <w:r>
        <w:rPr>
          <w:rFonts w:hint="eastAsia" w:cs="Times New Roman"/>
          <w:color w:val="auto"/>
          <w:spacing w:val="16"/>
          <w:szCs w:val="24"/>
          <w:highlight w:val="none"/>
          <w:lang w:val="en-US" w:eastAsia="zh-CN"/>
        </w:rPr>
        <w:t>血槽收集，作为产品外售。</w:t>
      </w:r>
    </w:p>
    <w:p w14:paraId="1CCBBE07">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4、去头、剥皮</w:t>
      </w:r>
    </w:p>
    <w:p w14:paraId="4D086971">
      <w:pPr>
        <w:spacing w:line="480" w:lineRule="exact"/>
        <w:ind w:firstLine="544"/>
        <w:rPr>
          <w:rFonts w:cs="Times New Roman"/>
          <w:color w:val="auto"/>
          <w:spacing w:val="16"/>
          <w:szCs w:val="24"/>
          <w:highlight w:val="none"/>
        </w:rPr>
      </w:pPr>
      <w:r>
        <w:rPr>
          <w:rFonts w:cs="Times New Roman"/>
          <w:color w:val="auto"/>
          <w:spacing w:val="16"/>
          <w:szCs w:val="24"/>
          <w:highlight w:val="none"/>
        </w:rPr>
        <w:t>放血后的工序依次进行剥头皮、编号、去头、剥前小腿皮、去前蹄、剥后小腿皮、去后蹄、剥臀皮、尾皮、剥胸皮、颈皮、扯皮。</w:t>
      </w:r>
    </w:p>
    <w:p w14:paraId="52659370">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5、胴体加工</w:t>
      </w:r>
    </w:p>
    <w:p w14:paraId="1B319D76">
      <w:pPr>
        <w:spacing w:line="480" w:lineRule="exact"/>
        <w:ind w:firstLine="544"/>
        <w:rPr>
          <w:rFonts w:cs="Times New Roman"/>
          <w:color w:val="auto"/>
          <w:spacing w:val="16"/>
          <w:szCs w:val="24"/>
          <w:highlight w:val="none"/>
        </w:rPr>
      </w:pPr>
      <w:r>
        <w:rPr>
          <w:rFonts w:cs="Times New Roman"/>
          <w:color w:val="auto"/>
          <w:spacing w:val="16"/>
          <w:szCs w:val="24"/>
          <w:highlight w:val="none"/>
        </w:rPr>
        <w:t>开膛取内脏是较为关键的工序，要求腹部开口平滑居中，且不能伤及内脏，以保证内脏的完整性。用利刃沿牛</w:t>
      </w:r>
      <w:r>
        <w:rPr>
          <w:rFonts w:hint="eastAsia" w:cs="Times New Roman"/>
          <w:color w:val="auto"/>
          <w:spacing w:val="16"/>
          <w:szCs w:val="24"/>
          <w:highlight w:val="none"/>
          <w:lang w:eastAsia="zh-CN"/>
        </w:rPr>
        <w:t>、</w:t>
      </w:r>
      <w:r>
        <w:rPr>
          <w:rFonts w:hint="eastAsia" w:cs="Times New Roman"/>
          <w:color w:val="auto"/>
          <w:spacing w:val="16"/>
          <w:szCs w:val="24"/>
          <w:highlight w:val="none"/>
          <w:lang w:val="en-US" w:eastAsia="zh-CN"/>
        </w:rPr>
        <w:t>羊</w:t>
      </w:r>
      <w:r>
        <w:rPr>
          <w:rFonts w:cs="Times New Roman"/>
          <w:color w:val="auto"/>
          <w:spacing w:val="16"/>
          <w:szCs w:val="24"/>
          <w:highlight w:val="none"/>
        </w:rPr>
        <w:t>正中间由头至尾部划开，将牛</w:t>
      </w:r>
      <w:r>
        <w:rPr>
          <w:rFonts w:hint="eastAsia" w:cs="Times New Roman"/>
          <w:color w:val="auto"/>
          <w:spacing w:val="16"/>
          <w:szCs w:val="24"/>
          <w:highlight w:val="none"/>
          <w:lang w:eastAsia="zh-CN"/>
        </w:rPr>
        <w:t>、</w:t>
      </w:r>
      <w:r>
        <w:rPr>
          <w:rFonts w:hint="eastAsia" w:cs="Times New Roman"/>
          <w:color w:val="auto"/>
          <w:spacing w:val="16"/>
          <w:szCs w:val="24"/>
          <w:highlight w:val="none"/>
          <w:lang w:val="en-US" w:eastAsia="zh-CN"/>
        </w:rPr>
        <w:t>羊</w:t>
      </w:r>
      <w:r>
        <w:rPr>
          <w:rFonts w:cs="Times New Roman"/>
          <w:color w:val="auto"/>
          <w:spacing w:val="16"/>
          <w:szCs w:val="24"/>
          <w:highlight w:val="none"/>
        </w:rPr>
        <w:t>体内的红白内脏全部取出。胴体进行修整，修整后进入轨道电子秤进行胴体的称重。根据称重的结果进行分级盖章。</w:t>
      </w:r>
    </w:p>
    <w:p w14:paraId="05282146">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6、同步卫检</w:t>
      </w:r>
    </w:p>
    <w:p w14:paraId="6A9D18F7">
      <w:pPr>
        <w:spacing w:line="480" w:lineRule="exact"/>
        <w:ind w:firstLine="544"/>
        <w:rPr>
          <w:rFonts w:cs="Times New Roman"/>
          <w:color w:val="auto"/>
          <w:spacing w:val="16"/>
          <w:szCs w:val="24"/>
          <w:highlight w:val="none"/>
        </w:rPr>
      </w:pPr>
      <w:r>
        <w:rPr>
          <w:rFonts w:cs="Times New Roman"/>
          <w:color w:val="auto"/>
          <w:spacing w:val="16"/>
          <w:szCs w:val="24"/>
          <w:highlight w:val="none"/>
        </w:rPr>
        <w:t>胴体、白内脏、红内脏通过同步卫检线输送到检验区采样检验。检验不合格的可疑病胴体，通过道岔进入可疑病胴体轨道，进行复检，确定有病的胴体进入病体轨道线，取下有病胴体放入封闭的车内拉出屠宰车间处理。检验不合格的白内脏，从同步卫检线的托盘内取出，放入封闭的车内拉出屠宰车间处理；检验不合格的红内脏，从同步卫检线的挂钩上取下来，放入封闭的车内拉出屠宰车间处理。同步卫检线上的红内脏挂钩和白内脏托盘自动通过冷-热-冷水的清洗和消毒。</w:t>
      </w:r>
    </w:p>
    <w:p w14:paraId="74903713">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7、副产品加工</w:t>
      </w:r>
    </w:p>
    <w:p w14:paraId="5D93A559">
      <w:pPr>
        <w:spacing w:line="480" w:lineRule="exact"/>
        <w:ind w:firstLine="544"/>
        <w:rPr>
          <w:rFonts w:cs="Times New Roman"/>
          <w:color w:val="auto"/>
          <w:spacing w:val="16"/>
          <w:szCs w:val="24"/>
          <w:highlight w:val="none"/>
        </w:rPr>
      </w:pPr>
      <w:r>
        <w:rPr>
          <w:rFonts w:cs="Times New Roman"/>
          <w:color w:val="auto"/>
          <w:spacing w:val="16"/>
          <w:szCs w:val="24"/>
          <w:highlight w:val="none"/>
        </w:rPr>
        <w:t>合格的白内脏通过白内脏滑槽进入白内脏加工间，牛肚有洗牛肚机进行烫洗。将清洗后的肠、肚整理包装入冷藏库或保鲜库，分类存放，待售。</w:t>
      </w:r>
    </w:p>
    <w:p w14:paraId="5422F7B3">
      <w:pPr>
        <w:spacing w:line="480" w:lineRule="exact"/>
        <w:ind w:firstLine="544"/>
        <w:rPr>
          <w:rFonts w:cs="Times New Roman"/>
          <w:color w:val="auto"/>
          <w:spacing w:val="16"/>
          <w:szCs w:val="24"/>
          <w:highlight w:val="none"/>
        </w:rPr>
      </w:pPr>
      <w:r>
        <w:rPr>
          <w:rFonts w:cs="Times New Roman"/>
          <w:color w:val="auto"/>
          <w:spacing w:val="16"/>
          <w:szCs w:val="24"/>
          <w:highlight w:val="none"/>
        </w:rPr>
        <w:t>合格的红内脏通过红内脏滑槽进入红内脏加工间，将心、肝、肺清洗后，整理包装入冷藏库或保鲜库，分类存放，待售。</w:t>
      </w:r>
    </w:p>
    <w:p w14:paraId="43B4E790">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8、胴体排酸</w:t>
      </w:r>
    </w:p>
    <w:p w14:paraId="45AB76E8">
      <w:pPr>
        <w:spacing w:line="480" w:lineRule="exact"/>
        <w:ind w:firstLine="544"/>
        <w:rPr>
          <w:rFonts w:cs="Times New Roman"/>
          <w:color w:val="auto"/>
          <w:spacing w:val="16"/>
          <w:szCs w:val="24"/>
          <w:highlight w:val="none"/>
        </w:rPr>
      </w:pPr>
      <w:r>
        <w:rPr>
          <w:rFonts w:cs="Times New Roman"/>
          <w:color w:val="auto"/>
          <w:spacing w:val="16"/>
          <w:szCs w:val="24"/>
          <w:highlight w:val="none"/>
        </w:rPr>
        <w:t>将修割、冲洗后的胴体，</w:t>
      </w:r>
      <w:r>
        <w:rPr>
          <w:rFonts w:hint="eastAsia" w:cs="Times New Roman"/>
          <w:color w:val="auto"/>
          <w:spacing w:val="16"/>
          <w:szCs w:val="24"/>
          <w:highlight w:val="none"/>
          <w:lang w:val="en-US" w:eastAsia="zh-CN"/>
        </w:rPr>
        <w:t>少</w:t>
      </w:r>
      <w:r>
        <w:rPr>
          <w:rFonts w:cs="Times New Roman"/>
          <w:color w:val="auto"/>
          <w:spacing w:val="16"/>
          <w:szCs w:val="24"/>
          <w:highlight w:val="none"/>
        </w:rPr>
        <w:t>部分直接在当地鲜销，</w:t>
      </w:r>
      <w:r>
        <w:rPr>
          <w:rFonts w:hint="eastAsia" w:cs="Times New Roman"/>
          <w:color w:val="auto"/>
          <w:spacing w:val="16"/>
          <w:szCs w:val="24"/>
          <w:highlight w:val="none"/>
          <w:lang w:val="en-US" w:eastAsia="zh-CN"/>
        </w:rPr>
        <w:t>大</w:t>
      </w:r>
      <w:r>
        <w:rPr>
          <w:rFonts w:cs="Times New Roman"/>
          <w:color w:val="auto"/>
          <w:spacing w:val="16"/>
          <w:szCs w:val="24"/>
          <w:highlight w:val="none"/>
        </w:rPr>
        <w:t>部分</w:t>
      </w:r>
      <w:r>
        <w:rPr>
          <w:rFonts w:hint="eastAsia" w:cs="Times New Roman"/>
          <w:color w:val="auto"/>
          <w:spacing w:val="16"/>
          <w:szCs w:val="24"/>
          <w:highlight w:val="none"/>
          <w:lang w:val="en-US" w:eastAsia="zh-CN"/>
        </w:rPr>
        <w:t>牛胴体</w:t>
      </w:r>
      <w:r>
        <w:rPr>
          <w:rFonts w:cs="Times New Roman"/>
          <w:color w:val="auto"/>
          <w:spacing w:val="16"/>
          <w:szCs w:val="24"/>
          <w:highlight w:val="none"/>
        </w:rPr>
        <w:t>进排酸间进行“排酸”，这是牛肉冷分割工艺的一重要环节</w:t>
      </w:r>
      <w:r>
        <w:rPr>
          <w:rFonts w:hint="eastAsia" w:cs="Times New Roman"/>
          <w:color w:val="auto"/>
          <w:spacing w:val="16"/>
          <w:szCs w:val="24"/>
          <w:highlight w:val="none"/>
          <w:lang w:eastAsia="zh-CN"/>
        </w:rPr>
        <w:t>，</w:t>
      </w:r>
      <w:r>
        <w:rPr>
          <w:i w:val="0"/>
          <w:iCs w:val="0"/>
          <w:color w:val="auto"/>
          <w:sz w:val="24"/>
          <w:highlight w:val="none"/>
        </w:rPr>
        <w:t>排酸的目的主要是利用牛肉中所含的各种分解酶的作用，使游离氨基酸、游离脂肪酸、次黄嘌呤核苷酸等与风味有关的成分在肌肉中蓄积，从而改进牛肉的质量，使牛肉色泽变好，风味变佳，柔软细嫩。</w:t>
      </w:r>
      <w:r>
        <w:rPr>
          <w:rFonts w:cs="Times New Roman"/>
          <w:color w:val="auto"/>
          <w:spacing w:val="16"/>
          <w:szCs w:val="24"/>
          <w:highlight w:val="none"/>
        </w:rPr>
        <w:t>排酸间的温度为0～4℃，排酸时间为48～72小时</w:t>
      </w:r>
      <w:r>
        <w:rPr>
          <w:rFonts w:hint="eastAsia" w:cs="Times New Roman"/>
          <w:color w:val="auto"/>
          <w:spacing w:val="16"/>
          <w:szCs w:val="24"/>
          <w:highlight w:val="none"/>
          <w:lang w:eastAsia="zh-CN"/>
        </w:rPr>
        <w:t>，</w:t>
      </w:r>
      <w:r>
        <w:rPr>
          <w:rFonts w:cs="Times New Roman"/>
          <w:color w:val="auto"/>
          <w:spacing w:val="16"/>
          <w:szCs w:val="24"/>
          <w:highlight w:val="none"/>
        </w:rPr>
        <w:t>使大多数微生物的生长繁殖受到抑制，肉毒梭菌和金黄色葡萄球菌等不再分泌毒素，肉中的酶发生作用，将部分蛋白质分解成氨基酸，同时排空血液及占体重18-20%的体液。</w:t>
      </w:r>
    </w:p>
    <w:p w14:paraId="20A7036C">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9、剔骨分割</w:t>
      </w:r>
    </w:p>
    <w:p w14:paraId="4B1C2E66">
      <w:pPr>
        <w:spacing w:line="480" w:lineRule="exact"/>
        <w:ind w:firstLine="544"/>
        <w:rPr>
          <w:rFonts w:cs="Times New Roman"/>
          <w:color w:val="auto"/>
          <w:spacing w:val="16"/>
          <w:szCs w:val="24"/>
          <w:highlight w:val="none"/>
        </w:rPr>
      </w:pPr>
      <w:r>
        <w:rPr>
          <w:rFonts w:cs="Times New Roman"/>
          <w:color w:val="auto"/>
          <w:spacing w:val="16"/>
          <w:szCs w:val="24"/>
          <w:highlight w:val="none"/>
        </w:rPr>
        <w:t>排酸后的胴体进入分割车间，通过机械设备将胴体分割成四分体后，进行人工剔骨，并按要求分割成部位肉。</w:t>
      </w:r>
    </w:p>
    <w:p w14:paraId="10AABF36">
      <w:pPr>
        <w:spacing w:line="480" w:lineRule="exact"/>
        <w:ind w:firstLine="546"/>
        <w:rPr>
          <w:rFonts w:cs="Times New Roman"/>
          <w:b/>
          <w:bCs/>
          <w:color w:val="auto"/>
          <w:spacing w:val="16"/>
          <w:szCs w:val="24"/>
          <w:highlight w:val="none"/>
        </w:rPr>
      </w:pPr>
      <w:r>
        <w:rPr>
          <w:rFonts w:cs="Times New Roman"/>
          <w:b/>
          <w:bCs/>
          <w:color w:val="auto"/>
          <w:spacing w:val="16"/>
          <w:szCs w:val="24"/>
          <w:highlight w:val="none"/>
        </w:rPr>
        <w:t>10、包装冷藏</w:t>
      </w:r>
    </w:p>
    <w:p w14:paraId="6B845E87">
      <w:pPr>
        <w:spacing w:line="480" w:lineRule="exact"/>
        <w:ind w:firstLine="544"/>
        <w:rPr>
          <w:rFonts w:cs="Times New Roman"/>
          <w:color w:val="auto"/>
          <w:spacing w:val="16"/>
          <w:szCs w:val="24"/>
          <w:highlight w:val="none"/>
        </w:rPr>
      </w:pPr>
      <w:r>
        <w:rPr>
          <w:rFonts w:cs="Times New Roman"/>
          <w:color w:val="auto"/>
          <w:spacing w:val="16"/>
          <w:szCs w:val="24"/>
          <w:highlight w:val="none"/>
        </w:rPr>
        <w:t>将分割好的肉分别存放，经称量，包装，整形入盘后进入到速冻库（-35℃）速冻后到成品冷藏库（-18℃）冷藏，待售。</w:t>
      </w:r>
    </w:p>
    <w:p w14:paraId="37D24F3D">
      <w:pPr>
        <w:pStyle w:val="4"/>
        <w:spacing w:after="156"/>
        <w:rPr>
          <w:rFonts w:eastAsia="宋体" w:cs="Times New Roman"/>
          <w:b/>
          <w:bCs/>
          <w:snapToGrid w:val="0"/>
          <w:color w:val="auto"/>
          <w:szCs w:val="24"/>
          <w:highlight w:val="none"/>
          <w:lang w:val="en-US"/>
        </w:rPr>
      </w:pPr>
      <w:bookmarkStart w:id="130" w:name="_Toc14904"/>
      <w:r>
        <w:rPr>
          <w:rFonts w:cs="Times New Roman"/>
          <w:snapToGrid w:val="0"/>
          <w:color w:val="auto"/>
          <w:highlight w:val="none"/>
        </w:rPr>
        <w:t>3.3.2物料平衡</w:t>
      </w:r>
      <w:bookmarkEnd w:id="130"/>
    </w:p>
    <w:p w14:paraId="5028647A">
      <w:pPr>
        <w:pStyle w:val="66"/>
        <w:spacing w:line="240" w:lineRule="auto"/>
        <w:rPr>
          <w:rFonts w:eastAsia="宋体" w:cs="Times New Roman"/>
          <w:b/>
          <w:bCs/>
          <w:snapToGrid w:val="0"/>
          <w:color w:val="auto"/>
          <w:szCs w:val="24"/>
          <w:highlight w:val="none"/>
          <w:lang w:val="en-US"/>
        </w:rPr>
      </w:pPr>
      <w:r>
        <w:rPr>
          <w:rFonts w:eastAsia="宋体" w:cs="Times New Roman"/>
          <w:b/>
          <w:bCs/>
          <w:snapToGrid w:val="0"/>
          <w:color w:val="auto"/>
          <w:szCs w:val="24"/>
          <w:highlight w:val="none"/>
        </w:rPr>
        <w:t>表</w:t>
      </w:r>
      <w:r>
        <w:rPr>
          <w:rFonts w:eastAsia="宋体" w:cs="Times New Roman"/>
          <w:b/>
          <w:bCs/>
          <w:snapToGrid w:val="0"/>
          <w:color w:val="auto"/>
          <w:szCs w:val="24"/>
          <w:highlight w:val="none"/>
          <w:lang w:val="en-US"/>
        </w:rPr>
        <w:t xml:space="preserve">3-3-1  </w:t>
      </w:r>
      <w:r>
        <w:rPr>
          <w:rFonts w:eastAsia="宋体" w:cs="Times New Roman"/>
          <w:b/>
          <w:bCs/>
          <w:snapToGrid w:val="0"/>
          <w:color w:val="auto"/>
          <w:szCs w:val="24"/>
          <w:highlight w:val="none"/>
        </w:rPr>
        <w:t>牛、羊屠宰物料平衡表</w:t>
      </w:r>
    </w:p>
    <w:tbl>
      <w:tblPr>
        <w:tblStyle w:val="47"/>
        <w:tblW w:w="8177" w:type="dxa"/>
        <w:tblInd w:w="91"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1231"/>
        <w:gridCol w:w="1846"/>
        <w:gridCol w:w="1740"/>
        <w:gridCol w:w="1590"/>
        <w:gridCol w:w="1770"/>
      </w:tblGrid>
      <w:tr w14:paraId="36A35FB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3077" w:type="dxa"/>
            <w:gridSpan w:val="2"/>
            <w:tcBorders>
              <w:tl2br w:val="nil"/>
              <w:tr2bl w:val="nil"/>
            </w:tcBorders>
            <w:shd w:val="clear" w:color="auto" w:fill="auto"/>
            <w:vAlign w:val="center"/>
          </w:tcPr>
          <w:p w14:paraId="3A93AFB5">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项目</w:t>
            </w:r>
          </w:p>
        </w:tc>
        <w:tc>
          <w:tcPr>
            <w:tcW w:w="1740" w:type="dxa"/>
            <w:tcBorders>
              <w:tl2br w:val="nil"/>
              <w:tr2bl w:val="nil"/>
            </w:tcBorders>
            <w:shd w:val="clear" w:color="auto" w:fill="auto"/>
            <w:vAlign w:val="center"/>
          </w:tcPr>
          <w:p w14:paraId="17F5F171">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投入量(t/a)</w:t>
            </w:r>
          </w:p>
        </w:tc>
        <w:tc>
          <w:tcPr>
            <w:tcW w:w="1590" w:type="dxa"/>
            <w:tcBorders>
              <w:tl2br w:val="nil"/>
              <w:tr2bl w:val="nil"/>
            </w:tcBorders>
            <w:shd w:val="clear" w:color="auto" w:fill="auto"/>
            <w:vAlign w:val="center"/>
          </w:tcPr>
          <w:p w14:paraId="5AD34C4F">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产出量(t/a)</w:t>
            </w:r>
          </w:p>
        </w:tc>
        <w:tc>
          <w:tcPr>
            <w:tcW w:w="1770" w:type="dxa"/>
            <w:tcBorders>
              <w:tl2br w:val="nil"/>
              <w:tr2bl w:val="nil"/>
            </w:tcBorders>
            <w:shd w:val="clear" w:color="auto" w:fill="auto"/>
            <w:vAlign w:val="center"/>
          </w:tcPr>
          <w:p w14:paraId="237712A1">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百分比(%)</w:t>
            </w:r>
          </w:p>
        </w:tc>
      </w:tr>
      <w:tr w14:paraId="6A60AFE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tcBorders>
              <w:tl2br w:val="nil"/>
              <w:tr2bl w:val="nil"/>
            </w:tcBorders>
            <w:shd w:val="clear" w:color="auto" w:fill="auto"/>
            <w:vAlign w:val="center"/>
          </w:tcPr>
          <w:p w14:paraId="471BDD3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原料</w:t>
            </w:r>
          </w:p>
        </w:tc>
        <w:tc>
          <w:tcPr>
            <w:tcW w:w="1846" w:type="dxa"/>
            <w:tcBorders>
              <w:tl2br w:val="nil"/>
              <w:tr2bl w:val="nil"/>
            </w:tcBorders>
            <w:shd w:val="clear" w:color="auto" w:fill="auto"/>
            <w:vAlign w:val="center"/>
          </w:tcPr>
          <w:p w14:paraId="3558A7C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牛、羊</w:t>
            </w:r>
          </w:p>
        </w:tc>
        <w:tc>
          <w:tcPr>
            <w:tcW w:w="1740" w:type="dxa"/>
            <w:tcBorders>
              <w:tl2br w:val="nil"/>
              <w:tr2bl w:val="nil"/>
            </w:tcBorders>
            <w:shd w:val="clear" w:color="auto" w:fill="auto"/>
            <w:vAlign w:val="center"/>
          </w:tcPr>
          <w:p w14:paraId="13143AED">
            <w:pPr>
              <w:widowControl/>
              <w:spacing w:line="360" w:lineRule="exact"/>
              <w:ind w:firstLine="0" w:firstLineChars="0"/>
              <w:jc w:val="center"/>
              <w:textAlignment w:val="center"/>
              <w:rPr>
                <w:rFonts w:hint="default"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22500</w:t>
            </w:r>
          </w:p>
        </w:tc>
        <w:tc>
          <w:tcPr>
            <w:tcW w:w="1590" w:type="dxa"/>
            <w:tcBorders>
              <w:tl2br w:val="nil"/>
              <w:tr2bl w:val="nil"/>
            </w:tcBorders>
            <w:shd w:val="clear" w:color="auto" w:fill="auto"/>
            <w:vAlign w:val="center"/>
          </w:tcPr>
          <w:p w14:paraId="7AB3D017">
            <w:pPr>
              <w:widowControl/>
              <w:spacing w:line="360" w:lineRule="exact"/>
              <w:ind w:firstLine="0" w:firstLineChars="0"/>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w:t>
            </w:r>
          </w:p>
        </w:tc>
        <w:tc>
          <w:tcPr>
            <w:tcW w:w="1770" w:type="dxa"/>
            <w:tcBorders>
              <w:tl2br w:val="nil"/>
              <w:tr2bl w:val="nil"/>
            </w:tcBorders>
            <w:shd w:val="clear" w:color="auto" w:fill="auto"/>
            <w:vAlign w:val="center"/>
          </w:tcPr>
          <w:p w14:paraId="20E5411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100</w:t>
            </w:r>
          </w:p>
        </w:tc>
      </w:tr>
      <w:tr w14:paraId="7170806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tcBorders>
              <w:tl2br w:val="nil"/>
              <w:tr2bl w:val="nil"/>
            </w:tcBorders>
            <w:shd w:val="clear" w:color="auto" w:fill="auto"/>
            <w:vAlign w:val="center"/>
          </w:tcPr>
          <w:p w14:paraId="2DC76D97">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产品</w:t>
            </w:r>
          </w:p>
        </w:tc>
        <w:tc>
          <w:tcPr>
            <w:tcW w:w="1846" w:type="dxa"/>
            <w:tcBorders>
              <w:tl2br w:val="nil"/>
              <w:tr2bl w:val="nil"/>
            </w:tcBorders>
            <w:shd w:val="clear" w:color="auto" w:fill="auto"/>
            <w:vAlign w:val="center"/>
          </w:tcPr>
          <w:p w14:paraId="4C4B5649">
            <w:pPr>
              <w:widowControl/>
              <w:spacing w:line="360" w:lineRule="exact"/>
              <w:ind w:firstLine="0" w:firstLineChars="0"/>
              <w:jc w:val="center"/>
              <w:textAlignment w:val="center"/>
              <w:rPr>
                <w:rFonts w:ascii="Times New Roman" w:hAnsi="Times New Roman" w:eastAsia="宋体" w:cs="Times New Roman"/>
                <w:snapToGrid w:val="0"/>
                <w:color w:val="auto"/>
                <w:kern w:val="2"/>
                <w:sz w:val="24"/>
                <w:szCs w:val="22"/>
                <w:highlight w:val="none"/>
                <w:lang w:val="en-US" w:eastAsia="zh-CN" w:bidi="ar-SA"/>
              </w:rPr>
            </w:pPr>
            <w:r>
              <w:rPr>
                <w:rFonts w:cs="Times New Roman"/>
                <w:snapToGrid w:val="0"/>
                <w:color w:val="auto"/>
                <w:kern w:val="0"/>
                <w:sz w:val="21"/>
                <w:szCs w:val="21"/>
                <w:highlight w:val="none"/>
                <w:lang w:bidi="ar"/>
              </w:rPr>
              <w:t>牛、羊肉</w:t>
            </w:r>
          </w:p>
        </w:tc>
        <w:tc>
          <w:tcPr>
            <w:tcW w:w="1740" w:type="dxa"/>
            <w:tcBorders>
              <w:tl2br w:val="nil"/>
              <w:tr2bl w:val="nil"/>
            </w:tcBorders>
            <w:shd w:val="clear" w:color="auto" w:fill="auto"/>
            <w:vAlign w:val="center"/>
          </w:tcPr>
          <w:p w14:paraId="0E96248A">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013A5BFC">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12750</w:t>
            </w:r>
          </w:p>
        </w:tc>
        <w:tc>
          <w:tcPr>
            <w:tcW w:w="1770" w:type="dxa"/>
            <w:tcBorders>
              <w:tl2br w:val="nil"/>
              <w:tr2bl w:val="nil"/>
            </w:tcBorders>
            <w:shd w:val="clear" w:color="auto" w:fill="auto"/>
            <w:vAlign w:val="center"/>
          </w:tcPr>
          <w:p w14:paraId="195B5B9A">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56.7 </w:t>
            </w:r>
          </w:p>
        </w:tc>
      </w:tr>
      <w:tr w14:paraId="6EE3D3F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restart"/>
            <w:tcBorders>
              <w:tl2br w:val="nil"/>
              <w:tr2bl w:val="nil"/>
            </w:tcBorders>
            <w:shd w:val="clear" w:color="auto" w:fill="auto"/>
            <w:vAlign w:val="center"/>
          </w:tcPr>
          <w:p w14:paraId="28E6C21B">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副产品</w:t>
            </w:r>
          </w:p>
        </w:tc>
        <w:tc>
          <w:tcPr>
            <w:tcW w:w="1846" w:type="dxa"/>
            <w:tcBorders>
              <w:tl2br w:val="nil"/>
              <w:tr2bl w:val="nil"/>
            </w:tcBorders>
            <w:shd w:val="clear" w:color="auto" w:fill="auto"/>
            <w:vAlign w:val="center"/>
          </w:tcPr>
          <w:p w14:paraId="54CB9D03">
            <w:pPr>
              <w:widowControl/>
              <w:spacing w:line="360" w:lineRule="exact"/>
              <w:ind w:firstLine="0" w:firstLineChars="0"/>
              <w:jc w:val="center"/>
              <w:textAlignment w:val="center"/>
              <w:rPr>
                <w:rFonts w:ascii="Times New Roman" w:hAnsi="Times New Roman" w:eastAsia="宋体" w:cs="Times New Roman"/>
                <w:snapToGrid w:val="0"/>
                <w:color w:val="auto"/>
                <w:kern w:val="2"/>
                <w:sz w:val="24"/>
                <w:szCs w:val="22"/>
                <w:highlight w:val="none"/>
                <w:lang w:val="en-US" w:eastAsia="zh-CN" w:bidi="ar-SA"/>
              </w:rPr>
            </w:pPr>
            <w:r>
              <w:rPr>
                <w:rFonts w:cs="Times New Roman"/>
                <w:snapToGrid w:val="0"/>
                <w:color w:val="auto"/>
                <w:kern w:val="0"/>
                <w:sz w:val="21"/>
                <w:szCs w:val="21"/>
                <w:highlight w:val="none"/>
                <w:lang w:bidi="ar"/>
              </w:rPr>
              <w:t>内脏</w:t>
            </w:r>
          </w:p>
        </w:tc>
        <w:tc>
          <w:tcPr>
            <w:tcW w:w="1740" w:type="dxa"/>
            <w:tcBorders>
              <w:tl2br w:val="nil"/>
              <w:tr2bl w:val="nil"/>
            </w:tcBorders>
            <w:shd w:val="clear" w:color="auto" w:fill="auto"/>
            <w:vAlign w:val="center"/>
          </w:tcPr>
          <w:p w14:paraId="2AE3E3F4">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01AA712B">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2700</w:t>
            </w:r>
          </w:p>
        </w:tc>
        <w:tc>
          <w:tcPr>
            <w:tcW w:w="1770" w:type="dxa"/>
            <w:tcBorders>
              <w:tl2br w:val="nil"/>
              <w:tr2bl w:val="nil"/>
            </w:tcBorders>
            <w:shd w:val="clear" w:color="auto" w:fill="auto"/>
            <w:vAlign w:val="center"/>
          </w:tcPr>
          <w:p w14:paraId="64DCC827">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12.0 </w:t>
            </w:r>
          </w:p>
        </w:tc>
      </w:tr>
      <w:tr w14:paraId="38BA9CD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236D91F4">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7CF25C28">
            <w:pPr>
              <w:widowControl/>
              <w:spacing w:line="360" w:lineRule="exact"/>
              <w:ind w:firstLine="0" w:firstLineChars="0"/>
              <w:jc w:val="center"/>
              <w:textAlignment w:val="center"/>
              <w:rPr>
                <w:rFonts w:ascii="Times New Roman" w:hAnsi="Times New Roman" w:eastAsia="宋体" w:cs="Times New Roman"/>
                <w:snapToGrid w:val="0"/>
                <w:color w:val="auto"/>
                <w:kern w:val="2"/>
                <w:sz w:val="24"/>
                <w:szCs w:val="22"/>
                <w:highlight w:val="none"/>
                <w:lang w:val="en-US" w:eastAsia="zh-CN" w:bidi="ar-SA"/>
              </w:rPr>
            </w:pPr>
            <w:r>
              <w:rPr>
                <w:rFonts w:cs="Times New Roman"/>
                <w:snapToGrid w:val="0"/>
                <w:color w:val="auto"/>
                <w:kern w:val="0"/>
                <w:sz w:val="21"/>
                <w:szCs w:val="21"/>
                <w:highlight w:val="none"/>
                <w:lang w:bidi="ar"/>
              </w:rPr>
              <w:t>头、蹄</w:t>
            </w:r>
          </w:p>
        </w:tc>
        <w:tc>
          <w:tcPr>
            <w:tcW w:w="1740" w:type="dxa"/>
            <w:tcBorders>
              <w:tl2br w:val="nil"/>
              <w:tr2bl w:val="nil"/>
            </w:tcBorders>
            <w:shd w:val="clear" w:color="auto" w:fill="auto"/>
            <w:vAlign w:val="center"/>
          </w:tcPr>
          <w:p w14:paraId="0C35E659">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7233E12E">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1350</w:t>
            </w:r>
          </w:p>
        </w:tc>
        <w:tc>
          <w:tcPr>
            <w:tcW w:w="1770" w:type="dxa"/>
            <w:tcBorders>
              <w:tl2br w:val="nil"/>
              <w:tr2bl w:val="nil"/>
            </w:tcBorders>
            <w:shd w:val="clear" w:color="auto" w:fill="auto"/>
            <w:vAlign w:val="center"/>
          </w:tcPr>
          <w:p w14:paraId="3DB99924">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6.0 </w:t>
            </w:r>
          </w:p>
        </w:tc>
      </w:tr>
      <w:tr w14:paraId="4D90F33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59D7263E">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235B5DC1">
            <w:pPr>
              <w:widowControl/>
              <w:spacing w:line="360" w:lineRule="exact"/>
              <w:ind w:firstLine="0" w:firstLineChars="0"/>
              <w:jc w:val="center"/>
              <w:textAlignment w:val="center"/>
              <w:rPr>
                <w:rFonts w:ascii="Times New Roman" w:hAnsi="Times New Roman" w:eastAsia="宋体" w:cs="Times New Roman"/>
                <w:snapToGrid w:val="0"/>
                <w:color w:val="auto"/>
                <w:kern w:val="2"/>
                <w:sz w:val="24"/>
                <w:szCs w:val="22"/>
                <w:highlight w:val="none"/>
                <w:lang w:val="en-US" w:eastAsia="zh-CN" w:bidi="ar-SA"/>
              </w:rPr>
            </w:pPr>
            <w:r>
              <w:rPr>
                <w:rFonts w:cs="Times New Roman"/>
                <w:snapToGrid w:val="0"/>
                <w:color w:val="auto"/>
                <w:kern w:val="0"/>
                <w:sz w:val="21"/>
                <w:szCs w:val="21"/>
                <w:highlight w:val="none"/>
                <w:lang w:bidi="ar"/>
              </w:rPr>
              <w:t>牛、羊血</w:t>
            </w:r>
          </w:p>
        </w:tc>
        <w:tc>
          <w:tcPr>
            <w:tcW w:w="1740" w:type="dxa"/>
            <w:tcBorders>
              <w:tl2br w:val="nil"/>
              <w:tr2bl w:val="nil"/>
            </w:tcBorders>
            <w:shd w:val="clear" w:color="auto" w:fill="auto"/>
            <w:vAlign w:val="center"/>
          </w:tcPr>
          <w:p w14:paraId="0ACE9410">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3C83103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1025</w:t>
            </w:r>
          </w:p>
        </w:tc>
        <w:tc>
          <w:tcPr>
            <w:tcW w:w="1770" w:type="dxa"/>
            <w:tcBorders>
              <w:tl2br w:val="nil"/>
              <w:tr2bl w:val="nil"/>
            </w:tcBorders>
            <w:shd w:val="clear" w:color="auto" w:fill="auto"/>
            <w:vAlign w:val="center"/>
          </w:tcPr>
          <w:p w14:paraId="57DD3587">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4.6 </w:t>
            </w:r>
          </w:p>
        </w:tc>
      </w:tr>
      <w:tr w14:paraId="787FE62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7CBF9078">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0F01B927">
            <w:pPr>
              <w:widowControl/>
              <w:spacing w:line="360" w:lineRule="exact"/>
              <w:ind w:firstLine="0" w:firstLineChars="0"/>
              <w:jc w:val="center"/>
              <w:textAlignment w:val="center"/>
              <w:rPr>
                <w:rFonts w:ascii="Times New Roman" w:hAnsi="Times New Roman" w:eastAsia="宋体" w:cs="Times New Roman"/>
                <w:snapToGrid w:val="0"/>
                <w:color w:val="auto"/>
                <w:kern w:val="2"/>
                <w:sz w:val="24"/>
                <w:szCs w:val="22"/>
                <w:highlight w:val="none"/>
                <w:lang w:val="en-US" w:eastAsia="zh-CN" w:bidi="ar-SA"/>
              </w:rPr>
            </w:pPr>
            <w:r>
              <w:rPr>
                <w:rFonts w:cs="Times New Roman"/>
                <w:snapToGrid w:val="0"/>
                <w:color w:val="auto"/>
                <w:kern w:val="0"/>
                <w:sz w:val="21"/>
                <w:szCs w:val="21"/>
                <w:highlight w:val="none"/>
                <w:lang w:bidi="ar"/>
              </w:rPr>
              <w:t>牛、羊皮</w:t>
            </w:r>
          </w:p>
        </w:tc>
        <w:tc>
          <w:tcPr>
            <w:tcW w:w="1740" w:type="dxa"/>
            <w:tcBorders>
              <w:tl2br w:val="nil"/>
              <w:tr2bl w:val="nil"/>
            </w:tcBorders>
            <w:shd w:val="clear" w:color="auto" w:fill="auto"/>
            <w:vAlign w:val="center"/>
          </w:tcPr>
          <w:p w14:paraId="2C72505C">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1C6EE9B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1050</w:t>
            </w:r>
          </w:p>
        </w:tc>
        <w:tc>
          <w:tcPr>
            <w:tcW w:w="1770" w:type="dxa"/>
            <w:tcBorders>
              <w:tl2br w:val="nil"/>
              <w:tr2bl w:val="nil"/>
            </w:tcBorders>
            <w:shd w:val="clear" w:color="auto" w:fill="auto"/>
            <w:vAlign w:val="center"/>
          </w:tcPr>
          <w:p w14:paraId="7F499D0C">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4.7 </w:t>
            </w:r>
          </w:p>
        </w:tc>
      </w:tr>
      <w:tr w14:paraId="4A8803A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3E88AA9B">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58CD0AF5">
            <w:pPr>
              <w:widowControl/>
              <w:spacing w:line="360" w:lineRule="exact"/>
              <w:ind w:firstLine="0" w:firstLineChars="0"/>
              <w:jc w:val="center"/>
              <w:textAlignment w:val="center"/>
              <w:rPr>
                <w:rFonts w:hint="default" w:ascii="Times New Roman" w:hAnsi="Times New Roman" w:eastAsia="宋体" w:cs="Times New Roman"/>
                <w:snapToGrid w:val="0"/>
                <w:color w:val="auto"/>
                <w:kern w:val="0"/>
                <w:sz w:val="21"/>
                <w:szCs w:val="21"/>
                <w:highlight w:val="none"/>
                <w:lang w:val="en-US" w:eastAsia="zh-CN" w:bidi="ar"/>
              </w:rPr>
            </w:pPr>
            <w:r>
              <w:rPr>
                <w:rFonts w:hint="eastAsia" w:cs="Times New Roman"/>
                <w:snapToGrid w:val="0"/>
                <w:color w:val="auto"/>
                <w:kern w:val="0"/>
                <w:sz w:val="21"/>
                <w:szCs w:val="21"/>
                <w:highlight w:val="none"/>
                <w:lang w:val="en-US" w:eastAsia="zh-CN" w:bidi="ar"/>
              </w:rPr>
              <w:t>骨骼</w:t>
            </w:r>
          </w:p>
        </w:tc>
        <w:tc>
          <w:tcPr>
            <w:tcW w:w="1740" w:type="dxa"/>
            <w:tcBorders>
              <w:tl2br w:val="nil"/>
              <w:tr2bl w:val="nil"/>
            </w:tcBorders>
            <w:shd w:val="clear" w:color="auto" w:fill="auto"/>
            <w:vAlign w:val="center"/>
          </w:tcPr>
          <w:p w14:paraId="588E1407">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602F47C8">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2225</w:t>
            </w:r>
          </w:p>
        </w:tc>
        <w:tc>
          <w:tcPr>
            <w:tcW w:w="1770" w:type="dxa"/>
            <w:tcBorders>
              <w:tl2br w:val="nil"/>
              <w:tr2bl w:val="nil"/>
            </w:tcBorders>
            <w:shd w:val="clear" w:color="auto" w:fill="auto"/>
            <w:vAlign w:val="center"/>
          </w:tcPr>
          <w:p w14:paraId="21DFBF75">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9.9 </w:t>
            </w:r>
          </w:p>
        </w:tc>
      </w:tr>
      <w:tr w14:paraId="11F92C12">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32111F93">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7C21A9E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小计</w:t>
            </w:r>
          </w:p>
        </w:tc>
        <w:tc>
          <w:tcPr>
            <w:tcW w:w="1740" w:type="dxa"/>
            <w:tcBorders>
              <w:tl2br w:val="nil"/>
              <w:tr2bl w:val="nil"/>
            </w:tcBorders>
            <w:shd w:val="clear" w:color="auto" w:fill="auto"/>
            <w:vAlign w:val="center"/>
          </w:tcPr>
          <w:p w14:paraId="7F0A9750">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130C0480">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21100</w:t>
            </w:r>
          </w:p>
        </w:tc>
        <w:tc>
          <w:tcPr>
            <w:tcW w:w="1770" w:type="dxa"/>
            <w:tcBorders>
              <w:tl2br w:val="nil"/>
              <w:tr2bl w:val="nil"/>
            </w:tcBorders>
            <w:shd w:val="clear" w:color="auto" w:fill="auto"/>
            <w:vAlign w:val="center"/>
          </w:tcPr>
          <w:p w14:paraId="677A42A6">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93.8 </w:t>
            </w:r>
          </w:p>
        </w:tc>
      </w:tr>
      <w:tr w14:paraId="313B559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restart"/>
            <w:tcBorders>
              <w:tl2br w:val="nil"/>
              <w:tr2bl w:val="nil"/>
            </w:tcBorders>
            <w:shd w:val="clear" w:color="auto" w:fill="auto"/>
            <w:vAlign w:val="center"/>
          </w:tcPr>
          <w:p w14:paraId="6369A2E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废物</w:t>
            </w:r>
          </w:p>
        </w:tc>
        <w:tc>
          <w:tcPr>
            <w:tcW w:w="1846" w:type="dxa"/>
            <w:tcBorders>
              <w:tl2br w:val="nil"/>
              <w:tr2bl w:val="nil"/>
            </w:tcBorders>
            <w:shd w:val="clear" w:color="auto" w:fill="auto"/>
            <w:vAlign w:val="center"/>
          </w:tcPr>
          <w:p w14:paraId="6BC926BB">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粪便</w:t>
            </w:r>
          </w:p>
        </w:tc>
        <w:tc>
          <w:tcPr>
            <w:tcW w:w="1740" w:type="dxa"/>
            <w:tcBorders>
              <w:tl2br w:val="nil"/>
              <w:tr2bl w:val="nil"/>
            </w:tcBorders>
            <w:shd w:val="clear" w:color="auto" w:fill="auto"/>
            <w:vAlign w:val="center"/>
          </w:tcPr>
          <w:p w14:paraId="2A9F5F05">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12EFF302">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495</w:t>
            </w:r>
          </w:p>
        </w:tc>
        <w:tc>
          <w:tcPr>
            <w:tcW w:w="1770" w:type="dxa"/>
            <w:tcBorders>
              <w:tl2br w:val="nil"/>
              <w:tr2bl w:val="nil"/>
            </w:tcBorders>
            <w:shd w:val="clear" w:color="auto" w:fill="auto"/>
            <w:vAlign w:val="center"/>
          </w:tcPr>
          <w:p w14:paraId="46B6F19D">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2.2 </w:t>
            </w:r>
          </w:p>
        </w:tc>
      </w:tr>
      <w:tr w14:paraId="7635EB2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48923527">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37C95AB2">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胃容物及肠内物</w:t>
            </w:r>
          </w:p>
        </w:tc>
        <w:tc>
          <w:tcPr>
            <w:tcW w:w="1740" w:type="dxa"/>
            <w:tcBorders>
              <w:tl2br w:val="nil"/>
              <w:tr2bl w:val="nil"/>
            </w:tcBorders>
            <w:shd w:val="clear" w:color="auto" w:fill="auto"/>
            <w:vAlign w:val="center"/>
          </w:tcPr>
          <w:p w14:paraId="280993AF">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5F9A395A">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585</w:t>
            </w:r>
          </w:p>
        </w:tc>
        <w:tc>
          <w:tcPr>
            <w:tcW w:w="1770" w:type="dxa"/>
            <w:tcBorders>
              <w:tl2br w:val="nil"/>
              <w:tr2bl w:val="nil"/>
            </w:tcBorders>
            <w:shd w:val="clear" w:color="auto" w:fill="auto"/>
            <w:vAlign w:val="center"/>
          </w:tcPr>
          <w:p w14:paraId="07774F0E">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2.6 </w:t>
            </w:r>
          </w:p>
        </w:tc>
      </w:tr>
      <w:tr w14:paraId="1F0C6FD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15E5A077">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07107F2A">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边角料</w:t>
            </w:r>
          </w:p>
        </w:tc>
        <w:tc>
          <w:tcPr>
            <w:tcW w:w="1740" w:type="dxa"/>
            <w:tcBorders>
              <w:tl2br w:val="nil"/>
              <w:tr2bl w:val="nil"/>
            </w:tcBorders>
            <w:shd w:val="clear" w:color="auto" w:fill="auto"/>
            <w:vAlign w:val="center"/>
          </w:tcPr>
          <w:p w14:paraId="5720F1FD">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7B6987D5">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95</w:t>
            </w:r>
          </w:p>
        </w:tc>
        <w:tc>
          <w:tcPr>
            <w:tcW w:w="1770" w:type="dxa"/>
            <w:tcBorders>
              <w:tl2br w:val="nil"/>
              <w:tr2bl w:val="nil"/>
            </w:tcBorders>
            <w:shd w:val="clear" w:color="auto" w:fill="auto"/>
            <w:vAlign w:val="center"/>
          </w:tcPr>
          <w:p w14:paraId="53748C76">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0.4 </w:t>
            </w:r>
          </w:p>
        </w:tc>
      </w:tr>
      <w:tr w14:paraId="181F973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474A7D59">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5126F47F">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病死牛、羊</w:t>
            </w:r>
          </w:p>
        </w:tc>
        <w:tc>
          <w:tcPr>
            <w:tcW w:w="1740" w:type="dxa"/>
            <w:tcBorders>
              <w:tl2br w:val="nil"/>
              <w:tr2bl w:val="nil"/>
            </w:tcBorders>
            <w:shd w:val="clear" w:color="auto" w:fill="auto"/>
            <w:vAlign w:val="center"/>
          </w:tcPr>
          <w:p w14:paraId="78F0D39F">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5DF71441">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135</w:t>
            </w:r>
          </w:p>
        </w:tc>
        <w:tc>
          <w:tcPr>
            <w:tcW w:w="1770" w:type="dxa"/>
            <w:tcBorders>
              <w:tl2br w:val="nil"/>
              <w:tr2bl w:val="nil"/>
            </w:tcBorders>
            <w:shd w:val="clear" w:color="auto" w:fill="auto"/>
            <w:vAlign w:val="center"/>
          </w:tcPr>
          <w:p w14:paraId="6A0F31A2">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0.6 </w:t>
            </w:r>
          </w:p>
        </w:tc>
      </w:tr>
      <w:tr w14:paraId="58EEF02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09971385">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0787DAB5">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检疫不合格品</w:t>
            </w:r>
          </w:p>
        </w:tc>
        <w:tc>
          <w:tcPr>
            <w:tcW w:w="1740" w:type="dxa"/>
            <w:tcBorders>
              <w:tl2br w:val="nil"/>
              <w:tr2bl w:val="nil"/>
            </w:tcBorders>
            <w:shd w:val="clear" w:color="auto" w:fill="auto"/>
            <w:vAlign w:val="center"/>
          </w:tcPr>
          <w:p w14:paraId="03087823">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590" w:type="dxa"/>
            <w:tcBorders>
              <w:tl2br w:val="nil"/>
              <w:tr2bl w:val="nil"/>
            </w:tcBorders>
            <w:shd w:val="clear" w:color="auto" w:fill="auto"/>
            <w:vAlign w:val="center"/>
          </w:tcPr>
          <w:p w14:paraId="5054800F">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90</w:t>
            </w:r>
          </w:p>
        </w:tc>
        <w:tc>
          <w:tcPr>
            <w:tcW w:w="1770" w:type="dxa"/>
            <w:tcBorders>
              <w:tl2br w:val="nil"/>
              <w:tr2bl w:val="nil"/>
            </w:tcBorders>
            <w:shd w:val="clear" w:color="auto" w:fill="auto"/>
            <w:vAlign w:val="center"/>
          </w:tcPr>
          <w:p w14:paraId="017037B9">
            <w:pPr>
              <w:widowControl/>
              <w:spacing w:line="360" w:lineRule="exact"/>
              <w:ind w:firstLine="0" w:firstLineChars="0"/>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0.4 </w:t>
            </w:r>
          </w:p>
        </w:tc>
      </w:tr>
      <w:tr w14:paraId="1B529CE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3" w:hRule="atLeast"/>
        </w:trPr>
        <w:tc>
          <w:tcPr>
            <w:tcW w:w="1231" w:type="dxa"/>
            <w:vMerge w:val="continue"/>
            <w:tcBorders>
              <w:tl2br w:val="nil"/>
              <w:tr2bl w:val="nil"/>
            </w:tcBorders>
            <w:shd w:val="clear" w:color="auto" w:fill="auto"/>
            <w:vAlign w:val="center"/>
          </w:tcPr>
          <w:p w14:paraId="5BCB7469">
            <w:pPr>
              <w:widowControl/>
              <w:spacing w:line="360" w:lineRule="exact"/>
              <w:ind w:firstLine="0" w:firstLineChars="0"/>
              <w:jc w:val="center"/>
              <w:rPr>
                <w:rFonts w:cs="Times New Roman"/>
                <w:color w:val="auto"/>
                <w:sz w:val="21"/>
                <w:szCs w:val="21"/>
                <w:highlight w:val="none"/>
              </w:rPr>
            </w:pPr>
          </w:p>
        </w:tc>
        <w:tc>
          <w:tcPr>
            <w:tcW w:w="1846" w:type="dxa"/>
            <w:tcBorders>
              <w:tl2br w:val="nil"/>
              <w:tr2bl w:val="nil"/>
            </w:tcBorders>
            <w:shd w:val="clear" w:color="auto" w:fill="auto"/>
            <w:vAlign w:val="center"/>
          </w:tcPr>
          <w:p w14:paraId="4AC6EB3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小计</w:t>
            </w:r>
          </w:p>
        </w:tc>
        <w:tc>
          <w:tcPr>
            <w:tcW w:w="1740" w:type="dxa"/>
            <w:tcBorders>
              <w:tl2br w:val="nil"/>
              <w:tr2bl w:val="nil"/>
            </w:tcBorders>
            <w:shd w:val="clear" w:color="auto" w:fill="auto"/>
            <w:vAlign w:val="center"/>
          </w:tcPr>
          <w:p w14:paraId="2440165F">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w:t>
            </w:r>
          </w:p>
        </w:tc>
        <w:tc>
          <w:tcPr>
            <w:tcW w:w="1590" w:type="dxa"/>
            <w:tcBorders>
              <w:tl2br w:val="nil"/>
              <w:tr2bl w:val="nil"/>
            </w:tcBorders>
            <w:shd w:val="clear" w:color="auto" w:fill="auto"/>
            <w:vAlign w:val="center"/>
          </w:tcPr>
          <w:p w14:paraId="581057B3">
            <w:pPr>
              <w:widowControl/>
              <w:spacing w:line="36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1400</w:t>
            </w:r>
          </w:p>
        </w:tc>
        <w:tc>
          <w:tcPr>
            <w:tcW w:w="1770" w:type="dxa"/>
            <w:tcBorders>
              <w:tl2br w:val="nil"/>
              <w:tr2bl w:val="nil"/>
            </w:tcBorders>
            <w:shd w:val="clear" w:color="auto" w:fill="auto"/>
            <w:vAlign w:val="center"/>
          </w:tcPr>
          <w:p w14:paraId="47C1E7D3">
            <w:pPr>
              <w:widowControl/>
              <w:spacing w:line="360" w:lineRule="exact"/>
              <w:ind w:firstLine="0" w:firstLineChars="0"/>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 xml:space="preserve">6.2 </w:t>
            </w:r>
          </w:p>
        </w:tc>
      </w:tr>
    </w:tbl>
    <w:p w14:paraId="74A711F4">
      <w:pPr>
        <w:ind w:firstLine="0" w:firstLineChars="0"/>
        <w:rPr>
          <w:rFonts w:cs="Times New Roman"/>
          <w:b/>
          <w:bCs/>
          <w:color w:val="auto"/>
          <w:highlight w:val="none"/>
        </w:rPr>
      </w:pPr>
      <w:bookmarkStart w:id="131" w:name="_Toc20390"/>
      <w:r>
        <w:rPr>
          <w:rFonts w:cs="Times New Roman"/>
          <w:b/>
          <w:bCs/>
          <w:color w:val="auto"/>
          <w:highlight w:val="none"/>
        </w:rPr>
        <w:t>注：牛的活屠重为500kg/头，羊的活屠重为 50kg/只。</w:t>
      </w:r>
    </w:p>
    <w:p w14:paraId="07F09F24">
      <w:pPr>
        <w:keepNext/>
        <w:keepLines/>
        <w:adjustRightInd/>
        <w:snapToGrid/>
        <w:spacing w:line="500" w:lineRule="exact"/>
        <w:ind w:firstLine="0" w:firstLineChars="0"/>
        <w:jc w:val="left"/>
        <w:outlineLvl w:val="2"/>
        <w:rPr>
          <w:rFonts w:hint="default" w:eastAsia="黑体" w:cs="Times New Roman"/>
          <w:bCs/>
          <w:snapToGrid w:val="0"/>
          <w:color w:val="auto"/>
          <w:kern w:val="0"/>
          <w:szCs w:val="32"/>
          <w:highlight w:val="none"/>
          <w:lang w:val="en-US" w:eastAsia="zh-CN"/>
        </w:rPr>
      </w:pPr>
      <w:r>
        <w:rPr>
          <w:rFonts w:hint="eastAsia" w:eastAsia="黑体" w:cs="Times New Roman"/>
          <w:bCs/>
          <w:snapToGrid w:val="0"/>
          <w:color w:val="auto"/>
          <w:kern w:val="0"/>
          <w:szCs w:val="32"/>
          <w:highlight w:val="none"/>
          <w:lang w:val="en-US" w:eastAsia="zh-CN"/>
        </w:rPr>
        <w:t>3.3.3牲畜及屠体检疫</w:t>
      </w:r>
    </w:p>
    <w:p w14:paraId="73E613A2">
      <w:pPr>
        <w:pStyle w:val="5"/>
        <w:bidi w:val="0"/>
        <w:rPr>
          <w:rFonts w:hint="default"/>
          <w:color w:val="auto"/>
          <w:highlight w:val="none"/>
          <w:lang w:val="en-US" w:eastAsia="zh-CN"/>
        </w:rPr>
      </w:pPr>
      <w:r>
        <w:rPr>
          <w:rFonts w:hint="eastAsia"/>
          <w:color w:val="auto"/>
          <w:highlight w:val="none"/>
          <w:lang w:val="en-US" w:eastAsia="zh-CN"/>
        </w:rPr>
        <w:t>3.3.3.1进场检查</w:t>
      </w:r>
    </w:p>
    <w:p w14:paraId="14112E6A">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屠畜进场待宰时先有要进行询问和索证（三证：产地检疫证或运输检疫证、车辆消毒证、非疫区证明和牧户的饲养日志的用药和饲养的相关记录）。验证由</w:t>
      </w:r>
      <w:r>
        <w:rPr>
          <w:rFonts w:hint="eastAsia" w:cs="Times New Roman"/>
          <w:snapToGrid w:val="0"/>
          <w:color w:val="auto"/>
          <w:kern w:val="0"/>
          <w:highlight w:val="none"/>
          <w:lang w:val="en-US" w:eastAsia="zh-CN"/>
        </w:rPr>
        <w:t>屠宰场</w:t>
      </w:r>
      <w:r>
        <w:rPr>
          <w:rFonts w:cs="Times New Roman"/>
          <w:snapToGrid w:val="0"/>
          <w:color w:val="auto"/>
          <w:kern w:val="0"/>
          <w:highlight w:val="none"/>
        </w:rPr>
        <w:t>和当地农牧部门派驻的检疫员同时进行，如果无证或是证照不全的，</w:t>
      </w:r>
      <w:r>
        <w:rPr>
          <w:rFonts w:hint="eastAsia" w:cs="Times New Roman"/>
          <w:snapToGrid w:val="0"/>
          <w:color w:val="auto"/>
          <w:kern w:val="0"/>
          <w:highlight w:val="none"/>
          <w:lang w:val="en-US" w:eastAsia="zh-CN"/>
        </w:rPr>
        <w:t>由</w:t>
      </w:r>
      <w:r>
        <w:rPr>
          <w:rFonts w:cs="Times New Roman"/>
          <w:snapToGrid w:val="0"/>
          <w:color w:val="auto"/>
          <w:kern w:val="0"/>
          <w:highlight w:val="none"/>
        </w:rPr>
        <w:t>驻场员进行补检出证，</w:t>
      </w:r>
      <w:r>
        <w:rPr>
          <w:rFonts w:hint="eastAsia" w:cs="Times New Roman"/>
          <w:snapToGrid w:val="0"/>
          <w:color w:val="auto"/>
          <w:kern w:val="0"/>
          <w:highlight w:val="none"/>
          <w:lang w:val="en-US" w:eastAsia="zh-CN"/>
        </w:rPr>
        <w:t>屠宰场</w:t>
      </w:r>
      <w:r>
        <w:rPr>
          <w:rFonts w:cs="Times New Roman"/>
          <w:snapToGrid w:val="0"/>
          <w:color w:val="auto"/>
          <w:kern w:val="0"/>
          <w:highlight w:val="none"/>
        </w:rPr>
        <w:t>留存证件。</w:t>
      </w:r>
    </w:p>
    <w:p w14:paraId="6F538521">
      <w:pPr>
        <w:pStyle w:val="5"/>
        <w:bidi w:val="0"/>
        <w:rPr>
          <w:rFonts w:hint="eastAsia"/>
          <w:color w:val="auto"/>
          <w:highlight w:val="none"/>
          <w:lang w:val="en-US" w:eastAsia="zh-CN"/>
        </w:rPr>
      </w:pPr>
      <w:r>
        <w:rPr>
          <w:rFonts w:hint="eastAsia"/>
          <w:color w:val="auto"/>
          <w:highlight w:val="none"/>
          <w:lang w:val="en-US" w:eastAsia="zh-CN"/>
        </w:rPr>
        <w:t>3.3.3.2宰前检疫</w:t>
      </w:r>
    </w:p>
    <w:p w14:paraId="4FC5924E">
      <w:pPr>
        <w:adjustRightInd/>
        <w:snapToGrid/>
        <w:spacing w:line="500" w:lineRule="exact"/>
        <w:rPr>
          <w:rFonts w:hint="eastAsia" w:cs="Times New Roman"/>
          <w:snapToGrid w:val="0"/>
          <w:color w:val="auto"/>
          <w:kern w:val="0"/>
          <w:highlight w:val="none"/>
          <w:lang w:val="en-US" w:eastAsia="zh-CN"/>
        </w:rPr>
      </w:pPr>
      <w:r>
        <w:rPr>
          <w:rFonts w:hint="eastAsia" w:cs="Times New Roman"/>
          <w:snapToGrid w:val="0"/>
          <w:color w:val="auto"/>
          <w:kern w:val="0"/>
          <w:highlight w:val="none"/>
          <w:lang w:val="en-US" w:eastAsia="zh-CN"/>
        </w:rPr>
        <w:t>群体检查：屠畜进场经过验证后，观察其体表外表形态和精神状况。</w:t>
      </w:r>
    </w:p>
    <w:p w14:paraId="719C04B4">
      <w:pPr>
        <w:adjustRightInd/>
        <w:snapToGrid/>
        <w:spacing w:line="500" w:lineRule="exact"/>
        <w:rPr>
          <w:rFonts w:hint="eastAsia" w:cs="Times New Roman"/>
          <w:snapToGrid w:val="0"/>
          <w:color w:val="auto"/>
          <w:kern w:val="0"/>
          <w:highlight w:val="none"/>
          <w:lang w:val="en-US" w:eastAsia="zh-CN"/>
        </w:rPr>
      </w:pPr>
      <w:r>
        <w:rPr>
          <w:rFonts w:hint="eastAsia" w:cs="Times New Roman"/>
          <w:snapToGrid w:val="0"/>
          <w:color w:val="auto"/>
          <w:kern w:val="0"/>
          <w:highlight w:val="none"/>
          <w:lang w:val="en-US" w:eastAsia="zh-CN"/>
        </w:rPr>
        <w:t>个体检查：逐只（头）进行测温，看其精神、行动、听叫声、呼吸作是否正常。检查皮肤上是否由隆起肿块等。</w:t>
      </w:r>
    </w:p>
    <w:p w14:paraId="524C11FB">
      <w:pPr>
        <w:adjustRightInd/>
        <w:snapToGrid/>
        <w:spacing w:line="500" w:lineRule="exact"/>
        <w:rPr>
          <w:rFonts w:hint="eastAsia" w:cs="Times New Roman"/>
          <w:b/>
          <w:bCs/>
          <w:snapToGrid w:val="0"/>
          <w:color w:val="auto"/>
          <w:kern w:val="0"/>
          <w:highlight w:val="none"/>
          <w:lang w:val="en-US" w:eastAsia="zh-CN"/>
        </w:rPr>
      </w:pPr>
      <w:r>
        <w:rPr>
          <w:rFonts w:hint="eastAsia" w:cs="Times New Roman"/>
          <w:b/>
          <w:bCs/>
          <w:snapToGrid w:val="0"/>
          <w:color w:val="auto"/>
          <w:kern w:val="0"/>
          <w:highlight w:val="none"/>
          <w:lang w:val="en-US" w:eastAsia="zh-CN"/>
        </w:rPr>
        <w:t>1、牛宰前检疫要点</w:t>
      </w:r>
    </w:p>
    <w:p w14:paraId="2F5F154F">
      <w:pPr>
        <w:adjustRightInd/>
        <w:snapToGrid/>
        <w:spacing w:line="500" w:lineRule="exact"/>
        <w:rPr>
          <w:rFonts w:hint="eastAsia" w:cs="Times New Roman"/>
          <w:snapToGrid w:val="0"/>
          <w:color w:val="auto"/>
          <w:kern w:val="0"/>
          <w:highlight w:val="none"/>
          <w:lang w:val="en-US" w:eastAsia="zh-CN"/>
        </w:rPr>
      </w:pPr>
      <w:r>
        <w:rPr>
          <w:rFonts w:hint="eastAsia" w:cs="Times New Roman"/>
          <w:snapToGrid w:val="0"/>
          <w:color w:val="auto"/>
          <w:kern w:val="0"/>
          <w:highlight w:val="none"/>
          <w:lang w:val="en-US" w:eastAsia="zh-CN"/>
        </w:rPr>
        <w:t>牛宰前主要是看牛结核、口蹄疫等。</w:t>
      </w:r>
    </w:p>
    <w:p w14:paraId="18ABDC04">
      <w:pPr>
        <w:adjustRightInd/>
        <w:snapToGrid/>
        <w:spacing w:line="500" w:lineRule="exact"/>
        <w:rPr>
          <w:rFonts w:hint="eastAsia" w:cs="Times New Roman"/>
          <w:snapToGrid w:val="0"/>
          <w:color w:val="auto"/>
          <w:kern w:val="0"/>
          <w:highlight w:val="none"/>
          <w:lang w:val="en-US" w:eastAsia="zh-CN"/>
        </w:rPr>
      </w:pPr>
      <w:r>
        <w:rPr>
          <w:rFonts w:hint="eastAsia" w:cs="Times New Roman"/>
          <w:snapToGrid w:val="0"/>
          <w:color w:val="auto"/>
          <w:kern w:val="0"/>
          <w:highlight w:val="none"/>
          <w:lang w:val="en-US" w:eastAsia="zh-CN"/>
        </w:rPr>
        <w:t>（1）群体检查时要注意牛的精神外貌，运动姿态，呼吸和咳嗽、鼻镜、反、触检体表淋巴结的查看。对精神委顿。站立不稳、横卧于地，呻吟等有痛苦表现异常的牛，均应进行近一步的检查。</w:t>
      </w:r>
    </w:p>
    <w:p w14:paraId="3F60B183">
      <w:pPr>
        <w:adjustRightInd/>
        <w:snapToGrid/>
        <w:spacing w:line="500" w:lineRule="exact"/>
        <w:rPr>
          <w:rFonts w:hint="default" w:cs="Times New Roman"/>
          <w:snapToGrid w:val="0"/>
          <w:color w:val="auto"/>
          <w:kern w:val="0"/>
          <w:highlight w:val="none"/>
          <w:lang w:val="en-US" w:eastAsia="zh-CN"/>
        </w:rPr>
      </w:pPr>
      <w:r>
        <w:rPr>
          <w:rFonts w:hint="eastAsia" w:cs="Times New Roman"/>
          <w:snapToGrid w:val="0"/>
          <w:color w:val="auto"/>
          <w:kern w:val="0"/>
          <w:highlight w:val="none"/>
          <w:lang w:val="en-US" w:eastAsia="zh-CN"/>
        </w:rPr>
        <w:t>（2）逐斗测量体温，对检查多种急性传染病有很重要的意义。有很多传染病体温相对升高。</w:t>
      </w:r>
      <w:r>
        <w:rPr>
          <w:rFonts w:hint="eastAsia" w:cs="Times New Roman"/>
          <w:snapToGrid w:val="0"/>
          <w:color w:val="auto"/>
          <w:kern w:val="0"/>
          <w:highlight w:val="none"/>
          <w:lang w:val="en-US" w:eastAsia="zh-CN"/>
        </w:rPr>
        <w:br w:type="textWrapping"/>
      </w:r>
      <w:r>
        <w:rPr>
          <w:rFonts w:hint="eastAsia" w:cs="Times New Roman"/>
          <w:b/>
          <w:bCs/>
          <w:snapToGrid w:val="0"/>
          <w:color w:val="auto"/>
          <w:kern w:val="0"/>
          <w:highlight w:val="none"/>
          <w:lang w:val="en-US" w:eastAsia="zh-CN"/>
        </w:rPr>
        <w:t xml:space="preserve">    2、羊宰前检疫要点</w:t>
      </w:r>
    </w:p>
    <w:p w14:paraId="179890F3">
      <w:pPr>
        <w:adjustRightInd/>
        <w:snapToGrid/>
        <w:spacing w:line="500" w:lineRule="exact"/>
        <w:rPr>
          <w:rFonts w:hint="eastAsia" w:cs="Times New Roman"/>
          <w:snapToGrid w:val="0"/>
          <w:color w:val="auto"/>
          <w:kern w:val="0"/>
          <w:highlight w:val="none"/>
          <w:lang w:val="en-US" w:eastAsia="zh-CN"/>
        </w:rPr>
      </w:pPr>
      <w:r>
        <w:rPr>
          <w:rFonts w:hint="eastAsia" w:cs="Times New Roman"/>
          <w:snapToGrid w:val="0"/>
          <w:color w:val="auto"/>
          <w:kern w:val="0"/>
          <w:highlight w:val="none"/>
          <w:lang w:val="en-US" w:eastAsia="zh-CN"/>
        </w:rPr>
        <w:t>（1）羊宰前检疫主要是发现口蹄疫病，其他症状前不是很明显。</w:t>
      </w:r>
    </w:p>
    <w:p w14:paraId="74C57FEA">
      <w:pPr>
        <w:adjustRightInd/>
        <w:snapToGrid/>
        <w:spacing w:line="500" w:lineRule="exact"/>
        <w:rPr>
          <w:rFonts w:hint="eastAsia" w:cs="Times New Roman"/>
          <w:snapToGrid w:val="0"/>
          <w:color w:val="auto"/>
          <w:kern w:val="0"/>
          <w:highlight w:val="none"/>
          <w:lang w:val="en-US" w:eastAsia="zh-CN"/>
        </w:rPr>
      </w:pPr>
      <w:r>
        <w:rPr>
          <w:rFonts w:hint="eastAsia" w:cs="Times New Roman"/>
          <w:snapToGrid w:val="0"/>
          <w:color w:val="auto"/>
          <w:kern w:val="0"/>
          <w:highlight w:val="none"/>
          <w:lang w:val="en-US" w:eastAsia="zh-CN"/>
        </w:rPr>
        <w:t>（2）大群检疫时应注意羊站立状态呼吸和咳嗽、反刍情况。如有异常，应做进步的检查。</w:t>
      </w:r>
    </w:p>
    <w:p w14:paraId="701566AA">
      <w:pPr>
        <w:adjustRightInd/>
        <w:snapToGrid/>
        <w:spacing w:line="500" w:lineRule="exact"/>
        <w:rPr>
          <w:rFonts w:hint="eastAsia" w:cs="Times New Roman"/>
          <w:snapToGrid w:val="0"/>
          <w:color w:val="auto"/>
          <w:kern w:val="0"/>
          <w:highlight w:val="none"/>
          <w:lang w:val="en-US" w:eastAsia="zh-CN"/>
        </w:rPr>
      </w:pPr>
      <w:r>
        <w:rPr>
          <w:rFonts w:hint="eastAsia" w:cs="Times New Roman"/>
          <w:snapToGrid w:val="0"/>
          <w:color w:val="auto"/>
          <w:kern w:val="0"/>
          <w:highlight w:val="none"/>
          <w:lang w:val="en-US" w:eastAsia="zh-CN"/>
        </w:rPr>
        <w:t>（3）羊个体检查要注意检测体温、呼吸、外表体态。</w:t>
      </w:r>
    </w:p>
    <w:p w14:paraId="0F5069C7">
      <w:pPr>
        <w:adjustRightInd/>
        <w:snapToGrid/>
        <w:spacing w:line="500" w:lineRule="exact"/>
        <w:rPr>
          <w:rFonts w:hint="eastAsia"/>
          <w:color w:val="auto"/>
          <w:highlight w:val="none"/>
          <w:lang w:val="en-US" w:eastAsia="zh-CN"/>
        </w:rPr>
      </w:pPr>
      <w:r>
        <w:rPr>
          <w:rFonts w:hint="eastAsia" w:cs="Times New Roman"/>
          <w:snapToGrid w:val="0"/>
          <w:color w:val="auto"/>
          <w:kern w:val="0"/>
          <w:highlight w:val="none"/>
          <w:lang w:val="en-US" w:eastAsia="zh-CN"/>
        </w:rPr>
        <w:t>经过宰前检疫的屠畜，在确认健康的屠畜，公司方宰前检疫人员可以开具健康准宰证明进入车间待宰。如发现可疑症状，但没有办法确认是恶性传染病的屠畜，要拒收，并立即要求牧户尽快运出厂区外。死畜不能够进入车间，如疑似传染病的死畜，应立即做销毁处理。宰前检疫员应立即上报。</w:t>
      </w:r>
    </w:p>
    <w:p w14:paraId="78D626C0">
      <w:pPr>
        <w:bidi w:val="0"/>
        <w:ind w:left="0" w:leftChars="0" w:firstLine="0" w:firstLineChars="0"/>
        <w:rPr>
          <w:rFonts w:hint="eastAsia"/>
          <w:color w:val="auto"/>
          <w:highlight w:val="none"/>
          <w:lang w:val="en-US" w:eastAsia="zh-CN"/>
        </w:rPr>
      </w:pPr>
      <w:r>
        <w:rPr>
          <w:rStyle w:val="72"/>
          <w:rFonts w:hint="eastAsia"/>
          <w:color w:val="auto"/>
          <w:highlight w:val="none"/>
          <w:lang w:val="en-US" w:eastAsia="zh-CN"/>
        </w:rPr>
        <w:t>3.3.3.3宰后检验：（牛、羊）</w:t>
      </w:r>
    </w:p>
    <w:p w14:paraId="57E861A9">
      <w:pPr>
        <w:bidi w:val="0"/>
        <w:rPr>
          <w:rFonts w:hint="eastAsia"/>
          <w:b/>
          <w:bCs/>
          <w:color w:val="auto"/>
          <w:highlight w:val="none"/>
          <w:lang w:val="en-US" w:eastAsia="zh-CN"/>
        </w:rPr>
      </w:pPr>
      <w:r>
        <w:rPr>
          <w:rFonts w:hint="eastAsia"/>
          <w:b/>
          <w:bCs/>
          <w:color w:val="auto"/>
          <w:highlight w:val="none"/>
          <w:lang w:val="en-US" w:eastAsia="zh-CN"/>
        </w:rPr>
        <w:t>1、方法</w:t>
      </w:r>
    </w:p>
    <w:p w14:paraId="5C1EE53B">
      <w:pPr>
        <w:bidi w:val="0"/>
        <w:rPr>
          <w:rFonts w:hint="eastAsia"/>
          <w:color w:val="auto"/>
          <w:highlight w:val="none"/>
          <w:lang w:val="en-US" w:eastAsia="zh-CN"/>
        </w:rPr>
      </w:pPr>
      <w:r>
        <w:rPr>
          <w:rFonts w:hint="eastAsia"/>
          <w:color w:val="auto"/>
          <w:highlight w:val="none"/>
          <w:lang w:val="en-US" w:eastAsia="zh-CN"/>
        </w:rPr>
        <w:t>为了便于检验工作的进行以及检验结果与被检屠肉尸和内脏相附，在加工过程中，其头、肉尸和内脏进行编号进行同步检验。</w:t>
      </w:r>
    </w:p>
    <w:p w14:paraId="31ECB63F">
      <w:pPr>
        <w:bidi w:val="0"/>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（1）感官检验：</w:t>
      </w:r>
    </w:p>
    <w:p w14:paraId="34B07793">
      <w:pPr>
        <w:bidi w:val="0"/>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视检：观察肉体、内脏的暴露部位的色泽、大小、形状等由无异常，必要时进行剖检脏器、淋巴结、以及肌肉、骨骼的变化等。还有初步观察肉体的水分含量。</w:t>
      </w:r>
    </w:p>
    <w:p w14:paraId="21C20AC4">
      <w:pPr>
        <w:bidi w:val="0"/>
        <w:rPr>
          <w:color w:val="auto"/>
          <w:highlight w:val="none"/>
        </w:rPr>
      </w:pPr>
      <w:r>
        <w:rPr>
          <w:rFonts w:hint="eastAsia" w:ascii="Times New Roman" w:hAnsi="Times New Roman" w:eastAsia="宋体"/>
          <w:color w:val="auto"/>
          <w:highlight w:val="none"/>
          <w:lang w:val="en-US" w:eastAsia="zh-CN"/>
        </w:rPr>
        <w:t>触检：在判定组织的硬度变化时，要用手触摸检验。可以感触脏器的变化和有无病灶，</w:t>
      </w:r>
      <w:r>
        <w:rPr>
          <w:color w:val="auto"/>
          <w:highlight w:val="none"/>
        </w:rPr>
        <w:t>必要时进行</w:t>
      </w:r>
      <w:r>
        <w:rPr>
          <w:rFonts w:hint="eastAsia"/>
          <w:color w:val="auto"/>
          <w:highlight w:val="none"/>
          <w:lang w:val="en-US" w:eastAsia="zh-CN"/>
        </w:rPr>
        <w:t>剖检</w:t>
      </w:r>
      <w:r>
        <w:rPr>
          <w:color w:val="auto"/>
          <w:highlight w:val="none"/>
        </w:rPr>
        <w:t>”</w:t>
      </w:r>
      <w:r>
        <w:rPr>
          <w:rFonts w:hint="eastAsia"/>
          <w:color w:val="auto"/>
          <w:highlight w:val="none"/>
          <w:lang w:eastAsia="zh-CN"/>
        </w:rPr>
        <w:t>。</w:t>
      </w:r>
    </w:p>
    <w:p w14:paraId="7BBDF680">
      <w:pPr>
        <w:bidi w:val="0"/>
        <w:rPr>
          <w:color w:val="auto"/>
          <w:highlight w:val="none"/>
        </w:rPr>
      </w:pPr>
      <w:r>
        <w:rPr>
          <w:color w:val="auto"/>
          <w:highlight w:val="none"/>
        </w:rPr>
        <w:t>嗅觉：有的肉体外观上发生轻微色泽变化，如灰色、淡绿色等，可能是肉的酸性发酵和已经开始腐败的征象，或者是有的屠畜在宰前就有尿毒症、某些药物治疗者，在宰后肉体上发出的特色气味，所以在必要时要进行嗅检。</w:t>
      </w:r>
    </w:p>
    <w:p w14:paraId="400E1F7A">
      <w:pPr>
        <w:bidi w:val="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化验室检验：</w:t>
      </w:r>
    </w:p>
    <w:p w14:paraId="5067372D">
      <w:pPr>
        <w:bidi w:val="0"/>
        <w:rPr>
          <w:rFonts w:hint="default"/>
          <w:color w:val="auto"/>
          <w:highlight w:val="none"/>
          <w:lang w:val="en-US" w:eastAsia="zh-CN"/>
        </w:rPr>
      </w:pPr>
      <w:r>
        <w:rPr>
          <w:rFonts w:hint="eastAsia"/>
          <w:color w:val="auto"/>
          <w:highlight w:val="none"/>
          <w:lang w:val="en-US" w:eastAsia="zh-CN"/>
        </w:rPr>
        <w:t>本项目化验室主要用于寄生虫检疫，取生牛、羊左右隔膜肌肉，制成压片，检验肌纤维组织，放在显微镜下观察是否有悬毛虫与住肉孢子虫。</w:t>
      </w:r>
    </w:p>
    <w:p w14:paraId="574D0481">
      <w:pPr>
        <w:bidi w:val="0"/>
        <w:rPr>
          <w:rFonts w:hint="eastAsia" w:ascii="Times New Roman" w:hAnsi="Times New Roman" w:eastAsia="宋体"/>
          <w:b/>
          <w:bCs/>
          <w:color w:val="auto"/>
          <w:highlight w:val="none"/>
          <w:lang w:val="en-US" w:eastAsia="zh-CN"/>
        </w:rPr>
      </w:pPr>
      <w:r>
        <w:rPr>
          <w:rFonts w:hint="eastAsia" w:ascii="Times New Roman" w:hAnsi="Times New Roman" w:eastAsia="宋体"/>
          <w:b/>
          <w:bCs/>
          <w:color w:val="auto"/>
          <w:highlight w:val="none"/>
          <w:lang w:val="en-US" w:eastAsia="zh-CN"/>
        </w:rPr>
        <w:t>2、宰后检验步骤和要点</w:t>
      </w:r>
    </w:p>
    <w:p w14:paraId="68EB1BEF">
      <w:pPr>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jc w:val="left"/>
        <w:textAlignment w:val="auto"/>
        <w:rPr>
          <w:color w:val="auto"/>
          <w:highlight w:val="none"/>
        </w:rPr>
      </w:pPr>
      <w:r>
        <w:rPr>
          <w:color w:val="auto"/>
          <w:highlight w:val="none"/>
        </w:rPr>
        <w:t>（1）头部检验：</w:t>
      </w:r>
    </w:p>
    <w:p w14:paraId="6E35E122">
      <w:pPr>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jc w:val="left"/>
        <w:textAlignment w:val="auto"/>
        <w:rPr>
          <w:rFonts w:hint="eastAsia" w:ascii="Times New Roman" w:hAnsi="Times New Roman" w:eastAsia="宋体"/>
          <w:color w:val="auto"/>
          <w:highlight w:val="none"/>
          <w:lang w:val="en-US" w:eastAsia="zh-CN"/>
        </w:rPr>
      </w:pPr>
      <w:r>
        <w:rPr>
          <w:rFonts w:ascii="Times New Roman" w:hAnsi="Times New Roman" w:eastAsia="宋体"/>
          <w:color w:val="auto"/>
          <w:highlight w:val="none"/>
        </w:rPr>
        <w:t>A、观看牛头的外观有无肿胀和骨骼的突出，判定是否有放线菌病变。还要观察牛舌的形状和硬度。</w:t>
      </w:r>
    </w:p>
    <w:p w14:paraId="194A6B79">
      <w:pPr>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jc w:val="left"/>
        <w:textAlignment w:val="auto"/>
        <w:rPr>
          <w:rFonts w:ascii="Times New Roman" w:hAnsi="Times New Roman" w:eastAsia="宋体"/>
          <w:color w:val="auto"/>
          <w:highlight w:val="none"/>
        </w:rPr>
      </w:pPr>
      <w:r>
        <w:rPr>
          <w:rFonts w:hint="eastAsia" w:ascii="Times New Roman" w:hAnsi="Times New Roman" w:eastAsia="宋体"/>
          <w:color w:val="auto"/>
          <w:highlight w:val="none"/>
          <w:lang w:val="en-US" w:eastAsia="zh-CN"/>
        </w:rPr>
        <w:t>B、</w:t>
      </w:r>
      <w:r>
        <w:rPr>
          <w:rFonts w:ascii="Times New Roman" w:hAnsi="Times New Roman" w:eastAsia="宋体"/>
          <w:color w:val="auto"/>
          <w:highlight w:val="none"/>
        </w:rPr>
        <w:t>淋巴结检验：剖检颌下淋巴结和咽后淋巴结，检查有无结核病变和炭疽。</w:t>
      </w:r>
    </w:p>
    <w:p w14:paraId="0531AF61">
      <w:pPr>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jc w:val="left"/>
        <w:textAlignment w:val="auto"/>
        <w:rPr>
          <w:rFonts w:ascii="Times New Roman" w:hAnsi="Times New Roman" w:eastAsia="宋体"/>
          <w:color w:val="auto"/>
          <w:highlight w:val="none"/>
        </w:rPr>
      </w:pPr>
      <w:r>
        <w:rPr>
          <w:rFonts w:ascii="Times New Roman" w:hAnsi="Times New Roman" w:eastAsia="宋体"/>
          <w:color w:val="auto"/>
          <w:highlight w:val="none"/>
        </w:rPr>
        <w:t>C、肌肉检验：内外咬肌的剖检，通过同检验查看是否有囊虫。注：羊一般不进行头部检验。</w:t>
      </w:r>
    </w:p>
    <w:p w14:paraId="770C13FC">
      <w:pPr>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jc w:val="left"/>
        <w:textAlignment w:val="auto"/>
        <w:rPr>
          <w:rFonts w:ascii="Times New Roman" w:hAnsi="Times New Roman" w:eastAsia="宋体"/>
          <w:color w:val="auto"/>
          <w:highlight w:val="none"/>
        </w:rPr>
      </w:pPr>
      <w:r>
        <w:rPr>
          <w:rFonts w:hint="eastAsia" w:ascii="Times New Roman" w:hAnsi="Times New Roman" w:eastAsia="宋体"/>
          <w:color w:val="auto"/>
          <w:highlight w:val="none"/>
          <w:lang w:eastAsia="zh-CN"/>
        </w:rPr>
        <w:t>（</w:t>
      </w:r>
      <w:r>
        <w:rPr>
          <w:rFonts w:hint="eastAsia" w:ascii="Times New Roman" w:hAnsi="Times New Roman" w:eastAsia="宋体"/>
          <w:color w:val="auto"/>
          <w:highlight w:val="none"/>
          <w:lang w:val="en-US" w:eastAsia="zh-CN"/>
        </w:rPr>
        <w:t>2</w:t>
      </w:r>
      <w:r>
        <w:rPr>
          <w:rFonts w:hint="eastAsia" w:ascii="Times New Roman" w:hAnsi="Times New Roman" w:eastAsia="宋体"/>
          <w:color w:val="auto"/>
          <w:highlight w:val="none"/>
          <w:lang w:eastAsia="zh-CN"/>
        </w:rPr>
        <w:t>）</w:t>
      </w:r>
      <w:r>
        <w:rPr>
          <w:rFonts w:ascii="Times New Roman" w:hAnsi="Times New Roman" w:eastAsia="宋体"/>
          <w:color w:val="auto"/>
          <w:highlight w:val="none"/>
        </w:rPr>
        <w:t>内脏检验：</w:t>
      </w:r>
    </w:p>
    <w:p w14:paraId="29ACD46B">
      <w:pPr>
        <w:keepNext w:val="0"/>
        <w:keepLines w:val="0"/>
        <w:pageBreakBefore w:val="0"/>
        <w:widowControl w:val="0"/>
        <w:numPr>
          <w:ilvl w:val="0"/>
          <w:numId w:val="8"/>
        </w:numPr>
        <w:kinsoku/>
        <w:wordWrap/>
        <w:overflowPunct/>
        <w:topLinePunct w:val="0"/>
        <w:autoSpaceDE/>
        <w:autoSpaceDN/>
        <w:bidi w:val="0"/>
        <w:adjustRightInd w:val="0"/>
        <w:snapToGrid w:val="0"/>
        <w:ind w:leftChars="0" w:firstLine="480" w:firstLineChars="200"/>
        <w:jc w:val="left"/>
        <w:textAlignment w:val="auto"/>
        <w:rPr>
          <w:rFonts w:ascii="Times New Roman" w:hAnsi="Times New Roman" w:eastAsia="宋体"/>
          <w:color w:val="auto"/>
          <w:highlight w:val="none"/>
        </w:rPr>
      </w:pPr>
      <w:r>
        <w:rPr>
          <w:rFonts w:ascii="Times New Roman" w:hAnsi="Times New Roman" w:eastAsia="宋体"/>
          <w:color w:val="auto"/>
          <w:highlight w:val="none"/>
        </w:rPr>
        <w:t>胃肠检验：先检胃肠的外形，浆膜有无充血、出血现象，然后剖检肠系膜淋巴结。牛、羊的炭疽，其淋巴结肿大。</w:t>
      </w:r>
    </w:p>
    <w:p w14:paraId="2C492458">
      <w:pPr>
        <w:keepNext w:val="0"/>
        <w:keepLines w:val="0"/>
        <w:pageBreakBefore w:val="0"/>
        <w:widowControl w:val="0"/>
        <w:numPr>
          <w:ilvl w:val="0"/>
          <w:numId w:val="8"/>
        </w:numPr>
        <w:kinsoku/>
        <w:wordWrap/>
        <w:overflowPunct/>
        <w:topLinePunct w:val="0"/>
        <w:autoSpaceDE/>
        <w:autoSpaceDN/>
        <w:bidi w:val="0"/>
        <w:adjustRightInd w:val="0"/>
        <w:snapToGrid w:val="0"/>
        <w:ind w:leftChars="0" w:firstLine="480" w:firstLineChars="200"/>
        <w:jc w:val="left"/>
        <w:textAlignment w:val="auto"/>
        <w:rPr>
          <w:color w:val="auto"/>
          <w:highlight w:val="none"/>
        </w:rPr>
      </w:pPr>
      <w:r>
        <w:rPr>
          <w:rFonts w:ascii="Times New Roman" w:hAnsi="Times New Roman" w:eastAsia="宋体"/>
          <w:color w:val="auto"/>
          <w:highlight w:val="none"/>
        </w:rPr>
        <w:t>脾脏检验：检验时观察去形状大</w:t>
      </w:r>
      <w:r>
        <w:rPr>
          <w:color w:val="auto"/>
          <w:highlight w:val="none"/>
        </w:rPr>
        <w:t>小色泽，必要时剖检脾髓，牛、羊炭疽发生炭疽时脾脏肿大，触之易破裂，脾髓呈暗黑色。</w:t>
      </w:r>
    </w:p>
    <w:p w14:paraId="0CE01029">
      <w:pPr>
        <w:numPr>
          <w:ilvl w:val="0"/>
          <w:numId w:val="8"/>
        </w:numPr>
        <w:bidi w:val="0"/>
        <w:ind w:left="0" w:leftChars="0" w:firstLine="480" w:firstLineChars="200"/>
        <w:rPr>
          <w:color w:val="auto"/>
          <w:highlight w:val="none"/>
        </w:rPr>
      </w:pPr>
      <w:r>
        <w:rPr>
          <w:color w:val="auto"/>
          <w:highlight w:val="none"/>
        </w:rPr>
        <w:t>肺脏检验：先观察表面有无充血，出血及化脓等病变，其次是触检，感觉肺部有结节或块装物时，再切开肺实质及气管进行检验，如有异常还要切开支气管及纵隔淋巴结检验。如：牛结核、牛肺疫、肺丝虫，在肺部有的变化外，淋巴结也有相应的变化。</w:t>
      </w:r>
    </w:p>
    <w:p w14:paraId="02A31CA2">
      <w:pPr>
        <w:numPr>
          <w:ilvl w:val="0"/>
          <w:numId w:val="8"/>
        </w:numPr>
        <w:bidi w:val="0"/>
        <w:ind w:left="0" w:leftChars="0" w:firstLine="480" w:firstLineChars="200"/>
        <w:rPr>
          <w:color w:val="auto"/>
          <w:highlight w:val="none"/>
        </w:rPr>
      </w:pPr>
      <w:r>
        <w:rPr>
          <w:color w:val="auto"/>
          <w:highlight w:val="none"/>
        </w:rPr>
        <w:t>心脏检验：先检查心包是否正常，切开心包观察心囊液的形状，然后检查心机有无囊虫和出血想象，并沿动脉切开心室检验房室瓣及心膜，一般急性传染病，常常引起心包、心实质、外膜的出血</w:t>
      </w:r>
      <w:r>
        <w:rPr>
          <w:rFonts w:hint="eastAsia"/>
          <w:color w:val="auto"/>
          <w:highlight w:val="none"/>
          <w:lang w:eastAsia="zh-CN"/>
        </w:rPr>
        <w:t>。</w:t>
      </w:r>
    </w:p>
    <w:p w14:paraId="2648345A">
      <w:pPr>
        <w:numPr>
          <w:ilvl w:val="0"/>
          <w:numId w:val="8"/>
        </w:numPr>
        <w:bidi w:val="0"/>
        <w:ind w:left="0" w:leftChars="0" w:firstLine="480" w:firstLineChars="200"/>
        <w:rPr>
          <w:color w:val="auto"/>
          <w:highlight w:val="none"/>
        </w:rPr>
      </w:pPr>
      <w:r>
        <w:rPr>
          <w:color w:val="auto"/>
          <w:highlight w:val="none"/>
        </w:rPr>
        <w:t>肝脏检验：先观察外表，形状、大小、色泽等有无异常，然后用手触摸其弹性，再剖检肝门淋巴结肝管及肝实质，必要时剖检胆囊，牛羊在胆管寄生大量的肝片吸虫等，引起胆管炎、肝硬变等变化。</w:t>
      </w:r>
    </w:p>
    <w:p w14:paraId="4F4840CD">
      <w:pPr>
        <w:numPr>
          <w:ilvl w:val="0"/>
          <w:numId w:val="0"/>
        </w:numPr>
        <w:bidi w:val="0"/>
        <w:ind w:leftChars="20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color w:val="auto"/>
          <w:highlight w:val="none"/>
        </w:rPr>
        <w:t>胴体检验：</w:t>
      </w:r>
    </w:p>
    <w:p w14:paraId="2B34C52E">
      <w:pPr>
        <w:numPr>
          <w:ilvl w:val="0"/>
          <w:numId w:val="0"/>
        </w:numPr>
        <w:bidi w:val="0"/>
        <w:ind w:leftChars="200"/>
        <w:rPr>
          <w:rFonts w:ascii="Times New Roman" w:hAnsi="Times New Roman" w:eastAsia="宋体"/>
          <w:color w:val="auto"/>
          <w:highlight w:val="none"/>
        </w:rPr>
      </w:pPr>
      <w:r>
        <w:rPr>
          <w:rFonts w:ascii="Times New Roman" w:hAnsi="Times New Roman" w:eastAsia="宋体"/>
          <w:color w:val="auto"/>
          <w:highlight w:val="none"/>
        </w:rPr>
        <w:t>A、外观检验：观察体表、脂肪、肌肉、胸膜、腹膜等有无异常。观察胸膜、</w:t>
      </w:r>
    </w:p>
    <w:p w14:paraId="1D21F5C9">
      <w:pPr>
        <w:numPr>
          <w:ilvl w:val="0"/>
          <w:numId w:val="0"/>
        </w:numPr>
        <w:bidi w:val="0"/>
        <w:rPr>
          <w:rFonts w:ascii="Times New Roman" w:hAnsi="Times New Roman" w:eastAsia="宋体"/>
          <w:color w:val="auto"/>
          <w:highlight w:val="none"/>
        </w:rPr>
      </w:pPr>
      <w:r>
        <w:rPr>
          <w:rFonts w:ascii="Times New Roman" w:hAnsi="Times New Roman" w:eastAsia="宋体"/>
          <w:color w:val="auto"/>
          <w:highlight w:val="none"/>
        </w:rPr>
        <w:t>腹膜是否有出血点和胸膜上的炎症出现、胴体表面颜色是否正常（黄脂、黄疸）。</w:t>
      </w:r>
    </w:p>
    <w:p w14:paraId="05EF1539">
      <w:pPr>
        <w:numPr>
          <w:ilvl w:val="0"/>
          <w:numId w:val="0"/>
        </w:numPr>
        <w:bidi w:val="0"/>
        <w:rPr>
          <w:color w:val="auto"/>
          <w:highlight w:val="none"/>
        </w:rPr>
      </w:pPr>
      <w:r>
        <w:rPr>
          <w:rFonts w:ascii="Times New Roman" w:hAnsi="Times New Roman" w:eastAsia="宋体"/>
          <w:color w:val="auto"/>
          <w:highlight w:val="none"/>
        </w:rPr>
        <w:t>判定疾病的程度和处理方法。</w:t>
      </w:r>
    </w:p>
    <w:p w14:paraId="6C619649">
      <w:pPr>
        <w:keepNext w:val="0"/>
        <w:keepLines w:val="0"/>
        <w:pageBreakBefore w:val="0"/>
        <w:widowControl w:val="0"/>
        <w:numPr>
          <w:ilvl w:val="0"/>
          <w:numId w:val="9"/>
        </w:numPr>
        <w:kinsoku/>
        <w:wordWrap/>
        <w:overflowPunct/>
        <w:topLinePunct w:val="0"/>
        <w:autoSpaceDE/>
        <w:autoSpaceDN/>
        <w:bidi w:val="0"/>
        <w:adjustRightInd w:val="0"/>
        <w:snapToGrid w:val="0"/>
        <w:ind w:firstLine="480" w:firstLineChars="200"/>
        <w:textAlignment w:val="auto"/>
        <w:rPr>
          <w:color w:val="auto"/>
          <w:highlight w:val="none"/>
        </w:rPr>
      </w:pPr>
      <w:r>
        <w:rPr>
          <w:color w:val="auto"/>
          <w:highlight w:val="none"/>
        </w:rPr>
        <w:t>腰肌检验：腰肌是囊虫和旋毛虫常寄生的部位，常采取的检验方法</w:t>
      </w:r>
      <w:r>
        <w:rPr>
          <w:rFonts w:hint="eastAsia"/>
          <w:color w:val="auto"/>
          <w:highlight w:val="none"/>
          <w:lang w:val="en-US" w:eastAsia="zh-CN"/>
        </w:rPr>
        <w:t>是</w:t>
      </w:r>
      <w:r>
        <w:rPr>
          <w:color w:val="auto"/>
          <w:highlight w:val="none"/>
        </w:rPr>
        <w:t>剖检，但是为了保证启续产品的完整性，在没有疑是的情况下不采取剖检腰肌。必要时可以剖检肩胛外侧肌，还要注意耻骨肌、肋间肌及腹壁肌，进行判定。</w:t>
      </w:r>
    </w:p>
    <w:p w14:paraId="1A07011E">
      <w:pPr>
        <w:numPr>
          <w:ilvl w:val="0"/>
          <w:numId w:val="9"/>
        </w:numPr>
        <w:bidi w:val="0"/>
        <w:ind w:left="0" w:leftChars="0" w:firstLine="480" w:firstLineChars="200"/>
        <w:rPr>
          <w:rFonts w:hint="eastAsia" w:ascii="Times New Roman" w:hAnsi="Times New Roman" w:eastAsia="宋体"/>
          <w:b/>
          <w:bCs/>
          <w:color w:val="auto"/>
          <w:highlight w:val="none"/>
          <w:lang w:val="en-US" w:eastAsia="zh-CN"/>
        </w:rPr>
      </w:pPr>
      <w:r>
        <w:rPr>
          <w:color w:val="auto"/>
          <w:highlight w:val="none"/>
        </w:rPr>
        <w:t>复检：经过检验的牛二分体（羊胴体）经冲洗后，由复检人员进行全面的检验，检查时要由腔里到外表的检验，有无病变的漏检，冲洗不干净等现象的出现。根据情况进行处理。</w:t>
      </w:r>
    </w:p>
    <w:p w14:paraId="43BAD8F7">
      <w:pPr>
        <w:numPr>
          <w:ilvl w:val="0"/>
          <w:numId w:val="0"/>
        </w:numPr>
        <w:bidi w:val="0"/>
        <w:ind w:leftChars="200"/>
        <w:rPr>
          <w:rFonts w:hint="eastAsia"/>
          <w:color w:val="auto"/>
          <w:highlight w:val="none"/>
          <w:lang w:val="en-US" w:eastAsia="zh-CN"/>
        </w:rPr>
      </w:pPr>
      <w:r>
        <w:rPr>
          <w:rFonts w:hint="eastAsia" w:ascii="Times New Roman" w:hAnsi="Times New Roman" w:eastAsia="宋体"/>
          <w:b/>
          <w:bCs/>
          <w:color w:val="auto"/>
          <w:highlight w:val="none"/>
          <w:lang w:val="en-US" w:eastAsia="zh-CN"/>
        </w:rPr>
        <w:t>3、宰后检验后的处理：</w:t>
      </w:r>
    </w:p>
    <w:p w14:paraId="7418252F">
      <w:pPr>
        <w:bidi w:val="0"/>
        <w:rPr>
          <w:color w:val="auto"/>
          <w:highlight w:val="none"/>
        </w:rPr>
      </w:pPr>
      <w:r>
        <w:rPr>
          <w:rFonts w:hint="eastAsia"/>
          <w:color w:val="auto"/>
          <w:highlight w:val="none"/>
          <w:lang w:val="en-US" w:eastAsia="zh-CN"/>
        </w:rPr>
        <w:t>（1）牛二分体（羊胴体）经复</w:t>
      </w:r>
      <w:r>
        <w:rPr>
          <w:color w:val="auto"/>
          <w:highlight w:val="none"/>
        </w:rPr>
        <w:t>检合格后，入到排酸库内经过24小时排酸。经过排酸后进行分割产品的加工。</w:t>
      </w:r>
    </w:p>
    <w:p w14:paraId="20E3E9F7">
      <w:pPr>
        <w:bidi w:val="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color w:val="auto"/>
          <w:highlight w:val="none"/>
        </w:rPr>
        <w:t>经过宰后检验不合格的或时有病变的胴体，要经过病畜通道及时的运往车间外，</w:t>
      </w:r>
      <w:r>
        <w:rPr>
          <w:rFonts w:hint="eastAsia"/>
          <w:color w:val="auto"/>
          <w:highlight w:val="none"/>
          <w:lang w:val="en-US" w:eastAsia="zh-CN"/>
        </w:rPr>
        <w:t>委托双鸭山百奥迈斯生物科技有限公司</w:t>
      </w:r>
      <w:r>
        <w:rPr>
          <w:color w:val="auto"/>
          <w:highlight w:val="none"/>
        </w:rPr>
        <w:t>处理。</w:t>
      </w:r>
    </w:p>
    <w:p w14:paraId="4DCBCC17">
      <w:pPr>
        <w:adjustRightInd/>
        <w:snapToGrid/>
        <w:spacing w:line="500" w:lineRule="exact"/>
        <w:rPr>
          <w:rFonts w:ascii="Times New Roman" w:hAnsi="Times New Roman" w:eastAsia="宋体"/>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color w:val="auto"/>
          <w:highlight w:val="none"/>
        </w:rPr>
        <w:t>内脏处理</w:t>
      </w:r>
      <w:r>
        <w:rPr>
          <w:rFonts w:ascii="Times New Roman" w:hAnsi="Times New Roman" w:eastAsia="宋体"/>
          <w:color w:val="auto"/>
          <w:highlight w:val="none"/>
        </w:rPr>
        <w:t>：现场发现有病变的器官，直接转入不漏水的容器中盛放，</w:t>
      </w:r>
      <w:r>
        <w:rPr>
          <w:rFonts w:hint="eastAsia"/>
          <w:color w:val="auto"/>
          <w:highlight w:val="none"/>
          <w:lang w:val="en-US" w:eastAsia="zh-CN"/>
        </w:rPr>
        <w:t>委托双鸭山百奥迈斯生物科技有限公司</w:t>
      </w:r>
      <w:r>
        <w:rPr>
          <w:color w:val="auto"/>
          <w:highlight w:val="none"/>
        </w:rPr>
        <w:t>处理</w:t>
      </w:r>
      <w:r>
        <w:rPr>
          <w:rFonts w:ascii="Times New Roman" w:hAnsi="Times New Roman" w:eastAsia="宋体"/>
          <w:color w:val="auto"/>
          <w:highlight w:val="none"/>
        </w:rPr>
        <w:t>（头部也相同）。</w:t>
      </w:r>
    </w:p>
    <w:p w14:paraId="34716F23">
      <w:pPr>
        <w:adjustRightInd/>
        <w:snapToGrid/>
        <w:spacing w:line="500" w:lineRule="exact"/>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项目检验检疫主要是委托专业公司驻点 ，以视检为主，仅寄生虫检疫需制成载玻片以显微镜检疫，项目检验不涉及药品使用。</w:t>
      </w:r>
    </w:p>
    <w:p w14:paraId="7CAB7E8A">
      <w:pPr>
        <w:keepNext/>
        <w:keepLines/>
        <w:spacing w:line="500" w:lineRule="exact"/>
        <w:ind w:firstLine="0" w:firstLineChars="0"/>
        <w:jc w:val="left"/>
        <w:outlineLvl w:val="1"/>
        <w:rPr>
          <w:rFonts w:hint="eastAsia" w:eastAsia="黑体" w:cs="Times New Roman"/>
          <w:bCs/>
          <w:snapToGrid w:val="0"/>
          <w:color w:val="auto"/>
          <w:kern w:val="0"/>
          <w:sz w:val="28"/>
          <w:szCs w:val="32"/>
          <w:highlight w:val="none"/>
          <w:lang w:val="en-US" w:eastAsia="zh-CN"/>
        </w:rPr>
      </w:pPr>
      <w:r>
        <w:rPr>
          <w:rFonts w:eastAsia="黑体" w:cs="Times New Roman"/>
          <w:bCs/>
          <w:snapToGrid w:val="0"/>
          <w:color w:val="auto"/>
          <w:kern w:val="0"/>
          <w:sz w:val="28"/>
          <w:szCs w:val="32"/>
          <w:highlight w:val="none"/>
        </w:rPr>
        <w:t>3.4工程污染源强分析</w:t>
      </w:r>
      <w:bookmarkEnd w:id="127"/>
      <w:bookmarkEnd w:id="128"/>
      <w:bookmarkEnd w:id="129"/>
      <w:bookmarkEnd w:id="131"/>
    </w:p>
    <w:p w14:paraId="1424C1CE">
      <w:pPr>
        <w:keepNext/>
        <w:keepLines/>
        <w:adjustRightInd/>
        <w:snapToGrid/>
        <w:spacing w:line="500" w:lineRule="exact"/>
        <w:ind w:firstLine="0" w:firstLineChars="0"/>
        <w:jc w:val="left"/>
        <w:outlineLvl w:val="2"/>
        <w:rPr>
          <w:rFonts w:eastAsia="黑体" w:cs="Times New Roman"/>
          <w:bCs/>
          <w:snapToGrid w:val="0"/>
          <w:color w:val="auto"/>
          <w:kern w:val="0"/>
          <w:szCs w:val="32"/>
          <w:highlight w:val="none"/>
        </w:rPr>
      </w:pPr>
      <w:bookmarkStart w:id="132" w:name="_Toc16477"/>
      <w:r>
        <w:rPr>
          <w:rFonts w:eastAsia="黑体" w:cs="Times New Roman"/>
          <w:bCs/>
          <w:snapToGrid w:val="0"/>
          <w:color w:val="auto"/>
          <w:kern w:val="0"/>
          <w:szCs w:val="32"/>
          <w:highlight w:val="none"/>
        </w:rPr>
        <w:t>3.4.1施工期污染源及源强分析</w:t>
      </w:r>
      <w:bookmarkEnd w:id="132"/>
    </w:p>
    <w:p w14:paraId="547C5EB5">
      <w:pPr>
        <w:pStyle w:val="5"/>
        <w:rPr>
          <w:color w:val="auto"/>
          <w:highlight w:val="none"/>
        </w:rPr>
      </w:pPr>
      <w:r>
        <w:rPr>
          <w:color w:val="auto"/>
          <w:highlight w:val="none"/>
        </w:rPr>
        <w:t>3.4.1.1废水</w:t>
      </w:r>
    </w:p>
    <w:p w14:paraId="4FA0FA34">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项目施工期产生的废水主要为生活污水及施工废水。</w:t>
      </w:r>
    </w:p>
    <w:p w14:paraId="12B42841">
      <w:pPr>
        <w:adjustRightInd/>
        <w:snapToGrid/>
        <w:spacing w:line="500" w:lineRule="exact"/>
        <w:ind w:firstLine="482"/>
        <w:rPr>
          <w:rFonts w:cs="Times New Roman"/>
          <w:b/>
          <w:bCs/>
          <w:color w:val="auto"/>
          <w:highlight w:val="none"/>
        </w:rPr>
      </w:pPr>
      <w:r>
        <w:rPr>
          <w:rFonts w:cs="Times New Roman"/>
          <w:b/>
          <w:bCs/>
          <w:color w:val="auto"/>
          <w:highlight w:val="none"/>
        </w:rPr>
        <w:t>1、</w:t>
      </w:r>
      <w:r>
        <w:rPr>
          <w:rFonts w:cs="Times New Roman"/>
          <w:b/>
          <w:bCs/>
          <w:snapToGrid w:val="0"/>
          <w:color w:val="auto"/>
          <w:kern w:val="0"/>
          <w:highlight w:val="none"/>
        </w:rPr>
        <w:t>生活污水</w:t>
      </w:r>
    </w:p>
    <w:p w14:paraId="0DE98591">
      <w:pPr>
        <w:adjustRightInd/>
        <w:snapToGrid/>
        <w:spacing w:line="500" w:lineRule="exact"/>
        <w:rPr>
          <w:rFonts w:cs="Times New Roman"/>
          <w:b/>
          <w:bCs/>
          <w:color w:val="auto"/>
          <w:szCs w:val="24"/>
          <w:highlight w:val="none"/>
          <w:lang w:val="zh-CN"/>
        </w:rPr>
      </w:pPr>
      <w:r>
        <w:rPr>
          <w:rFonts w:cs="Times New Roman"/>
          <w:color w:val="auto"/>
          <w:highlight w:val="none"/>
        </w:rPr>
        <w:t>根据本工程各施工量估算，现场需各类建筑工人、施工人员每天约</w:t>
      </w:r>
      <w:r>
        <w:rPr>
          <w:rFonts w:hint="eastAsia" w:cs="Times New Roman"/>
          <w:color w:val="auto"/>
          <w:highlight w:val="none"/>
          <w:lang w:val="en-US" w:eastAsia="zh-CN"/>
        </w:rPr>
        <w:t>1</w:t>
      </w:r>
      <w:r>
        <w:rPr>
          <w:rFonts w:cs="Times New Roman"/>
          <w:color w:val="auto"/>
          <w:highlight w:val="none"/>
        </w:rPr>
        <w:t>0人左右，</w:t>
      </w:r>
      <w:r>
        <w:rPr>
          <w:rFonts w:cs="Times New Roman"/>
          <w:snapToGrid w:val="0"/>
          <w:color w:val="auto"/>
          <w:kern w:val="0"/>
          <w:highlight w:val="none"/>
        </w:rPr>
        <w:t>施工人员人均用水量按30L/人·天计，排污系数按用水量的80%计，则施工期共计生活污水排放量为0.24m</w:t>
      </w:r>
      <w:r>
        <w:rPr>
          <w:rFonts w:cs="Times New Roman"/>
          <w:snapToGrid w:val="0"/>
          <w:color w:val="auto"/>
          <w:kern w:val="0"/>
          <w:highlight w:val="none"/>
          <w:vertAlign w:val="superscript"/>
        </w:rPr>
        <w:t>3</w:t>
      </w:r>
      <w:r>
        <w:rPr>
          <w:rFonts w:cs="Times New Roman"/>
          <w:snapToGrid w:val="0"/>
          <w:color w:val="auto"/>
          <w:kern w:val="0"/>
          <w:highlight w:val="none"/>
        </w:rPr>
        <w:t>/d，排入防渗旱厕。</w:t>
      </w:r>
    </w:p>
    <w:p w14:paraId="42326842">
      <w:pPr>
        <w:adjustRightInd/>
        <w:snapToGrid/>
        <w:spacing w:line="500" w:lineRule="exact"/>
        <w:ind w:firstLine="0" w:firstLineChars="0"/>
        <w:jc w:val="center"/>
        <w:rPr>
          <w:rFonts w:cs="Times New Roman"/>
          <w:b/>
          <w:bCs/>
          <w:color w:val="auto"/>
          <w:szCs w:val="24"/>
          <w:highlight w:val="none"/>
          <w:lang w:val="zh-CN"/>
        </w:rPr>
      </w:pPr>
      <w:r>
        <w:rPr>
          <w:rFonts w:cs="Times New Roman"/>
          <w:b/>
          <w:bCs/>
          <w:color w:val="auto"/>
          <w:szCs w:val="24"/>
          <w:highlight w:val="none"/>
          <w:lang w:val="zh-CN"/>
        </w:rPr>
        <w:t>表3-4-1</w:t>
      </w:r>
      <w:r>
        <w:rPr>
          <w:rFonts w:cs="Times New Roman"/>
          <w:b/>
          <w:bCs/>
          <w:color w:val="auto"/>
          <w:szCs w:val="24"/>
          <w:highlight w:val="none"/>
        </w:rPr>
        <w:t xml:space="preserve">  </w:t>
      </w:r>
      <w:r>
        <w:rPr>
          <w:rFonts w:cs="Times New Roman"/>
          <w:b/>
          <w:bCs/>
          <w:color w:val="auto"/>
          <w:szCs w:val="24"/>
          <w:highlight w:val="none"/>
          <w:lang w:val="zh-CN"/>
        </w:rPr>
        <w:t>施工期生活污水排放情况表</w:t>
      </w:r>
    </w:p>
    <w:tbl>
      <w:tblPr>
        <w:tblStyle w:val="398"/>
        <w:tblW w:w="497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61"/>
        <w:gridCol w:w="2956"/>
        <w:gridCol w:w="1728"/>
        <w:gridCol w:w="1733"/>
      </w:tblGrid>
      <w:tr w14:paraId="5992A0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1215" w:type="pct"/>
            <w:vAlign w:val="center"/>
          </w:tcPr>
          <w:p w14:paraId="1F3DD6D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废水量（</w:t>
            </w:r>
            <w:r>
              <w:rPr>
                <w:rFonts w:cs="Times New Roman"/>
                <w:snapToGrid w:val="0"/>
                <w:color w:val="auto"/>
                <w:kern w:val="0"/>
                <w:sz w:val="21"/>
                <w:szCs w:val="21"/>
                <w:highlight w:val="none"/>
              </w:rPr>
              <w:t>m</w:t>
            </w:r>
            <w:r>
              <w:rPr>
                <w:rFonts w:cs="Times New Roman"/>
                <w:snapToGrid w:val="0"/>
                <w:color w:val="auto"/>
                <w:kern w:val="0"/>
                <w:sz w:val="21"/>
                <w:szCs w:val="21"/>
                <w:highlight w:val="none"/>
                <w:vertAlign w:val="superscript"/>
              </w:rPr>
              <w:t>3</w:t>
            </w:r>
            <w:r>
              <w:rPr>
                <w:rFonts w:cs="Times New Roman"/>
                <w:snapToGrid w:val="0"/>
                <w:color w:val="auto"/>
                <w:kern w:val="0"/>
                <w:sz w:val="21"/>
                <w:highlight w:val="none"/>
                <w:lang w:val="zh-CN"/>
              </w:rPr>
              <w:t>/d）</w:t>
            </w:r>
          </w:p>
        </w:tc>
        <w:tc>
          <w:tcPr>
            <w:tcW w:w="1743" w:type="pct"/>
            <w:vAlign w:val="center"/>
          </w:tcPr>
          <w:p w14:paraId="608E98A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水质</w:t>
            </w:r>
          </w:p>
        </w:tc>
        <w:tc>
          <w:tcPr>
            <w:tcW w:w="1019" w:type="pct"/>
            <w:vAlign w:val="center"/>
          </w:tcPr>
          <w:p w14:paraId="6DDA1C6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CODcr</w:t>
            </w:r>
          </w:p>
        </w:tc>
        <w:tc>
          <w:tcPr>
            <w:tcW w:w="1021" w:type="pct"/>
            <w:vAlign w:val="center"/>
          </w:tcPr>
          <w:p w14:paraId="0E86961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氨氮</w:t>
            </w:r>
          </w:p>
        </w:tc>
      </w:tr>
      <w:tr w14:paraId="665F37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1215" w:type="pct"/>
            <w:vMerge w:val="restart"/>
            <w:vAlign w:val="center"/>
          </w:tcPr>
          <w:p w14:paraId="33B49D3A">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0.24</w:t>
            </w:r>
          </w:p>
        </w:tc>
        <w:tc>
          <w:tcPr>
            <w:tcW w:w="1743" w:type="pct"/>
            <w:vAlign w:val="center"/>
          </w:tcPr>
          <w:p w14:paraId="78D7517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产生浓度（mg/L）</w:t>
            </w:r>
          </w:p>
        </w:tc>
        <w:tc>
          <w:tcPr>
            <w:tcW w:w="1019" w:type="pct"/>
            <w:vAlign w:val="center"/>
          </w:tcPr>
          <w:p w14:paraId="3C32450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300</w:t>
            </w:r>
          </w:p>
        </w:tc>
        <w:tc>
          <w:tcPr>
            <w:tcW w:w="1021" w:type="pct"/>
            <w:vAlign w:val="center"/>
          </w:tcPr>
          <w:p w14:paraId="408F780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30</w:t>
            </w:r>
          </w:p>
        </w:tc>
      </w:tr>
      <w:tr w14:paraId="539D6E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215" w:type="pct"/>
            <w:vMerge w:val="continue"/>
            <w:vAlign w:val="center"/>
          </w:tcPr>
          <w:p w14:paraId="39D28597">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743" w:type="pct"/>
            <w:vAlign w:val="center"/>
          </w:tcPr>
          <w:p w14:paraId="1CA69848">
            <w:pPr>
              <w:adjustRightInd/>
              <w:snapToGrid/>
              <w:spacing w:line="360" w:lineRule="exact"/>
              <w:ind w:firstLine="0" w:firstLineChars="0"/>
              <w:jc w:val="center"/>
              <w:rPr>
                <w:rFonts w:cs="Times New Roman"/>
                <w:b/>
                <w:snapToGrid w:val="0"/>
                <w:color w:val="auto"/>
                <w:kern w:val="0"/>
                <w:sz w:val="21"/>
                <w:highlight w:val="none"/>
                <w:lang w:val="zh-CN"/>
              </w:rPr>
            </w:pPr>
            <w:r>
              <w:rPr>
                <w:rFonts w:cs="Times New Roman"/>
                <w:snapToGrid w:val="0"/>
                <w:color w:val="auto"/>
                <w:kern w:val="0"/>
                <w:sz w:val="21"/>
                <w:highlight w:val="none"/>
                <w:lang w:val="zh-CN"/>
              </w:rPr>
              <w:t>产生量（kg/d）</w:t>
            </w:r>
          </w:p>
        </w:tc>
        <w:tc>
          <w:tcPr>
            <w:tcW w:w="1019" w:type="pct"/>
            <w:vAlign w:val="center"/>
          </w:tcPr>
          <w:p w14:paraId="3B43A2AB">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0.072</w:t>
            </w:r>
          </w:p>
        </w:tc>
        <w:tc>
          <w:tcPr>
            <w:tcW w:w="1021" w:type="pct"/>
            <w:vAlign w:val="center"/>
          </w:tcPr>
          <w:p w14:paraId="39B04A9D">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rPr>
              <w:t>0.0072</w:t>
            </w:r>
          </w:p>
        </w:tc>
      </w:tr>
    </w:tbl>
    <w:p w14:paraId="26EE1A97">
      <w:pPr>
        <w:adjustRightInd/>
        <w:snapToGrid/>
        <w:spacing w:line="500" w:lineRule="exact"/>
        <w:ind w:firstLine="482"/>
        <w:rPr>
          <w:rFonts w:cs="Times New Roman"/>
          <w:b/>
          <w:bCs/>
          <w:color w:val="auto"/>
          <w:highlight w:val="none"/>
        </w:rPr>
      </w:pPr>
      <w:r>
        <w:rPr>
          <w:rFonts w:cs="Times New Roman"/>
          <w:b/>
          <w:bCs/>
          <w:color w:val="auto"/>
          <w:highlight w:val="none"/>
        </w:rPr>
        <w:t>2、施工废水</w:t>
      </w:r>
    </w:p>
    <w:p w14:paraId="09BA6D3B">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工地施工废水为场地清洁水等，含有大量的泥沙、灰浆的物质等，以悬浮物含量高、有机负荷低为特点，经验表明，施工废水经初步沉淀后均可以回用于施工场地洒水等，可以做到全部回用不外排。因此，应设置废水沉淀池处理，沉淀池处理后用于洒水降尘和施工回用水。采取上述措施后，项目施工期间基本无废水排放，因此，不会对水体造成影响。</w:t>
      </w:r>
    </w:p>
    <w:p w14:paraId="760BD2A3">
      <w:pPr>
        <w:pStyle w:val="5"/>
        <w:rPr>
          <w:color w:val="auto"/>
          <w:highlight w:val="none"/>
        </w:rPr>
      </w:pPr>
      <w:r>
        <w:rPr>
          <w:color w:val="auto"/>
          <w:highlight w:val="none"/>
        </w:rPr>
        <w:t>3.4.1.2废气</w:t>
      </w:r>
    </w:p>
    <w:p w14:paraId="377A52B0">
      <w:pPr>
        <w:adjustRightInd/>
        <w:snapToGrid/>
        <w:spacing w:line="500" w:lineRule="exact"/>
        <w:rPr>
          <w:rFonts w:cs="Times New Roman"/>
          <w:snapToGrid w:val="0"/>
          <w:color w:val="auto"/>
          <w:kern w:val="0"/>
          <w:szCs w:val="20"/>
          <w:highlight w:val="none"/>
        </w:rPr>
      </w:pPr>
      <w:r>
        <w:rPr>
          <w:rFonts w:cs="Times New Roman"/>
          <w:snapToGrid w:val="0"/>
          <w:color w:val="auto"/>
          <w:kern w:val="0"/>
          <w:highlight w:val="none"/>
        </w:rPr>
        <w:t>施工期大气污染物主要为施工机械、运输车辆尾气，施工环节产生的扬尘。施工期扬尘主要产生于土方开挖和回填以及车辆行使等作业环节。根据类比调查，施工作业场地近地面扬尘浓度可达1.5mg/m</w:t>
      </w:r>
      <w:r>
        <w:rPr>
          <w:rFonts w:cs="Times New Roman"/>
          <w:snapToGrid w:val="0"/>
          <w:color w:val="auto"/>
          <w:kern w:val="0"/>
          <w:highlight w:val="none"/>
          <w:vertAlign w:val="superscript"/>
        </w:rPr>
        <w:t>3</w:t>
      </w:r>
      <w:r>
        <w:rPr>
          <w:rFonts w:cs="Times New Roman"/>
          <w:snapToGrid w:val="0"/>
          <w:color w:val="auto"/>
          <w:kern w:val="0"/>
          <w:highlight w:val="none"/>
        </w:rPr>
        <w:t>～30mg/m</w:t>
      </w:r>
      <w:r>
        <w:rPr>
          <w:rFonts w:cs="Times New Roman"/>
          <w:snapToGrid w:val="0"/>
          <w:color w:val="auto"/>
          <w:kern w:val="0"/>
          <w:highlight w:val="none"/>
          <w:vertAlign w:val="superscript"/>
        </w:rPr>
        <w:t>3</w:t>
      </w:r>
      <w:r>
        <w:rPr>
          <w:rFonts w:cs="Times New Roman"/>
          <w:snapToGrid w:val="0"/>
          <w:color w:val="auto"/>
          <w:kern w:val="0"/>
          <w:highlight w:val="none"/>
        </w:rPr>
        <w:t>，将对项目周边产生一定的不利影响。考虑到施工期产生扬尘颗粒粒径较大，受自然沉降作用明显。由于施工机械数量少且较分散，施工期不长，其污染程度相对较轻</w:t>
      </w:r>
      <w:r>
        <w:rPr>
          <w:rFonts w:cs="Times New Roman"/>
          <w:snapToGrid w:val="0"/>
          <w:color w:val="auto"/>
          <w:kern w:val="0"/>
          <w:szCs w:val="20"/>
          <w:highlight w:val="none"/>
        </w:rPr>
        <w:t>。</w:t>
      </w:r>
    </w:p>
    <w:p w14:paraId="75BD4109">
      <w:pPr>
        <w:adjustRightInd/>
        <w:snapToGrid/>
        <w:spacing w:line="500" w:lineRule="exact"/>
        <w:rPr>
          <w:rFonts w:cs="Times New Roman"/>
          <w:snapToGrid w:val="0"/>
          <w:color w:val="auto"/>
          <w:kern w:val="0"/>
          <w:szCs w:val="21"/>
          <w:highlight w:val="none"/>
        </w:rPr>
      </w:pPr>
      <w:r>
        <w:rPr>
          <w:rFonts w:cs="Times New Roman"/>
          <w:snapToGrid w:val="0"/>
          <w:color w:val="auto"/>
          <w:kern w:val="0"/>
          <w:highlight w:val="none"/>
        </w:rPr>
        <w:t>根据有关资料显示，施工现场扬尘的另一个主要来源是车辆运输造成的，约占扬尘总量的60%。扬尘量的大小与天气干燥程度、道路路况、车辆行驶速度、风速大小等有关。一般情况下，在自然风作用下道路扬尘影响范围在100m以内，在大风天气，扬尘量及影响范围将有所扩大。对于施工中的挖方、填方作业及施工场地，采用洒水降尘的湿法作业抑制扬尘，以降低对大气环境影响。</w:t>
      </w:r>
    </w:p>
    <w:p w14:paraId="223C5B12">
      <w:pPr>
        <w:pStyle w:val="5"/>
        <w:rPr>
          <w:color w:val="auto"/>
          <w:highlight w:val="none"/>
        </w:rPr>
      </w:pPr>
      <w:r>
        <w:rPr>
          <w:color w:val="auto"/>
          <w:highlight w:val="none"/>
        </w:rPr>
        <w:t>3.4.1.3噪声</w:t>
      </w:r>
    </w:p>
    <w:p w14:paraId="2F2DE2B8">
      <w:pPr>
        <w:spacing w:line="500" w:lineRule="exact"/>
        <w:rPr>
          <w:rFonts w:cs="Times New Roman"/>
          <w:snapToGrid w:val="0"/>
          <w:color w:val="auto"/>
          <w:kern w:val="0"/>
          <w:highlight w:val="none"/>
        </w:rPr>
      </w:pPr>
      <w:r>
        <w:rPr>
          <w:rFonts w:cs="Times New Roman"/>
          <w:snapToGrid w:val="0"/>
          <w:color w:val="auto"/>
          <w:kern w:val="0"/>
          <w:highlight w:val="none"/>
        </w:rPr>
        <w:t>施工过程噪声的影响主要有：起重机、装载机、汽车等产生的噪声，噪声值一般在71~101（A）之间。</w:t>
      </w:r>
    </w:p>
    <w:p w14:paraId="352DC44F">
      <w:pPr>
        <w:spacing w:line="500" w:lineRule="exact"/>
        <w:rPr>
          <w:rFonts w:cs="Times New Roman"/>
          <w:snapToGrid w:val="0"/>
          <w:color w:val="auto"/>
          <w:kern w:val="0"/>
          <w:highlight w:val="none"/>
        </w:rPr>
      </w:pPr>
      <w:r>
        <w:rPr>
          <w:rFonts w:cs="Times New Roman"/>
          <w:snapToGrid w:val="0"/>
          <w:color w:val="auto"/>
          <w:kern w:val="0"/>
          <w:highlight w:val="none"/>
        </w:rPr>
        <w:t>根据有关资料，噪声状况见下表。</w:t>
      </w:r>
    </w:p>
    <w:p w14:paraId="163FDC62">
      <w:pPr>
        <w:adjustRightInd/>
        <w:snapToGrid/>
        <w:spacing w:line="500" w:lineRule="exact"/>
        <w:ind w:firstLine="0" w:firstLineChars="0"/>
        <w:jc w:val="center"/>
        <w:rPr>
          <w:rFonts w:cs="Times New Roman"/>
          <w:b/>
          <w:bCs/>
          <w:color w:val="auto"/>
          <w:szCs w:val="24"/>
          <w:highlight w:val="none"/>
          <w:lang w:val="zh-CN"/>
        </w:rPr>
      </w:pPr>
      <w:r>
        <w:rPr>
          <w:rFonts w:cs="Times New Roman"/>
          <w:b/>
          <w:bCs/>
          <w:color w:val="auto"/>
          <w:szCs w:val="24"/>
          <w:highlight w:val="none"/>
          <w:lang w:val="zh-CN"/>
        </w:rPr>
        <w:t>表3-4-2  设备及车辆噪声状况  单位：dB（A）</w:t>
      </w:r>
    </w:p>
    <w:tbl>
      <w:tblPr>
        <w:tblStyle w:val="47"/>
        <w:tblW w:w="84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38"/>
        <w:gridCol w:w="4241"/>
      </w:tblGrid>
      <w:tr w14:paraId="4F8AE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1" w:hRule="atLeast"/>
          <w:tblHeader/>
          <w:jc w:val="center"/>
        </w:trPr>
        <w:tc>
          <w:tcPr>
            <w:tcW w:w="2499" w:type="pct"/>
            <w:vAlign w:val="center"/>
          </w:tcPr>
          <w:p w14:paraId="4D726FBD">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设备名称</w:t>
            </w:r>
          </w:p>
        </w:tc>
        <w:tc>
          <w:tcPr>
            <w:tcW w:w="2500" w:type="pct"/>
            <w:vAlign w:val="center"/>
          </w:tcPr>
          <w:p w14:paraId="3C93016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设备噪声级</w:t>
            </w:r>
          </w:p>
        </w:tc>
      </w:tr>
      <w:tr w14:paraId="24F1F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499" w:type="pct"/>
            <w:vAlign w:val="center"/>
          </w:tcPr>
          <w:p w14:paraId="0BF56C8F">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起重机</w:t>
            </w:r>
          </w:p>
        </w:tc>
        <w:tc>
          <w:tcPr>
            <w:tcW w:w="2500" w:type="pct"/>
            <w:vAlign w:val="center"/>
          </w:tcPr>
          <w:p w14:paraId="4471DB6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87-92</w:t>
            </w:r>
          </w:p>
        </w:tc>
      </w:tr>
      <w:tr w14:paraId="32A98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499" w:type="pct"/>
            <w:vAlign w:val="center"/>
          </w:tcPr>
          <w:p w14:paraId="3A77CBE4">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装载机</w:t>
            </w:r>
          </w:p>
        </w:tc>
        <w:tc>
          <w:tcPr>
            <w:tcW w:w="2500" w:type="pct"/>
            <w:vAlign w:val="center"/>
          </w:tcPr>
          <w:p w14:paraId="3FD7FB9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76-86</w:t>
            </w:r>
          </w:p>
        </w:tc>
      </w:tr>
      <w:tr w14:paraId="436EB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499" w:type="pct"/>
            <w:vAlign w:val="center"/>
          </w:tcPr>
          <w:p w14:paraId="786B3E5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挖掘机</w:t>
            </w:r>
          </w:p>
        </w:tc>
        <w:tc>
          <w:tcPr>
            <w:tcW w:w="2500" w:type="pct"/>
            <w:vAlign w:val="center"/>
          </w:tcPr>
          <w:p w14:paraId="7774212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85-101</w:t>
            </w:r>
          </w:p>
        </w:tc>
      </w:tr>
      <w:tr w14:paraId="278DD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499" w:type="pct"/>
            <w:vAlign w:val="center"/>
          </w:tcPr>
          <w:p w14:paraId="28CA7E7D">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运输平台</w:t>
            </w:r>
          </w:p>
        </w:tc>
        <w:tc>
          <w:tcPr>
            <w:tcW w:w="2500" w:type="pct"/>
            <w:vAlign w:val="center"/>
          </w:tcPr>
          <w:p w14:paraId="60001DD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72-78</w:t>
            </w:r>
          </w:p>
        </w:tc>
      </w:tr>
      <w:tr w14:paraId="0C41B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499" w:type="pct"/>
            <w:vAlign w:val="center"/>
          </w:tcPr>
          <w:p w14:paraId="5FED139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中型载重汽车</w:t>
            </w:r>
          </w:p>
        </w:tc>
        <w:tc>
          <w:tcPr>
            <w:tcW w:w="2500" w:type="pct"/>
            <w:vAlign w:val="center"/>
          </w:tcPr>
          <w:p w14:paraId="7CFE9BD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79-85</w:t>
            </w:r>
          </w:p>
        </w:tc>
      </w:tr>
      <w:tr w14:paraId="4EB7B5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2499" w:type="pct"/>
            <w:vAlign w:val="center"/>
          </w:tcPr>
          <w:p w14:paraId="7391CAC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轻型载重汽车</w:t>
            </w:r>
          </w:p>
        </w:tc>
        <w:tc>
          <w:tcPr>
            <w:tcW w:w="2500" w:type="pct"/>
            <w:vAlign w:val="center"/>
          </w:tcPr>
          <w:p w14:paraId="35036DF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76-85</w:t>
            </w:r>
          </w:p>
        </w:tc>
      </w:tr>
    </w:tbl>
    <w:p w14:paraId="69FAE652">
      <w:pPr>
        <w:pStyle w:val="5"/>
        <w:rPr>
          <w:color w:val="auto"/>
          <w:highlight w:val="none"/>
        </w:rPr>
      </w:pPr>
      <w:r>
        <w:rPr>
          <w:color w:val="auto"/>
          <w:highlight w:val="none"/>
        </w:rPr>
        <w:t>3.4.1.4固体废物</w:t>
      </w:r>
    </w:p>
    <w:p w14:paraId="780E4DB4">
      <w:pPr>
        <w:spacing w:line="500" w:lineRule="exact"/>
        <w:rPr>
          <w:rFonts w:cs="Times New Roman"/>
          <w:snapToGrid w:val="0"/>
          <w:color w:val="auto"/>
          <w:kern w:val="0"/>
          <w:szCs w:val="20"/>
          <w:highlight w:val="none"/>
        </w:rPr>
      </w:pPr>
      <w:r>
        <w:rPr>
          <w:rFonts w:cs="Times New Roman"/>
          <w:snapToGrid w:val="0"/>
          <w:color w:val="auto"/>
          <w:kern w:val="0"/>
          <w:szCs w:val="20"/>
          <w:highlight w:val="none"/>
        </w:rPr>
        <w:t>施工期的固废主要为生活垃圾和建筑垃圾，如不妥善处理不仅会严重破坏自然景观，还将会产生二次污染。</w:t>
      </w:r>
    </w:p>
    <w:p w14:paraId="2D1E2FDD">
      <w:pPr>
        <w:spacing w:line="500" w:lineRule="exact"/>
        <w:rPr>
          <w:rFonts w:cs="Times New Roman"/>
          <w:snapToGrid w:val="0"/>
          <w:color w:val="auto"/>
          <w:kern w:val="0"/>
          <w:szCs w:val="20"/>
          <w:highlight w:val="none"/>
        </w:rPr>
      </w:pPr>
      <w:r>
        <w:rPr>
          <w:rFonts w:cs="Times New Roman"/>
          <w:snapToGrid w:val="0"/>
          <w:color w:val="auto"/>
          <w:kern w:val="0"/>
          <w:szCs w:val="20"/>
          <w:highlight w:val="none"/>
        </w:rPr>
        <w:t>施工人员约10人，工地生活垃圾按0.2kg/人·d 计，产生量为2kg/d，收集后统一由环卫部门清运处置，可满足环保要求。</w:t>
      </w:r>
    </w:p>
    <w:p w14:paraId="0DE36B97">
      <w:pPr>
        <w:spacing w:line="500" w:lineRule="exact"/>
        <w:rPr>
          <w:rFonts w:cs="Times New Roman"/>
          <w:snapToGrid w:val="0"/>
          <w:color w:val="auto"/>
          <w:kern w:val="0"/>
          <w:szCs w:val="20"/>
          <w:highlight w:val="none"/>
        </w:rPr>
      </w:pPr>
      <w:r>
        <w:rPr>
          <w:rFonts w:cs="Times New Roman"/>
          <w:snapToGrid w:val="0"/>
          <w:color w:val="auto"/>
          <w:kern w:val="0"/>
          <w:szCs w:val="20"/>
          <w:highlight w:val="none"/>
        </w:rPr>
        <w:t>工程建设进行施工时，要进行平整场地和开挖基础，并要进行基础处理、因此，将出现一定数量的建筑垃圾。建筑垃圾的产生量与施工水平、管理水平、建筑类型有直接的联系，每平方米建筑面积将产生0.5～1.0kg左右的建筑垃圾，本评价取每平方米建筑面积产生0.5kg建筑垃圾计算，则整个施工期间该项目将产生约1.78t建筑垃圾。</w:t>
      </w:r>
    </w:p>
    <w:p w14:paraId="1562FB10">
      <w:pPr>
        <w:pStyle w:val="5"/>
        <w:rPr>
          <w:color w:val="auto"/>
          <w:highlight w:val="none"/>
        </w:rPr>
      </w:pPr>
      <w:r>
        <w:rPr>
          <w:color w:val="auto"/>
          <w:highlight w:val="none"/>
        </w:rPr>
        <w:t>3.4.1.5生态环境</w:t>
      </w:r>
    </w:p>
    <w:p w14:paraId="1D5668E7">
      <w:pPr>
        <w:spacing w:line="500" w:lineRule="exact"/>
        <w:rPr>
          <w:rFonts w:cs="Times New Roman"/>
          <w:snapToGrid w:val="0"/>
          <w:color w:val="auto"/>
          <w:kern w:val="0"/>
          <w:szCs w:val="20"/>
          <w:highlight w:val="none"/>
        </w:rPr>
      </w:pPr>
      <w:r>
        <w:rPr>
          <w:rFonts w:cs="Times New Roman"/>
          <w:snapToGrid w:val="0"/>
          <w:color w:val="auto"/>
          <w:kern w:val="0"/>
          <w:szCs w:val="20"/>
          <w:highlight w:val="none"/>
        </w:rPr>
        <w:t>本项目施工期生态环境影响主要为水土流失，影响水土流失的因素较多，主要包括降雨、土壤、植被、地形地貌等自然因素以及工程施工等人为因素。本项目施工造成的水土流失主要为施工过程中，将进行一定量的开挖，致使地表土壤裸露，造成水土流失。如果遇上降雨天气，造成的水土流失量是很大的。</w:t>
      </w:r>
    </w:p>
    <w:p w14:paraId="32B7AE75">
      <w:pPr>
        <w:pStyle w:val="4"/>
        <w:spacing w:after="156"/>
        <w:rPr>
          <w:rFonts w:cs="Times New Roman"/>
          <w:color w:val="auto"/>
          <w:highlight w:val="none"/>
        </w:rPr>
      </w:pPr>
      <w:bookmarkStart w:id="133" w:name="_Toc22693"/>
      <w:r>
        <w:rPr>
          <w:rFonts w:cs="Times New Roman"/>
          <w:color w:val="auto"/>
          <w:highlight w:val="none"/>
        </w:rPr>
        <w:t>3.4.2运营期污染源及源强分析</w:t>
      </w:r>
      <w:bookmarkEnd w:id="133"/>
    </w:p>
    <w:p w14:paraId="15B8856E">
      <w:pPr>
        <w:pStyle w:val="5"/>
        <w:rPr>
          <w:color w:val="auto"/>
          <w:highlight w:val="none"/>
        </w:rPr>
      </w:pPr>
      <w:r>
        <w:rPr>
          <w:color w:val="auto"/>
          <w:highlight w:val="none"/>
        </w:rPr>
        <w:t>3.4.2.1废气</w:t>
      </w:r>
    </w:p>
    <w:p w14:paraId="5A3EA42A">
      <w:pPr>
        <w:pStyle w:val="117"/>
        <w:adjustRightInd w:val="0"/>
        <w:snapToGrid w:val="0"/>
        <w:ind w:firstLine="528"/>
        <w:rPr>
          <w:rFonts w:cs="Times New Roman"/>
          <w:snapToGrid w:val="0"/>
          <w:color w:val="auto"/>
          <w:highlight w:val="none"/>
        </w:rPr>
      </w:pPr>
      <w:r>
        <w:rPr>
          <w:rFonts w:cs="Times New Roman"/>
          <w:color w:val="auto"/>
          <w:spacing w:val="12"/>
          <w:szCs w:val="24"/>
          <w:highlight w:val="none"/>
        </w:rPr>
        <w:t>本项目废气污染源分有组织排放点源及无组织排放面源两种，其中点源主要为屠宰车间、</w:t>
      </w:r>
      <w:r>
        <w:rPr>
          <w:rFonts w:hint="eastAsia" w:cs="Times New Roman"/>
          <w:color w:val="auto"/>
          <w:spacing w:val="12"/>
          <w:szCs w:val="24"/>
          <w:highlight w:val="none"/>
          <w:lang w:val="en-US" w:eastAsia="zh-CN"/>
        </w:rPr>
        <w:t>急宰间、隔离间及固体废物暂存间恶臭</w:t>
      </w:r>
      <w:r>
        <w:rPr>
          <w:rFonts w:cs="Times New Roman"/>
          <w:color w:val="auto"/>
          <w:spacing w:val="12"/>
          <w:szCs w:val="24"/>
          <w:highlight w:val="none"/>
        </w:rPr>
        <w:t>、污水处理站恶臭</w:t>
      </w:r>
      <w:r>
        <w:rPr>
          <w:rFonts w:hint="eastAsia" w:cs="Times New Roman"/>
          <w:color w:val="auto"/>
          <w:spacing w:val="12"/>
          <w:szCs w:val="24"/>
          <w:highlight w:val="none"/>
          <w:lang w:eastAsia="zh-CN"/>
        </w:rPr>
        <w:t>。</w:t>
      </w:r>
      <w:r>
        <w:rPr>
          <w:rFonts w:cs="Times New Roman"/>
          <w:color w:val="auto"/>
          <w:spacing w:val="12"/>
          <w:szCs w:val="24"/>
          <w:highlight w:val="none"/>
        </w:rPr>
        <w:t>无组织排放面源包括屠宰车间恶臭、待宰圈恶臭、污水处理站恶臭、</w:t>
      </w:r>
      <w:r>
        <w:rPr>
          <w:rFonts w:hint="eastAsia" w:cs="Times New Roman"/>
          <w:color w:val="auto"/>
          <w:spacing w:val="12"/>
          <w:szCs w:val="24"/>
          <w:highlight w:val="none"/>
          <w:lang w:val="en-US" w:eastAsia="zh-CN"/>
        </w:rPr>
        <w:t>急宰间、隔离间</w:t>
      </w:r>
      <w:r>
        <w:rPr>
          <w:rFonts w:cs="Times New Roman"/>
          <w:color w:val="auto"/>
          <w:spacing w:val="12"/>
          <w:szCs w:val="24"/>
          <w:highlight w:val="none"/>
        </w:rPr>
        <w:t>及固废暂存间恶臭。</w:t>
      </w:r>
    </w:p>
    <w:p w14:paraId="49149B76">
      <w:pPr>
        <w:pStyle w:val="117"/>
        <w:adjustRightInd w:val="0"/>
        <w:snapToGrid w:val="0"/>
        <w:ind w:firstLine="482"/>
        <w:rPr>
          <w:rFonts w:cs="Times New Roman"/>
          <w:b/>
          <w:bCs/>
          <w:snapToGrid w:val="0"/>
          <w:color w:val="auto"/>
          <w:highlight w:val="none"/>
          <w:lang w:val="zh-CN"/>
        </w:rPr>
      </w:pPr>
      <w:r>
        <w:rPr>
          <w:rFonts w:cs="Times New Roman"/>
          <w:b/>
          <w:bCs/>
          <w:snapToGrid w:val="0"/>
          <w:color w:val="auto"/>
          <w:highlight w:val="none"/>
          <w:lang w:val="zh-CN"/>
        </w:rPr>
        <w:t>1、正常工况</w:t>
      </w:r>
    </w:p>
    <w:p w14:paraId="70A9F240">
      <w:pPr>
        <w:pStyle w:val="117"/>
        <w:adjustRightInd w:val="0"/>
        <w:snapToGrid w:val="0"/>
        <w:rPr>
          <w:rFonts w:hint="eastAsia" w:eastAsia="宋体" w:cs="Times New Roman"/>
          <w:snapToGrid w:val="0"/>
          <w:color w:val="auto"/>
          <w:highlight w:val="none"/>
          <w:lang w:val="en-US" w:eastAsia="zh-CN"/>
        </w:rPr>
      </w:pPr>
      <w:r>
        <w:rPr>
          <w:rFonts w:cs="Times New Roman"/>
          <w:snapToGrid w:val="0"/>
          <w:color w:val="auto"/>
          <w:highlight w:val="none"/>
          <w:lang w:val="zh-CN"/>
        </w:rPr>
        <w:t>（1）</w:t>
      </w:r>
      <w:r>
        <w:rPr>
          <w:rFonts w:cs="Times New Roman"/>
          <w:color w:val="auto"/>
          <w:spacing w:val="12"/>
          <w:szCs w:val="24"/>
          <w:highlight w:val="none"/>
        </w:rPr>
        <w:t>屠宰车间、</w:t>
      </w:r>
      <w:r>
        <w:rPr>
          <w:rFonts w:hint="eastAsia" w:cs="Times New Roman"/>
          <w:color w:val="auto"/>
          <w:spacing w:val="12"/>
          <w:szCs w:val="24"/>
          <w:highlight w:val="none"/>
          <w:lang w:val="en-US" w:eastAsia="zh-CN"/>
        </w:rPr>
        <w:t>急宰间、隔离间及固体废物暂存间</w:t>
      </w:r>
    </w:p>
    <w:p w14:paraId="6757B0C9">
      <w:pPr>
        <w:pStyle w:val="117"/>
        <w:adjustRightInd w:val="0"/>
        <w:snapToGrid w:val="0"/>
        <w:rPr>
          <w:rFonts w:cs="Times New Roman"/>
          <w:snapToGrid w:val="0"/>
          <w:color w:val="auto"/>
          <w:highlight w:val="none"/>
        </w:rPr>
      </w:pPr>
      <w:r>
        <w:rPr>
          <w:rFonts w:cs="Times New Roman"/>
          <w:snapToGrid w:val="0"/>
          <w:color w:val="auto"/>
          <w:highlight w:val="none"/>
          <w:lang w:val="zh-CN"/>
        </w:rPr>
        <w:t>屠宰车间</w:t>
      </w:r>
      <w:r>
        <w:rPr>
          <w:rFonts w:hint="eastAsia" w:cs="Times New Roman"/>
          <w:snapToGrid w:val="0"/>
          <w:color w:val="auto"/>
          <w:highlight w:val="none"/>
          <w:lang w:val="zh-CN"/>
        </w:rPr>
        <w:t>、</w:t>
      </w:r>
      <w:r>
        <w:rPr>
          <w:rFonts w:hint="eastAsia" w:cs="Times New Roman"/>
          <w:snapToGrid w:val="0"/>
          <w:color w:val="auto"/>
          <w:highlight w:val="none"/>
          <w:lang w:val="en-US" w:eastAsia="zh-CN"/>
        </w:rPr>
        <w:t>急宰间、固体废物暂存间</w:t>
      </w:r>
      <w:r>
        <w:rPr>
          <w:rFonts w:cs="Times New Roman"/>
          <w:snapToGrid w:val="0"/>
          <w:color w:val="auto"/>
          <w:highlight w:val="none"/>
          <w:lang w:val="zh-CN"/>
        </w:rPr>
        <w:t>内湿度较高，屠宰后牲畜的湿皮、血、肠肚、粪尿等产生的臭气混杂在一起，形成刺鼻的腥臭味。</w:t>
      </w:r>
    </w:p>
    <w:p w14:paraId="45AFB9F3">
      <w:pPr>
        <w:pStyle w:val="117"/>
        <w:adjustRightInd w:val="0"/>
        <w:snapToGrid w:val="0"/>
        <w:rPr>
          <w:rFonts w:hint="default" w:ascii="Times New Roman" w:hAnsi="Times New Roman" w:cs="Times New Roman"/>
          <w:snapToGrid w:val="0"/>
          <w:color w:val="auto"/>
          <w:highlight w:val="none"/>
          <w:lang w:val="zh-CN"/>
        </w:rPr>
      </w:pPr>
      <w:r>
        <w:rPr>
          <w:rFonts w:hint="eastAsia" w:cs="Times New Roman"/>
          <w:snapToGrid w:val="0"/>
          <w:color w:val="auto"/>
          <w:highlight w:val="none"/>
          <w:lang w:val="en-US" w:eastAsia="zh-CN"/>
        </w:rPr>
        <w:t>隔离间</w:t>
      </w:r>
      <w:r>
        <w:rPr>
          <w:rFonts w:cs="Times New Roman"/>
          <w:snapToGrid w:val="0"/>
          <w:color w:val="auto"/>
          <w:highlight w:val="none"/>
          <w:lang w:val="zh-CN"/>
        </w:rPr>
        <w:t>是为牛、羊提供观察</w:t>
      </w:r>
      <w:r>
        <w:rPr>
          <w:rFonts w:hint="eastAsia" w:cs="Times New Roman"/>
          <w:snapToGrid w:val="0"/>
          <w:color w:val="auto"/>
          <w:highlight w:val="none"/>
          <w:lang w:val="en-US" w:eastAsia="zh-CN"/>
        </w:rPr>
        <w:t>隔离</w:t>
      </w:r>
      <w:r>
        <w:rPr>
          <w:rFonts w:cs="Times New Roman"/>
          <w:snapToGrid w:val="0"/>
          <w:color w:val="auto"/>
          <w:highlight w:val="none"/>
          <w:lang w:val="zh-CN"/>
        </w:rPr>
        <w:t>的场所，</w:t>
      </w:r>
      <w:r>
        <w:rPr>
          <w:rFonts w:hint="eastAsia" w:cs="Times New Roman"/>
          <w:snapToGrid w:val="0"/>
          <w:color w:val="auto"/>
          <w:highlight w:val="none"/>
          <w:lang w:val="en-US" w:eastAsia="zh-CN"/>
        </w:rPr>
        <w:t>隔离间</w:t>
      </w:r>
      <w:r>
        <w:rPr>
          <w:rFonts w:cs="Times New Roman"/>
          <w:snapToGrid w:val="0"/>
          <w:color w:val="auto"/>
          <w:highlight w:val="none"/>
          <w:lang w:val="zh-CN"/>
        </w:rPr>
        <w:t>的恶臭主要来自畜禽尿液，主要会产生氨、硫化氢等恶臭气体，若未及时清除或清除后不能及时处理，将会使臭味成倍增加，并会孳生大量蚊蝇，影响</w:t>
      </w:r>
      <w:r>
        <w:rPr>
          <w:rFonts w:hint="default" w:ascii="Times New Roman" w:hAnsi="Times New Roman" w:cs="Times New Roman"/>
          <w:snapToGrid w:val="0"/>
          <w:color w:val="auto"/>
          <w:highlight w:val="none"/>
          <w:lang w:val="zh-CN"/>
        </w:rPr>
        <w:t>环境卫生。</w:t>
      </w:r>
    </w:p>
    <w:p w14:paraId="67C00DD8">
      <w:pPr>
        <w:pStyle w:val="117"/>
        <w:adjustRightInd w:val="0"/>
        <w:snapToGrid w:val="0"/>
        <w:rPr>
          <w:rFonts w:hint="default" w:eastAsia="宋体" w:cs="Times New Roman"/>
          <w:snapToGrid w:val="0"/>
          <w:color w:val="auto"/>
          <w:highlight w:val="none"/>
          <w:lang w:val="en-US" w:eastAsia="zh-CN"/>
        </w:rPr>
      </w:pPr>
      <w:r>
        <w:rPr>
          <w:rFonts w:hint="default" w:ascii="Times New Roman" w:hAnsi="Times New Roman" w:cs="Times New Roman"/>
          <w:snapToGrid w:val="0"/>
          <w:color w:val="auto"/>
          <w:highlight w:val="none"/>
          <w:lang w:val="zh-CN"/>
        </w:rPr>
        <w:t>恶臭污染源源强</w:t>
      </w:r>
      <w:r>
        <w:rPr>
          <w:rFonts w:hint="default" w:ascii="Times New Roman" w:hAnsi="Times New Roman" w:cs="Times New Roman"/>
          <w:snapToGrid w:val="0"/>
          <w:color w:val="auto"/>
          <w:highlight w:val="none"/>
          <w:lang w:val="en-US" w:eastAsia="zh-CN"/>
        </w:rPr>
        <w:t>类比</w:t>
      </w:r>
      <w:r>
        <w:rPr>
          <w:rFonts w:hint="default" w:ascii="Times New Roman" w:hAnsi="Times New Roman" w:cs="Times New Roman"/>
          <w:snapToGrid w:val="0"/>
          <w:color w:val="auto"/>
          <w:highlight w:val="none"/>
          <w:lang w:val="zh-CN"/>
        </w:rPr>
        <w:t>《</w:t>
      </w:r>
      <w:r>
        <w:rPr>
          <w:rFonts w:hint="default" w:ascii="Times New Roman" w:hAnsi="Times New Roman" w:eastAsia="宋体" w:cs="Times New Roman"/>
          <w:color w:val="auto"/>
          <w:sz w:val="24"/>
          <w:szCs w:val="24"/>
          <w:highlight w:val="none"/>
        </w:rPr>
        <w:t>揭阳市广联牲畜屠宰有限公司年屠宰肉牛3万头、肉羊18万只生产线建设项目竣工环境保护验收监测报告</w:t>
      </w:r>
      <w:r>
        <w:rPr>
          <w:rFonts w:hint="default" w:ascii="Times New Roman" w:hAnsi="Times New Roman" w:cs="Times New Roman"/>
          <w:snapToGrid w:val="0"/>
          <w:color w:val="auto"/>
          <w:highlight w:val="none"/>
          <w:lang w:val="zh-CN"/>
        </w:rPr>
        <w:t>》（</w:t>
      </w:r>
      <w:r>
        <w:rPr>
          <w:rFonts w:hint="default" w:ascii="Times New Roman" w:hAnsi="Times New Roman" w:cs="Times New Roman"/>
          <w:snapToGrid w:val="0"/>
          <w:color w:val="auto"/>
          <w:highlight w:val="none"/>
        </w:rPr>
        <w:t>通过验收</w:t>
      </w:r>
      <w:r>
        <w:rPr>
          <w:rFonts w:hint="default" w:ascii="Times New Roman" w:hAnsi="Times New Roman" w:cs="Times New Roman"/>
          <w:snapToGrid w:val="0"/>
          <w:color w:val="auto"/>
          <w:highlight w:val="none"/>
          <w:lang w:val="zh-CN"/>
        </w:rPr>
        <w:t>）</w:t>
      </w:r>
      <w:r>
        <w:rPr>
          <w:rFonts w:hint="default" w:ascii="Times New Roman" w:hAnsi="Times New Roman" w:cs="Times New Roman"/>
          <w:snapToGrid w:val="0"/>
          <w:color w:val="auto"/>
          <w:highlight w:val="none"/>
        </w:rPr>
        <w:t>中屠宰车间监测数据，</w:t>
      </w:r>
      <w:r>
        <w:rPr>
          <w:rFonts w:hint="default" w:ascii="Times New Roman" w:hAnsi="Times New Roman" w:cs="Times New Roman"/>
          <w:snapToGrid w:val="0"/>
          <w:color w:val="auto"/>
          <w:highlight w:val="none"/>
          <w:lang w:val="en-US" w:eastAsia="zh-CN"/>
        </w:rPr>
        <w:t>类比</w:t>
      </w:r>
      <w:r>
        <w:rPr>
          <w:rFonts w:hint="default" w:ascii="Times New Roman" w:hAnsi="Times New Roman" w:cs="Times New Roman"/>
          <w:snapToGrid w:val="0"/>
          <w:color w:val="auto"/>
          <w:highlight w:val="none"/>
        </w:rPr>
        <w:t>项目</w:t>
      </w:r>
      <w:r>
        <w:rPr>
          <w:rFonts w:hint="default" w:ascii="Times New Roman" w:hAnsi="Times New Roman" w:eastAsia="宋体" w:cs="Times New Roman"/>
          <w:color w:val="auto"/>
          <w:sz w:val="24"/>
          <w:szCs w:val="24"/>
          <w:highlight w:val="none"/>
        </w:rPr>
        <w:t>年屠宰肉牛3万头、肉羊18万只</w:t>
      </w:r>
      <w:r>
        <w:rPr>
          <w:rFonts w:hint="default" w:ascii="Times New Roman" w:hAnsi="Times New Roman" w:cs="Times New Roman"/>
          <w:snapToGrid w:val="0"/>
          <w:color w:val="auto"/>
          <w:highlight w:val="none"/>
        </w:rPr>
        <w:t>，工艺为自动化屠宰</w:t>
      </w:r>
      <w:r>
        <w:rPr>
          <w:rFonts w:hint="default" w:ascii="Times New Roman" w:hAnsi="Times New Roman" w:cs="Times New Roman"/>
          <w:snapToGrid w:val="0"/>
          <w:color w:val="auto"/>
          <w:highlight w:val="none"/>
          <w:lang w:val="en-US" w:eastAsia="zh-CN"/>
        </w:rPr>
        <w:t>生产线</w:t>
      </w:r>
      <w:r>
        <w:rPr>
          <w:rFonts w:hint="default" w:ascii="Times New Roman" w:hAnsi="Times New Roman" w:cs="Times New Roman"/>
          <w:snapToGrid w:val="0"/>
          <w:color w:val="auto"/>
          <w:highlight w:val="none"/>
        </w:rPr>
        <w:t>，</w:t>
      </w:r>
      <w:r>
        <w:rPr>
          <w:rFonts w:hint="default" w:ascii="Times New Roman" w:hAnsi="Times New Roman" w:cs="Times New Roman"/>
          <w:snapToGrid w:val="0"/>
          <w:color w:val="auto"/>
          <w:highlight w:val="none"/>
          <w:lang w:val="en-US" w:eastAsia="zh-CN"/>
        </w:rPr>
        <w:t>屠宰车间顶部设置集气装置，整体负压换气，收集到的恶臭气体经除臭装置处理后经20m高排气筒排放。</w:t>
      </w:r>
      <w:r>
        <w:rPr>
          <w:rFonts w:hint="default" w:ascii="Times New Roman" w:hAnsi="Times New Roman" w:cs="Times New Roman"/>
          <w:color w:val="auto"/>
          <w:sz w:val="24"/>
          <w:szCs w:val="24"/>
          <w:highlight w:val="none"/>
          <w:lang w:val="en-US" w:eastAsia="zh-CN"/>
        </w:rPr>
        <w:t>在验收检测期间，</w:t>
      </w:r>
      <w:r>
        <w:rPr>
          <w:rFonts w:hint="eastAsia" w:ascii="Times New Roman" w:hAnsi="Times New Roman" w:cs="Times New Roman"/>
          <w:color w:val="auto"/>
          <w:sz w:val="24"/>
          <w:szCs w:val="24"/>
          <w:highlight w:val="none"/>
          <w:lang w:val="en-US" w:eastAsia="zh-CN"/>
        </w:rPr>
        <w:t>类比项目主体工程运行正常，且环保设施运转良好，满足建设项目竣工环境保护验收监测对工况的要求，类比</w:t>
      </w:r>
      <w:r>
        <w:rPr>
          <w:rFonts w:cs="Times New Roman"/>
          <w:snapToGrid w:val="0"/>
          <w:color w:val="auto"/>
          <w:highlight w:val="none"/>
        </w:rPr>
        <w:t>项目验收监测期间（</w:t>
      </w:r>
      <w:r>
        <w:rPr>
          <w:rFonts w:hint="eastAsia" w:cs="Times New Roman"/>
          <w:snapToGrid w:val="0"/>
          <w:color w:val="auto"/>
          <w:highlight w:val="none"/>
          <w:lang w:val="en-US" w:eastAsia="zh-CN"/>
        </w:rPr>
        <w:t>2023.09.21</w:t>
      </w:r>
      <w:r>
        <w:rPr>
          <w:rFonts w:cs="Times New Roman"/>
          <w:snapToGrid w:val="0"/>
          <w:color w:val="auto"/>
          <w:highlight w:val="none"/>
        </w:rPr>
        <w:t>-202</w:t>
      </w:r>
      <w:r>
        <w:rPr>
          <w:rFonts w:hint="eastAsia" w:cs="Times New Roman"/>
          <w:snapToGrid w:val="0"/>
          <w:color w:val="auto"/>
          <w:highlight w:val="none"/>
          <w:lang w:val="en-US" w:eastAsia="zh-CN"/>
        </w:rPr>
        <w:t>3.09.22</w:t>
      </w:r>
      <w:r>
        <w:rPr>
          <w:rFonts w:cs="Times New Roman"/>
          <w:snapToGrid w:val="0"/>
          <w:color w:val="auto"/>
          <w:highlight w:val="none"/>
        </w:rPr>
        <w:t>）屠宰肉牛100头/d，羊</w:t>
      </w:r>
      <w:r>
        <w:rPr>
          <w:rFonts w:hint="eastAsia" w:cs="Times New Roman"/>
          <w:snapToGrid w:val="0"/>
          <w:color w:val="auto"/>
          <w:highlight w:val="none"/>
          <w:lang w:val="en-US" w:eastAsia="zh-CN"/>
        </w:rPr>
        <w:t>600</w:t>
      </w:r>
      <w:r>
        <w:rPr>
          <w:rFonts w:cs="Times New Roman"/>
          <w:snapToGrid w:val="0"/>
          <w:color w:val="auto"/>
          <w:highlight w:val="none"/>
        </w:rPr>
        <w:t>只/d</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运行工况90%</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较本项目屠宰规模大，与本项目生产工艺基本一致，产生恶臭来源基本一致，收集方式基本一致。</w:t>
      </w:r>
      <w:r>
        <w:rPr>
          <w:rFonts w:cs="Times New Roman"/>
          <w:snapToGrid w:val="0"/>
          <w:color w:val="auto"/>
          <w:highlight w:val="none"/>
          <w:lang w:val="zh-CN"/>
        </w:rPr>
        <w:t>因此，</w:t>
      </w:r>
      <w:r>
        <w:rPr>
          <w:rFonts w:hint="eastAsia" w:cs="Times New Roman"/>
          <w:snapToGrid w:val="0"/>
          <w:color w:val="auto"/>
          <w:highlight w:val="none"/>
          <w:lang w:val="en-US" w:eastAsia="zh-CN"/>
        </w:rPr>
        <w:t>具有可类比性，</w:t>
      </w:r>
      <w:r>
        <w:rPr>
          <w:rFonts w:cs="Times New Roman"/>
          <w:snapToGrid w:val="0"/>
          <w:color w:val="auto"/>
          <w:highlight w:val="none"/>
          <w:lang w:val="zh-CN"/>
        </w:rPr>
        <w:t>可将其验收报告中的除臭设备</w:t>
      </w:r>
      <w:r>
        <w:rPr>
          <w:rFonts w:hint="eastAsia" w:cs="Times New Roman"/>
          <w:snapToGrid w:val="0"/>
          <w:color w:val="auto"/>
          <w:highlight w:val="none"/>
          <w:lang w:val="en-US" w:eastAsia="zh-CN"/>
        </w:rPr>
        <w:t>进口</w:t>
      </w:r>
      <w:r>
        <w:rPr>
          <w:rFonts w:cs="Times New Roman"/>
          <w:snapToGrid w:val="0"/>
          <w:color w:val="auto"/>
          <w:highlight w:val="none"/>
          <w:lang w:val="zh-CN"/>
        </w:rPr>
        <w:t>恶臭速率</w:t>
      </w:r>
      <w:r>
        <w:rPr>
          <w:rFonts w:cs="Times New Roman"/>
          <w:snapToGrid w:val="0"/>
          <w:color w:val="auto"/>
          <w:highlight w:val="none"/>
        </w:rPr>
        <w:t>折算后作为</w:t>
      </w:r>
      <w:r>
        <w:rPr>
          <w:rFonts w:cs="Times New Roman"/>
          <w:snapToGrid w:val="0"/>
          <w:color w:val="auto"/>
          <w:highlight w:val="none"/>
          <w:lang w:val="zh-CN"/>
        </w:rPr>
        <w:t>本项目恶臭</w:t>
      </w:r>
      <w:r>
        <w:rPr>
          <w:rFonts w:hint="eastAsia" w:cs="Times New Roman"/>
          <w:snapToGrid w:val="0"/>
          <w:color w:val="auto"/>
          <w:highlight w:val="none"/>
          <w:lang w:val="en-US" w:eastAsia="zh-CN"/>
        </w:rPr>
        <w:t>源强</w:t>
      </w:r>
      <w:r>
        <w:rPr>
          <w:rFonts w:cs="Times New Roman"/>
          <w:snapToGrid w:val="0"/>
          <w:color w:val="auto"/>
          <w:highlight w:val="none"/>
          <w:lang w:val="zh-CN"/>
        </w:rPr>
        <w:t>。</w:t>
      </w:r>
      <w:r>
        <w:rPr>
          <w:rFonts w:hint="eastAsia" w:cs="Times New Roman"/>
          <w:snapToGrid w:val="0"/>
          <w:color w:val="auto"/>
          <w:highlight w:val="none"/>
          <w:lang w:val="en-US" w:eastAsia="zh-CN"/>
        </w:rPr>
        <w:t>类比项目待宰圈</w:t>
      </w:r>
      <w:r>
        <w:rPr>
          <w:rFonts w:cs="Times New Roman"/>
          <w:snapToGrid w:val="0"/>
          <w:color w:val="auto"/>
          <w:highlight w:val="none"/>
        </w:rPr>
        <w:t>（整体负压换气）</w:t>
      </w:r>
      <w:r>
        <w:rPr>
          <w:rFonts w:cs="Times New Roman"/>
          <w:snapToGrid w:val="0"/>
          <w:color w:val="auto"/>
          <w:highlight w:val="none"/>
          <w:lang w:val="zh-CN"/>
        </w:rPr>
        <w:t>除臭设备</w:t>
      </w:r>
      <w:r>
        <w:rPr>
          <w:rFonts w:hint="eastAsia" w:cs="Times New Roman"/>
          <w:snapToGrid w:val="0"/>
          <w:color w:val="auto"/>
          <w:highlight w:val="none"/>
          <w:lang w:val="en-US" w:eastAsia="zh-CN"/>
        </w:rPr>
        <w:t>出口</w:t>
      </w:r>
      <w:r>
        <w:rPr>
          <w:rFonts w:cs="Times New Roman"/>
          <w:snapToGrid w:val="0"/>
          <w:color w:val="auto"/>
          <w:highlight w:val="none"/>
        </w:rPr>
        <w:t>恶臭</w:t>
      </w:r>
      <w:r>
        <w:rPr>
          <w:rFonts w:hint="eastAsia" w:cs="Times New Roman"/>
          <w:snapToGrid w:val="0"/>
          <w:color w:val="auto"/>
          <w:highlight w:val="none"/>
          <w:lang w:val="en-US" w:eastAsia="zh-CN"/>
        </w:rPr>
        <w:t>排放</w:t>
      </w:r>
      <w:r>
        <w:rPr>
          <w:rFonts w:cs="Times New Roman"/>
          <w:snapToGrid w:val="0"/>
          <w:color w:val="auto"/>
          <w:highlight w:val="none"/>
        </w:rPr>
        <w:t>速率最大值分别为</w:t>
      </w:r>
      <w:r>
        <w:rPr>
          <w:rFonts w:cs="Times New Roman"/>
          <w:snapToGrid w:val="0"/>
          <w:color w:val="auto"/>
          <w:highlight w:val="none"/>
          <w:lang w:val="zh-CN"/>
        </w:rPr>
        <w:t>氨：</w:t>
      </w:r>
      <w:r>
        <w:rPr>
          <w:rFonts w:hint="eastAsia" w:cs="Times New Roman"/>
          <w:snapToGrid w:val="0"/>
          <w:color w:val="auto"/>
          <w:highlight w:val="none"/>
          <w:lang w:val="en-US" w:eastAsia="zh-CN"/>
        </w:rPr>
        <w:t>7.4</w:t>
      </w:r>
      <w:r>
        <w:rPr>
          <w:rFonts w:cs="Times New Roman"/>
          <w:snapToGrid w:val="0"/>
          <w:color w:val="auto"/>
          <w:highlight w:val="none"/>
          <w:lang w:val="zh-CN"/>
        </w:rPr>
        <w:t>×10</w:t>
      </w:r>
      <w:r>
        <w:rPr>
          <w:rFonts w:cs="Times New Roman"/>
          <w:snapToGrid w:val="0"/>
          <w:color w:val="auto"/>
          <w:highlight w:val="none"/>
          <w:vertAlign w:val="superscript"/>
          <w:lang w:val="zh-CN"/>
        </w:rPr>
        <w:t>-</w:t>
      </w:r>
      <w:r>
        <w:rPr>
          <w:rFonts w:hint="eastAsia" w:cs="Times New Roman"/>
          <w:snapToGrid w:val="0"/>
          <w:color w:val="auto"/>
          <w:highlight w:val="none"/>
          <w:vertAlign w:val="superscript"/>
          <w:lang w:val="en-US" w:eastAsia="zh-CN"/>
        </w:rPr>
        <w:t>3</w:t>
      </w:r>
      <w:r>
        <w:rPr>
          <w:rFonts w:cs="Times New Roman"/>
          <w:snapToGrid w:val="0"/>
          <w:color w:val="auto"/>
          <w:highlight w:val="none"/>
          <w:lang w:val="zh-CN"/>
        </w:rPr>
        <w:t>kg/h、硫化氢：</w:t>
      </w:r>
      <w:r>
        <w:rPr>
          <w:rFonts w:hint="eastAsia" w:cs="Times New Roman"/>
          <w:snapToGrid w:val="0"/>
          <w:color w:val="auto"/>
          <w:highlight w:val="none"/>
          <w:lang w:val="en-US" w:eastAsia="zh-CN"/>
        </w:rPr>
        <w:t>5.9</w:t>
      </w:r>
      <w:r>
        <w:rPr>
          <w:rFonts w:cs="Times New Roman"/>
          <w:snapToGrid w:val="0"/>
          <w:color w:val="auto"/>
          <w:highlight w:val="none"/>
          <w:lang w:val="zh-CN"/>
        </w:rPr>
        <w:t>×10</w:t>
      </w:r>
      <w:r>
        <w:rPr>
          <w:rFonts w:cs="Times New Roman"/>
          <w:snapToGrid w:val="0"/>
          <w:color w:val="auto"/>
          <w:highlight w:val="none"/>
          <w:vertAlign w:val="superscript"/>
          <w:lang w:val="zh-CN"/>
        </w:rPr>
        <w:t>-</w:t>
      </w:r>
      <w:r>
        <w:rPr>
          <w:rFonts w:hint="eastAsia" w:cs="Times New Roman"/>
          <w:snapToGrid w:val="0"/>
          <w:color w:val="auto"/>
          <w:highlight w:val="none"/>
          <w:vertAlign w:val="superscript"/>
          <w:lang w:val="en-US" w:eastAsia="zh-CN"/>
        </w:rPr>
        <w:t>5</w:t>
      </w:r>
      <w:r>
        <w:rPr>
          <w:rFonts w:cs="Times New Roman"/>
          <w:snapToGrid w:val="0"/>
          <w:color w:val="auto"/>
          <w:highlight w:val="none"/>
          <w:lang w:val="zh-CN"/>
        </w:rPr>
        <w:t>kg/h</w:t>
      </w:r>
      <w:r>
        <w:rPr>
          <w:rFonts w:hint="eastAsia" w:cs="Times New Roman"/>
          <w:snapToGrid w:val="0"/>
          <w:color w:val="auto"/>
          <w:highlight w:val="none"/>
          <w:lang w:val="zh-CN"/>
        </w:rPr>
        <w:t>、</w:t>
      </w:r>
      <w:r>
        <w:rPr>
          <w:rFonts w:hint="eastAsia" w:cs="Times New Roman"/>
          <w:snapToGrid w:val="0"/>
          <w:color w:val="auto"/>
          <w:highlight w:val="none"/>
          <w:lang w:val="en-US" w:eastAsia="zh-CN"/>
        </w:rPr>
        <w:t>臭气浓度：977（无量纲）计</w:t>
      </w:r>
      <w:r>
        <w:rPr>
          <w:rFonts w:cs="Times New Roman"/>
          <w:snapToGrid w:val="0"/>
          <w:color w:val="auto"/>
          <w:highlight w:val="none"/>
        </w:rPr>
        <w:t>。</w:t>
      </w:r>
      <w:r>
        <w:rPr>
          <w:rFonts w:hint="eastAsia" w:cs="Times New Roman"/>
          <w:snapToGrid w:val="0"/>
          <w:color w:val="auto"/>
          <w:highlight w:val="none"/>
          <w:lang w:val="en-US" w:eastAsia="zh-CN"/>
        </w:rPr>
        <w:t>该项目废气采取综合除臭，经收集后引入生物除臭净化装置中处理，废气收集效率90%，处理效率80%，由此可以推算，该项目进口恶臭产生源强为氨：0.041</w:t>
      </w:r>
      <w:r>
        <w:rPr>
          <w:rFonts w:cs="Times New Roman"/>
          <w:snapToGrid w:val="0"/>
          <w:color w:val="auto"/>
          <w:highlight w:val="none"/>
          <w:lang w:val="zh-CN"/>
        </w:rPr>
        <w:t>kg/h、硫化氢：</w:t>
      </w:r>
      <w:r>
        <w:rPr>
          <w:rFonts w:hint="eastAsia" w:cs="Times New Roman"/>
          <w:snapToGrid w:val="0"/>
          <w:color w:val="auto"/>
          <w:highlight w:val="none"/>
          <w:lang w:val="en-US" w:eastAsia="zh-CN"/>
        </w:rPr>
        <w:t>3.3</w:t>
      </w:r>
      <w:r>
        <w:rPr>
          <w:rFonts w:cs="Times New Roman"/>
          <w:snapToGrid w:val="0"/>
          <w:color w:val="auto"/>
          <w:highlight w:val="none"/>
          <w:lang w:val="zh-CN"/>
        </w:rPr>
        <w:t>×10</w:t>
      </w:r>
      <w:r>
        <w:rPr>
          <w:rFonts w:cs="Times New Roman"/>
          <w:snapToGrid w:val="0"/>
          <w:color w:val="auto"/>
          <w:highlight w:val="none"/>
          <w:vertAlign w:val="superscript"/>
          <w:lang w:val="zh-CN"/>
        </w:rPr>
        <w:t>-</w:t>
      </w:r>
      <w:r>
        <w:rPr>
          <w:rFonts w:hint="eastAsia" w:cs="Times New Roman"/>
          <w:snapToGrid w:val="0"/>
          <w:color w:val="auto"/>
          <w:highlight w:val="none"/>
          <w:vertAlign w:val="superscript"/>
          <w:lang w:val="en-US" w:eastAsia="zh-CN"/>
        </w:rPr>
        <w:t>4</w:t>
      </w:r>
      <w:r>
        <w:rPr>
          <w:rFonts w:cs="Times New Roman"/>
          <w:snapToGrid w:val="0"/>
          <w:color w:val="auto"/>
          <w:highlight w:val="none"/>
          <w:lang w:val="zh-CN"/>
        </w:rPr>
        <w:t>kg/h</w:t>
      </w:r>
      <w:r>
        <w:rPr>
          <w:rFonts w:hint="eastAsia" w:cs="Times New Roman"/>
          <w:snapToGrid w:val="0"/>
          <w:color w:val="auto"/>
          <w:highlight w:val="none"/>
          <w:lang w:val="zh-CN"/>
        </w:rPr>
        <w:t>、</w:t>
      </w:r>
      <w:r>
        <w:rPr>
          <w:rFonts w:hint="eastAsia" w:cs="Times New Roman"/>
          <w:snapToGrid w:val="0"/>
          <w:color w:val="auto"/>
          <w:highlight w:val="none"/>
          <w:lang w:val="en-US" w:eastAsia="zh-CN"/>
        </w:rPr>
        <w:t>臭气浓度：5427（无量纲）计</w:t>
      </w:r>
      <w:r>
        <w:rPr>
          <w:rFonts w:cs="Times New Roman"/>
          <w:snapToGrid w:val="0"/>
          <w:color w:val="auto"/>
          <w:highlight w:val="none"/>
        </w:rPr>
        <w:t>。</w:t>
      </w:r>
    </w:p>
    <w:p w14:paraId="0EB2BBB2">
      <w:pPr>
        <w:pStyle w:val="117"/>
        <w:adjustRightInd w:val="0"/>
        <w:snapToGrid w:val="0"/>
        <w:rPr>
          <w:rFonts w:cs="Times New Roman"/>
          <w:snapToGrid w:val="0"/>
          <w:color w:val="auto"/>
          <w:highlight w:val="none"/>
          <w:lang w:val="zh-CN"/>
        </w:rPr>
      </w:pPr>
      <w:r>
        <w:rPr>
          <w:rFonts w:cs="Times New Roman"/>
          <w:snapToGrid w:val="0"/>
          <w:color w:val="auto"/>
          <w:highlight w:val="none"/>
          <w:lang w:val="zh-CN"/>
        </w:rPr>
        <w:t>本项目</w:t>
      </w:r>
      <w:r>
        <w:rPr>
          <w:rFonts w:hint="eastAsia" w:cs="Times New Roman"/>
          <w:snapToGrid w:val="0"/>
          <w:color w:val="auto"/>
          <w:highlight w:val="none"/>
          <w:lang w:val="zh-CN"/>
        </w:rPr>
        <w:t>屠宰量为肉牛</w:t>
      </w:r>
      <w:r>
        <w:rPr>
          <w:rFonts w:hint="eastAsia" w:cs="Times New Roman"/>
          <w:snapToGrid w:val="0"/>
          <w:color w:val="auto"/>
          <w:highlight w:val="none"/>
          <w:lang w:val="en-US" w:eastAsia="zh-CN"/>
        </w:rPr>
        <w:t>100</w:t>
      </w:r>
      <w:r>
        <w:rPr>
          <w:rFonts w:hint="eastAsia" w:cs="Times New Roman"/>
          <w:snapToGrid w:val="0"/>
          <w:color w:val="auto"/>
          <w:highlight w:val="none"/>
          <w:lang w:val="zh-CN"/>
        </w:rPr>
        <w:t>头/d，肉羊</w:t>
      </w:r>
      <w:r>
        <w:rPr>
          <w:rFonts w:hint="eastAsia" w:cs="Times New Roman"/>
          <w:snapToGrid w:val="0"/>
          <w:color w:val="auto"/>
          <w:highlight w:val="none"/>
          <w:lang w:val="en-US" w:eastAsia="zh-CN"/>
        </w:rPr>
        <w:t>500</w:t>
      </w:r>
      <w:r>
        <w:rPr>
          <w:rFonts w:hint="eastAsia" w:cs="Times New Roman"/>
          <w:snapToGrid w:val="0"/>
          <w:color w:val="auto"/>
          <w:highlight w:val="none"/>
          <w:lang w:val="zh-CN"/>
        </w:rPr>
        <w:t>只/d</w:t>
      </w:r>
      <w:r>
        <w:rPr>
          <w:rFonts w:cs="Times New Roman"/>
          <w:snapToGrid w:val="0"/>
          <w:color w:val="auto"/>
          <w:highlight w:val="none"/>
        </w:rPr>
        <w:t>，</w:t>
      </w:r>
      <w:r>
        <w:rPr>
          <w:rFonts w:cs="Times New Roman"/>
          <w:snapToGrid w:val="0"/>
          <w:color w:val="auto"/>
          <w:highlight w:val="none"/>
          <w:lang w:val="zh-CN"/>
        </w:rPr>
        <w:t>因此，本项目牛、羊</w:t>
      </w:r>
      <w:r>
        <w:rPr>
          <w:rFonts w:cs="Times New Roman"/>
          <w:color w:val="auto"/>
          <w:spacing w:val="12"/>
          <w:szCs w:val="24"/>
          <w:highlight w:val="none"/>
        </w:rPr>
        <w:t>屠宰车间、</w:t>
      </w:r>
      <w:r>
        <w:rPr>
          <w:rFonts w:hint="eastAsia" w:cs="Times New Roman"/>
          <w:color w:val="auto"/>
          <w:spacing w:val="12"/>
          <w:szCs w:val="24"/>
          <w:highlight w:val="none"/>
          <w:lang w:val="en-US" w:eastAsia="zh-CN"/>
        </w:rPr>
        <w:t>急宰间、隔离间及固体废物暂存间</w:t>
      </w:r>
      <w:r>
        <w:rPr>
          <w:rFonts w:cs="Times New Roman"/>
          <w:snapToGrid w:val="0"/>
          <w:color w:val="auto"/>
          <w:highlight w:val="none"/>
          <w:lang w:val="zh-CN"/>
        </w:rPr>
        <w:t>恶臭，氨、硫化氢</w:t>
      </w:r>
      <w:r>
        <w:rPr>
          <w:rFonts w:cs="Times New Roman"/>
          <w:snapToGrid w:val="0"/>
          <w:color w:val="auto"/>
          <w:highlight w:val="none"/>
        </w:rPr>
        <w:t>和臭气浓度</w:t>
      </w:r>
      <w:r>
        <w:rPr>
          <w:rFonts w:cs="Times New Roman"/>
          <w:snapToGrid w:val="0"/>
          <w:color w:val="auto"/>
          <w:highlight w:val="none"/>
          <w:lang w:val="zh-CN"/>
        </w:rPr>
        <w:t>的</w:t>
      </w:r>
      <w:r>
        <w:rPr>
          <w:rFonts w:hint="eastAsia" w:cs="Times New Roman"/>
          <w:snapToGrid w:val="0"/>
          <w:color w:val="auto"/>
          <w:highlight w:val="none"/>
          <w:lang w:val="en-US" w:eastAsia="zh-CN"/>
        </w:rPr>
        <w:t>产生速率</w:t>
      </w:r>
      <w:r>
        <w:rPr>
          <w:rFonts w:cs="Times New Roman"/>
          <w:snapToGrid w:val="0"/>
          <w:color w:val="auto"/>
          <w:highlight w:val="none"/>
          <w:lang w:val="zh-CN"/>
        </w:rPr>
        <w:t>分别按</w:t>
      </w:r>
      <w:r>
        <w:rPr>
          <w:rFonts w:hint="eastAsia" w:cs="Times New Roman"/>
          <w:snapToGrid w:val="0"/>
          <w:color w:val="auto"/>
          <w:highlight w:val="none"/>
          <w:lang w:val="en-US" w:eastAsia="zh-CN"/>
        </w:rPr>
        <w:t>0.041</w:t>
      </w:r>
      <w:r>
        <w:rPr>
          <w:rFonts w:cs="Times New Roman"/>
          <w:snapToGrid w:val="0"/>
          <w:color w:val="auto"/>
          <w:highlight w:val="none"/>
          <w:lang w:val="zh-CN"/>
        </w:rPr>
        <w:t>kg/h，</w:t>
      </w:r>
      <w:r>
        <w:rPr>
          <w:rFonts w:hint="eastAsia" w:cs="Times New Roman"/>
          <w:snapToGrid w:val="0"/>
          <w:color w:val="auto"/>
          <w:highlight w:val="none"/>
          <w:lang w:val="en-US" w:eastAsia="zh-CN"/>
        </w:rPr>
        <w:t>3.3</w:t>
      </w:r>
      <w:r>
        <w:rPr>
          <w:rFonts w:cs="Times New Roman"/>
          <w:snapToGrid w:val="0"/>
          <w:color w:val="auto"/>
          <w:highlight w:val="none"/>
          <w:lang w:val="zh-CN"/>
        </w:rPr>
        <w:t>×10</w:t>
      </w:r>
      <w:r>
        <w:rPr>
          <w:rFonts w:cs="Times New Roman"/>
          <w:snapToGrid w:val="0"/>
          <w:color w:val="auto"/>
          <w:highlight w:val="none"/>
          <w:vertAlign w:val="superscript"/>
          <w:lang w:val="zh-CN"/>
        </w:rPr>
        <w:t>-</w:t>
      </w:r>
      <w:r>
        <w:rPr>
          <w:rFonts w:hint="eastAsia" w:cs="Times New Roman"/>
          <w:snapToGrid w:val="0"/>
          <w:color w:val="auto"/>
          <w:highlight w:val="none"/>
          <w:vertAlign w:val="superscript"/>
          <w:lang w:val="en-US" w:eastAsia="zh-CN"/>
        </w:rPr>
        <w:t>4</w:t>
      </w:r>
      <w:r>
        <w:rPr>
          <w:rFonts w:cs="Times New Roman"/>
          <w:snapToGrid w:val="0"/>
          <w:color w:val="auto"/>
          <w:highlight w:val="none"/>
          <w:lang w:val="zh-CN"/>
        </w:rPr>
        <w:t>kg/h，</w:t>
      </w:r>
      <w:r>
        <w:rPr>
          <w:rFonts w:hint="eastAsia" w:cs="Times New Roman"/>
          <w:snapToGrid w:val="0"/>
          <w:color w:val="auto"/>
          <w:highlight w:val="none"/>
          <w:lang w:val="en-US" w:eastAsia="zh-CN"/>
        </w:rPr>
        <w:t>5427</w:t>
      </w:r>
      <w:r>
        <w:rPr>
          <w:rFonts w:cs="Times New Roman"/>
          <w:snapToGrid w:val="0"/>
          <w:color w:val="auto"/>
          <w:highlight w:val="none"/>
        </w:rPr>
        <w:t>（无量纲）</w:t>
      </w:r>
      <w:r>
        <w:rPr>
          <w:rFonts w:cs="Times New Roman"/>
          <w:snapToGrid w:val="0"/>
          <w:color w:val="auto"/>
          <w:highlight w:val="none"/>
          <w:lang w:val="zh-CN"/>
        </w:rPr>
        <w:t>计</w:t>
      </w:r>
      <w:r>
        <w:rPr>
          <w:rFonts w:cs="Times New Roman"/>
          <w:snapToGrid w:val="0"/>
          <w:color w:val="auto"/>
          <w:highlight w:val="none"/>
          <w:lang w:val="zh-CN"/>
        </w:rPr>
        <w:t>。</w:t>
      </w:r>
      <w:r>
        <w:rPr>
          <w:rFonts w:hint="eastAsia" w:cs="Times New Roman"/>
          <w:snapToGrid w:val="0"/>
          <w:color w:val="auto"/>
          <w:highlight w:val="none"/>
          <w:lang w:val="zh-CN"/>
        </w:rPr>
        <w:t>在</w:t>
      </w:r>
      <w:r>
        <w:rPr>
          <w:rFonts w:cs="Times New Roman"/>
          <w:color w:val="auto"/>
          <w:spacing w:val="12"/>
          <w:szCs w:val="24"/>
          <w:highlight w:val="none"/>
        </w:rPr>
        <w:t>屠宰车间、</w:t>
      </w:r>
      <w:r>
        <w:rPr>
          <w:rFonts w:hint="eastAsia" w:cs="Times New Roman"/>
          <w:color w:val="auto"/>
          <w:spacing w:val="12"/>
          <w:szCs w:val="24"/>
          <w:highlight w:val="none"/>
          <w:lang w:val="en-US" w:eastAsia="zh-CN"/>
        </w:rPr>
        <w:t>急宰间、隔离间及固体废物暂存间</w:t>
      </w:r>
      <w:r>
        <w:rPr>
          <w:rFonts w:hint="eastAsia" w:cs="Times New Roman"/>
          <w:snapToGrid w:val="0"/>
          <w:color w:val="auto"/>
          <w:highlight w:val="none"/>
          <w:lang w:val="zh-CN"/>
        </w:rPr>
        <w:t>的顶部设置集气装置，整体负压换气，对待宰圈产生的恶臭气体进行收集，并设置送风装置（送风装置主要设置在车间下部），集气装置位于车间上部，下部送风，上部抽风，使车间内空气形成对流，加强车间内废气流向的一致性，提高车间废气的收集率，送风量略小于抽风量，使得待宰圈内处于微负压状态，将废气最大限度的收集（</w:t>
      </w:r>
      <w:r>
        <w:rPr>
          <w:rFonts w:hint="eastAsia" w:cs="Times New Roman"/>
          <w:snapToGrid w:val="0"/>
          <w:color w:val="auto"/>
          <w:highlight w:val="none"/>
          <w:lang w:val="en-US" w:eastAsia="zh-CN"/>
        </w:rPr>
        <w:t>收集效率90%</w:t>
      </w:r>
      <w:r>
        <w:rPr>
          <w:rFonts w:hint="eastAsia" w:cs="Times New Roman"/>
          <w:snapToGrid w:val="0"/>
          <w:color w:val="auto"/>
          <w:highlight w:val="none"/>
          <w:lang w:val="zh-CN"/>
        </w:rPr>
        <w:t>）。</w:t>
      </w:r>
      <w:r>
        <w:rPr>
          <w:rFonts w:cs="Times New Roman"/>
          <w:snapToGrid w:val="0"/>
          <w:color w:val="auto"/>
          <w:highlight w:val="none"/>
          <w:lang w:val="zh-CN"/>
        </w:rPr>
        <w:t>净化后的废气</w:t>
      </w:r>
      <w:r>
        <w:rPr>
          <w:rFonts w:hint="eastAsia" w:cs="Times New Roman"/>
          <w:snapToGrid w:val="0"/>
          <w:color w:val="auto"/>
          <w:highlight w:val="none"/>
          <w:lang w:val="en-US" w:eastAsia="zh-CN"/>
        </w:rPr>
        <w:t>经活性炭吸附装置处理后（去除效率80%）</w:t>
      </w:r>
      <w:r>
        <w:rPr>
          <w:rFonts w:cs="Times New Roman"/>
          <w:snapToGrid w:val="0"/>
          <w:color w:val="auto"/>
          <w:highlight w:val="none"/>
          <w:lang w:val="zh-CN"/>
        </w:rPr>
        <w:t>通过15m排气筒DA00</w:t>
      </w:r>
      <w:r>
        <w:rPr>
          <w:rFonts w:cs="Times New Roman"/>
          <w:snapToGrid w:val="0"/>
          <w:color w:val="auto"/>
          <w:highlight w:val="none"/>
        </w:rPr>
        <w:t>1</w:t>
      </w:r>
      <w:r>
        <w:rPr>
          <w:rFonts w:cs="Times New Roman"/>
          <w:snapToGrid w:val="0"/>
          <w:color w:val="auto"/>
          <w:highlight w:val="none"/>
          <w:lang w:val="zh-CN"/>
        </w:rPr>
        <w:t>排放</w:t>
      </w:r>
      <w:r>
        <w:rPr>
          <w:rFonts w:hint="eastAsia" w:cs="Times New Roman"/>
          <w:snapToGrid w:val="0"/>
          <w:color w:val="auto"/>
          <w:highlight w:val="none"/>
          <w:lang w:val="zh-CN"/>
        </w:rPr>
        <w:t>，</w:t>
      </w:r>
      <w:r>
        <w:rPr>
          <w:rFonts w:hint="eastAsia" w:cs="Times New Roman"/>
          <w:snapToGrid w:val="0"/>
          <w:color w:val="auto"/>
          <w:highlight w:val="none"/>
          <w:lang w:val="en-US" w:eastAsia="zh-CN"/>
        </w:rPr>
        <w:t>风机风量4000m</w:t>
      </w:r>
      <w:r>
        <w:rPr>
          <w:rFonts w:hint="eastAsia" w:cs="Times New Roman"/>
          <w:snapToGrid w:val="0"/>
          <w:color w:val="auto"/>
          <w:highlight w:val="none"/>
          <w:vertAlign w:val="superscript"/>
          <w:lang w:val="en-US" w:eastAsia="zh-CN"/>
        </w:rPr>
        <w:t>3</w:t>
      </w:r>
      <w:r>
        <w:rPr>
          <w:rFonts w:cs="Times New Roman"/>
          <w:snapToGrid w:val="0"/>
          <w:color w:val="auto"/>
          <w:highlight w:val="none"/>
          <w:lang w:val="zh-CN"/>
        </w:rPr>
        <w:t>。</w:t>
      </w:r>
      <w:r>
        <w:rPr>
          <w:rFonts w:cs="Times New Roman"/>
          <w:color w:val="auto"/>
          <w:spacing w:val="12"/>
          <w:szCs w:val="24"/>
          <w:highlight w:val="none"/>
        </w:rPr>
        <w:t>屠宰车间、</w:t>
      </w:r>
      <w:r>
        <w:rPr>
          <w:rFonts w:hint="eastAsia" w:cs="Times New Roman"/>
          <w:color w:val="auto"/>
          <w:spacing w:val="12"/>
          <w:szCs w:val="24"/>
          <w:highlight w:val="none"/>
          <w:lang w:val="en-US" w:eastAsia="zh-CN"/>
        </w:rPr>
        <w:t>急宰间、隔离间及固体废物暂存间</w:t>
      </w:r>
      <w:r>
        <w:rPr>
          <w:rFonts w:cs="Times New Roman"/>
          <w:snapToGrid w:val="0"/>
          <w:color w:val="auto"/>
          <w:highlight w:val="none"/>
          <w:lang w:val="zh-CN"/>
        </w:rPr>
        <w:t>及时清理粪便及尿液，</w:t>
      </w:r>
      <w:r>
        <w:rPr>
          <w:rFonts w:cs="Times New Roman"/>
          <w:snapToGrid w:val="0"/>
          <w:color w:val="auto"/>
          <w:highlight w:val="none"/>
        </w:rPr>
        <w:t>日产日清</w:t>
      </w:r>
      <w:r>
        <w:rPr>
          <w:rFonts w:cs="Times New Roman"/>
          <w:snapToGrid w:val="0"/>
          <w:color w:val="auto"/>
          <w:highlight w:val="none"/>
          <w:lang w:val="zh-CN"/>
        </w:rPr>
        <w:t>，</w:t>
      </w:r>
      <w:r>
        <w:rPr>
          <w:rFonts w:hint="eastAsia" w:cs="Times New Roman"/>
          <w:snapToGrid w:val="0"/>
          <w:color w:val="auto"/>
          <w:highlight w:val="none"/>
          <w:lang w:val="zh-CN"/>
        </w:rPr>
        <w:t>定期冲洗待地面</w:t>
      </w:r>
      <w:r>
        <w:rPr>
          <w:rFonts w:cs="Times New Roman"/>
          <w:snapToGrid w:val="0"/>
          <w:color w:val="auto"/>
          <w:highlight w:val="none"/>
          <w:lang w:val="zh-CN"/>
        </w:rPr>
        <w:t>，并定期喷洒除臭剂，无组织恶臭可降低80%。</w:t>
      </w:r>
    </w:p>
    <w:p w14:paraId="4D0B0A63">
      <w:pPr>
        <w:pStyle w:val="117"/>
        <w:adjustRightInd w:val="0"/>
        <w:snapToGrid w:val="0"/>
        <w:rPr>
          <w:rFonts w:cs="Times New Roman"/>
          <w:color w:val="auto"/>
          <w:highlight w:val="none"/>
          <w:lang w:val="zh-CN"/>
        </w:rPr>
      </w:pPr>
      <w:r>
        <w:rPr>
          <w:rFonts w:cs="Times New Roman"/>
          <w:color w:val="auto"/>
          <w:spacing w:val="12"/>
          <w:szCs w:val="24"/>
          <w:highlight w:val="none"/>
        </w:rPr>
        <w:t>屠宰车间、</w:t>
      </w:r>
      <w:r>
        <w:rPr>
          <w:rFonts w:hint="eastAsia" w:cs="Times New Roman"/>
          <w:color w:val="auto"/>
          <w:spacing w:val="12"/>
          <w:szCs w:val="24"/>
          <w:highlight w:val="none"/>
          <w:lang w:val="en-US" w:eastAsia="zh-CN"/>
        </w:rPr>
        <w:t>急宰间、隔离间及固体废物暂存间</w:t>
      </w:r>
      <w:r>
        <w:rPr>
          <w:rFonts w:cs="Times New Roman"/>
          <w:snapToGrid w:val="0"/>
          <w:color w:val="auto"/>
          <w:highlight w:val="none"/>
          <w:lang w:val="zh-CN"/>
        </w:rPr>
        <w:t>的有组织</w:t>
      </w:r>
      <w:r>
        <w:rPr>
          <w:rFonts w:hint="eastAsia" w:cs="Times New Roman"/>
          <w:snapToGrid w:val="0"/>
          <w:color w:val="auto"/>
          <w:highlight w:val="none"/>
          <w:lang w:val="en-US" w:eastAsia="zh-CN"/>
        </w:rPr>
        <w:t>排放量</w:t>
      </w:r>
      <w:r>
        <w:rPr>
          <w:rFonts w:cs="Times New Roman"/>
          <w:color w:val="auto"/>
          <w:highlight w:val="none"/>
        </w:rPr>
        <w:t>为</w:t>
      </w:r>
      <w:r>
        <w:rPr>
          <w:rFonts w:cs="Times New Roman"/>
          <w:snapToGrid w:val="0"/>
          <w:color w:val="auto"/>
          <w:highlight w:val="none"/>
          <w:lang w:val="zh-CN"/>
        </w:rPr>
        <w:t>氨：</w:t>
      </w:r>
      <w:r>
        <w:rPr>
          <w:rFonts w:hint="eastAsia" w:cs="Times New Roman"/>
          <w:snapToGrid w:val="0"/>
          <w:color w:val="auto"/>
          <w:highlight w:val="none"/>
          <w:lang w:val="en-US" w:eastAsia="zh-CN"/>
        </w:rPr>
        <w:t>7.4</w:t>
      </w:r>
      <w:r>
        <w:rPr>
          <w:rFonts w:cs="Times New Roman"/>
          <w:snapToGrid w:val="0"/>
          <w:color w:val="auto"/>
          <w:highlight w:val="none"/>
          <w:lang w:val="zh-CN"/>
        </w:rPr>
        <w:t>×10</w:t>
      </w:r>
      <w:r>
        <w:rPr>
          <w:rFonts w:cs="Times New Roman"/>
          <w:snapToGrid w:val="0"/>
          <w:color w:val="auto"/>
          <w:highlight w:val="none"/>
          <w:vertAlign w:val="superscript"/>
          <w:lang w:val="zh-CN"/>
        </w:rPr>
        <w:t>-</w:t>
      </w:r>
      <w:r>
        <w:rPr>
          <w:rFonts w:hint="eastAsia" w:cs="Times New Roman"/>
          <w:snapToGrid w:val="0"/>
          <w:color w:val="auto"/>
          <w:highlight w:val="none"/>
          <w:vertAlign w:val="superscript"/>
          <w:lang w:val="en-US" w:eastAsia="zh-CN"/>
        </w:rPr>
        <w:t>3</w:t>
      </w:r>
      <w:r>
        <w:rPr>
          <w:rFonts w:cs="Times New Roman"/>
          <w:snapToGrid w:val="0"/>
          <w:color w:val="auto"/>
          <w:highlight w:val="none"/>
          <w:lang w:val="zh-CN"/>
        </w:rPr>
        <w:t>kg/h、硫化氢：</w:t>
      </w:r>
      <w:r>
        <w:rPr>
          <w:rFonts w:hint="eastAsia" w:cs="Times New Roman"/>
          <w:snapToGrid w:val="0"/>
          <w:color w:val="auto"/>
          <w:highlight w:val="none"/>
          <w:lang w:val="en-US" w:eastAsia="zh-CN"/>
        </w:rPr>
        <w:t>5.9</w:t>
      </w:r>
      <w:r>
        <w:rPr>
          <w:rFonts w:cs="Times New Roman"/>
          <w:snapToGrid w:val="0"/>
          <w:color w:val="auto"/>
          <w:highlight w:val="none"/>
          <w:lang w:val="zh-CN"/>
        </w:rPr>
        <w:t>×10</w:t>
      </w:r>
      <w:r>
        <w:rPr>
          <w:rFonts w:cs="Times New Roman"/>
          <w:snapToGrid w:val="0"/>
          <w:color w:val="auto"/>
          <w:highlight w:val="none"/>
          <w:vertAlign w:val="superscript"/>
          <w:lang w:val="zh-CN"/>
        </w:rPr>
        <w:t>-</w:t>
      </w:r>
      <w:r>
        <w:rPr>
          <w:rFonts w:hint="eastAsia" w:cs="Times New Roman"/>
          <w:snapToGrid w:val="0"/>
          <w:color w:val="auto"/>
          <w:highlight w:val="none"/>
          <w:vertAlign w:val="superscript"/>
          <w:lang w:val="en-US" w:eastAsia="zh-CN"/>
        </w:rPr>
        <w:t>5</w:t>
      </w:r>
      <w:r>
        <w:rPr>
          <w:rFonts w:cs="Times New Roman"/>
          <w:snapToGrid w:val="0"/>
          <w:color w:val="auto"/>
          <w:highlight w:val="none"/>
          <w:lang w:val="zh-CN"/>
        </w:rPr>
        <w:t>kg/h</w:t>
      </w:r>
      <w:r>
        <w:rPr>
          <w:rFonts w:hint="eastAsia" w:cs="Times New Roman"/>
          <w:snapToGrid w:val="0"/>
          <w:color w:val="auto"/>
          <w:highlight w:val="none"/>
          <w:lang w:val="zh-CN"/>
        </w:rPr>
        <w:t>、</w:t>
      </w:r>
      <w:r>
        <w:rPr>
          <w:rFonts w:hint="eastAsia" w:cs="Times New Roman"/>
          <w:snapToGrid w:val="0"/>
          <w:color w:val="auto"/>
          <w:highlight w:val="none"/>
          <w:lang w:val="en-US" w:eastAsia="zh-CN"/>
        </w:rPr>
        <w:t>臭气浓度：977（无量纲）计</w:t>
      </w:r>
      <w:r>
        <w:rPr>
          <w:rFonts w:cs="Times New Roman"/>
          <w:color w:val="auto"/>
          <w:highlight w:val="none"/>
        </w:rPr>
        <w:t>，无组织排放量为</w:t>
      </w:r>
      <w:r>
        <w:rPr>
          <w:rFonts w:cs="Times New Roman"/>
          <w:bCs/>
          <w:color w:val="auto"/>
          <w:highlight w:val="none"/>
        </w:rPr>
        <w:t>氨</w:t>
      </w:r>
      <w:r>
        <w:rPr>
          <w:rFonts w:hint="eastAsia" w:cs="Times New Roman"/>
          <w:color w:val="auto"/>
          <w:highlight w:val="none"/>
          <w:lang w:val="en-US" w:eastAsia="zh-CN"/>
        </w:rPr>
        <w:t>8.2</w:t>
      </w:r>
      <w:r>
        <w:rPr>
          <w:rFonts w:cs="Times New Roman"/>
          <w:color w:val="auto"/>
          <w:highlight w:val="none"/>
        </w:rPr>
        <w:t>×10</w:t>
      </w:r>
      <w:r>
        <w:rPr>
          <w:rFonts w:cs="Times New Roman"/>
          <w:color w:val="auto"/>
          <w:highlight w:val="none"/>
          <w:vertAlign w:val="superscript"/>
        </w:rPr>
        <w:t>-</w:t>
      </w:r>
      <w:r>
        <w:rPr>
          <w:rFonts w:hint="eastAsia" w:cs="Times New Roman"/>
          <w:color w:val="auto"/>
          <w:highlight w:val="none"/>
          <w:vertAlign w:val="superscript"/>
          <w:lang w:val="en-US" w:eastAsia="zh-CN"/>
        </w:rPr>
        <w:t>4</w:t>
      </w:r>
      <w:r>
        <w:rPr>
          <w:rFonts w:cs="Times New Roman"/>
          <w:bCs/>
          <w:color w:val="auto"/>
          <w:highlight w:val="none"/>
        </w:rPr>
        <w:t xml:space="preserve"> kg/h</w:t>
      </w:r>
      <w:r>
        <w:rPr>
          <w:rFonts w:hint="eastAsia" w:cs="Times New Roman"/>
          <w:color w:val="auto"/>
          <w:highlight w:val="none"/>
          <w:lang w:eastAsia="zh-CN"/>
        </w:rPr>
        <w:t>、</w:t>
      </w:r>
      <w:r>
        <w:rPr>
          <w:rFonts w:cs="Times New Roman"/>
          <w:bCs/>
          <w:color w:val="auto"/>
          <w:highlight w:val="none"/>
        </w:rPr>
        <w:t>硫化氢</w:t>
      </w:r>
      <w:r>
        <w:rPr>
          <w:rFonts w:hint="eastAsia" w:cs="Times New Roman"/>
          <w:color w:val="auto"/>
          <w:highlight w:val="none"/>
          <w:lang w:val="en-US" w:eastAsia="zh-CN"/>
        </w:rPr>
        <w:t>6.6</w:t>
      </w:r>
      <w:r>
        <w:rPr>
          <w:rFonts w:cs="Times New Roman"/>
          <w:color w:val="auto"/>
          <w:highlight w:val="none"/>
        </w:rPr>
        <w:t>×10</w:t>
      </w:r>
      <w:r>
        <w:rPr>
          <w:rFonts w:cs="Times New Roman"/>
          <w:color w:val="auto"/>
          <w:highlight w:val="none"/>
          <w:vertAlign w:val="superscript"/>
        </w:rPr>
        <w:t>-</w:t>
      </w:r>
      <w:r>
        <w:rPr>
          <w:rFonts w:hint="eastAsia" w:cs="Times New Roman"/>
          <w:color w:val="auto"/>
          <w:highlight w:val="none"/>
          <w:vertAlign w:val="superscript"/>
          <w:lang w:val="en-US" w:eastAsia="zh-CN"/>
        </w:rPr>
        <w:t>6</w:t>
      </w:r>
      <w:r>
        <w:rPr>
          <w:rFonts w:cs="Times New Roman"/>
          <w:bCs/>
          <w:color w:val="auto"/>
          <w:highlight w:val="none"/>
        </w:rPr>
        <w:t>kg/h</w:t>
      </w:r>
      <w:r>
        <w:rPr>
          <w:rFonts w:hint="eastAsia" w:cs="Times New Roman"/>
          <w:bCs/>
          <w:color w:val="auto"/>
          <w:highlight w:val="none"/>
          <w:lang w:eastAsia="zh-CN"/>
        </w:rPr>
        <w:t>、</w:t>
      </w:r>
      <w:r>
        <w:rPr>
          <w:rFonts w:hint="eastAsia" w:cs="Times New Roman"/>
          <w:snapToGrid w:val="0"/>
          <w:color w:val="auto"/>
          <w:highlight w:val="none"/>
          <w:lang w:val="en-US" w:eastAsia="zh-CN"/>
        </w:rPr>
        <w:t>臭气浓度：108（无量纲）计</w:t>
      </w:r>
      <w:r>
        <w:rPr>
          <w:rFonts w:cs="Times New Roman"/>
          <w:color w:val="auto"/>
          <w:highlight w:val="none"/>
        </w:rPr>
        <w:t>。</w:t>
      </w:r>
    </w:p>
    <w:p w14:paraId="30EF58E3">
      <w:pPr>
        <w:pStyle w:val="117"/>
        <w:adjustRightInd w:val="0"/>
        <w:snapToGrid w:val="0"/>
        <w:rPr>
          <w:rFonts w:hint="eastAsia" w:eastAsia="宋体" w:cs="Times New Roman"/>
          <w:snapToGrid w:val="0"/>
          <w:color w:val="auto"/>
          <w:highlight w:val="none"/>
          <w:lang w:val="en-US" w:eastAsia="zh-CN"/>
        </w:rPr>
      </w:pPr>
      <w:r>
        <w:rPr>
          <w:rFonts w:cs="Times New Roman"/>
          <w:snapToGrid w:val="0"/>
          <w:color w:val="auto"/>
          <w:highlight w:val="none"/>
          <w:lang w:val="zh-CN"/>
        </w:rPr>
        <w:t>（</w:t>
      </w:r>
      <w:r>
        <w:rPr>
          <w:rFonts w:hint="eastAsia" w:cs="Times New Roman"/>
          <w:snapToGrid w:val="0"/>
          <w:color w:val="auto"/>
          <w:highlight w:val="none"/>
          <w:lang w:val="en-US" w:eastAsia="zh-CN"/>
        </w:rPr>
        <w:t>2</w:t>
      </w:r>
      <w:r>
        <w:rPr>
          <w:rFonts w:cs="Times New Roman"/>
          <w:snapToGrid w:val="0"/>
          <w:color w:val="auto"/>
          <w:highlight w:val="none"/>
          <w:lang w:val="zh-CN"/>
        </w:rPr>
        <w:t>）污水处理站</w:t>
      </w:r>
      <w:r>
        <w:rPr>
          <w:rFonts w:hint="eastAsia" w:cs="Times New Roman"/>
          <w:snapToGrid w:val="0"/>
          <w:color w:val="auto"/>
          <w:highlight w:val="none"/>
          <w:lang w:val="en-US" w:eastAsia="zh-CN"/>
        </w:rPr>
        <w:t>恶臭</w:t>
      </w:r>
    </w:p>
    <w:p w14:paraId="36F5878C">
      <w:pPr>
        <w:pStyle w:val="7"/>
        <w:adjustRightInd w:val="0"/>
        <w:snapToGrid w:val="0"/>
        <w:spacing w:line="500" w:lineRule="exact"/>
        <w:ind w:firstLine="480"/>
        <w:rPr>
          <w:rFonts w:eastAsia="宋体" w:cs="Times New Roman"/>
          <w:bCs/>
          <w:color w:val="auto"/>
          <w:sz w:val="24"/>
          <w:highlight w:val="none"/>
        </w:rPr>
      </w:pPr>
      <w:r>
        <w:rPr>
          <w:rFonts w:eastAsia="宋体" w:cs="Times New Roman"/>
          <w:bCs/>
          <w:color w:val="auto"/>
          <w:sz w:val="24"/>
          <w:highlight w:val="none"/>
        </w:rPr>
        <w:t>本项目污水处理站恶臭气体主要来自格栅、水解酸化池、</w:t>
      </w:r>
      <w:r>
        <w:rPr>
          <w:rFonts w:eastAsia="宋体" w:cs="Times New Roman"/>
          <w:bCs/>
          <w:color w:val="auto"/>
          <w:sz w:val="24"/>
          <w:highlight w:val="none"/>
          <w:lang w:val="en-GB"/>
        </w:rPr>
        <w:t>接触氧化和污泥浓缩等工序产生氨、H</w:t>
      </w:r>
      <w:r>
        <w:rPr>
          <w:rFonts w:eastAsia="宋体" w:cs="Times New Roman"/>
          <w:bCs/>
          <w:color w:val="auto"/>
          <w:sz w:val="24"/>
          <w:highlight w:val="none"/>
          <w:vertAlign w:val="subscript"/>
          <w:lang w:val="en-GB"/>
        </w:rPr>
        <w:t>2</w:t>
      </w:r>
      <w:r>
        <w:rPr>
          <w:rFonts w:eastAsia="宋体" w:cs="Times New Roman"/>
          <w:bCs/>
          <w:color w:val="auto"/>
          <w:sz w:val="24"/>
          <w:highlight w:val="none"/>
          <w:lang w:val="en-GB"/>
        </w:rPr>
        <w:t>S等具有臭味的气体。项目拟对污水处理站产生的污泥及时清理、加强污水处理站周边卫生，减轻臭味厂区外扩散。污水处理站的恶臭产生源强较大，采用负压收集的方式收集产生的恶臭污染物，</w:t>
      </w:r>
      <w:r>
        <w:rPr>
          <w:rFonts w:eastAsia="宋体" w:cs="Times New Roman"/>
          <w:bCs/>
          <w:color w:val="auto"/>
          <w:sz w:val="24"/>
          <w:highlight w:val="none"/>
        </w:rPr>
        <w:t>水解酸化池和</w:t>
      </w:r>
      <w:r>
        <w:rPr>
          <w:rFonts w:eastAsia="宋体" w:cs="Times New Roman"/>
          <w:bCs/>
          <w:color w:val="auto"/>
          <w:sz w:val="24"/>
          <w:highlight w:val="none"/>
          <w:lang w:val="en-GB"/>
        </w:rPr>
        <w:t>接触氧化均为地埋式，在在构筑物顶部增设管道收集气体，风机风量</w:t>
      </w:r>
      <w:r>
        <w:rPr>
          <w:rFonts w:hint="eastAsia" w:eastAsia="宋体" w:cs="Times New Roman"/>
          <w:bCs/>
          <w:color w:val="auto"/>
          <w:sz w:val="24"/>
          <w:highlight w:val="none"/>
          <w:lang w:val="en-US" w:eastAsia="zh-CN"/>
        </w:rPr>
        <w:t>2</w:t>
      </w:r>
      <w:r>
        <w:rPr>
          <w:rFonts w:eastAsia="宋体" w:cs="Times New Roman"/>
          <w:bCs/>
          <w:color w:val="auto"/>
          <w:sz w:val="24"/>
          <w:highlight w:val="none"/>
          <w:lang w:val="en-GB"/>
        </w:rPr>
        <w:t>000m</w:t>
      </w:r>
      <w:r>
        <w:rPr>
          <w:rFonts w:eastAsia="宋体" w:cs="Times New Roman"/>
          <w:bCs/>
          <w:color w:val="auto"/>
          <w:sz w:val="24"/>
          <w:highlight w:val="none"/>
          <w:vertAlign w:val="superscript"/>
          <w:lang w:val="en-GB"/>
        </w:rPr>
        <w:t>3</w:t>
      </w:r>
      <w:r>
        <w:rPr>
          <w:rFonts w:eastAsia="宋体" w:cs="Times New Roman"/>
          <w:bCs/>
          <w:color w:val="auto"/>
          <w:sz w:val="24"/>
          <w:highlight w:val="none"/>
          <w:lang w:val="en-GB"/>
        </w:rPr>
        <w:t>/h，收集效率约为90%，经活性炭吸附净化后通过</w:t>
      </w:r>
      <w:r>
        <w:rPr>
          <w:rFonts w:eastAsia="宋体" w:cs="Times New Roman"/>
          <w:bCs/>
          <w:color w:val="auto"/>
          <w:sz w:val="24"/>
          <w:highlight w:val="none"/>
        </w:rPr>
        <w:t>15m高排气筒DA00</w:t>
      </w:r>
      <w:r>
        <w:rPr>
          <w:rFonts w:hint="eastAsia" w:eastAsia="宋体" w:cs="Times New Roman"/>
          <w:bCs/>
          <w:color w:val="auto"/>
          <w:sz w:val="24"/>
          <w:highlight w:val="none"/>
          <w:lang w:val="en-US" w:eastAsia="zh-CN"/>
        </w:rPr>
        <w:t>2</w:t>
      </w:r>
      <w:r>
        <w:rPr>
          <w:rFonts w:eastAsia="宋体" w:cs="Times New Roman"/>
          <w:bCs/>
          <w:color w:val="auto"/>
          <w:sz w:val="24"/>
          <w:highlight w:val="none"/>
          <w:lang w:val="en-GB"/>
        </w:rPr>
        <w:t>排放</w:t>
      </w:r>
      <w:r>
        <w:rPr>
          <w:rFonts w:eastAsia="宋体" w:cs="Times New Roman"/>
          <w:bCs/>
          <w:color w:val="auto"/>
          <w:sz w:val="24"/>
          <w:highlight w:val="none"/>
        </w:rPr>
        <w:t>。</w:t>
      </w:r>
    </w:p>
    <w:p w14:paraId="450F3D2B">
      <w:pPr>
        <w:pStyle w:val="7"/>
        <w:adjustRightInd w:val="0"/>
        <w:snapToGrid w:val="0"/>
        <w:spacing w:line="500" w:lineRule="exact"/>
        <w:ind w:firstLine="480"/>
        <w:rPr>
          <w:rFonts w:hint="default" w:cs="Times New Roman" w:eastAsiaTheme="minorEastAsia"/>
          <w:bCs/>
          <w:color w:val="auto"/>
          <w:sz w:val="24"/>
          <w:highlight w:val="none"/>
          <w:lang w:val="en-US" w:eastAsia="zh-CN"/>
        </w:rPr>
      </w:pPr>
      <w:r>
        <w:rPr>
          <w:rFonts w:eastAsia="宋体" w:cs="Times New Roman"/>
          <w:bCs/>
          <w:color w:val="auto"/>
          <w:sz w:val="24"/>
          <w:highlight w:val="none"/>
        </w:rPr>
        <w:t>本项目污水处理站恶臭污染物源</w:t>
      </w:r>
      <w:r>
        <w:rPr>
          <w:rFonts w:hint="default" w:ascii="Times New Roman" w:hAnsi="Times New Roman" w:eastAsia="宋体" w:cs="Times New Roman"/>
          <w:bCs/>
          <w:color w:val="auto"/>
          <w:sz w:val="24"/>
          <w:highlight w:val="none"/>
        </w:rPr>
        <w:t>强类比</w:t>
      </w:r>
      <w:r>
        <w:rPr>
          <w:rFonts w:hint="default" w:ascii="Times New Roman" w:hAnsi="Times New Roman" w:eastAsia="宋体" w:cs="Times New Roman"/>
          <w:bCs/>
          <w:color w:val="auto"/>
          <w:sz w:val="24"/>
          <w:highlight w:val="none"/>
          <w:lang w:val="zh-CN"/>
        </w:rPr>
        <w:t>《</w:t>
      </w:r>
      <w:r>
        <w:rPr>
          <w:rFonts w:hint="default" w:ascii="Times New Roman" w:hAnsi="Times New Roman" w:eastAsia="宋体" w:cs="Times New Roman"/>
          <w:color w:val="auto"/>
          <w:sz w:val="24"/>
          <w:szCs w:val="24"/>
          <w:highlight w:val="none"/>
        </w:rPr>
        <w:t>揭阳市广联牲畜屠宰有限公司年屠宰肉牛3万头、肉羊18万只生产线建设项目竣工环境保护验收监测报告</w:t>
      </w:r>
      <w:r>
        <w:rPr>
          <w:rFonts w:hint="default" w:ascii="Times New Roman" w:hAnsi="Times New Roman" w:eastAsia="宋体" w:cs="Times New Roman"/>
          <w:bCs/>
          <w:color w:val="auto"/>
          <w:sz w:val="24"/>
          <w:highlight w:val="none"/>
          <w:lang w:val="zh-CN"/>
        </w:rPr>
        <w:t>》（</w:t>
      </w:r>
      <w:r>
        <w:rPr>
          <w:rFonts w:hint="default" w:ascii="Times New Roman" w:hAnsi="Times New Roman" w:eastAsia="宋体" w:cs="Times New Roman"/>
          <w:bCs/>
          <w:color w:val="auto"/>
          <w:sz w:val="24"/>
          <w:highlight w:val="none"/>
        </w:rPr>
        <w:t>通过验收</w:t>
      </w:r>
      <w:r>
        <w:rPr>
          <w:rFonts w:hint="default" w:ascii="Times New Roman" w:hAnsi="Times New Roman" w:eastAsia="宋体" w:cs="Times New Roman"/>
          <w:bCs/>
          <w:color w:val="auto"/>
          <w:sz w:val="24"/>
          <w:highlight w:val="none"/>
          <w:lang w:val="zh-CN"/>
        </w:rPr>
        <w:t>）</w:t>
      </w:r>
      <w:r>
        <w:rPr>
          <w:rFonts w:hint="default" w:ascii="Times New Roman" w:hAnsi="Times New Roman" w:eastAsia="宋体" w:cs="Times New Roman"/>
          <w:bCs/>
          <w:color w:val="auto"/>
          <w:sz w:val="24"/>
          <w:highlight w:val="none"/>
        </w:rPr>
        <w:t>中污水处理站监测数据，该项目污</w:t>
      </w:r>
      <w:r>
        <w:rPr>
          <w:rFonts w:eastAsia="宋体" w:cs="Times New Roman"/>
          <w:bCs/>
          <w:color w:val="auto"/>
          <w:sz w:val="24"/>
          <w:highlight w:val="none"/>
        </w:rPr>
        <w:t>水处理规模为</w:t>
      </w:r>
      <w:r>
        <w:rPr>
          <w:rFonts w:hint="eastAsia" w:eastAsia="宋体" w:cs="Times New Roman"/>
          <w:bCs/>
          <w:color w:val="auto"/>
          <w:sz w:val="24"/>
          <w:highlight w:val="none"/>
          <w:lang w:val="en-US" w:eastAsia="zh-CN"/>
        </w:rPr>
        <w:t>40</w:t>
      </w:r>
      <w:r>
        <w:rPr>
          <w:rFonts w:eastAsia="宋体" w:cs="Times New Roman"/>
          <w:bCs/>
          <w:color w:val="auto"/>
          <w:sz w:val="24"/>
          <w:highlight w:val="none"/>
        </w:rPr>
        <w:t>0t/d，采用工艺为格栅→隔油沉淀池→气浮→水解酸化池→接触氧化池→</w:t>
      </w:r>
      <w:r>
        <w:rPr>
          <w:rFonts w:hint="eastAsia" w:eastAsia="宋体" w:cs="Times New Roman"/>
          <w:bCs/>
          <w:color w:val="auto"/>
          <w:sz w:val="24"/>
          <w:highlight w:val="none"/>
          <w:lang w:val="en-US" w:eastAsia="zh-CN"/>
        </w:rPr>
        <w:t>二沉池</w:t>
      </w:r>
      <w:r>
        <w:rPr>
          <w:rFonts w:eastAsia="宋体" w:cs="Times New Roman"/>
          <w:bCs/>
          <w:color w:val="auto"/>
          <w:sz w:val="24"/>
          <w:highlight w:val="none"/>
        </w:rPr>
        <w:t>→消毒，与本项目处理废水水质相近，污水处理工艺类似，具有可类比性。</w:t>
      </w:r>
      <w:r>
        <w:rPr>
          <w:rFonts w:cs="Times New Roman"/>
          <w:snapToGrid w:val="0"/>
          <w:color w:val="auto"/>
          <w:sz w:val="24"/>
          <w:szCs w:val="24"/>
          <w:highlight w:val="none"/>
        </w:rPr>
        <w:t>该项目验收监测期间（202</w:t>
      </w:r>
      <w:r>
        <w:rPr>
          <w:rFonts w:hint="eastAsia" w:cs="Times New Roman"/>
          <w:snapToGrid w:val="0"/>
          <w:color w:val="auto"/>
          <w:sz w:val="24"/>
          <w:szCs w:val="24"/>
          <w:highlight w:val="none"/>
          <w:lang w:val="en-US" w:eastAsia="zh-CN"/>
        </w:rPr>
        <w:t>3.09.21</w:t>
      </w:r>
      <w:r>
        <w:rPr>
          <w:rFonts w:cs="Times New Roman"/>
          <w:snapToGrid w:val="0"/>
          <w:color w:val="auto"/>
          <w:sz w:val="24"/>
          <w:szCs w:val="24"/>
          <w:highlight w:val="none"/>
        </w:rPr>
        <w:t>-202</w:t>
      </w:r>
      <w:r>
        <w:rPr>
          <w:rFonts w:hint="eastAsia" w:cs="Times New Roman"/>
          <w:snapToGrid w:val="0"/>
          <w:color w:val="auto"/>
          <w:sz w:val="24"/>
          <w:szCs w:val="24"/>
          <w:highlight w:val="none"/>
          <w:lang w:val="en-US" w:eastAsia="zh-CN"/>
        </w:rPr>
        <w:t>3.09.22</w:t>
      </w:r>
      <w:r>
        <w:rPr>
          <w:rFonts w:cs="Times New Roman"/>
          <w:snapToGrid w:val="0"/>
          <w:color w:val="auto"/>
          <w:sz w:val="24"/>
          <w:szCs w:val="24"/>
          <w:highlight w:val="none"/>
        </w:rPr>
        <w:t>）</w:t>
      </w:r>
      <w:r>
        <w:rPr>
          <w:rFonts w:hint="eastAsia" w:cs="Times New Roman"/>
          <w:snapToGrid w:val="0"/>
          <w:color w:val="auto"/>
          <w:sz w:val="24"/>
          <w:szCs w:val="24"/>
          <w:highlight w:val="none"/>
        </w:rPr>
        <w:t>污水处理站</w:t>
      </w:r>
      <w:r>
        <w:rPr>
          <w:rFonts w:cs="Times New Roman"/>
          <w:snapToGrid w:val="0"/>
          <w:color w:val="auto"/>
          <w:sz w:val="24"/>
          <w:szCs w:val="24"/>
          <w:highlight w:val="none"/>
        </w:rPr>
        <w:t>恶臭</w:t>
      </w:r>
      <w:r>
        <w:rPr>
          <w:rFonts w:hint="eastAsia" w:cs="Times New Roman"/>
          <w:snapToGrid w:val="0"/>
          <w:color w:val="auto"/>
          <w:sz w:val="24"/>
          <w:szCs w:val="24"/>
          <w:highlight w:val="none"/>
          <w:lang w:val="en-US" w:eastAsia="zh-CN"/>
        </w:rPr>
        <w:t>排放</w:t>
      </w:r>
      <w:r>
        <w:rPr>
          <w:rFonts w:cs="Times New Roman"/>
          <w:snapToGrid w:val="0"/>
          <w:color w:val="auto"/>
          <w:sz w:val="24"/>
          <w:szCs w:val="24"/>
          <w:highlight w:val="none"/>
        </w:rPr>
        <w:t>速率最大值分别为</w:t>
      </w:r>
      <w:r>
        <w:rPr>
          <w:rFonts w:cs="Times New Roman"/>
          <w:snapToGrid w:val="0"/>
          <w:color w:val="auto"/>
          <w:sz w:val="24"/>
          <w:szCs w:val="24"/>
          <w:highlight w:val="none"/>
          <w:lang w:val="zh-CN"/>
        </w:rPr>
        <w:t>氨：</w:t>
      </w:r>
      <w:r>
        <w:rPr>
          <w:rFonts w:hint="eastAsia" w:cs="Times New Roman"/>
          <w:snapToGrid w:val="0"/>
          <w:color w:val="auto"/>
          <w:sz w:val="24"/>
          <w:szCs w:val="24"/>
          <w:highlight w:val="none"/>
          <w:lang w:val="en-US" w:eastAsia="zh-CN"/>
        </w:rPr>
        <w:t>8.9</w:t>
      </w:r>
      <w:r>
        <w:rPr>
          <w:rFonts w:cs="Times New Roman"/>
          <w:snapToGrid w:val="0"/>
          <w:color w:val="auto"/>
          <w:sz w:val="24"/>
          <w:szCs w:val="24"/>
          <w:highlight w:val="none"/>
          <w:lang w:val="zh-CN"/>
        </w:rPr>
        <w:t>×</w:t>
      </w:r>
      <w:r>
        <w:rPr>
          <w:rFonts w:hint="eastAsia" w:cs="Times New Roman"/>
          <w:snapToGrid w:val="0"/>
          <w:color w:val="auto"/>
          <w:sz w:val="24"/>
          <w:szCs w:val="24"/>
          <w:highlight w:val="none"/>
          <w:lang w:eastAsia="zh-CN"/>
        </w:rPr>
        <w:t>10</w:t>
      </w:r>
      <w:r>
        <w:rPr>
          <w:rFonts w:cs="Times New Roman"/>
          <w:snapToGrid w:val="0"/>
          <w:color w:val="auto"/>
          <w:sz w:val="24"/>
          <w:szCs w:val="24"/>
          <w:highlight w:val="none"/>
          <w:vertAlign w:val="superscript"/>
          <w:lang w:val="zh-CN"/>
        </w:rPr>
        <w:t>-</w:t>
      </w:r>
      <w:r>
        <w:rPr>
          <w:rFonts w:hint="eastAsia" w:cs="Times New Roman"/>
          <w:snapToGrid w:val="0"/>
          <w:color w:val="auto"/>
          <w:sz w:val="24"/>
          <w:szCs w:val="24"/>
          <w:highlight w:val="none"/>
          <w:vertAlign w:val="superscript"/>
          <w:lang w:val="en-US" w:eastAsia="zh-CN"/>
        </w:rPr>
        <w:t>3</w:t>
      </w:r>
      <w:r>
        <w:rPr>
          <w:rFonts w:cs="Times New Roman"/>
          <w:snapToGrid w:val="0"/>
          <w:color w:val="auto"/>
          <w:sz w:val="24"/>
          <w:szCs w:val="24"/>
          <w:highlight w:val="none"/>
          <w:lang w:val="zh-CN"/>
        </w:rPr>
        <w:t>kg/h、硫化氢：</w:t>
      </w:r>
      <w:r>
        <w:rPr>
          <w:rFonts w:hint="eastAsia" w:cs="Times New Roman"/>
          <w:snapToGrid w:val="0"/>
          <w:color w:val="auto"/>
          <w:sz w:val="24"/>
          <w:szCs w:val="24"/>
          <w:highlight w:val="none"/>
          <w:lang w:val="en-US" w:eastAsia="zh-CN"/>
        </w:rPr>
        <w:t>8.4</w:t>
      </w:r>
      <w:r>
        <w:rPr>
          <w:rFonts w:cs="Times New Roman"/>
          <w:snapToGrid w:val="0"/>
          <w:color w:val="auto"/>
          <w:sz w:val="24"/>
          <w:szCs w:val="24"/>
          <w:highlight w:val="none"/>
          <w:lang w:val="zh-CN"/>
        </w:rPr>
        <w:t>×</w:t>
      </w:r>
      <w:r>
        <w:rPr>
          <w:rFonts w:hint="eastAsia" w:cs="Times New Roman"/>
          <w:snapToGrid w:val="0"/>
          <w:color w:val="auto"/>
          <w:sz w:val="24"/>
          <w:szCs w:val="24"/>
          <w:highlight w:val="none"/>
          <w:lang w:eastAsia="zh-CN"/>
        </w:rPr>
        <w:t>10</w:t>
      </w:r>
      <w:r>
        <w:rPr>
          <w:rFonts w:cs="Times New Roman"/>
          <w:snapToGrid w:val="0"/>
          <w:color w:val="auto"/>
          <w:sz w:val="24"/>
          <w:szCs w:val="24"/>
          <w:highlight w:val="none"/>
          <w:vertAlign w:val="superscript"/>
          <w:lang w:val="zh-CN"/>
        </w:rPr>
        <w:t>-</w:t>
      </w:r>
      <w:r>
        <w:rPr>
          <w:rFonts w:hint="eastAsia" w:cs="Times New Roman"/>
          <w:snapToGrid w:val="0"/>
          <w:color w:val="auto"/>
          <w:sz w:val="24"/>
          <w:szCs w:val="24"/>
          <w:highlight w:val="none"/>
          <w:vertAlign w:val="superscript"/>
          <w:lang w:val="en-US" w:eastAsia="zh-CN"/>
        </w:rPr>
        <w:t>4</w:t>
      </w:r>
      <w:r>
        <w:rPr>
          <w:rFonts w:cs="Times New Roman"/>
          <w:snapToGrid w:val="0"/>
          <w:color w:val="auto"/>
          <w:sz w:val="24"/>
          <w:szCs w:val="24"/>
          <w:highlight w:val="none"/>
          <w:lang w:val="zh-CN"/>
        </w:rPr>
        <w:t>kg/h；</w:t>
      </w:r>
      <w:r>
        <w:rPr>
          <w:rFonts w:cs="Times New Roman"/>
          <w:snapToGrid w:val="0"/>
          <w:color w:val="auto"/>
          <w:sz w:val="24"/>
          <w:szCs w:val="24"/>
          <w:highlight w:val="none"/>
        </w:rPr>
        <w:t>臭气浓度为1318（无量纲）。</w:t>
      </w:r>
      <w:r>
        <w:rPr>
          <w:rFonts w:hint="eastAsia" w:cs="Times New Roman"/>
          <w:snapToGrid w:val="0"/>
          <w:color w:val="auto"/>
          <w:sz w:val="24"/>
          <w:szCs w:val="24"/>
          <w:highlight w:val="none"/>
          <w:lang w:val="en-US" w:eastAsia="zh-CN"/>
        </w:rPr>
        <w:t>该项目采用“生物除臭塔”废气处理措施，废气收集效率90%，处理效率80%，由此可推算该项目污水处理站废气产生源强为氨：0.049</w:t>
      </w:r>
      <w:r>
        <w:rPr>
          <w:rFonts w:cs="Times New Roman"/>
          <w:snapToGrid w:val="0"/>
          <w:color w:val="auto"/>
          <w:sz w:val="24"/>
          <w:szCs w:val="24"/>
          <w:highlight w:val="none"/>
          <w:lang w:val="zh-CN"/>
        </w:rPr>
        <w:t>kg/h、硫化氢：</w:t>
      </w:r>
      <w:r>
        <w:rPr>
          <w:rFonts w:hint="eastAsia" w:cs="Times New Roman"/>
          <w:snapToGrid w:val="0"/>
          <w:color w:val="auto"/>
          <w:sz w:val="24"/>
          <w:szCs w:val="24"/>
          <w:highlight w:val="none"/>
          <w:lang w:val="en-US" w:eastAsia="zh-CN"/>
        </w:rPr>
        <w:t>4.7</w:t>
      </w:r>
      <w:r>
        <w:rPr>
          <w:rFonts w:cs="Times New Roman"/>
          <w:snapToGrid w:val="0"/>
          <w:color w:val="auto"/>
          <w:sz w:val="24"/>
          <w:szCs w:val="24"/>
          <w:highlight w:val="none"/>
          <w:lang w:val="zh-CN"/>
        </w:rPr>
        <w:t>×</w:t>
      </w:r>
      <w:r>
        <w:rPr>
          <w:rFonts w:hint="eastAsia" w:cs="Times New Roman"/>
          <w:snapToGrid w:val="0"/>
          <w:color w:val="auto"/>
          <w:sz w:val="24"/>
          <w:szCs w:val="24"/>
          <w:highlight w:val="none"/>
          <w:lang w:eastAsia="zh-CN"/>
        </w:rPr>
        <w:t>10</w:t>
      </w:r>
      <w:r>
        <w:rPr>
          <w:rFonts w:cs="Times New Roman"/>
          <w:snapToGrid w:val="0"/>
          <w:color w:val="auto"/>
          <w:sz w:val="24"/>
          <w:szCs w:val="24"/>
          <w:highlight w:val="none"/>
          <w:vertAlign w:val="superscript"/>
          <w:lang w:val="zh-CN"/>
        </w:rPr>
        <w:t>-</w:t>
      </w:r>
      <w:r>
        <w:rPr>
          <w:rFonts w:hint="eastAsia" w:cs="Times New Roman"/>
          <w:snapToGrid w:val="0"/>
          <w:color w:val="auto"/>
          <w:sz w:val="24"/>
          <w:szCs w:val="24"/>
          <w:highlight w:val="none"/>
          <w:vertAlign w:val="superscript"/>
          <w:lang w:val="en-US" w:eastAsia="zh-CN"/>
        </w:rPr>
        <w:t>3</w:t>
      </w:r>
      <w:r>
        <w:rPr>
          <w:rFonts w:cs="Times New Roman"/>
          <w:snapToGrid w:val="0"/>
          <w:color w:val="auto"/>
          <w:sz w:val="24"/>
          <w:szCs w:val="24"/>
          <w:highlight w:val="none"/>
          <w:lang w:val="zh-CN"/>
        </w:rPr>
        <w:t>kg/h；</w:t>
      </w:r>
      <w:r>
        <w:rPr>
          <w:rFonts w:cs="Times New Roman"/>
          <w:snapToGrid w:val="0"/>
          <w:color w:val="auto"/>
          <w:sz w:val="24"/>
          <w:szCs w:val="24"/>
          <w:highlight w:val="none"/>
        </w:rPr>
        <w:t>臭气浓度为</w:t>
      </w:r>
      <w:r>
        <w:rPr>
          <w:rFonts w:hint="eastAsia" w:cs="Times New Roman"/>
          <w:snapToGrid w:val="0"/>
          <w:color w:val="auto"/>
          <w:sz w:val="24"/>
          <w:szCs w:val="24"/>
          <w:highlight w:val="none"/>
          <w:lang w:val="en-US" w:eastAsia="zh-CN"/>
        </w:rPr>
        <w:t>7322</w:t>
      </w:r>
      <w:r>
        <w:rPr>
          <w:rFonts w:cs="Times New Roman"/>
          <w:snapToGrid w:val="0"/>
          <w:color w:val="auto"/>
          <w:sz w:val="24"/>
          <w:szCs w:val="24"/>
          <w:highlight w:val="none"/>
        </w:rPr>
        <w:t>（无量纲）</w:t>
      </w:r>
      <w:r>
        <w:rPr>
          <w:rFonts w:hint="eastAsia" w:cs="Times New Roman"/>
          <w:snapToGrid w:val="0"/>
          <w:color w:val="auto"/>
          <w:sz w:val="24"/>
          <w:szCs w:val="24"/>
          <w:highlight w:val="none"/>
          <w:lang w:val="en-US" w:eastAsia="zh-CN"/>
        </w:rPr>
        <w:t>计</w:t>
      </w:r>
      <w:r>
        <w:rPr>
          <w:rFonts w:cs="Times New Roman"/>
          <w:snapToGrid w:val="0"/>
          <w:color w:val="auto"/>
          <w:sz w:val="24"/>
          <w:szCs w:val="24"/>
          <w:highlight w:val="none"/>
        </w:rPr>
        <w:t>。</w:t>
      </w:r>
    </w:p>
    <w:p w14:paraId="15CDB84D">
      <w:pPr>
        <w:pStyle w:val="45"/>
        <w:adjustRightInd w:val="0"/>
        <w:snapToGrid w:val="0"/>
        <w:spacing w:before="0" w:beforeLines="0" w:after="0" w:afterLines="0" w:line="500" w:lineRule="exact"/>
        <w:ind w:firstLine="528" w:firstLineChars="200"/>
        <w:rPr>
          <w:rFonts w:cs="Times New Roman"/>
          <w:color w:val="auto"/>
          <w:spacing w:val="12"/>
          <w:sz w:val="24"/>
          <w:szCs w:val="24"/>
          <w:highlight w:val="none"/>
        </w:rPr>
      </w:pPr>
      <w:r>
        <w:rPr>
          <w:rFonts w:cs="Times New Roman"/>
          <w:color w:val="auto"/>
          <w:spacing w:val="12"/>
          <w:sz w:val="24"/>
          <w:szCs w:val="24"/>
          <w:highlight w:val="none"/>
        </w:rPr>
        <w:t>确定本项目污水处理站NH</w:t>
      </w:r>
      <w:r>
        <w:rPr>
          <w:rFonts w:cs="Times New Roman"/>
          <w:color w:val="auto"/>
          <w:spacing w:val="12"/>
          <w:sz w:val="24"/>
          <w:szCs w:val="24"/>
          <w:highlight w:val="none"/>
          <w:vertAlign w:val="subscript"/>
        </w:rPr>
        <w:t>3</w:t>
      </w:r>
      <w:r>
        <w:rPr>
          <w:rFonts w:cs="Times New Roman"/>
          <w:color w:val="auto"/>
          <w:spacing w:val="12"/>
          <w:sz w:val="24"/>
          <w:szCs w:val="24"/>
          <w:highlight w:val="none"/>
        </w:rPr>
        <w:t>产生量约</w:t>
      </w:r>
      <w:r>
        <w:rPr>
          <w:rFonts w:hint="eastAsia" w:cs="Times New Roman"/>
          <w:snapToGrid w:val="0"/>
          <w:color w:val="auto"/>
          <w:sz w:val="24"/>
          <w:szCs w:val="24"/>
          <w:highlight w:val="none"/>
          <w:lang w:val="en-US" w:eastAsia="zh-CN"/>
        </w:rPr>
        <w:t>0.049</w:t>
      </w:r>
      <w:r>
        <w:rPr>
          <w:rFonts w:cs="Times New Roman"/>
          <w:snapToGrid w:val="0"/>
          <w:color w:val="auto"/>
          <w:sz w:val="24"/>
          <w:szCs w:val="24"/>
          <w:highlight w:val="none"/>
          <w:lang w:val="zh-CN"/>
        </w:rPr>
        <w:t>kg/h</w:t>
      </w:r>
      <w:r>
        <w:rPr>
          <w:rFonts w:cs="Times New Roman"/>
          <w:color w:val="auto"/>
          <w:spacing w:val="12"/>
          <w:sz w:val="24"/>
          <w:szCs w:val="24"/>
          <w:highlight w:val="none"/>
        </w:rPr>
        <w:t>，H</w:t>
      </w:r>
      <w:r>
        <w:rPr>
          <w:rFonts w:cs="Times New Roman"/>
          <w:color w:val="auto"/>
          <w:spacing w:val="12"/>
          <w:sz w:val="24"/>
          <w:szCs w:val="24"/>
          <w:highlight w:val="none"/>
          <w:vertAlign w:val="subscript"/>
        </w:rPr>
        <w:t>2</w:t>
      </w:r>
      <w:r>
        <w:rPr>
          <w:rFonts w:cs="Times New Roman"/>
          <w:color w:val="auto"/>
          <w:spacing w:val="12"/>
          <w:sz w:val="24"/>
          <w:szCs w:val="24"/>
          <w:highlight w:val="none"/>
        </w:rPr>
        <w:t>S产生量约</w:t>
      </w:r>
      <w:r>
        <w:rPr>
          <w:rFonts w:hint="eastAsia" w:cs="Times New Roman"/>
          <w:snapToGrid w:val="0"/>
          <w:color w:val="auto"/>
          <w:sz w:val="24"/>
          <w:szCs w:val="24"/>
          <w:highlight w:val="none"/>
          <w:lang w:val="en-US" w:eastAsia="zh-CN"/>
        </w:rPr>
        <w:t>4.7</w:t>
      </w:r>
      <w:r>
        <w:rPr>
          <w:rFonts w:cs="Times New Roman"/>
          <w:snapToGrid w:val="0"/>
          <w:color w:val="auto"/>
          <w:sz w:val="24"/>
          <w:szCs w:val="24"/>
          <w:highlight w:val="none"/>
          <w:lang w:val="zh-CN"/>
        </w:rPr>
        <w:t>×</w:t>
      </w:r>
      <w:r>
        <w:rPr>
          <w:rFonts w:hint="eastAsia" w:cs="Times New Roman"/>
          <w:snapToGrid w:val="0"/>
          <w:color w:val="auto"/>
          <w:sz w:val="24"/>
          <w:szCs w:val="24"/>
          <w:highlight w:val="none"/>
          <w:lang w:eastAsia="zh-CN"/>
        </w:rPr>
        <w:t>10</w:t>
      </w:r>
      <w:r>
        <w:rPr>
          <w:rFonts w:cs="Times New Roman"/>
          <w:snapToGrid w:val="0"/>
          <w:color w:val="auto"/>
          <w:sz w:val="24"/>
          <w:szCs w:val="24"/>
          <w:highlight w:val="none"/>
          <w:vertAlign w:val="superscript"/>
          <w:lang w:val="zh-CN"/>
        </w:rPr>
        <w:t>-</w:t>
      </w:r>
      <w:r>
        <w:rPr>
          <w:rFonts w:hint="eastAsia" w:cs="Times New Roman"/>
          <w:snapToGrid w:val="0"/>
          <w:color w:val="auto"/>
          <w:sz w:val="24"/>
          <w:szCs w:val="24"/>
          <w:highlight w:val="none"/>
          <w:vertAlign w:val="superscript"/>
          <w:lang w:val="en-US" w:eastAsia="zh-CN"/>
        </w:rPr>
        <w:t>3</w:t>
      </w:r>
      <w:r>
        <w:rPr>
          <w:rFonts w:cs="Times New Roman"/>
          <w:snapToGrid w:val="0"/>
          <w:color w:val="auto"/>
          <w:sz w:val="24"/>
          <w:szCs w:val="24"/>
          <w:highlight w:val="none"/>
          <w:lang w:val="zh-CN"/>
        </w:rPr>
        <w:t>kg/h</w:t>
      </w:r>
      <w:r>
        <w:rPr>
          <w:rFonts w:cs="Times New Roman"/>
          <w:color w:val="auto"/>
          <w:spacing w:val="12"/>
          <w:sz w:val="24"/>
          <w:szCs w:val="24"/>
          <w:highlight w:val="none"/>
        </w:rPr>
        <w:t>，臭气浓度</w:t>
      </w:r>
      <w:r>
        <w:rPr>
          <w:rFonts w:cs="Times New Roman"/>
          <w:snapToGrid w:val="0"/>
          <w:color w:val="auto"/>
          <w:sz w:val="24"/>
          <w:szCs w:val="24"/>
          <w:highlight w:val="none"/>
        </w:rPr>
        <w:t>为</w:t>
      </w:r>
      <w:r>
        <w:rPr>
          <w:rFonts w:hint="eastAsia" w:cs="Times New Roman"/>
          <w:snapToGrid w:val="0"/>
          <w:color w:val="auto"/>
          <w:sz w:val="24"/>
          <w:szCs w:val="24"/>
          <w:highlight w:val="none"/>
          <w:lang w:val="en-US" w:eastAsia="zh-CN"/>
        </w:rPr>
        <w:t>7322</w:t>
      </w:r>
      <w:r>
        <w:rPr>
          <w:rFonts w:cs="Times New Roman"/>
          <w:snapToGrid w:val="0"/>
          <w:color w:val="auto"/>
          <w:sz w:val="24"/>
          <w:szCs w:val="24"/>
          <w:highlight w:val="none"/>
        </w:rPr>
        <w:t>（无量纲）</w:t>
      </w:r>
      <w:r>
        <w:rPr>
          <w:rFonts w:hint="eastAsia" w:cs="Times New Roman"/>
          <w:snapToGrid w:val="0"/>
          <w:color w:val="auto"/>
          <w:sz w:val="24"/>
          <w:szCs w:val="24"/>
          <w:highlight w:val="none"/>
          <w:lang w:val="en-US" w:eastAsia="zh-CN"/>
        </w:rPr>
        <w:t>计</w:t>
      </w:r>
      <w:r>
        <w:rPr>
          <w:rFonts w:cs="Times New Roman"/>
          <w:color w:val="auto"/>
          <w:spacing w:val="12"/>
          <w:sz w:val="24"/>
          <w:szCs w:val="24"/>
          <w:highlight w:val="none"/>
        </w:rPr>
        <w:t>。</w:t>
      </w:r>
    </w:p>
    <w:p w14:paraId="7857F9BD">
      <w:pPr>
        <w:spacing w:line="500" w:lineRule="exact"/>
        <w:rPr>
          <w:rFonts w:cs="Times New Roman"/>
          <w:color w:val="auto"/>
          <w:szCs w:val="24"/>
          <w:highlight w:val="none"/>
        </w:rPr>
      </w:pPr>
      <w:r>
        <w:rPr>
          <w:rFonts w:cs="Times New Roman"/>
          <w:color w:val="auto"/>
          <w:szCs w:val="24"/>
          <w:highlight w:val="none"/>
        </w:rPr>
        <w:t>本项目运营期污水处理站产生的废气，经负压收集至活性炭吸附装置进行处理，处理后经15m高的排气筒DA00</w:t>
      </w:r>
      <w:r>
        <w:rPr>
          <w:rFonts w:hint="eastAsia" w:cs="Times New Roman"/>
          <w:color w:val="auto"/>
          <w:szCs w:val="24"/>
          <w:highlight w:val="none"/>
          <w:lang w:val="en-US" w:eastAsia="zh-CN"/>
        </w:rPr>
        <w:t>2</w:t>
      </w:r>
      <w:r>
        <w:rPr>
          <w:rFonts w:cs="Times New Roman"/>
          <w:color w:val="auto"/>
          <w:szCs w:val="24"/>
          <w:highlight w:val="none"/>
        </w:rPr>
        <w:t>排放，其中负压收集对废气的捕集效率约为90%，风机</w:t>
      </w:r>
      <w:r>
        <w:rPr>
          <w:rFonts w:cs="Times New Roman"/>
          <w:bCs/>
          <w:color w:val="auto"/>
          <w:highlight w:val="none"/>
          <w:lang w:val="en-GB"/>
        </w:rPr>
        <w:t>风量</w:t>
      </w:r>
      <w:r>
        <w:rPr>
          <w:rFonts w:cs="Times New Roman"/>
          <w:color w:val="auto"/>
          <w:szCs w:val="24"/>
          <w:highlight w:val="none"/>
        </w:rPr>
        <w:t>为</w:t>
      </w:r>
      <w:r>
        <w:rPr>
          <w:rFonts w:hint="eastAsia" w:cs="Times New Roman"/>
          <w:color w:val="auto"/>
          <w:szCs w:val="24"/>
          <w:highlight w:val="none"/>
          <w:lang w:val="en-US" w:eastAsia="zh-CN"/>
        </w:rPr>
        <w:t>2</w:t>
      </w:r>
      <w:r>
        <w:rPr>
          <w:rFonts w:cs="Times New Roman"/>
          <w:color w:val="auto"/>
          <w:szCs w:val="24"/>
          <w:highlight w:val="none"/>
        </w:rPr>
        <w:t>000m</w:t>
      </w:r>
      <w:r>
        <w:rPr>
          <w:rFonts w:cs="Times New Roman"/>
          <w:color w:val="auto"/>
          <w:szCs w:val="24"/>
          <w:highlight w:val="none"/>
          <w:vertAlign w:val="superscript"/>
        </w:rPr>
        <w:t>3</w:t>
      </w:r>
      <w:r>
        <w:rPr>
          <w:rFonts w:cs="Times New Roman"/>
          <w:color w:val="auto"/>
          <w:szCs w:val="24"/>
          <w:highlight w:val="none"/>
        </w:rPr>
        <w:t>/h，活性炭对废气的处理效率约为</w:t>
      </w:r>
      <w:r>
        <w:rPr>
          <w:rFonts w:hint="eastAsia" w:cs="Times New Roman"/>
          <w:color w:val="auto"/>
          <w:szCs w:val="24"/>
          <w:highlight w:val="none"/>
          <w:lang w:val="en-US" w:eastAsia="zh-CN"/>
        </w:rPr>
        <w:t>8</w:t>
      </w:r>
      <w:r>
        <w:rPr>
          <w:rFonts w:cs="Times New Roman"/>
          <w:color w:val="auto"/>
          <w:szCs w:val="24"/>
          <w:highlight w:val="none"/>
        </w:rPr>
        <w:t>0%。</w:t>
      </w:r>
    </w:p>
    <w:p w14:paraId="4122AB1D">
      <w:pPr>
        <w:spacing w:line="500" w:lineRule="exact"/>
        <w:rPr>
          <w:rFonts w:cs="Times New Roman"/>
          <w:bCs/>
          <w:snapToGrid w:val="0"/>
          <w:color w:val="auto"/>
          <w:highlight w:val="none"/>
          <w:lang w:val="zh-CN"/>
        </w:rPr>
      </w:pPr>
      <w:r>
        <w:rPr>
          <w:rFonts w:cs="Times New Roman"/>
          <w:color w:val="auto"/>
          <w:szCs w:val="24"/>
          <w:highlight w:val="none"/>
        </w:rPr>
        <w:t>污水处理站有组织排放量为</w:t>
      </w:r>
      <w:r>
        <w:rPr>
          <w:rFonts w:cs="Times New Roman"/>
          <w:snapToGrid w:val="0"/>
          <w:color w:val="auto"/>
          <w:sz w:val="24"/>
          <w:szCs w:val="24"/>
          <w:highlight w:val="none"/>
          <w:lang w:val="zh-CN"/>
        </w:rPr>
        <w:t>氨：</w:t>
      </w:r>
      <w:r>
        <w:rPr>
          <w:rFonts w:hint="eastAsia" w:cs="Times New Roman"/>
          <w:snapToGrid w:val="0"/>
          <w:color w:val="auto"/>
          <w:sz w:val="24"/>
          <w:szCs w:val="24"/>
          <w:highlight w:val="none"/>
          <w:lang w:val="en-US" w:eastAsia="zh-CN"/>
        </w:rPr>
        <w:t>8.9</w:t>
      </w:r>
      <w:r>
        <w:rPr>
          <w:rFonts w:cs="Times New Roman"/>
          <w:snapToGrid w:val="0"/>
          <w:color w:val="auto"/>
          <w:sz w:val="24"/>
          <w:szCs w:val="24"/>
          <w:highlight w:val="none"/>
          <w:lang w:val="zh-CN"/>
        </w:rPr>
        <w:t>×</w:t>
      </w:r>
      <w:r>
        <w:rPr>
          <w:rFonts w:hint="eastAsia" w:cs="Times New Roman"/>
          <w:snapToGrid w:val="0"/>
          <w:color w:val="auto"/>
          <w:sz w:val="24"/>
          <w:szCs w:val="24"/>
          <w:highlight w:val="none"/>
          <w:lang w:eastAsia="zh-CN"/>
        </w:rPr>
        <w:t>10</w:t>
      </w:r>
      <w:r>
        <w:rPr>
          <w:rFonts w:cs="Times New Roman"/>
          <w:snapToGrid w:val="0"/>
          <w:color w:val="auto"/>
          <w:sz w:val="24"/>
          <w:szCs w:val="24"/>
          <w:highlight w:val="none"/>
          <w:vertAlign w:val="superscript"/>
          <w:lang w:val="zh-CN"/>
        </w:rPr>
        <w:t>-</w:t>
      </w:r>
      <w:r>
        <w:rPr>
          <w:rFonts w:hint="eastAsia" w:cs="Times New Roman"/>
          <w:snapToGrid w:val="0"/>
          <w:color w:val="auto"/>
          <w:sz w:val="24"/>
          <w:szCs w:val="24"/>
          <w:highlight w:val="none"/>
          <w:vertAlign w:val="superscript"/>
          <w:lang w:val="en-US" w:eastAsia="zh-CN"/>
        </w:rPr>
        <w:t>3</w:t>
      </w:r>
      <w:r>
        <w:rPr>
          <w:rFonts w:cs="Times New Roman"/>
          <w:snapToGrid w:val="0"/>
          <w:color w:val="auto"/>
          <w:sz w:val="24"/>
          <w:szCs w:val="24"/>
          <w:highlight w:val="none"/>
          <w:lang w:val="zh-CN"/>
        </w:rPr>
        <w:t>kg/h、硫化氢：</w:t>
      </w:r>
      <w:r>
        <w:rPr>
          <w:rFonts w:hint="eastAsia" w:cs="Times New Roman"/>
          <w:snapToGrid w:val="0"/>
          <w:color w:val="auto"/>
          <w:sz w:val="24"/>
          <w:szCs w:val="24"/>
          <w:highlight w:val="none"/>
          <w:lang w:val="en-US" w:eastAsia="zh-CN"/>
        </w:rPr>
        <w:t>8.4</w:t>
      </w:r>
      <w:r>
        <w:rPr>
          <w:rFonts w:cs="Times New Roman"/>
          <w:snapToGrid w:val="0"/>
          <w:color w:val="auto"/>
          <w:sz w:val="24"/>
          <w:szCs w:val="24"/>
          <w:highlight w:val="none"/>
          <w:lang w:val="zh-CN"/>
        </w:rPr>
        <w:t>×</w:t>
      </w:r>
      <w:r>
        <w:rPr>
          <w:rFonts w:hint="eastAsia" w:cs="Times New Roman"/>
          <w:snapToGrid w:val="0"/>
          <w:color w:val="auto"/>
          <w:sz w:val="24"/>
          <w:szCs w:val="24"/>
          <w:highlight w:val="none"/>
          <w:lang w:eastAsia="zh-CN"/>
        </w:rPr>
        <w:t>10</w:t>
      </w:r>
      <w:r>
        <w:rPr>
          <w:rFonts w:cs="Times New Roman"/>
          <w:snapToGrid w:val="0"/>
          <w:color w:val="auto"/>
          <w:sz w:val="24"/>
          <w:szCs w:val="24"/>
          <w:highlight w:val="none"/>
          <w:vertAlign w:val="superscript"/>
          <w:lang w:val="zh-CN"/>
        </w:rPr>
        <w:t>-</w:t>
      </w:r>
      <w:r>
        <w:rPr>
          <w:rFonts w:hint="eastAsia" w:cs="Times New Roman"/>
          <w:snapToGrid w:val="0"/>
          <w:color w:val="auto"/>
          <w:sz w:val="24"/>
          <w:szCs w:val="24"/>
          <w:highlight w:val="none"/>
          <w:vertAlign w:val="superscript"/>
          <w:lang w:val="en-US" w:eastAsia="zh-CN"/>
        </w:rPr>
        <w:t>4</w:t>
      </w:r>
      <w:r>
        <w:rPr>
          <w:rFonts w:cs="Times New Roman"/>
          <w:snapToGrid w:val="0"/>
          <w:color w:val="auto"/>
          <w:sz w:val="24"/>
          <w:szCs w:val="24"/>
          <w:highlight w:val="none"/>
          <w:lang w:val="zh-CN"/>
        </w:rPr>
        <w:t>kg/h</w:t>
      </w:r>
      <w:r>
        <w:rPr>
          <w:rFonts w:hint="eastAsia" w:cs="Times New Roman"/>
          <w:snapToGrid w:val="0"/>
          <w:color w:val="auto"/>
          <w:sz w:val="24"/>
          <w:szCs w:val="24"/>
          <w:highlight w:val="none"/>
          <w:lang w:val="zh-CN"/>
        </w:rPr>
        <w:t>、</w:t>
      </w:r>
      <w:r>
        <w:rPr>
          <w:rFonts w:cs="Times New Roman"/>
          <w:snapToGrid w:val="0"/>
          <w:color w:val="auto"/>
          <w:sz w:val="24"/>
          <w:szCs w:val="24"/>
          <w:highlight w:val="none"/>
        </w:rPr>
        <w:t>臭气浓度为1318（无量纲）</w:t>
      </w:r>
      <w:r>
        <w:rPr>
          <w:rFonts w:cs="Times New Roman"/>
          <w:color w:val="auto"/>
          <w:szCs w:val="24"/>
          <w:highlight w:val="none"/>
        </w:rPr>
        <w:t>；污水处理站氨气的无组织排放量为</w:t>
      </w:r>
      <w:r>
        <w:rPr>
          <w:rFonts w:hint="eastAsia" w:cs="Times New Roman"/>
          <w:color w:val="auto"/>
          <w:szCs w:val="24"/>
          <w:highlight w:val="none"/>
          <w:lang w:val="en-US" w:eastAsia="zh-CN"/>
        </w:rPr>
        <w:t>9.8</w:t>
      </w:r>
      <w:r>
        <w:rPr>
          <w:rFonts w:cs="Times New Roman"/>
          <w:snapToGrid w:val="0"/>
          <w:color w:val="auto"/>
          <w:sz w:val="24"/>
          <w:szCs w:val="24"/>
          <w:highlight w:val="none"/>
          <w:lang w:val="zh-CN"/>
        </w:rPr>
        <w:t>×</w:t>
      </w:r>
      <w:r>
        <w:rPr>
          <w:rFonts w:hint="eastAsia" w:cs="Times New Roman"/>
          <w:color w:val="auto"/>
          <w:szCs w:val="24"/>
          <w:highlight w:val="none"/>
          <w:lang w:eastAsia="zh-CN"/>
        </w:rPr>
        <w:t>10</w:t>
      </w:r>
      <w:r>
        <w:rPr>
          <w:rFonts w:cs="Times New Roman"/>
          <w:color w:val="auto"/>
          <w:highlight w:val="none"/>
          <w:vertAlign w:val="superscript"/>
        </w:rPr>
        <w:t>-</w:t>
      </w:r>
      <w:r>
        <w:rPr>
          <w:rFonts w:hint="eastAsia" w:cs="Times New Roman"/>
          <w:color w:val="auto"/>
          <w:highlight w:val="none"/>
          <w:vertAlign w:val="superscript"/>
          <w:lang w:val="en-US" w:eastAsia="zh-CN"/>
        </w:rPr>
        <w:t>4</w:t>
      </w:r>
      <w:r>
        <w:rPr>
          <w:rFonts w:cs="Times New Roman"/>
          <w:color w:val="auto"/>
          <w:szCs w:val="24"/>
          <w:highlight w:val="none"/>
        </w:rPr>
        <w:t>kg/h</w:t>
      </w:r>
      <w:r>
        <w:rPr>
          <w:rFonts w:hint="eastAsia" w:cs="Times New Roman"/>
          <w:color w:val="auto"/>
          <w:szCs w:val="24"/>
          <w:highlight w:val="none"/>
          <w:lang w:eastAsia="zh-CN"/>
        </w:rPr>
        <w:t>、</w:t>
      </w:r>
      <w:r>
        <w:rPr>
          <w:rFonts w:cs="Times New Roman"/>
          <w:color w:val="auto"/>
          <w:szCs w:val="24"/>
          <w:highlight w:val="none"/>
        </w:rPr>
        <w:t>硫化氢的无组织排放量为</w:t>
      </w:r>
      <w:r>
        <w:rPr>
          <w:rFonts w:hint="eastAsia" w:cs="Times New Roman"/>
          <w:color w:val="auto"/>
          <w:szCs w:val="24"/>
          <w:highlight w:val="none"/>
          <w:lang w:val="en-US" w:eastAsia="zh-CN"/>
        </w:rPr>
        <w:t>8.4</w:t>
      </w:r>
      <w:r>
        <w:rPr>
          <w:rFonts w:cs="Times New Roman"/>
          <w:snapToGrid w:val="0"/>
          <w:color w:val="auto"/>
          <w:sz w:val="24"/>
          <w:szCs w:val="24"/>
          <w:highlight w:val="none"/>
          <w:lang w:val="zh-CN"/>
        </w:rPr>
        <w:t>×</w:t>
      </w:r>
      <w:r>
        <w:rPr>
          <w:rFonts w:hint="eastAsia" w:cs="Times New Roman"/>
          <w:color w:val="auto"/>
          <w:szCs w:val="24"/>
          <w:highlight w:val="none"/>
          <w:lang w:eastAsia="zh-CN"/>
        </w:rPr>
        <w:t>10</w:t>
      </w:r>
      <w:r>
        <w:rPr>
          <w:rFonts w:cs="Times New Roman"/>
          <w:color w:val="auto"/>
          <w:highlight w:val="none"/>
          <w:vertAlign w:val="superscript"/>
        </w:rPr>
        <w:t>-</w:t>
      </w:r>
      <w:r>
        <w:rPr>
          <w:rFonts w:hint="eastAsia" w:cs="Times New Roman"/>
          <w:color w:val="auto"/>
          <w:highlight w:val="none"/>
          <w:vertAlign w:val="superscript"/>
          <w:lang w:val="en-US" w:eastAsia="zh-CN"/>
        </w:rPr>
        <w:t>5</w:t>
      </w:r>
      <w:r>
        <w:rPr>
          <w:rFonts w:cs="Times New Roman"/>
          <w:color w:val="auto"/>
          <w:szCs w:val="24"/>
          <w:highlight w:val="none"/>
        </w:rPr>
        <w:t>kg/h</w:t>
      </w:r>
      <w:r>
        <w:rPr>
          <w:rFonts w:hint="eastAsia" w:cs="Times New Roman"/>
          <w:color w:val="auto"/>
          <w:szCs w:val="24"/>
          <w:highlight w:val="none"/>
          <w:lang w:eastAsia="zh-CN"/>
        </w:rPr>
        <w:t>、</w:t>
      </w:r>
      <w:r>
        <w:rPr>
          <w:rFonts w:cs="Times New Roman"/>
          <w:snapToGrid w:val="0"/>
          <w:color w:val="auto"/>
          <w:sz w:val="24"/>
          <w:szCs w:val="24"/>
          <w:highlight w:val="none"/>
        </w:rPr>
        <w:t>臭气浓度为</w:t>
      </w:r>
      <w:r>
        <w:rPr>
          <w:rFonts w:hint="eastAsia" w:cs="Times New Roman"/>
          <w:snapToGrid w:val="0"/>
          <w:color w:val="auto"/>
          <w:sz w:val="24"/>
          <w:szCs w:val="24"/>
          <w:highlight w:val="none"/>
          <w:lang w:val="en-US" w:eastAsia="zh-CN"/>
        </w:rPr>
        <w:t>146</w:t>
      </w:r>
      <w:r>
        <w:rPr>
          <w:rFonts w:cs="Times New Roman"/>
          <w:snapToGrid w:val="0"/>
          <w:color w:val="auto"/>
          <w:sz w:val="24"/>
          <w:szCs w:val="24"/>
          <w:highlight w:val="none"/>
        </w:rPr>
        <w:t>（无量纲）</w:t>
      </w:r>
      <w:r>
        <w:rPr>
          <w:rFonts w:cs="Times New Roman"/>
          <w:color w:val="auto"/>
          <w:szCs w:val="24"/>
          <w:highlight w:val="none"/>
        </w:rPr>
        <w:t>。</w:t>
      </w:r>
    </w:p>
    <w:p w14:paraId="66395D54">
      <w:pPr>
        <w:pStyle w:val="117"/>
        <w:adjustRightInd w:val="0"/>
        <w:snapToGrid w:val="0"/>
        <w:rPr>
          <w:rFonts w:cs="Times New Roman"/>
          <w:snapToGrid w:val="0"/>
          <w:color w:val="auto"/>
          <w:highlight w:val="none"/>
        </w:rPr>
      </w:pPr>
      <w:r>
        <w:rPr>
          <w:rFonts w:cs="Times New Roman"/>
          <w:snapToGrid w:val="0"/>
          <w:color w:val="auto"/>
          <w:highlight w:val="none"/>
        </w:rPr>
        <w:t>（</w:t>
      </w:r>
      <w:r>
        <w:rPr>
          <w:rFonts w:hint="eastAsia" w:cs="Times New Roman"/>
          <w:snapToGrid w:val="0"/>
          <w:color w:val="auto"/>
          <w:highlight w:val="none"/>
          <w:lang w:val="en-US" w:eastAsia="zh-CN"/>
        </w:rPr>
        <w:t>3</w:t>
      </w:r>
      <w:r>
        <w:rPr>
          <w:rFonts w:cs="Times New Roman"/>
          <w:snapToGrid w:val="0"/>
          <w:color w:val="auto"/>
          <w:highlight w:val="none"/>
        </w:rPr>
        <w:t>）</w:t>
      </w:r>
      <w:r>
        <w:rPr>
          <w:rFonts w:hint="eastAsia" w:cs="Times New Roman"/>
          <w:snapToGrid w:val="0"/>
          <w:color w:val="auto"/>
          <w:highlight w:val="none"/>
          <w:lang w:val="en-US" w:eastAsia="zh-CN"/>
        </w:rPr>
        <w:t>待宰圈</w:t>
      </w:r>
      <w:r>
        <w:rPr>
          <w:rFonts w:cs="Times New Roman"/>
          <w:snapToGrid w:val="0"/>
          <w:color w:val="auto"/>
          <w:highlight w:val="none"/>
        </w:rPr>
        <w:t>恶臭</w:t>
      </w:r>
    </w:p>
    <w:p w14:paraId="2CA19F04">
      <w:pPr>
        <w:pStyle w:val="117"/>
        <w:adjustRightInd w:val="0"/>
        <w:snapToGrid w:val="0"/>
        <w:rPr>
          <w:rFonts w:cs="Times New Roman"/>
          <w:snapToGrid w:val="0"/>
          <w:color w:val="auto"/>
          <w:highlight w:val="none"/>
        </w:rPr>
      </w:pPr>
      <w:r>
        <w:rPr>
          <w:rFonts w:hint="eastAsia" w:cs="Times New Roman"/>
          <w:snapToGrid w:val="0"/>
          <w:color w:val="auto"/>
          <w:highlight w:val="none"/>
          <w:lang w:val="en-US" w:eastAsia="zh-CN"/>
        </w:rPr>
        <w:t>待宰圈</w:t>
      </w:r>
      <w:r>
        <w:rPr>
          <w:rFonts w:cs="Times New Roman"/>
          <w:snapToGrid w:val="0"/>
          <w:color w:val="auto"/>
          <w:highlight w:val="none"/>
        </w:rPr>
        <w:t>用于</w:t>
      </w:r>
      <w:r>
        <w:rPr>
          <w:rFonts w:hint="eastAsia" w:cs="Times New Roman"/>
          <w:snapToGrid w:val="0"/>
          <w:color w:val="auto"/>
          <w:highlight w:val="none"/>
          <w:lang w:val="en-US" w:eastAsia="zh-CN"/>
        </w:rPr>
        <w:t>存放待宰</w:t>
      </w:r>
      <w:r>
        <w:rPr>
          <w:rFonts w:cs="Times New Roman"/>
          <w:snapToGrid w:val="0"/>
          <w:color w:val="auto"/>
          <w:highlight w:val="none"/>
        </w:rPr>
        <w:t>牛、羊，可容纳</w:t>
      </w:r>
      <w:r>
        <w:rPr>
          <w:rFonts w:hint="eastAsia" w:cs="Times New Roman"/>
          <w:snapToGrid w:val="0"/>
          <w:color w:val="auto"/>
          <w:highlight w:val="none"/>
          <w:lang w:val="en-US" w:eastAsia="zh-CN"/>
        </w:rPr>
        <w:t>100只</w:t>
      </w:r>
      <w:r>
        <w:rPr>
          <w:rFonts w:cs="Times New Roman"/>
          <w:snapToGrid w:val="0"/>
          <w:color w:val="auto"/>
          <w:highlight w:val="none"/>
        </w:rPr>
        <w:t>羊、</w:t>
      </w:r>
      <w:r>
        <w:rPr>
          <w:rFonts w:hint="eastAsia" w:cs="Times New Roman"/>
          <w:snapToGrid w:val="0"/>
          <w:color w:val="auto"/>
          <w:highlight w:val="none"/>
          <w:lang w:val="en-US" w:eastAsia="zh-CN"/>
        </w:rPr>
        <w:t>100</w:t>
      </w:r>
      <w:r>
        <w:rPr>
          <w:rFonts w:cs="Times New Roman"/>
          <w:snapToGrid w:val="0"/>
          <w:color w:val="auto"/>
          <w:highlight w:val="none"/>
        </w:rPr>
        <w:t>头牛，</w:t>
      </w:r>
      <w:r>
        <w:rPr>
          <w:rFonts w:hint="default" w:ascii="Times New Roman" w:hAnsi="Times New Roman" w:eastAsia="宋体" w:cs="Times New Roman"/>
          <w:color w:val="auto"/>
          <w:highlight w:val="none"/>
          <w:lang w:val="zh-CN"/>
        </w:rPr>
        <w:t>按照《畜禽屠宰操作规程牛》（GB/T19477-2018）要求，必须在待宰圈停留12h以上。根据建设单位提供的资料，牛在待宰圈所需时间为</w:t>
      </w:r>
      <w:r>
        <w:rPr>
          <w:rFonts w:hint="eastAsia" w:cs="Times New Roman"/>
          <w:color w:val="auto"/>
          <w:highlight w:val="none"/>
          <w:lang w:val="en-US" w:eastAsia="zh-CN"/>
        </w:rPr>
        <w:t>16</w:t>
      </w:r>
      <w:r>
        <w:rPr>
          <w:rFonts w:hint="default" w:ascii="Times New Roman" w:hAnsi="Times New Roman" w:eastAsia="宋体" w:cs="Times New Roman"/>
          <w:color w:val="auto"/>
          <w:highlight w:val="none"/>
          <w:lang w:val="zh-CN"/>
        </w:rPr>
        <w:t>个小时。</w:t>
      </w:r>
    </w:p>
    <w:p w14:paraId="03B537F0">
      <w:pPr>
        <w:pStyle w:val="117"/>
        <w:adjustRightInd w:val="0"/>
        <w:snapToGrid w:val="0"/>
        <w:rPr>
          <w:rFonts w:cs="Times New Roman"/>
          <w:snapToGrid w:val="0"/>
          <w:color w:val="auto"/>
          <w:highlight w:val="none"/>
        </w:rPr>
      </w:pPr>
      <w:r>
        <w:rPr>
          <w:rFonts w:hint="default" w:ascii="Times New Roman" w:hAnsi="Times New Roman" w:eastAsia="宋体" w:cs="Times New Roman"/>
          <w:snapToGrid w:val="0"/>
          <w:color w:val="auto"/>
          <w:highlight w:val="none"/>
          <w:lang w:val="zh-CN"/>
        </w:rPr>
        <w:t>根据《排污许可证申请与核发技术规范畜禽养殖行业》（HJ1029-2019)表9,肉牛粪便产生量10.88kg/d头，</w:t>
      </w:r>
      <w:r>
        <w:rPr>
          <w:rFonts w:hint="eastAsia" w:ascii="Times New Roman" w:hAnsi="Times New Roman" w:eastAsia="宋体" w:cs="Times New Roman"/>
          <w:snapToGrid w:val="0"/>
          <w:color w:val="auto"/>
          <w:highlight w:val="none"/>
          <w:lang w:val="en-US" w:eastAsia="zh-CN"/>
        </w:rPr>
        <w:t>生猪粪便产生量1.24</w:t>
      </w:r>
      <w:r>
        <w:rPr>
          <w:rFonts w:hint="default" w:ascii="Times New Roman" w:hAnsi="Times New Roman" w:eastAsia="宋体" w:cs="Times New Roman"/>
          <w:snapToGrid w:val="0"/>
          <w:color w:val="auto"/>
          <w:highlight w:val="none"/>
          <w:lang w:val="zh-CN"/>
        </w:rPr>
        <w:t>kg/d</w:t>
      </w:r>
      <w:r>
        <w:rPr>
          <w:rFonts w:hint="eastAsia" w:ascii="Times New Roman" w:hAnsi="Times New Roman" w:eastAsia="宋体" w:cs="Times New Roman"/>
          <w:snapToGrid w:val="0"/>
          <w:color w:val="auto"/>
          <w:highlight w:val="none"/>
          <w:lang w:val="en-US" w:eastAsia="zh-CN"/>
        </w:rPr>
        <w:t>只（3只羊折算成1只猪），</w:t>
      </w:r>
      <w:r>
        <w:rPr>
          <w:rFonts w:hint="eastAsia" w:cs="Times New Roman"/>
          <w:snapToGrid w:val="0"/>
          <w:color w:val="auto"/>
          <w:highlight w:val="none"/>
          <w:lang w:val="zh-CN"/>
        </w:rPr>
        <w:t>待宰圈最大存栏量</w:t>
      </w:r>
      <w:r>
        <w:rPr>
          <w:rFonts w:hint="eastAsia" w:cs="Times New Roman"/>
          <w:snapToGrid w:val="0"/>
          <w:color w:val="auto"/>
          <w:highlight w:val="none"/>
          <w:lang w:val="en-US" w:eastAsia="zh-CN"/>
        </w:rPr>
        <w:t>牛100头，羊120只，一次每日粪便产生量共1.14t，</w:t>
      </w:r>
      <w:r>
        <w:rPr>
          <w:rFonts w:cs="Times New Roman"/>
          <w:color w:val="auto"/>
          <w:szCs w:val="24"/>
          <w:highlight w:val="none"/>
          <w:lang w:bidi="ar"/>
        </w:rPr>
        <w:t>根据《中国乳品工程》（2011年第39卷第8期）中《牛</w:t>
      </w:r>
      <w:r>
        <w:rPr>
          <w:rFonts w:hint="eastAsia" w:cs="Times New Roman"/>
          <w:color w:val="auto"/>
          <w:szCs w:val="24"/>
          <w:highlight w:val="none"/>
          <w:lang w:val="en-US" w:eastAsia="zh-CN" w:bidi="ar"/>
        </w:rPr>
        <w:t>羊</w:t>
      </w:r>
      <w:r>
        <w:rPr>
          <w:rFonts w:cs="Times New Roman"/>
          <w:color w:val="auto"/>
          <w:szCs w:val="24"/>
          <w:highlight w:val="none"/>
          <w:lang w:bidi="ar"/>
        </w:rPr>
        <w:t>粪尿中含有氮量、NH</w:t>
      </w:r>
      <w:r>
        <w:rPr>
          <w:rFonts w:cs="Times New Roman"/>
          <w:color w:val="auto"/>
          <w:szCs w:val="24"/>
          <w:highlight w:val="none"/>
          <w:vertAlign w:val="subscript"/>
          <w:lang w:bidi="ar"/>
        </w:rPr>
        <w:t>3</w:t>
      </w:r>
      <w:r>
        <w:rPr>
          <w:rFonts w:cs="Times New Roman"/>
          <w:color w:val="auto"/>
          <w:szCs w:val="24"/>
          <w:highlight w:val="none"/>
          <w:lang w:bidi="ar"/>
        </w:rPr>
        <w:t>、H</w:t>
      </w:r>
      <w:r>
        <w:rPr>
          <w:rFonts w:cs="Times New Roman"/>
          <w:color w:val="auto"/>
          <w:szCs w:val="24"/>
          <w:highlight w:val="none"/>
          <w:vertAlign w:val="subscript"/>
          <w:lang w:bidi="ar"/>
        </w:rPr>
        <w:t>2</w:t>
      </w:r>
      <w:r>
        <w:rPr>
          <w:rFonts w:cs="Times New Roman"/>
          <w:color w:val="auto"/>
          <w:szCs w:val="24"/>
          <w:highlight w:val="none"/>
          <w:lang w:bidi="ar"/>
        </w:rPr>
        <w:t>S散发量的比较》文章中，粪便中氨气散发量为0.018mg/g，硫化氢散发量为0.002mg/g。则NH</w:t>
      </w:r>
      <w:r>
        <w:rPr>
          <w:rFonts w:cs="Times New Roman"/>
          <w:color w:val="auto"/>
          <w:szCs w:val="24"/>
          <w:highlight w:val="none"/>
          <w:vertAlign w:val="subscript"/>
          <w:lang w:bidi="ar"/>
        </w:rPr>
        <w:t>3</w:t>
      </w:r>
      <w:r>
        <w:rPr>
          <w:rFonts w:cs="Times New Roman"/>
          <w:color w:val="auto"/>
          <w:szCs w:val="24"/>
          <w:highlight w:val="none"/>
          <w:lang w:bidi="ar"/>
        </w:rPr>
        <w:t>产生量为</w:t>
      </w:r>
      <w:r>
        <w:rPr>
          <w:rFonts w:hint="eastAsia" w:cs="Times New Roman"/>
          <w:color w:val="auto"/>
          <w:szCs w:val="24"/>
          <w:highlight w:val="none"/>
          <w:lang w:val="en-US" w:eastAsia="zh-CN" w:bidi="ar"/>
        </w:rPr>
        <w:t>0.02kg</w:t>
      </w:r>
      <w:r>
        <w:rPr>
          <w:rFonts w:cs="Times New Roman"/>
          <w:color w:val="auto"/>
          <w:szCs w:val="24"/>
          <w:highlight w:val="none"/>
          <w:lang w:bidi="ar"/>
        </w:rPr>
        <w:t>/</w:t>
      </w:r>
      <w:r>
        <w:rPr>
          <w:rFonts w:hint="eastAsia" w:cs="Times New Roman"/>
          <w:color w:val="auto"/>
          <w:szCs w:val="24"/>
          <w:highlight w:val="none"/>
          <w:lang w:val="en-US" w:eastAsia="zh-CN" w:bidi="ar"/>
        </w:rPr>
        <w:t>d</w:t>
      </w:r>
      <w:r>
        <w:rPr>
          <w:rFonts w:cs="Times New Roman"/>
          <w:color w:val="auto"/>
          <w:szCs w:val="24"/>
          <w:highlight w:val="none"/>
          <w:lang w:bidi="ar"/>
        </w:rPr>
        <w:t>，</w:t>
      </w:r>
      <w:r>
        <w:rPr>
          <w:rFonts w:hint="eastAsia" w:cs="Times New Roman"/>
          <w:color w:val="auto"/>
          <w:szCs w:val="24"/>
          <w:highlight w:val="none"/>
          <w:lang w:val="en-US" w:eastAsia="zh-CN" w:bidi="ar"/>
        </w:rPr>
        <w:t>0.006t/a；</w:t>
      </w:r>
      <w:r>
        <w:rPr>
          <w:rFonts w:cs="Times New Roman"/>
          <w:color w:val="auto"/>
          <w:szCs w:val="24"/>
          <w:highlight w:val="none"/>
          <w:lang w:bidi="ar"/>
        </w:rPr>
        <w:t>H</w:t>
      </w:r>
      <w:r>
        <w:rPr>
          <w:rFonts w:cs="Times New Roman"/>
          <w:color w:val="auto"/>
          <w:szCs w:val="24"/>
          <w:highlight w:val="none"/>
          <w:vertAlign w:val="subscript"/>
          <w:lang w:bidi="ar"/>
        </w:rPr>
        <w:t>2</w:t>
      </w:r>
      <w:r>
        <w:rPr>
          <w:rFonts w:cs="Times New Roman"/>
          <w:color w:val="auto"/>
          <w:szCs w:val="24"/>
          <w:highlight w:val="none"/>
          <w:lang w:bidi="ar"/>
        </w:rPr>
        <w:t>S产生量为</w:t>
      </w:r>
      <w:r>
        <w:rPr>
          <w:rFonts w:hint="eastAsia" w:cs="Times New Roman"/>
          <w:color w:val="auto"/>
          <w:szCs w:val="24"/>
          <w:highlight w:val="none"/>
          <w:lang w:val="en-US" w:eastAsia="zh-CN" w:bidi="ar"/>
        </w:rPr>
        <w:t>0.002kg</w:t>
      </w:r>
      <w:r>
        <w:rPr>
          <w:rFonts w:cs="Times New Roman"/>
          <w:color w:val="auto"/>
          <w:szCs w:val="24"/>
          <w:highlight w:val="none"/>
          <w:lang w:bidi="ar"/>
        </w:rPr>
        <w:t>/</w:t>
      </w:r>
      <w:r>
        <w:rPr>
          <w:rFonts w:hint="eastAsia" w:cs="Times New Roman"/>
          <w:color w:val="auto"/>
          <w:szCs w:val="24"/>
          <w:highlight w:val="none"/>
          <w:lang w:val="en-US" w:eastAsia="zh-CN" w:bidi="ar"/>
        </w:rPr>
        <w:t>d</w:t>
      </w:r>
      <w:r>
        <w:rPr>
          <w:rFonts w:cs="Times New Roman"/>
          <w:color w:val="auto"/>
          <w:szCs w:val="24"/>
          <w:highlight w:val="none"/>
          <w:lang w:bidi="ar"/>
        </w:rPr>
        <w:t>，</w:t>
      </w:r>
      <w:r>
        <w:rPr>
          <w:rFonts w:hint="eastAsia" w:cs="Times New Roman"/>
          <w:color w:val="auto"/>
          <w:szCs w:val="24"/>
          <w:highlight w:val="none"/>
          <w:lang w:val="en-US" w:eastAsia="zh-CN" w:bidi="ar"/>
        </w:rPr>
        <w:t>0.0006t/a</w:t>
      </w:r>
      <w:r>
        <w:rPr>
          <w:rFonts w:cs="Times New Roman"/>
          <w:color w:val="auto"/>
          <w:szCs w:val="24"/>
          <w:highlight w:val="none"/>
          <w:lang w:bidi="ar"/>
        </w:rPr>
        <w:t>。</w:t>
      </w:r>
      <w:r>
        <w:rPr>
          <w:rFonts w:cs="Times New Roman"/>
          <w:snapToGrid w:val="0"/>
          <w:color w:val="auto"/>
          <w:highlight w:val="none"/>
          <w:lang w:val="zh-CN"/>
        </w:rPr>
        <w:t>（按照每天</w:t>
      </w:r>
      <w:r>
        <w:rPr>
          <w:rFonts w:hint="eastAsia" w:cs="Times New Roman"/>
          <w:snapToGrid w:val="0"/>
          <w:color w:val="auto"/>
          <w:highlight w:val="none"/>
          <w:lang w:val="en-US" w:eastAsia="zh-CN"/>
        </w:rPr>
        <w:t>存栏16</w:t>
      </w:r>
      <w:r>
        <w:rPr>
          <w:rFonts w:cs="Times New Roman"/>
          <w:snapToGrid w:val="0"/>
          <w:color w:val="auto"/>
          <w:highlight w:val="none"/>
          <w:lang w:val="zh-CN"/>
        </w:rPr>
        <w:t>小时，年3</w:t>
      </w:r>
      <w:r>
        <w:rPr>
          <w:rFonts w:hint="eastAsia" w:cs="Times New Roman"/>
          <w:snapToGrid w:val="0"/>
          <w:color w:val="auto"/>
          <w:highlight w:val="none"/>
          <w:lang w:val="en-US" w:eastAsia="zh-CN"/>
        </w:rPr>
        <w:t>0</w:t>
      </w:r>
      <w:r>
        <w:rPr>
          <w:rFonts w:cs="Times New Roman"/>
          <w:snapToGrid w:val="0"/>
          <w:color w:val="auto"/>
          <w:highlight w:val="none"/>
          <w:lang w:val="zh-CN"/>
        </w:rPr>
        <w:t>0日运行计算）。</w:t>
      </w:r>
      <w:r>
        <w:rPr>
          <w:rFonts w:cs="Times New Roman"/>
          <w:snapToGrid w:val="0"/>
          <w:color w:val="auto"/>
          <w:highlight w:val="none"/>
        </w:rPr>
        <w:t>隔离圈</w:t>
      </w:r>
      <w:r>
        <w:rPr>
          <w:rFonts w:cs="Times New Roman"/>
          <w:snapToGrid w:val="0"/>
          <w:color w:val="auto"/>
          <w:highlight w:val="none"/>
          <w:lang w:val="zh-CN"/>
        </w:rPr>
        <w:t>及时清理粪便及尿液，</w:t>
      </w:r>
      <w:r>
        <w:rPr>
          <w:rFonts w:cs="Times New Roman"/>
          <w:snapToGrid w:val="0"/>
          <w:color w:val="auto"/>
          <w:highlight w:val="none"/>
        </w:rPr>
        <w:t>日产日清</w:t>
      </w:r>
      <w:r>
        <w:rPr>
          <w:rFonts w:cs="Times New Roman"/>
          <w:snapToGrid w:val="0"/>
          <w:color w:val="auto"/>
          <w:highlight w:val="none"/>
          <w:lang w:val="zh-CN"/>
        </w:rPr>
        <w:t>，</w:t>
      </w:r>
      <w:r>
        <w:rPr>
          <w:rFonts w:hint="eastAsia" w:cs="Times New Roman"/>
          <w:snapToGrid w:val="0"/>
          <w:color w:val="auto"/>
          <w:highlight w:val="none"/>
          <w:lang w:val="zh-CN"/>
        </w:rPr>
        <w:t>定期冲洗待地面</w:t>
      </w:r>
      <w:r>
        <w:rPr>
          <w:rFonts w:cs="Times New Roman"/>
          <w:snapToGrid w:val="0"/>
          <w:color w:val="auto"/>
          <w:highlight w:val="none"/>
          <w:lang w:val="zh-CN"/>
        </w:rPr>
        <w:t>，并定期喷洒除臭剂，无组织恶臭可降低80%。</w:t>
      </w:r>
      <w:r>
        <w:rPr>
          <w:rFonts w:cs="Times New Roman"/>
          <w:snapToGrid w:val="0"/>
          <w:color w:val="auto"/>
          <w:highlight w:val="none"/>
        </w:rPr>
        <w:t>隔离圈恶臭排放情况为</w:t>
      </w:r>
      <w:r>
        <w:rPr>
          <w:rFonts w:cs="Times New Roman"/>
          <w:snapToGrid w:val="0"/>
          <w:color w:val="auto"/>
          <w:highlight w:val="none"/>
          <w:lang w:val="zh-CN"/>
        </w:rPr>
        <w:t>NH</w:t>
      </w:r>
      <w:r>
        <w:rPr>
          <w:rFonts w:cs="Times New Roman"/>
          <w:snapToGrid w:val="0"/>
          <w:color w:val="auto"/>
          <w:highlight w:val="none"/>
          <w:vertAlign w:val="subscript"/>
          <w:lang w:val="zh-CN"/>
        </w:rPr>
        <w:t>3</w:t>
      </w:r>
      <w:r>
        <w:rPr>
          <w:rFonts w:cs="Times New Roman"/>
          <w:snapToGrid w:val="0"/>
          <w:color w:val="auto"/>
          <w:highlight w:val="none"/>
          <w:lang w:val="zh-CN"/>
        </w:rPr>
        <w:t>和H</w:t>
      </w:r>
      <w:r>
        <w:rPr>
          <w:rFonts w:cs="Times New Roman"/>
          <w:snapToGrid w:val="0"/>
          <w:color w:val="auto"/>
          <w:highlight w:val="none"/>
          <w:vertAlign w:val="subscript"/>
          <w:lang w:val="zh-CN"/>
        </w:rPr>
        <w:t>2</w:t>
      </w:r>
      <w:r>
        <w:rPr>
          <w:rFonts w:cs="Times New Roman"/>
          <w:snapToGrid w:val="0"/>
          <w:color w:val="auto"/>
          <w:highlight w:val="none"/>
          <w:lang w:val="zh-CN"/>
        </w:rPr>
        <w:t>S强度分别为</w:t>
      </w:r>
      <w:r>
        <w:rPr>
          <w:rFonts w:hint="eastAsia" w:cs="Times New Roman"/>
          <w:color w:val="auto"/>
          <w:szCs w:val="24"/>
          <w:highlight w:val="none"/>
          <w:lang w:val="en-US" w:eastAsia="zh-CN"/>
        </w:rPr>
        <w:t>2.5</w:t>
      </w:r>
      <w:r>
        <w:rPr>
          <w:rFonts w:cs="Times New Roman"/>
          <w:color w:val="auto"/>
          <w:highlight w:val="none"/>
        </w:rPr>
        <w:t>×10</w:t>
      </w:r>
      <w:r>
        <w:rPr>
          <w:rFonts w:cs="Times New Roman"/>
          <w:color w:val="auto"/>
          <w:highlight w:val="none"/>
          <w:vertAlign w:val="superscript"/>
        </w:rPr>
        <w:t>-</w:t>
      </w:r>
      <w:r>
        <w:rPr>
          <w:rFonts w:hint="eastAsia" w:cs="Times New Roman"/>
          <w:color w:val="auto"/>
          <w:highlight w:val="none"/>
          <w:vertAlign w:val="superscript"/>
          <w:lang w:val="en-US" w:eastAsia="zh-CN"/>
        </w:rPr>
        <w:t>4</w:t>
      </w:r>
      <w:r>
        <w:rPr>
          <w:rFonts w:cs="Times New Roman"/>
          <w:color w:val="auto"/>
          <w:szCs w:val="24"/>
          <w:highlight w:val="none"/>
        </w:rPr>
        <w:t>kg/h</w:t>
      </w:r>
      <w:r>
        <w:rPr>
          <w:rFonts w:cs="Times New Roman"/>
          <w:snapToGrid w:val="0"/>
          <w:color w:val="auto"/>
          <w:highlight w:val="none"/>
          <w:lang w:val="zh-CN"/>
        </w:rPr>
        <w:t>（</w:t>
      </w:r>
      <w:r>
        <w:rPr>
          <w:rFonts w:hint="eastAsia" w:cs="Times New Roman"/>
          <w:snapToGrid w:val="0"/>
          <w:color w:val="auto"/>
          <w:highlight w:val="none"/>
          <w:lang w:val="en-US" w:eastAsia="zh-CN"/>
        </w:rPr>
        <w:t>1.2</w:t>
      </w:r>
      <w:r>
        <w:rPr>
          <w:rFonts w:cs="Times New Roman"/>
          <w:color w:val="auto"/>
          <w:highlight w:val="none"/>
        </w:rPr>
        <w:t>×10</w:t>
      </w:r>
      <w:r>
        <w:rPr>
          <w:rFonts w:cs="Times New Roman"/>
          <w:color w:val="auto"/>
          <w:highlight w:val="none"/>
          <w:vertAlign w:val="superscript"/>
        </w:rPr>
        <w:t>-</w:t>
      </w:r>
      <w:r>
        <w:rPr>
          <w:rFonts w:hint="eastAsia" w:cs="Times New Roman"/>
          <w:color w:val="auto"/>
          <w:highlight w:val="none"/>
          <w:vertAlign w:val="superscript"/>
          <w:lang w:val="en-US" w:eastAsia="zh-CN"/>
        </w:rPr>
        <w:t>3</w:t>
      </w:r>
      <w:r>
        <w:rPr>
          <w:rFonts w:cs="Times New Roman"/>
          <w:snapToGrid w:val="0"/>
          <w:color w:val="auto"/>
          <w:highlight w:val="none"/>
        </w:rPr>
        <w:t>t/a</w:t>
      </w:r>
      <w:r>
        <w:rPr>
          <w:rFonts w:cs="Times New Roman"/>
          <w:snapToGrid w:val="0"/>
          <w:color w:val="auto"/>
          <w:highlight w:val="none"/>
          <w:lang w:val="zh-CN"/>
        </w:rPr>
        <w:t>）、</w:t>
      </w:r>
      <w:r>
        <w:rPr>
          <w:rFonts w:hint="eastAsia" w:cs="Times New Roman"/>
          <w:color w:val="auto"/>
          <w:szCs w:val="24"/>
          <w:highlight w:val="none"/>
          <w:lang w:val="en-US" w:eastAsia="zh-CN"/>
        </w:rPr>
        <w:t>2.5</w:t>
      </w:r>
      <w:r>
        <w:rPr>
          <w:rFonts w:cs="Times New Roman"/>
          <w:color w:val="auto"/>
          <w:highlight w:val="none"/>
        </w:rPr>
        <w:t>×10</w:t>
      </w:r>
      <w:r>
        <w:rPr>
          <w:rFonts w:cs="Times New Roman"/>
          <w:color w:val="auto"/>
          <w:highlight w:val="none"/>
          <w:vertAlign w:val="superscript"/>
        </w:rPr>
        <w:t>-</w:t>
      </w:r>
      <w:r>
        <w:rPr>
          <w:rFonts w:hint="eastAsia" w:cs="Times New Roman"/>
          <w:color w:val="auto"/>
          <w:highlight w:val="none"/>
          <w:vertAlign w:val="superscript"/>
          <w:lang w:val="en-US" w:eastAsia="zh-CN"/>
        </w:rPr>
        <w:t>5</w:t>
      </w:r>
      <w:r>
        <w:rPr>
          <w:rFonts w:cs="Times New Roman"/>
          <w:color w:val="auto"/>
          <w:szCs w:val="24"/>
          <w:highlight w:val="none"/>
        </w:rPr>
        <w:t>kg/h</w:t>
      </w:r>
      <w:r>
        <w:rPr>
          <w:rFonts w:cs="Times New Roman"/>
          <w:snapToGrid w:val="0"/>
          <w:color w:val="auto"/>
          <w:highlight w:val="none"/>
          <w:lang w:val="zh-CN"/>
        </w:rPr>
        <w:t>（</w:t>
      </w:r>
      <w:r>
        <w:rPr>
          <w:rFonts w:hint="eastAsia" w:cs="Times New Roman"/>
          <w:snapToGrid w:val="0"/>
          <w:color w:val="auto"/>
          <w:highlight w:val="none"/>
          <w:lang w:val="en-US" w:eastAsia="zh-CN"/>
        </w:rPr>
        <w:t>1.2</w:t>
      </w:r>
      <w:r>
        <w:rPr>
          <w:rFonts w:cs="Times New Roman"/>
          <w:color w:val="auto"/>
          <w:highlight w:val="none"/>
        </w:rPr>
        <w:t>×10</w:t>
      </w:r>
      <w:r>
        <w:rPr>
          <w:rFonts w:cs="Times New Roman"/>
          <w:color w:val="auto"/>
          <w:highlight w:val="none"/>
          <w:vertAlign w:val="superscript"/>
        </w:rPr>
        <w:t>-</w:t>
      </w:r>
      <w:r>
        <w:rPr>
          <w:rFonts w:hint="eastAsia" w:cs="Times New Roman"/>
          <w:color w:val="auto"/>
          <w:highlight w:val="none"/>
          <w:vertAlign w:val="superscript"/>
          <w:lang w:val="en-US" w:eastAsia="zh-CN"/>
        </w:rPr>
        <w:t>4</w:t>
      </w:r>
      <w:r>
        <w:rPr>
          <w:rFonts w:cs="Times New Roman"/>
          <w:snapToGrid w:val="0"/>
          <w:color w:val="auto"/>
          <w:highlight w:val="none"/>
        </w:rPr>
        <w:t>t/a</w:t>
      </w:r>
      <w:r>
        <w:rPr>
          <w:rFonts w:cs="Times New Roman"/>
          <w:snapToGrid w:val="0"/>
          <w:color w:val="auto"/>
          <w:highlight w:val="none"/>
          <w:lang w:val="zh-CN"/>
        </w:rPr>
        <w:t>）</w:t>
      </w:r>
      <w:r>
        <w:rPr>
          <w:rFonts w:cs="Times New Roman"/>
          <w:snapToGrid w:val="0"/>
          <w:color w:val="auto"/>
          <w:highlight w:val="none"/>
        </w:rPr>
        <w:t>。</w:t>
      </w:r>
    </w:p>
    <w:p w14:paraId="4CEEE347">
      <w:pPr>
        <w:pStyle w:val="117"/>
        <w:adjustRightInd w:val="0"/>
        <w:snapToGrid w:val="0"/>
        <w:rPr>
          <w:rFonts w:cs="Times New Roman"/>
          <w:snapToGrid w:val="0"/>
          <w:color w:val="auto"/>
          <w:highlight w:val="none"/>
        </w:rPr>
      </w:pPr>
      <w:r>
        <w:rPr>
          <w:rFonts w:cs="Times New Roman"/>
          <w:snapToGrid w:val="0"/>
          <w:color w:val="auto"/>
          <w:highlight w:val="none"/>
        </w:rPr>
        <w:t>（6）</w:t>
      </w:r>
      <w:r>
        <w:rPr>
          <w:rFonts w:hint="eastAsia" w:cs="Times New Roman"/>
          <w:snapToGrid w:val="0"/>
          <w:color w:val="auto"/>
          <w:highlight w:val="none"/>
          <w:lang w:val="en-US" w:eastAsia="zh-CN"/>
        </w:rPr>
        <w:t>固体废物</w:t>
      </w:r>
      <w:r>
        <w:rPr>
          <w:rFonts w:cs="Times New Roman"/>
          <w:snapToGrid w:val="0"/>
          <w:color w:val="auto"/>
          <w:highlight w:val="none"/>
        </w:rPr>
        <w:t>暂存</w:t>
      </w:r>
      <w:r>
        <w:rPr>
          <w:rFonts w:hint="eastAsia"/>
          <w:color w:val="auto"/>
          <w:highlight w:val="none"/>
          <w:lang w:val="en-US" w:eastAsia="zh-CN"/>
        </w:rPr>
        <w:t>间</w:t>
      </w:r>
      <w:r>
        <w:rPr>
          <w:rFonts w:cs="Times New Roman"/>
          <w:snapToGrid w:val="0"/>
          <w:color w:val="auto"/>
          <w:highlight w:val="none"/>
        </w:rPr>
        <w:t>恶臭</w:t>
      </w:r>
    </w:p>
    <w:p w14:paraId="111888C8">
      <w:pPr>
        <w:pStyle w:val="117"/>
        <w:adjustRightInd w:val="0"/>
        <w:snapToGrid w:val="0"/>
        <w:rPr>
          <w:rFonts w:hint="eastAsia" w:eastAsia="宋体" w:cs="Times New Roman"/>
          <w:snapToGrid w:val="0"/>
          <w:color w:val="auto"/>
          <w:highlight w:val="none"/>
          <w:lang w:val="en-US" w:eastAsia="zh-CN"/>
        </w:rPr>
      </w:pPr>
      <w:r>
        <w:rPr>
          <w:rFonts w:cs="Times New Roman"/>
          <w:snapToGrid w:val="0"/>
          <w:color w:val="auto"/>
          <w:highlight w:val="none"/>
        </w:rPr>
        <w:t>本项目</w:t>
      </w:r>
      <w:r>
        <w:rPr>
          <w:rFonts w:hint="eastAsia" w:cs="Times New Roman"/>
          <w:snapToGrid w:val="0"/>
          <w:color w:val="auto"/>
          <w:highlight w:val="none"/>
          <w:lang w:val="en-US" w:eastAsia="zh-CN"/>
        </w:rPr>
        <w:t>固体废物暂存间分为一般固体废物暂存间及危险废物暂存点，</w:t>
      </w:r>
      <w:r>
        <w:rPr>
          <w:rFonts w:hint="eastAsia" w:eastAsia="新宋体" w:cs="Times New Roman"/>
          <w:snapToGrid w:val="0"/>
          <w:color w:val="auto"/>
          <w:szCs w:val="21"/>
          <w:highlight w:val="none"/>
          <w:lang w:val="en-US" w:eastAsia="zh-CN"/>
        </w:rPr>
        <w:t>危险废物暂存点内危险废物按照其用途进行分类密封存储，</w:t>
      </w:r>
      <w:r>
        <w:rPr>
          <w:rFonts w:ascii="Times New Roman" w:hAnsi="Times New Roman" w:eastAsia="宋体" w:cs="Times New Roman"/>
          <w:color w:val="auto"/>
          <w:szCs w:val="24"/>
          <w:highlight w:val="none"/>
        </w:rPr>
        <w:t>定期交由有资质单位处理</w:t>
      </w:r>
      <w:r>
        <w:rPr>
          <w:rFonts w:hint="eastAsia" w:cs="Times New Roman"/>
          <w:color w:val="auto"/>
          <w:szCs w:val="24"/>
          <w:highlight w:val="none"/>
          <w:lang w:eastAsia="zh-CN"/>
        </w:rPr>
        <w:t>。</w:t>
      </w:r>
      <w:r>
        <w:rPr>
          <w:rFonts w:cs="Times New Roman"/>
          <w:snapToGrid w:val="0"/>
          <w:color w:val="auto"/>
          <w:highlight w:val="none"/>
        </w:rPr>
        <w:t>固废暂存间内废物暂存于加盖的</w:t>
      </w:r>
      <w:r>
        <w:rPr>
          <w:rFonts w:hint="eastAsia" w:cs="Times New Roman"/>
          <w:snapToGrid w:val="0"/>
          <w:color w:val="auto"/>
          <w:highlight w:val="none"/>
          <w:lang w:val="en-US" w:eastAsia="zh-CN"/>
        </w:rPr>
        <w:t>转运桶内</w:t>
      </w:r>
      <w:r>
        <w:rPr>
          <w:rFonts w:cs="Times New Roman"/>
          <w:snapToGrid w:val="0"/>
          <w:color w:val="auto"/>
          <w:highlight w:val="none"/>
        </w:rPr>
        <w:t>，正常情况下为密封，仅输送生产废物时，将</w:t>
      </w:r>
      <w:r>
        <w:rPr>
          <w:rFonts w:hint="eastAsia" w:cs="Times New Roman"/>
          <w:snapToGrid w:val="0"/>
          <w:color w:val="auto"/>
          <w:highlight w:val="none"/>
          <w:lang w:val="en-US" w:eastAsia="zh-CN"/>
        </w:rPr>
        <w:t>转运桶</w:t>
      </w:r>
      <w:r>
        <w:rPr>
          <w:rFonts w:cs="Times New Roman"/>
          <w:snapToGrid w:val="0"/>
          <w:color w:val="auto"/>
          <w:highlight w:val="none"/>
        </w:rPr>
        <w:t>输送至运输车上，</w:t>
      </w:r>
      <w:r>
        <w:rPr>
          <w:rFonts w:hint="eastAsia" w:cs="Times New Roman"/>
          <w:snapToGrid w:val="0"/>
          <w:color w:val="auto"/>
          <w:highlight w:val="none"/>
          <w:lang w:val="en-US" w:eastAsia="zh-CN"/>
        </w:rPr>
        <w:t>并更换干净的转运桶，且在固废暂存间内喷洒除臭剂，因此</w:t>
      </w:r>
      <w:r>
        <w:rPr>
          <w:rFonts w:cs="Times New Roman"/>
          <w:snapToGrid w:val="0"/>
          <w:color w:val="auto"/>
          <w:highlight w:val="none"/>
        </w:rPr>
        <w:t>产生的恶臭较小</w:t>
      </w:r>
      <w:r>
        <w:rPr>
          <w:rFonts w:eastAsia="新宋体" w:cs="Times New Roman"/>
          <w:snapToGrid w:val="0"/>
          <w:color w:val="auto"/>
          <w:szCs w:val="21"/>
          <w:highlight w:val="none"/>
        </w:rPr>
        <w:t>。</w:t>
      </w:r>
      <w:r>
        <w:rPr>
          <w:rFonts w:hint="eastAsia" w:eastAsia="新宋体" w:cs="Times New Roman"/>
          <w:snapToGrid w:val="0"/>
          <w:color w:val="auto"/>
          <w:szCs w:val="21"/>
          <w:highlight w:val="none"/>
          <w:lang w:val="en-US" w:eastAsia="zh-CN"/>
        </w:rPr>
        <w:t>对大气环境影响较小。</w:t>
      </w:r>
    </w:p>
    <w:p w14:paraId="42F142B5">
      <w:pPr>
        <w:pStyle w:val="117"/>
        <w:adjustRightInd w:val="0"/>
        <w:snapToGrid w:val="0"/>
        <w:ind w:firstLine="482"/>
        <w:rPr>
          <w:rFonts w:cs="Times New Roman"/>
          <w:b/>
          <w:bCs/>
          <w:snapToGrid w:val="0"/>
          <w:color w:val="auto"/>
          <w:highlight w:val="none"/>
          <w:lang w:val="zh-CN"/>
        </w:rPr>
      </w:pPr>
      <w:r>
        <w:rPr>
          <w:rFonts w:cs="Times New Roman"/>
          <w:b/>
          <w:bCs/>
          <w:snapToGrid w:val="0"/>
          <w:color w:val="auto"/>
          <w:highlight w:val="none"/>
        </w:rPr>
        <w:t>2</w:t>
      </w:r>
      <w:r>
        <w:rPr>
          <w:rFonts w:cs="Times New Roman"/>
          <w:b/>
          <w:bCs/>
          <w:snapToGrid w:val="0"/>
          <w:color w:val="auto"/>
          <w:highlight w:val="none"/>
          <w:lang w:val="zh-CN"/>
        </w:rPr>
        <w:t>、非正常工况</w:t>
      </w:r>
    </w:p>
    <w:p w14:paraId="2908BE68">
      <w:pPr>
        <w:spacing w:line="500" w:lineRule="exact"/>
        <w:rPr>
          <w:b/>
          <w:color w:val="auto"/>
          <w:sz w:val="24"/>
          <w:highlight w:val="none"/>
        </w:rPr>
      </w:pPr>
      <w:r>
        <w:rPr>
          <w:rFonts w:cs="Times New Roman"/>
          <w:color w:val="auto"/>
          <w:szCs w:val="24"/>
          <w:highlight w:val="none"/>
        </w:rPr>
        <w:t>本项目生产过程中一旦出现生产设备以及相关环保设备的故障，不仅会造成较大的经济损失，还会造成污染物的非正常排放。本项目非正常工况为废气处理设施降低造成的污染物超标排放。</w:t>
      </w:r>
    </w:p>
    <w:p w14:paraId="58710C45">
      <w:pPr>
        <w:pStyle w:val="449"/>
        <w:spacing w:before="156" w:beforeLines="50" w:line="240" w:lineRule="auto"/>
        <w:ind w:firstLine="482"/>
        <w:jc w:val="center"/>
        <w:rPr>
          <w:b/>
          <w:color w:val="auto"/>
          <w:sz w:val="24"/>
          <w:highlight w:val="none"/>
        </w:rPr>
      </w:pPr>
      <w:r>
        <w:rPr>
          <w:b/>
          <w:color w:val="auto"/>
          <w:sz w:val="24"/>
          <w:highlight w:val="none"/>
        </w:rPr>
        <w:t>表3-4-5  废气非正常排放参数表</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1"/>
        <w:gridCol w:w="2332"/>
        <w:gridCol w:w="1033"/>
        <w:gridCol w:w="1346"/>
        <w:gridCol w:w="1408"/>
        <w:gridCol w:w="1408"/>
      </w:tblGrid>
      <w:tr w14:paraId="0BEA4B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2" w:hRule="atLeast"/>
          <w:jc w:val="center"/>
        </w:trPr>
        <w:tc>
          <w:tcPr>
            <w:tcW w:w="911" w:type="dxa"/>
            <w:vAlign w:val="center"/>
          </w:tcPr>
          <w:p w14:paraId="219CE07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非正常排放源</w:t>
            </w:r>
          </w:p>
        </w:tc>
        <w:tc>
          <w:tcPr>
            <w:tcW w:w="2332" w:type="dxa"/>
            <w:vAlign w:val="center"/>
          </w:tcPr>
          <w:p w14:paraId="6A6F793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非正常排放原因</w:t>
            </w:r>
          </w:p>
        </w:tc>
        <w:tc>
          <w:tcPr>
            <w:tcW w:w="1033" w:type="dxa"/>
            <w:vAlign w:val="center"/>
          </w:tcPr>
          <w:p w14:paraId="115AF29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1346" w:type="dxa"/>
            <w:vAlign w:val="center"/>
          </w:tcPr>
          <w:p w14:paraId="5682EBF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非正常排放速率/(kg/h)</w:t>
            </w:r>
          </w:p>
        </w:tc>
        <w:tc>
          <w:tcPr>
            <w:tcW w:w="1408" w:type="dxa"/>
            <w:vAlign w:val="center"/>
          </w:tcPr>
          <w:p w14:paraId="5E6E1AA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单次持续时间/h</w:t>
            </w:r>
          </w:p>
        </w:tc>
        <w:tc>
          <w:tcPr>
            <w:tcW w:w="1408" w:type="dxa"/>
            <w:vAlign w:val="center"/>
          </w:tcPr>
          <w:p w14:paraId="06E75C9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年发生频次/次</w:t>
            </w:r>
          </w:p>
        </w:tc>
      </w:tr>
      <w:tr w14:paraId="7A74BC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11" w:type="dxa"/>
            <w:vMerge w:val="restart"/>
            <w:vAlign w:val="center"/>
          </w:tcPr>
          <w:p w14:paraId="4C51D98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DA001</w:t>
            </w:r>
          </w:p>
        </w:tc>
        <w:tc>
          <w:tcPr>
            <w:tcW w:w="2332" w:type="dxa"/>
            <w:vMerge w:val="restart"/>
            <w:vAlign w:val="center"/>
          </w:tcPr>
          <w:p w14:paraId="0742347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活性炭吸附装置故障，去除效率按50%计</w:t>
            </w:r>
          </w:p>
        </w:tc>
        <w:tc>
          <w:tcPr>
            <w:tcW w:w="1033" w:type="dxa"/>
            <w:vAlign w:val="center"/>
          </w:tcPr>
          <w:p w14:paraId="1DFC5EC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1346" w:type="dxa"/>
            <w:vAlign w:val="center"/>
          </w:tcPr>
          <w:p w14:paraId="34555D2F">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1.8</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2</w:t>
            </w:r>
          </w:p>
        </w:tc>
        <w:tc>
          <w:tcPr>
            <w:tcW w:w="1408" w:type="dxa"/>
            <w:vMerge w:val="restart"/>
            <w:vAlign w:val="center"/>
          </w:tcPr>
          <w:p w14:paraId="52345BD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0.5</w:t>
            </w:r>
          </w:p>
        </w:tc>
        <w:tc>
          <w:tcPr>
            <w:tcW w:w="1408" w:type="dxa"/>
            <w:vMerge w:val="restart"/>
            <w:vAlign w:val="center"/>
          </w:tcPr>
          <w:p w14:paraId="1A710EE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p>
        </w:tc>
      </w:tr>
      <w:tr w14:paraId="7DE508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11" w:type="dxa"/>
            <w:vMerge w:val="continue"/>
            <w:vAlign w:val="center"/>
          </w:tcPr>
          <w:p w14:paraId="47BACB48">
            <w:pPr>
              <w:spacing w:line="360" w:lineRule="exact"/>
              <w:ind w:firstLine="0" w:firstLineChars="0"/>
              <w:jc w:val="center"/>
              <w:rPr>
                <w:rFonts w:cs="Times New Roman"/>
                <w:color w:val="auto"/>
                <w:sz w:val="21"/>
                <w:szCs w:val="21"/>
                <w:highlight w:val="none"/>
              </w:rPr>
            </w:pPr>
          </w:p>
        </w:tc>
        <w:tc>
          <w:tcPr>
            <w:tcW w:w="2332" w:type="dxa"/>
            <w:vMerge w:val="continue"/>
            <w:vAlign w:val="center"/>
          </w:tcPr>
          <w:p w14:paraId="03ACEF6D">
            <w:pPr>
              <w:spacing w:line="360" w:lineRule="exact"/>
              <w:ind w:firstLine="0" w:firstLineChars="0"/>
              <w:jc w:val="center"/>
              <w:rPr>
                <w:rFonts w:cs="Times New Roman"/>
                <w:color w:val="auto"/>
                <w:sz w:val="21"/>
                <w:szCs w:val="21"/>
                <w:highlight w:val="none"/>
              </w:rPr>
            </w:pPr>
          </w:p>
        </w:tc>
        <w:tc>
          <w:tcPr>
            <w:tcW w:w="1033" w:type="dxa"/>
            <w:vAlign w:val="center"/>
          </w:tcPr>
          <w:p w14:paraId="4CCEC63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1346" w:type="dxa"/>
            <w:vAlign w:val="center"/>
          </w:tcPr>
          <w:p w14:paraId="103AC71E">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1408" w:type="dxa"/>
            <w:vMerge w:val="continue"/>
            <w:vAlign w:val="center"/>
          </w:tcPr>
          <w:p w14:paraId="14CEFC5B">
            <w:pPr>
              <w:spacing w:line="360" w:lineRule="exact"/>
              <w:ind w:firstLine="0" w:firstLineChars="0"/>
              <w:jc w:val="center"/>
              <w:rPr>
                <w:rFonts w:cs="Times New Roman"/>
                <w:color w:val="auto"/>
                <w:sz w:val="21"/>
                <w:szCs w:val="21"/>
                <w:highlight w:val="none"/>
              </w:rPr>
            </w:pPr>
          </w:p>
        </w:tc>
        <w:tc>
          <w:tcPr>
            <w:tcW w:w="1408" w:type="dxa"/>
            <w:vMerge w:val="continue"/>
            <w:vAlign w:val="center"/>
          </w:tcPr>
          <w:p w14:paraId="47D28150">
            <w:pPr>
              <w:spacing w:line="360" w:lineRule="exact"/>
              <w:ind w:firstLine="0" w:firstLineChars="0"/>
              <w:jc w:val="center"/>
              <w:rPr>
                <w:rFonts w:cs="Times New Roman"/>
                <w:color w:val="auto"/>
                <w:sz w:val="21"/>
                <w:szCs w:val="21"/>
                <w:highlight w:val="none"/>
              </w:rPr>
            </w:pPr>
          </w:p>
        </w:tc>
      </w:tr>
      <w:tr w14:paraId="741619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911" w:type="dxa"/>
            <w:vMerge w:val="restart"/>
            <w:vAlign w:val="center"/>
          </w:tcPr>
          <w:p w14:paraId="4FB42CE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DA002</w:t>
            </w:r>
          </w:p>
        </w:tc>
        <w:tc>
          <w:tcPr>
            <w:tcW w:w="2332" w:type="dxa"/>
            <w:vMerge w:val="restart"/>
            <w:vAlign w:val="center"/>
          </w:tcPr>
          <w:p w14:paraId="553AFDF9">
            <w:pPr>
              <w:spacing w:line="360" w:lineRule="exact"/>
              <w:ind w:firstLine="0" w:firstLineChars="0"/>
              <w:jc w:val="center"/>
              <w:rPr>
                <w:rFonts w:cs="Times New Roman"/>
                <w:color w:val="auto"/>
                <w:highlight w:val="none"/>
              </w:rPr>
            </w:pPr>
            <w:r>
              <w:rPr>
                <w:rFonts w:cs="Times New Roman"/>
                <w:color w:val="auto"/>
                <w:sz w:val="21"/>
                <w:szCs w:val="21"/>
                <w:highlight w:val="none"/>
              </w:rPr>
              <w:t>活性炭吸附装置故障，去除效率按50%计</w:t>
            </w:r>
          </w:p>
        </w:tc>
        <w:tc>
          <w:tcPr>
            <w:tcW w:w="1033" w:type="dxa"/>
            <w:vAlign w:val="center"/>
          </w:tcPr>
          <w:p w14:paraId="0DF62B5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1346" w:type="dxa"/>
            <w:vAlign w:val="center"/>
          </w:tcPr>
          <w:p w14:paraId="75DDAA02">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2.2</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2</w:t>
            </w:r>
          </w:p>
        </w:tc>
        <w:tc>
          <w:tcPr>
            <w:tcW w:w="1408" w:type="dxa"/>
            <w:vMerge w:val="restart"/>
            <w:vAlign w:val="center"/>
          </w:tcPr>
          <w:p w14:paraId="75F3CF2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0.5</w:t>
            </w:r>
          </w:p>
        </w:tc>
        <w:tc>
          <w:tcPr>
            <w:tcW w:w="1408" w:type="dxa"/>
            <w:vMerge w:val="restart"/>
            <w:vAlign w:val="center"/>
          </w:tcPr>
          <w:p w14:paraId="4B27CBD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p>
        </w:tc>
      </w:tr>
      <w:tr w14:paraId="10BEE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11" w:type="dxa"/>
            <w:vMerge w:val="continue"/>
            <w:vAlign w:val="center"/>
          </w:tcPr>
          <w:p w14:paraId="6A717928">
            <w:pPr>
              <w:spacing w:line="360" w:lineRule="exact"/>
              <w:ind w:firstLine="0" w:firstLineChars="0"/>
              <w:jc w:val="center"/>
              <w:rPr>
                <w:rFonts w:cs="Times New Roman"/>
                <w:color w:val="auto"/>
                <w:sz w:val="21"/>
                <w:szCs w:val="21"/>
                <w:highlight w:val="none"/>
              </w:rPr>
            </w:pPr>
          </w:p>
        </w:tc>
        <w:tc>
          <w:tcPr>
            <w:tcW w:w="2332" w:type="dxa"/>
            <w:vMerge w:val="continue"/>
            <w:vAlign w:val="center"/>
          </w:tcPr>
          <w:p w14:paraId="7B9597D4">
            <w:pPr>
              <w:spacing w:line="360" w:lineRule="exact"/>
              <w:ind w:firstLine="0" w:firstLineChars="0"/>
              <w:jc w:val="center"/>
              <w:rPr>
                <w:rFonts w:cs="Times New Roman"/>
                <w:color w:val="auto"/>
                <w:sz w:val="21"/>
                <w:szCs w:val="21"/>
                <w:highlight w:val="none"/>
              </w:rPr>
            </w:pPr>
          </w:p>
        </w:tc>
        <w:tc>
          <w:tcPr>
            <w:tcW w:w="1033" w:type="dxa"/>
            <w:vAlign w:val="center"/>
          </w:tcPr>
          <w:p w14:paraId="4331931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1346" w:type="dxa"/>
            <w:vAlign w:val="center"/>
          </w:tcPr>
          <w:p w14:paraId="31F90237">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2.4</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1408" w:type="dxa"/>
            <w:vMerge w:val="continue"/>
            <w:vAlign w:val="center"/>
          </w:tcPr>
          <w:p w14:paraId="28D41596">
            <w:pPr>
              <w:spacing w:line="360" w:lineRule="exact"/>
              <w:ind w:firstLine="0" w:firstLineChars="0"/>
              <w:jc w:val="center"/>
              <w:rPr>
                <w:rFonts w:cs="Times New Roman"/>
                <w:color w:val="auto"/>
                <w:sz w:val="21"/>
                <w:szCs w:val="21"/>
                <w:highlight w:val="none"/>
              </w:rPr>
            </w:pPr>
          </w:p>
        </w:tc>
        <w:tc>
          <w:tcPr>
            <w:tcW w:w="1408" w:type="dxa"/>
            <w:vMerge w:val="continue"/>
            <w:vAlign w:val="center"/>
          </w:tcPr>
          <w:p w14:paraId="0D9DB0CE">
            <w:pPr>
              <w:spacing w:line="360" w:lineRule="exact"/>
              <w:ind w:firstLine="0" w:firstLineChars="0"/>
              <w:jc w:val="center"/>
              <w:rPr>
                <w:rFonts w:cs="Times New Roman"/>
                <w:color w:val="auto"/>
                <w:sz w:val="21"/>
                <w:szCs w:val="21"/>
                <w:highlight w:val="none"/>
              </w:rPr>
            </w:pPr>
          </w:p>
        </w:tc>
      </w:tr>
    </w:tbl>
    <w:p w14:paraId="062B40C7">
      <w:pPr>
        <w:ind w:firstLine="0" w:firstLineChars="0"/>
        <w:rPr>
          <w:rFonts w:cs="Times New Roman"/>
          <w:color w:val="auto"/>
          <w:highlight w:val="none"/>
        </w:rPr>
      </w:pPr>
    </w:p>
    <w:p w14:paraId="541C73A7">
      <w:pPr>
        <w:spacing w:line="500" w:lineRule="exact"/>
        <w:ind w:firstLineChars="0"/>
        <w:rPr>
          <w:rFonts w:cs="Times New Roman"/>
          <w:snapToGrid w:val="0"/>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134" w:name="_Hlk525398179"/>
    </w:p>
    <w:p w14:paraId="774ABA77">
      <w:pPr>
        <w:pStyle w:val="66"/>
        <w:rPr>
          <w:rFonts w:eastAsia="宋体" w:cs="Times New Roman"/>
          <w:b/>
          <w:color w:val="auto"/>
          <w:szCs w:val="24"/>
          <w:highlight w:val="none"/>
          <w:lang w:val="en-US"/>
        </w:rPr>
      </w:pPr>
      <w:r>
        <w:rPr>
          <w:rFonts w:eastAsia="宋体" w:cs="Times New Roman"/>
          <w:b/>
          <w:color w:val="auto"/>
          <w:szCs w:val="24"/>
          <w:highlight w:val="none"/>
          <w:lang w:val="en-US"/>
        </w:rPr>
        <w:t>表3-4</w:t>
      </w:r>
      <w:r>
        <w:rPr>
          <w:rFonts w:eastAsia="宋体" w:cs="Times New Roman"/>
          <w:b/>
          <w:color w:val="auto"/>
          <w:szCs w:val="24"/>
          <w:highlight w:val="none"/>
        </w:rPr>
        <w:t>-</w:t>
      </w:r>
      <w:r>
        <w:rPr>
          <w:rFonts w:eastAsia="宋体" w:cs="Times New Roman"/>
          <w:b/>
          <w:color w:val="auto"/>
          <w:szCs w:val="24"/>
          <w:highlight w:val="none"/>
          <w:lang w:val="en-US"/>
        </w:rPr>
        <w:t>6  废气产生及排放情况一览表</w:t>
      </w:r>
    </w:p>
    <w:tbl>
      <w:tblPr>
        <w:tblStyle w:val="47"/>
        <w:tblW w:w="1371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704"/>
        <w:gridCol w:w="889"/>
        <w:gridCol w:w="859"/>
        <w:gridCol w:w="720"/>
        <w:gridCol w:w="818"/>
        <w:gridCol w:w="902"/>
        <w:gridCol w:w="1220"/>
        <w:gridCol w:w="1715"/>
        <w:gridCol w:w="778"/>
        <w:gridCol w:w="711"/>
        <w:gridCol w:w="879"/>
        <w:gridCol w:w="1002"/>
        <w:gridCol w:w="1181"/>
        <w:gridCol w:w="659"/>
      </w:tblGrid>
      <w:tr w14:paraId="7970E8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restart"/>
            <w:vAlign w:val="center"/>
          </w:tcPr>
          <w:p w14:paraId="770175F9">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工序/生产线</w:t>
            </w:r>
          </w:p>
        </w:tc>
        <w:tc>
          <w:tcPr>
            <w:tcW w:w="704" w:type="dxa"/>
            <w:vMerge w:val="restart"/>
            <w:vAlign w:val="center"/>
          </w:tcPr>
          <w:p w14:paraId="79A1F5F8">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装置</w:t>
            </w:r>
          </w:p>
        </w:tc>
        <w:tc>
          <w:tcPr>
            <w:tcW w:w="889" w:type="dxa"/>
            <w:vMerge w:val="restart"/>
            <w:vAlign w:val="center"/>
          </w:tcPr>
          <w:p w14:paraId="6AB376F2">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污染源</w:t>
            </w:r>
          </w:p>
        </w:tc>
        <w:tc>
          <w:tcPr>
            <w:tcW w:w="859" w:type="dxa"/>
            <w:vMerge w:val="restart"/>
            <w:vAlign w:val="center"/>
          </w:tcPr>
          <w:p w14:paraId="6865E737">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污染物</w:t>
            </w:r>
          </w:p>
        </w:tc>
        <w:tc>
          <w:tcPr>
            <w:tcW w:w="3660" w:type="dxa"/>
            <w:gridSpan w:val="4"/>
            <w:vAlign w:val="center"/>
          </w:tcPr>
          <w:p w14:paraId="10E21337">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污染物产生</w:t>
            </w:r>
          </w:p>
        </w:tc>
        <w:tc>
          <w:tcPr>
            <w:tcW w:w="2493" w:type="dxa"/>
            <w:gridSpan w:val="2"/>
            <w:vAlign w:val="center"/>
          </w:tcPr>
          <w:p w14:paraId="7ED9F1FF">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治理措施</w:t>
            </w:r>
          </w:p>
        </w:tc>
        <w:tc>
          <w:tcPr>
            <w:tcW w:w="3773" w:type="dxa"/>
            <w:gridSpan w:val="4"/>
            <w:tcBorders>
              <w:right w:val="single" w:color="000000" w:sz="4" w:space="0"/>
            </w:tcBorders>
            <w:vAlign w:val="center"/>
          </w:tcPr>
          <w:p w14:paraId="488D33C2">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污染物排放</w:t>
            </w:r>
          </w:p>
        </w:tc>
        <w:tc>
          <w:tcPr>
            <w:tcW w:w="659" w:type="dxa"/>
            <w:vMerge w:val="restart"/>
            <w:tcBorders>
              <w:left w:val="single" w:color="000000" w:sz="4" w:space="0"/>
            </w:tcBorders>
            <w:vAlign w:val="center"/>
          </w:tcPr>
          <w:p w14:paraId="40B930E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排放时间h</w:t>
            </w:r>
          </w:p>
        </w:tc>
      </w:tr>
      <w:tr w14:paraId="7BB7C3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continue"/>
            <w:vAlign w:val="center"/>
          </w:tcPr>
          <w:p w14:paraId="2845BCA1">
            <w:pPr>
              <w:widowControl/>
              <w:spacing w:line="360" w:lineRule="exact"/>
              <w:ind w:firstLine="0" w:firstLineChars="0"/>
              <w:jc w:val="center"/>
              <w:rPr>
                <w:rFonts w:cs="Times New Roman"/>
                <w:color w:val="auto"/>
                <w:sz w:val="21"/>
                <w:szCs w:val="21"/>
                <w:highlight w:val="none"/>
              </w:rPr>
            </w:pPr>
          </w:p>
        </w:tc>
        <w:tc>
          <w:tcPr>
            <w:tcW w:w="704" w:type="dxa"/>
            <w:vMerge w:val="continue"/>
            <w:vAlign w:val="center"/>
          </w:tcPr>
          <w:p w14:paraId="32A40132">
            <w:pPr>
              <w:widowControl/>
              <w:spacing w:line="360" w:lineRule="exact"/>
              <w:ind w:firstLine="0" w:firstLineChars="0"/>
              <w:jc w:val="center"/>
              <w:rPr>
                <w:rFonts w:cs="Times New Roman"/>
                <w:color w:val="auto"/>
                <w:sz w:val="21"/>
                <w:szCs w:val="21"/>
                <w:highlight w:val="none"/>
              </w:rPr>
            </w:pPr>
          </w:p>
        </w:tc>
        <w:tc>
          <w:tcPr>
            <w:tcW w:w="889" w:type="dxa"/>
            <w:vMerge w:val="continue"/>
            <w:vAlign w:val="center"/>
          </w:tcPr>
          <w:p w14:paraId="616B2261">
            <w:pPr>
              <w:widowControl/>
              <w:spacing w:line="360" w:lineRule="exact"/>
              <w:ind w:firstLine="0" w:firstLineChars="0"/>
              <w:jc w:val="center"/>
              <w:rPr>
                <w:rFonts w:cs="Times New Roman"/>
                <w:color w:val="auto"/>
                <w:sz w:val="21"/>
                <w:szCs w:val="21"/>
                <w:highlight w:val="none"/>
              </w:rPr>
            </w:pPr>
          </w:p>
        </w:tc>
        <w:tc>
          <w:tcPr>
            <w:tcW w:w="859" w:type="dxa"/>
            <w:vMerge w:val="continue"/>
            <w:vAlign w:val="center"/>
          </w:tcPr>
          <w:p w14:paraId="58111919">
            <w:pPr>
              <w:widowControl/>
              <w:spacing w:line="360" w:lineRule="exact"/>
              <w:ind w:firstLine="0" w:firstLineChars="0"/>
              <w:jc w:val="center"/>
              <w:rPr>
                <w:rFonts w:cs="Times New Roman"/>
                <w:color w:val="auto"/>
                <w:sz w:val="21"/>
                <w:szCs w:val="21"/>
                <w:highlight w:val="none"/>
              </w:rPr>
            </w:pPr>
          </w:p>
        </w:tc>
        <w:tc>
          <w:tcPr>
            <w:tcW w:w="720" w:type="dxa"/>
            <w:vAlign w:val="center"/>
          </w:tcPr>
          <w:p w14:paraId="40C1F9ED">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核算方法</w:t>
            </w:r>
          </w:p>
        </w:tc>
        <w:tc>
          <w:tcPr>
            <w:tcW w:w="818" w:type="dxa"/>
            <w:vAlign w:val="center"/>
          </w:tcPr>
          <w:p w14:paraId="0880E0F5">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废气产生量m</w:t>
            </w:r>
            <w:r>
              <w:rPr>
                <w:rFonts w:cs="Times New Roman"/>
                <w:color w:val="auto"/>
                <w:kern w:val="0"/>
                <w:sz w:val="21"/>
                <w:szCs w:val="21"/>
                <w:highlight w:val="none"/>
                <w:vertAlign w:val="superscript"/>
              </w:rPr>
              <w:t>3</w:t>
            </w:r>
            <w:r>
              <w:rPr>
                <w:rFonts w:cs="Times New Roman"/>
                <w:color w:val="auto"/>
                <w:kern w:val="0"/>
                <w:sz w:val="21"/>
                <w:szCs w:val="21"/>
                <w:highlight w:val="none"/>
              </w:rPr>
              <w:t>/h</w:t>
            </w:r>
          </w:p>
        </w:tc>
        <w:tc>
          <w:tcPr>
            <w:tcW w:w="902" w:type="dxa"/>
            <w:vAlign w:val="center"/>
          </w:tcPr>
          <w:p w14:paraId="3C23B338">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产生浓度mg/m</w:t>
            </w:r>
            <w:r>
              <w:rPr>
                <w:rFonts w:cs="Times New Roman"/>
                <w:color w:val="auto"/>
                <w:kern w:val="0"/>
                <w:sz w:val="21"/>
                <w:szCs w:val="21"/>
                <w:highlight w:val="none"/>
                <w:vertAlign w:val="superscript"/>
              </w:rPr>
              <w:t>3</w:t>
            </w:r>
          </w:p>
        </w:tc>
        <w:tc>
          <w:tcPr>
            <w:tcW w:w="1220" w:type="dxa"/>
            <w:vAlign w:val="center"/>
          </w:tcPr>
          <w:p w14:paraId="22EF20CE">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产生量kg/h</w:t>
            </w:r>
          </w:p>
        </w:tc>
        <w:tc>
          <w:tcPr>
            <w:tcW w:w="1715" w:type="dxa"/>
            <w:vAlign w:val="center"/>
          </w:tcPr>
          <w:p w14:paraId="2D09FDD3">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工艺</w:t>
            </w:r>
          </w:p>
        </w:tc>
        <w:tc>
          <w:tcPr>
            <w:tcW w:w="778" w:type="dxa"/>
            <w:vAlign w:val="center"/>
          </w:tcPr>
          <w:p w14:paraId="324CDE06">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效率（%）</w:t>
            </w:r>
          </w:p>
        </w:tc>
        <w:tc>
          <w:tcPr>
            <w:tcW w:w="711" w:type="dxa"/>
            <w:tcBorders>
              <w:right w:val="single" w:color="000000" w:sz="4" w:space="0"/>
            </w:tcBorders>
            <w:vAlign w:val="center"/>
          </w:tcPr>
          <w:p w14:paraId="0941266C">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核算方法</w:t>
            </w:r>
          </w:p>
        </w:tc>
        <w:tc>
          <w:tcPr>
            <w:tcW w:w="879" w:type="dxa"/>
            <w:tcBorders>
              <w:left w:val="single" w:color="000000" w:sz="4" w:space="0"/>
            </w:tcBorders>
            <w:vAlign w:val="center"/>
          </w:tcPr>
          <w:p w14:paraId="63390E35">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废气排放量m</w:t>
            </w:r>
            <w:r>
              <w:rPr>
                <w:rFonts w:cs="Times New Roman"/>
                <w:color w:val="auto"/>
                <w:kern w:val="0"/>
                <w:sz w:val="21"/>
                <w:szCs w:val="21"/>
                <w:highlight w:val="none"/>
                <w:vertAlign w:val="superscript"/>
              </w:rPr>
              <w:t>3</w:t>
            </w:r>
            <w:r>
              <w:rPr>
                <w:rFonts w:cs="Times New Roman"/>
                <w:color w:val="auto"/>
                <w:kern w:val="0"/>
                <w:sz w:val="21"/>
                <w:szCs w:val="21"/>
                <w:highlight w:val="none"/>
              </w:rPr>
              <w:t>/h</w:t>
            </w:r>
          </w:p>
        </w:tc>
        <w:tc>
          <w:tcPr>
            <w:tcW w:w="1002" w:type="dxa"/>
            <w:vAlign w:val="center"/>
          </w:tcPr>
          <w:p w14:paraId="19F07C15">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排放浓度mg/m</w:t>
            </w:r>
            <w:r>
              <w:rPr>
                <w:rFonts w:cs="Times New Roman"/>
                <w:color w:val="auto"/>
                <w:kern w:val="0"/>
                <w:sz w:val="21"/>
                <w:szCs w:val="21"/>
                <w:highlight w:val="none"/>
                <w:vertAlign w:val="superscript"/>
              </w:rPr>
              <w:t>3</w:t>
            </w:r>
          </w:p>
        </w:tc>
        <w:tc>
          <w:tcPr>
            <w:tcW w:w="1181" w:type="dxa"/>
            <w:tcBorders>
              <w:right w:val="single" w:color="000000" w:sz="4" w:space="0"/>
            </w:tcBorders>
            <w:vAlign w:val="center"/>
          </w:tcPr>
          <w:p w14:paraId="527DD9B2">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排放量kg/h</w:t>
            </w:r>
          </w:p>
        </w:tc>
        <w:tc>
          <w:tcPr>
            <w:tcW w:w="659" w:type="dxa"/>
            <w:vMerge w:val="continue"/>
            <w:tcBorders>
              <w:left w:val="single" w:color="000000" w:sz="4" w:space="0"/>
            </w:tcBorders>
            <w:vAlign w:val="center"/>
          </w:tcPr>
          <w:p w14:paraId="25C5AB99">
            <w:pPr>
              <w:spacing w:line="360" w:lineRule="exact"/>
              <w:ind w:firstLine="0" w:firstLineChars="0"/>
              <w:jc w:val="center"/>
              <w:rPr>
                <w:rFonts w:cs="Times New Roman"/>
                <w:color w:val="auto"/>
                <w:sz w:val="21"/>
                <w:szCs w:val="21"/>
                <w:highlight w:val="none"/>
              </w:rPr>
            </w:pPr>
          </w:p>
        </w:tc>
      </w:tr>
      <w:tr w14:paraId="20804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restart"/>
            <w:vAlign w:val="center"/>
          </w:tcPr>
          <w:p w14:paraId="5DC58AF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屠宰车间、</w:t>
            </w:r>
            <w:r>
              <w:rPr>
                <w:rFonts w:hint="eastAsia" w:cs="Times New Roman"/>
                <w:color w:val="auto"/>
                <w:sz w:val="21"/>
                <w:szCs w:val="21"/>
                <w:highlight w:val="none"/>
                <w:lang w:val="en-US" w:eastAsia="zh-CN"/>
              </w:rPr>
              <w:t>急宰间、隔离间及固体废物暂存间</w:t>
            </w:r>
          </w:p>
        </w:tc>
        <w:tc>
          <w:tcPr>
            <w:tcW w:w="704" w:type="dxa"/>
            <w:vMerge w:val="restart"/>
            <w:vAlign w:val="center"/>
          </w:tcPr>
          <w:p w14:paraId="2B50CB8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屠宰车间、</w:t>
            </w:r>
            <w:r>
              <w:rPr>
                <w:rFonts w:hint="eastAsia" w:cs="Times New Roman"/>
                <w:color w:val="auto"/>
                <w:sz w:val="21"/>
                <w:szCs w:val="21"/>
                <w:highlight w:val="none"/>
                <w:lang w:val="en-US" w:eastAsia="zh-CN"/>
              </w:rPr>
              <w:t>急宰间、隔离间及固体废物暂存间</w:t>
            </w:r>
          </w:p>
        </w:tc>
        <w:tc>
          <w:tcPr>
            <w:tcW w:w="889" w:type="dxa"/>
            <w:vMerge w:val="restart"/>
            <w:vAlign w:val="center"/>
          </w:tcPr>
          <w:p w14:paraId="7352F4AD">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DA001</w:t>
            </w:r>
          </w:p>
        </w:tc>
        <w:tc>
          <w:tcPr>
            <w:tcW w:w="859" w:type="dxa"/>
            <w:vAlign w:val="center"/>
          </w:tcPr>
          <w:p w14:paraId="2C8533FC">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720" w:type="dxa"/>
            <w:vMerge w:val="restart"/>
            <w:vAlign w:val="center"/>
          </w:tcPr>
          <w:p w14:paraId="14FF8150">
            <w:pPr>
              <w:spacing w:line="360" w:lineRule="exact"/>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类比法</w:t>
            </w:r>
          </w:p>
        </w:tc>
        <w:tc>
          <w:tcPr>
            <w:tcW w:w="818" w:type="dxa"/>
            <w:vMerge w:val="restart"/>
            <w:vAlign w:val="center"/>
          </w:tcPr>
          <w:p w14:paraId="47C88379">
            <w:pPr>
              <w:spacing w:line="360" w:lineRule="exact"/>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4</w:t>
            </w:r>
            <w:r>
              <w:rPr>
                <w:rFonts w:cs="Times New Roman"/>
                <w:color w:val="auto"/>
                <w:kern w:val="0"/>
                <w:sz w:val="21"/>
                <w:szCs w:val="21"/>
                <w:highlight w:val="none"/>
              </w:rPr>
              <w:t>000</w:t>
            </w:r>
          </w:p>
        </w:tc>
        <w:tc>
          <w:tcPr>
            <w:tcW w:w="902" w:type="dxa"/>
            <w:vAlign w:val="center"/>
          </w:tcPr>
          <w:p w14:paraId="4B912829">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10.25</w:t>
            </w:r>
          </w:p>
        </w:tc>
        <w:tc>
          <w:tcPr>
            <w:tcW w:w="1220" w:type="dxa"/>
            <w:vAlign w:val="center"/>
          </w:tcPr>
          <w:p w14:paraId="6D6DCB61">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0.041</w:t>
            </w:r>
          </w:p>
        </w:tc>
        <w:tc>
          <w:tcPr>
            <w:tcW w:w="1715" w:type="dxa"/>
            <w:vMerge w:val="restart"/>
            <w:vAlign w:val="center"/>
          </w:tcPr>
          <w:p w14:paraId="743C6632">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活性炭吸附+15m高排气筒</w:t>
            </w:r>
          </w:p>
        </w:tc>
        <w:tc>
          <w:tcPr>
            <w:tcW w:w="778" w:type="dxa"/>
            <w:vMerge w:val="restart"/>
            <w:vAlign w:val="center"/>
          </w:tcPr>
          <w:p w14:paraId="63B8CAC2">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80</w:t>
            </w:r>
          </w:p>
        </w:tc>
        <w:tc>
          <w:tcPr>
            <w:tcW w:w="711" w:type="dxa"/>
            <w:vMerge w:val="restart"/>
            <w:tcBorders>
              <w:right w:val="single" w:color="000000" w:sz="4" w:space="0"/>
            </w:tcBorders>
            <w:vAlign w:val="center"/>
          </w:tcPr>
          <w:p w14:paraId="3A82742A">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系数法</w:t>
            </w:r>
          </w:p>
        </w:tc>
        <w:tc>
          <w:tcPr>
            <w:tcW w:w="879" w:type="dxa"/>
            <w:vMerge w:val="restart"/>
            <w:tcBorders>
              <w:left w:val="single" w:color="000000" w:sz="4" w:space="0"/>
            </w:tcBorders>
            <w:vAlign w:val="center"/>
          </w:tcPr>
          <w:p w14:paraId="1B5FCD3F">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4000</w:t>
            </w:r>
          </w:p>
        </w:tc>
        <w:tc>
          <w:tcPr>
            <w:tcW w:w="1002" w:type="dxa"/>
            <w:vAlign w:val="center"/>
          </w:tcPr>
          <w:p w14:paraId="08F096A7">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1.85</w:t>
            </w:r>
          </w:p>
        </w:tc>
        <w:tc>
          <w:tcPr>
            <w:tcW w:w="1181" w:type="dxa"/>
            <w:tcBorders>
              <w:right w:val="single" w:color="000000" w:sz="4" w:space="0"/>
            </w:tcBorders>
            <w:vAlign w:val="center"/>
          </w:tcPr>
          <w:p w14:paraId="698576D2">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7.4</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3</w:t>
            </w:r>
          </w:p>
        </w:tc>
        <w:tc>
          <w:tcPr>
            <w:tcW w:w="659" w:type="dxa"/>
            <w:vMerge w:val="restart"/>
            <w:tcBorders>
              <w:left w:val="single" w:color="000000" w:sz="4" w:space="0"/>
            </w:tcBorders>
            <w:vAlign w:val="center"/>
          </w:tcPr>
          <w:p w14:paraId="0408D02B">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2400</w:t>
            </w:r>
          </w:p>
        </w:tc>
      </w:tr>
      <w:tr w14:paraId="1D787A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continue"/>
            <w:vAlign w:val="center"/>
          </w:tcPr>
          <w:p w14:paraId="68F5A830">
            <w:pPr>
              <w:widowControl/>
              <w:spacing w:line="360" w:lineRule="exact"/>
              <w:ind w:firstLine="0" w:firstLineChars="0"/>
              <w:jc w:val="center"/>
              <w:rPr>
                <w:rFonts w:cs="Times New Roman"/>
                <w:color w:val="auto"/>
                <w:sz w:val="21"/>
                <w:szCs w:val="21"/>
                <w:highlight w:val="none"/>
              </w:rPr>
            </w:pPr>
          </w:p>
        </w:tc>
        <w:tc>
          <w:tcPr>
            <w:tcW w:w="704" w:type="dxa"/>
            <w:vMerge w:val="continue"/>
            <w:vAlign w:val="center"/>
          </w:tcPr>
          <w:p w14:paraId="7806873E">
            <w:pPr>
              <w:spacing w:line="360" w:lineRule="exact"/>
              <w:ind w:firstLine="0" w:firstLineChars="0"/>
              <w:jc w:val="center"/>
              <w:rPr>
                <w:rFonts w:cs="Times New Roman"/>
                <w:color w:val="auto"/>
                <w:sz w:val="21"/>
                <w:szCs w:val="21"/>
                <w:highlight w:val="none"/>
              </w:rPr>
            </w:pPr>
          </w:p>
        </w:tc>
        <w:tc>
          <w:tcPr>
            <w:tcW w:w="889" w:type="dxa"/>
            <w:vMerge w:val="continue"/>
            <w:vAlign w:val="center"/>
          </w:tcPr>
          <w:p w14:paraId="61AE9D07">
            <w:pPr>
              <w:widowControl/>
              <w:spacing w:line="360" w:lineRule="exact"/>
              <w:ind w:firstLine="0" w:firstLineChars="0"/>
              <w:jc w:val="center"/>
              <w:rPr>
                <w:rFonts w:cs="Times New Roman"/>
                <w:color w:val="auto"/>
                <w:sz w:val="21"/>
                <w:szCs w:val="21"/>
                <w:highlight w:val="none"/>
              </w:rPr>
            </w:pPr>
          </w:p>
        </w:tc>
        <w:tc>
          <w:tcPr>
            <w:tcW w:w="859" w:type="dxa"/>
            <w:vAlign w:val="center"/>
          </w:tcPr>
          <w:p w14:paraId="070DFBC1">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720" w:type="dxa"/>
            <w:vMerge w:val="continue"/>
            <w:vAlign w:val="center"/>
          </w:tcPr>
          <w:p w14:paraId="6DCE79E1">
            <w:pPr>
              <w:spacing w:line="360" w:lineRule="exact"/>
              <w:ind w:firstLine="0" w:firstLineChars="0"/>
              <w:jc w:val="center"/>
              <w:rPr>
                <w:rFonts w:cs="Times New Roman"/>
                <w:color w:val="auto"/>
                <w:kern w:val="0"/>
                <w:sz w:val="21"/>
                <w:szCs w:val="21"/>
                <w:highlight w:val="none"/>
              </w:rPr>
            </w:pPr>
          </w:p>
        </w:tc>
        <w:tc>
          <w:tcPr>
            <w:tcW w:w="818" w:type="dxa"/>
            <w:vMerge w:val="continue"/>
            <w:vAlign w:val="center"/>
          </w:tcPr>
          <w:p w14:paraId="17ABB4E1">
            <w:pPr>
              <w:spacing w:line="360" w:lineRule="exact"/>
              <w:ind w:firstLine="0" w:firstLineChars="0"/>
              <w:jc w:val="center"/>
              <w:rPr>
                <w:rFonts w:cs="Times New Roman"/>
                <w:color w:val="auto"/>
                <w:kern w:val="0"/>
                <w:sz w:val="21"/>
                <w:szCs w:val="21"/>
                <w:highlight w:val="none"/>
              </w:rPr>
            </w:pPr>
          </w:p>
        </w:tc>
        <w:tc>
          <w:tcPr>
            <w:tcW w:w="902" w:type="dxa"/>
            <w:vAlign w:val="center"/>
          </w:tcPr>
          <w:p w14:paraId="46EDB4FC">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0.0825</w:t>
            </w:r>
          </w:p>
        </w:tc>
        <w:tc>
          <w:tcPr>
            <w:tcW w:w="1220" w:type="dxa"/>
            <w:vAlign w:val="center"/>
          </w:tcPr>
          <w:p w14:paraId="2B5C2E87">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3.3</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1715" w:type="dxa"/>
            <w:vMerge w:val="continue"/>
            <w:vAlign w:val="center"/>
          </w:tcPr>
          <w:p w14:paraId="786D3C31">
            <w:pPr>
              <w:spacing w:line="360" w:lineRule="exact"/>
              <w:ind w:firstLine="0" w:firstLineChars="0"/>
              <w:jc w:val="center"/>
              <w:rPr>
                <w:rFonts w:cs="Times New Roman"/>
                <w:color w:val="auto"/>
                <w:kern w:val="0"/>
                <w:sz w:val="21"/>
                <w:szCs w:val="21"/>
                <w:highlight w:val="none"/>
              </w:rPr>
            </w:pPr>
          </w:p>
        </w:tc>
        <w:tc>
          <w:tcPr>
            <w:tcW w:w="778" w:type="dxa"/>
            <w:vMerge w:val="continue"/>
            <w:vAlign w:val="center"/>
          </w:tcPr>
          <w:p w14:paraId="4A987B25">
            <w:pPr>
              <w:spacing w:line="360" w:lineRule="exact"/>
              <w:ind w:firstLine="0" w:firstLineChars="0"/>
              <w:jc w:val="center"/>
              <w:rPr>
                <w:rFonts w:cs="Times New Roman"/>
                <w:color w:val="auto"/>
                <w:kern w:val="0"/>
                <w:sz w:val="21"/>
                <w:szCs w:val="21"/>
                <w:highlight w:val="none"/>
              </w:rPr>
            </w:pPr>
          </w:p>
        </w:tc>
        <w:tc>
          <w:tcPr>
            <w:tcW w:w="711" w:type="dxa"/>
            <w:vMerge w:val="continue"/>
            <w:tcBorders>
              <w:right w:val="single" w:color="000000" w:sz="4" w:space="0"/>
            </w:tcBorders>
            <w:vAlign w:val="center"/>
          </w:tcPr>
          <w:p w14:paraId="038D3CA7">
            <w:pPr>
              <w:spacing w:line="360" w:lineRule="exact"/>
              <w:ind w:firstLine="0" w:firstLineChars="0"/>
              <w:jc w:val="center"/>
              <w:rPr>
                <w:rFonts w:cs="Times New Roman"/>
                <w:color w:val="auto"/>
                <w:kern w:val="0"/>
                <w:sz w:val="21"/>
                <w:szCs w:val="21"/>
                <w:highlight w:val="none"/>
              </w:rPr>
            </w:pPr>
          </w:p>
        </w:tc>
        <w:tc>
          <w:tcPr>
            <w:tcW w:w="879" w:type="dxa"/>
            <w:vMerge w:val="continue"/>
            <w:tcBorders>
              <w:left w:val="single" w:color="000000" w:sz="4" w:space="0"/>
            </w:tcBorders>
            <w:vAlign w:val="center"/>
          </w:tcPr>
          <w:p w14:paraId="2C8AFB17">
            <w:pPr>
              <w:spacing w:line="360" w:lineRule="exact"/>
              <w:ind w:firstLine="0" w:firstLineChars="0"/>
              <w:jc w:val="center"/>
              <w:rPr>
                <w:rFonts w:cs="Times New Roman"/>
                <w:color w:val="auto"/>
                <w:kern w:val="0"/>
                <w:sz w:val="21"/>
                <w:szCs w:val="21"/>
                <w:highlight w:val="none"/>
              </w:rPr>
            </w:pPr>
          </w:p>
        </w:tc>
        <w:tc>
          <w:tcPr>
            <w:tcW w:w="1002" w:type="dxa"/>
            <w:vAlign w:val="center"/>
          </w:tcPr>
          <w:p w14:paraId="0526660C">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0.01475</w:t>
            </w:r>
          </w:p>
        </w:tc>
        <w:tc>
          <w:tcPr>
            <w:tcW w:w="1181" w:type="dxa"/>
            <w:tcBorders>
              <w:right w:val="single" w:color="000000" w:sz="4" w:space="0"/>
            </w:tcBorders>
            <w:vAlign w:val="center"/>
          </w:tcPr>
          <w:p w14:paraId="21D3DF20">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5.9</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5</w:t>
            </w:r>
          </w:p>
        </w:tc>
        <w:tc>
          <w:tcPr>
            <w:tcW w:w="659" w:type="dxa"/>
            <w:vMerge w:val="continue"/>
            <w:tcBorders>
              <w:left w:val="single" w:color="000000" w:sz="4" w:space="0"/>
            </w:tcBorders>
            <w:vAlign w:val="center"/>
          </w:tcPr>
          <w:p w14:paraId="7E6D45B8">
            <w:pPr>
              <w:spacing w:line="360" w:lineRule="exact"/>
              <w:ind w:firstLine="0" w:firstLineChars="0"/>
              <w:jc w:val="center"/>
              <w:rPr>
                <w:rFonts w:cs="Times New Roman"/>
                <w:color w:val="auto"/>
                <w:kern w:val="0"/>
                <w:sz w:val="21"/>
                <w:szCs w:val="21"/>
                <w:highlight w:val="none"/>
              </w:rPr>
            </w:pPr>
          </w:p>
        </w:tc>
      </w:tr>
      <w:tr w14:paraId="43071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continue"/>
            <w:vAlign w:val="center"/>
          </w:tcPr>
          <w:p w14:paraId="4C452B74">
            <w:pPr>
              <w:widowControl/>
              <w:spacing w:line="360" w:lineRule="exact"/>
              <w:ind w:firstLine="0" w:firstLineChars="0"/>
              <w:jc w:val="center"/>
              <w:rPr>
                <w:rFonts w:cs="Times New Roman"/>
                <w:color w:val="auto"/>
                <w:sz w:val="21"/>
                <w:szCs w:val="21"/>
                <w:highlight w:val="none"/>
              </w:rPr>
            </w:pPr>
          </w:p>
        </w:tc>
        <w:tc>
          <w:tcPr>
            <w:tcW w:w="704" w:type="dxa"/>
            <w:vMerge w:val="continue"/>
            <w:vAlign w:val="center"/>
          </w:tcPr>
          <w:p w14:paraId="4FD64DF5">
            <w:pPr>
              <w:widowControl/>
              <w:spacing w:line="360" w:lineRule="exact"/>
              <w:ind w:firstLine="0" w:firstLineChars="0"/>
              <w:jc w:val="center"/>
              <w:rPr>
                <w:rFonts w:cs="Times New Roman"/>
                <w:color w:val="auto"/>
                <w:sz w:val="21"/>
                <w:szCs w:val="21"/>
                <w:highlight w:val="none"/>
              </w:rPr>
            </w:pPr>
          </w:p>
        </w:tc>
        <w:tc>
          <w:tcPr>
            <w:tcW w:w="889" w:type="dxa"/>
            <w:vMerge w:val="restart"/>
            <w:vAlign w:val="center"/>
          </w:tcPr>
          <w:p w14:paraId="0ADC25D2">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无组织</w:t>
            </w:r>
          </w:p>
        </w:tc>
        <w:tc>
          <w:tcPr>
            <w:tcW w:w="859" w:type="dxa"/>
            <w:vAlign w:val="center"/>
          </w:tcPr>
          <w:p w14:paraId="1A109B52">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720" w:type="dxa"/>
            <w:vMerge w:val="continue"/>
            <w:vAlign w:val="center"/>
          </w:tcPr>
          <w:p w14:paraId="687AF41E">
            <w:pPr>
              <w:spacing w:line="360" w:lineRule="exact"/>
              <w:ind w:firstLine="0" w:firstLineChars="0"/>
              <w:jc w:val="center"/>
              <w:rPr>
                <w:rFonts w:cs="Times New Roman"/>
                <w:color w:val="auto"/>
                <w:kern w:val="0"/>
                <w:sz w:val="21"/>
                <w:szCs w:val="21"/>
                <w:highlight w:val="none"/>
              </w:rPr>
            </w:pPr>
          </w:p>
        </w:tc>
        <w:tc>
          <w:tcPr>
            <w:tcW w:w="818" w:type="dxa"/>
            <w:vMerge w:val="restart"/>
            <w:vAlign w:val="center"/>
          </w:tcPr>
          <w:p w14:paraId="53F5894C">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w:t>
            </w:r>
          </w:p>
        </w:tc>
        <w:tc>
          <w:tcPr>
            <w:tcW w:w="902" w:type="dxa"/>
            <w:vAlign w:val="center"/>
          </w:tcPr>
          <w:p w14:paraId="4EF14B73">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w:t>
            </w:r>
          </w:p>
        </w:tc>
        <w:tc>
          <w:tcPr>
            <w:tcW w:w="1220" w:type="dxa"/>
            <w:vAlign w:val="center"/>
          </w:tcPr>
          <w:p w14:paraId="5451E11F">
            <w:pPr>
              <w:spacing w:line="360" w:lineRule="exact"/>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4.1</w:t>
            </w:r>
            <w:r>
              <w:rPr>
                <w:rFonts w:cs="Times New Roman"/>
                <w:color w:val="auto"/>
                <w:kern w:val="0"/>
                <w:sz w:val="21"/>
                <w:szCs w:val="21"/>
                <w:highlight w:val="no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3</w:t>
            </w:r>
          </w:p>
        </w:tc>
        <w:tc>
          <w:tcPr>
            <w:tcW w:w="1715" w:type="dxa"/>
            <w:vMerge w:val="restart"/>
            <w:vAlign w:val="center"/>
          </w:tcPr>
          <w:p w14:paraId="6CD42DCB">
            <w:pPr>
              <w:spacing w:line="360" w:lineRule="exact"/>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rPr>
              <w:t>及时清运粪便</w:t>
            </w:r>
            <w:r>
              <w:rPr>
                <w:rFonts w:cs="Times New Roman"/>
                <w:color w:val="auto"/>
                <w:kern w:val="0"/>
                <w:sz w:val="21"/>
                <w:szCs w:val="21"/>
                <w:highlight w:val="none"/>
              </w:rPr>
              <w:t>，定期冲洗地面</w:t>
            </w:r>
            <w:r>
              <w:rPr>
                <w:rFonts w:hint="eastAsia" w:cs="Times New Roman"/>
                <w:color w:val="auto"/>
                <w:kern w:val="0"/>
                <w:sz w:val="21"/>
                <w:szCs w:val="21"/>
                <w:highlight w:val="none"/>
              </w:rPr>
              <w:t>，</w:t>
            </w:r>
            <w:r>
              <w:rPr>
                <w:rFonts w:cs="Times New Roman"/>
                <w:color w:val="auto"/>
                <w:kern w:val="0"/>
                <w:sz w:val="21"/>
                <w:szCs w:val="21"/>
                <w:highlight w:val="none"/>
              </w:rPr>
              <w:t>喷洒除臭剂</w:t>
            </w:r>
          </w:p>
        </w:tc>
        <w:tc>
          <w:tcPr>
            <w:tcW w:w="778" w:type="dxa"/>
            <w:vMerge w:val="restart"/>
            <w:vAlign w:val="center"/>
          </w:tcPr>
          <w:p w14:paraId="21B2E8C9">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80</w:t>
            </w:r>
          </w:p>
        </w:tc>
        <w:tc>
          <w:tcPr>
            <w:tcW w:w="711" w:type="dxa"/>
            <w:vMerge w:val="continue"/>
            <w:tcBorders>
              <w:right w:val="single" w:color="000000" w:sz="4" w:space="0"/>
            </w:tcBorders>
            <w:vAlign w:val="center"/>
          </w:tcPr>
          <w:p w14:paraId="10C8A1AA">
            <w:pPr>
              <w:spacing w:line="360" w:lineRule="exact"/>
              <w:ind w:firstLine="0" w:firstLineChars="0"/>
              <w:jc w:val="center"/>
              <w:rPr>
                <w:rFonts w:cs="Times New Roman"/>
                <w:color w:val="auto"/>
                <w:kern w:val="0"/>
                <w:sz w:val="21"/>
                <w:szCs w:val="21"/>
                <w:highlight w:val="none"/>
              </w:rPr>
            </w:pPr>
          </w:p>
        </w:tc>
        <w:tc>
          <w:tcPr>
            <w:tcW w:w="879" w:type="dxa"/>
            <w:vMerge w:val="restart"/>
            <w:tcBorders>
              <w:left w:val="single" w:color="000000" w:sz="4" w:space="0"/>
            </w:tcBorders>
            <w:vAlign w:val="center"/>
          </w:tcPr>
          <w:p w14:paraId="3E5C8A08">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w:t>
            </w:r>
          </w:p>
        </w:tc>
        <w:tc>
          <w:tcPr>
            <w:tcW w:w="1002" w:type="dxa"/>
            <w:vAlign w:val="center"/>
          </w:tcPr>
          <w:p w14:paraId="379A34E3">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w:t>
            </w:r>
          </w:p>
        </w:tc>
        <w:tc>
          <w:tcPr>
            <w:tcW w:w="1181" w:type="dxa"/>
            <w:tcBorders>
              <w:right w:val="single" w:color="000000" w:sz="4" w:space="0"/>
            </w:tcBorders>
            <w:vAlign w:val="center"/>
          </w:tcPr>
          <w:p w14:paraId="373443A5">
            <w:pPr>
              <w:spacing w:line="360" w:lineRule="exact"/>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8.2</w:t>
            </w:r>
            <w:r>
              <w:rPr>
                <w:rFonts w:cs="Times New Roman"/>
                <w:color w:val="auto"/>
                <w:kern w:val="0"/>
                <w:sz w:val="21"/>
                <w:szCs w:val="21"/>
                <w:highlight w:val="none"/>
              </w:rPr>
              <w:t>×10</w:t>
            </w:r>
            <w:r>
              <w:rPr>
                <w:rFonts w:cs="Times New Roman"/>
                <w:color w:val="auto"/>
                <w:kern w:val="0"/>
                <w:sz w:val="21"/>
                <w:szCs w:val="21"/>
                <w:highlight w:val="none"/>
                <w:vertAlign w:val="superscript"/>
              </w:rPr>
              <w:t>-4</w:t>
            </w:r>
          </w:p>
        </w:tc>
        <w:tc>
          <w:tcPr>
            <w:tcW w:w="659" w:type="dxa"/>
            <w:vMerge w:val="continue"/>
            <w:tcBorders>
              <w:left w:val="single" w:color="000000" w:sz="4" w:space="0"/>
            </w:tcBorders>
            <w:vAlign w:val="center"/>
          </w:tcPr>
          <w:p w14:paraId="6BA46788">
            <w:pPr>
              <w:spacing w:line="360" w:lineRule="exact"/>
              <w:ind w:firstLine="0" w:firstLineChars="0"/>
              <w:jc w:val="center"/>
              <w:rPr>
                <w:rFonts w:cs="Times New Roman"/>
                <w:color w:val="auto"/>
                <w:kern w:val="0"/>
                <w:sz w:val="21"/>
                <w:szCs w:val="21"/>
                <w:highlight w:val="none"/>
              </w:rPr>
            </w:pPr>
          </w:p>
        </w:tc>
      </w:tr>
      <w:tr w14:paraId="47091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continue"/>
            <w:vAlign w:val="center"/>
          </w:tcPr>
          <w:p w14:paraId="003AA5DA">
            <w:pPr>
              <w:widowControl/>
              <w:spacing w:line="360" w:lineRule="exact"/>
              <w:ind w:firstLine="0" w:firstLineChars="0"/>
              <w:jc w:val="center"/>
              <w:rPr>
                <w:rFonts w:cs="Times New Roman"/>
                <w:color w:val="auto"/>
                <w:sz w:val="21"/>
                <w:szCs w:val="21"/>
                <w:highlight w:val="none"/>
              </w:rPr>
            </w:pPr>
          </w:p>
        </w:tc>
        <w:tc>
          <w:tcPr>
            <w:tcW w:w="704" w:type="dxa"/>
            <w:vMerge w:val="continue"/>
            <w:vAlign w:val="center"/>
          </w:tcPr>
          <w:p w14:paraId="26361E06">
            <w:pPr>
              <w:widowControl/>
              <w:spacing w:line="360" w:lineRule="exact"/>
              <w:ind w:firstLine="0" w:firstLineChars="0"/>
              <w:jc w:val="center"/>
              <w:rPr>
                <w:rFonts w:cs="Times New Roman"/>
                <w:color w:val="auto"/>
                <w:sz w:val="21"/>
                <w:szCs w:val="21"/>
                <w:highlight w:val="none"/>
              </w:rPr>
            </w:pPr>
          </w:p>
        </w:tc>
        <w:tc>
          <w:tcPr>
            <w:tcW w:w="889" w:type="dxa"/>
            <w:vMerge w:val="continue"/>
            <w:vAlign w:val="center"/>
          </w:tcPr>
          <w:p w14:paraId="3EB2813B">
            <w:pPr>
              <w:widowControl/>
              <w:spacing w:line="360" w:lineRule="exact"/>
              <w:ind w:firstLine="0" w:firstLineChars="0"/>
              <w:jc w:val="center"/>
              <w:rPr>
                <w:rFonts w:cs="Times New Roman"/>
                <w:color w:val="auto"/>
                <w:sz w:val="21"/>
                <w:szCs w:val="21"/>
                <w:highlight w:val="none"/>
              </w:rPr>
            </w:pPr>
          </w:p>
        </w:tc>
        <w:tc>
          <w:tcPr>
            <w:tcW w:w="859" w:type="dxa"/>
            <w:vAlign w:val="center"/>
          </w:tcPr>
          <w:p w14:paraId="62B3FE05">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720" w:type="dxa"/>
            <w:vMerge w:val="continue"/>
            <w:vAlign w:val="center"/>
          </w:tcPr>
          <w:p w14:paraId="2A0FB382">
            <w:pPr>
              <w:spacing w:line="360" w:lineRule="exact"/>
              <w:ind w:firstLine="0" w:firstLineChars="0"/>
              <w:jc w:val="center"/>
              <w:rPr>
                <w:rFonts w:cs="Times New Roman"/>
                <w:color w:val="auto"/>
                <w:kern w:val="0"/>
                <w:sz w:val="21"/>
                <w:szCs w:val="21"/>
                <w:highlight w:val="none"/>
              </w:rPr>
            </w:pPr>
          </w:p>
        </w:tc>
        <w:tc>
          <w:tcPr>
            <w:tcW w:w="818" w:type="dxa"/>
            <w:vMerge w:val="continue"/>
            <w:vAlign w:val="center"/>
          </w:tcPr>
          <w:p w14:paraId="00AE95C7">
            <w:pPr>
              <w:spacing w:line="360" w:lineRule="exact"/>
              <w:ind w:firstLine="0" w:firstLineChars="0"/>
              <w:jc w:val="center"/>
              <w:rPr>
                <w:rFonts w:cs="Times New Roman"/>
                <w:color w:val="auto"/>
                <w:kern w:val="0"/>
                <w:sz w:val="21"/>
                <w:szCs w:val="21"/>
                <w:highlight w:val="none"/>
              </w:rPr>
            </w:pPr>
          </w:p>
        </w:tc>
        <w:tc>
          <w:tcPr>
            <w:tcW w:w="902" w:type="dxa"/>
            <w:vAlign w:val="center"/>
          </w:tcPr>
          <w:p w14:paraId="263EAA4C">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w:t>
            </w:r>
          </w:p>
        </w:tc>
        <w:tc>
          <w:tcPr>
            <w:tcW w:w="1220" w:type="dxa"/>
            <w:vAlign w:val="center"/>
          </w:tcPr>
          <w:p w14:paraId="5581720B">
            <w:pPr>
              <w:spacing w:line="360" w:lineRule="exact"/>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3.3</w:t>
            </w:r>
            <w:r>
              <w:rPr>
                <w:rFonts w:cs="Times New Roman"/>
                <w:color w:val="auto"/>
                <w:kern w:val="0"/>
                <w:sz w:val="21"/>
                <w:szCs w:val="21"/>
                <w:highlight w:val="no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5</w:t>
            </w:r>
          </w:p>
        </w:tc>
        <w:tc>
          <w:tcPr>
            <w:tcW w:w="1715" w:type="dxa"/>
            <w:vMerge w:val="continue"/>
            <w:vAlign w:val="center"/>
          </w:tcPr>
          <w:p w14:paraId="4B19126A">
            <w:pPr>
              <w:spacing w:line="360" w:lineRule="exact"/>
              <w:ind w:firstLine="0" w:firstLineChars="0"/>
              <w:jc w:val="center"/>
              <w:rPr>
                <w:rFonts w:cs="Times New Roman"/>
                <w:color w:val="auto"/>
                <w:kern w:val="0"/>
                <w:sz w:val="21"/>
                <w:szCs w:val="21"/>
                <w:highlight w:val="none"/>
              </w:rPr>
            </w:pPr>
          </w:p>
        </w:tc>
        <w:tc>
          <w:tcPr>
            <w:tcW w:w="778" w:type="dxa"/>
            <w:vMerge w:val="continue"/>
            <w:vAlign w:val="center"/>
          </w:tcPr>
          <w:p w14:paraId="721B14FB">
            <w:pPr>
              <w:spacing w:line="360" w:lineRule="exact"/>
              <w:ind w:firstLine="0" w:firstLineChars="0"/>
              <w:jc w:val="center"/>
              <w:rPr>
                <w:rFonts w:cs="Times New Roman"/>
                <w:color w:val="auto"/>
                <w:kern w:val="0"/>
                <w:sz w:val="21"/>
                <w:szCs w:val="21"/>
                <w:highlight w:val="none"/>
              </w:rPr>
            </w:pPr>
          </w:p>
        </w:tc>
        <w:tc>
          <w:tcPr>
            <w:tcW w:w="711" w:type="dxa"/>
            <w:vMerge w:val="continue"/>
            <w:tcBorders>
              <w:right w:val="single" w:color="000000" w:sz="4" w:space="0"/>
            </w:tcBorders>
            <w:vAlign w:val="center"/>
          </w:tcPr>
          <w:p w14:paraId="4F5B82BE">
            <w:pPr>
              <w:spacing w:line="360" w:lineRule="exact"/>
              <w:ind w:firstLine="0" w:firstLineChars="0"/>
              <w:jc w:val="center"/>
              <w:rPr>
                <w:rFonts w:cs="Times New Roman"/>
                <w:color w:val="auto"/>
                <w:kern w:val="0"/>
                <w:sz w:val="21"/>
                <w:szCs w:val="21"/>
                <w:highlight w:val="none"/>
              </w:rPr>
            </w:pPr>
          </w:p>
        </w:tc>
        <w:tc>
          <w:tcPr>
            <w:tcW w:w="879" w:type="dxa"/>
            <w:vMerge w:val="continue"/>
            <w:tcBorders>
              <w:left w:val="single" w:color="000000" w:sz="4" w:space="0"/>
            </w:tcBorders>
            <w:vAlign w:val="center"/>
          </w:tcPr>
          <w:p w14:paraId="256B69E9">
            <w:pPr>
              <w:spacing w:line="360" w:lineRule="exact"/>
              <w:ind w:firstLine="0" w:firstLineChars="0"/>
              <w:jc w:val="center"/>
              <w:rPr>
                <w:rFonts w:cs="Times New Roman"/>
                <w:color w:val="auto"/>
                <w:kern w:val="0"/>
                <w:sz w:val="21"/>
                <w:szCs w:val="21"/>
                <w:highlight w:val="none"/>
              </w:rPr>
            </w:pPr>
          </w:p>
        </w:tc>
        <w:tc>
          <w:tcPr>
            <w:tcW w:w="1002" w:type="dxa"/>
            <w:vAlign w:val="center"/>
          </w:tcPr>
          <w:p w14:paraId="18B95122">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w:t>
            </w:r>
          </w:p>
        </w:tc>
        <w:tc>
          <w:tcPr>
            <w:tcW w:w="1181" w:type="dxa"/>
            <w:tcBorders>
              <w:right w:val="single" w:color="000000" w:sz="4" w:space="0"/>
            </w:tcBorders>
            <w:vAlign w:val="center"/>
          </w:tcPr>
          <w:p w14:paraId="025EBC7E">
            <w:pPr>
              <w:spacing w:line="360" w:lineRule="exact"/>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6.6</w:t>
            </w:r>
            <w:r>
              <w:rPr>
                <w:rFonts w:cs="Times New Roman"/>
                <w:color w:val="auto"/>
                <w:kern w:val="0"/>
                <w:sz w:val="21"/>
                <w:szCs w:val="21"/>
                <w:highlight w:val="no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6</w:t>
            </w:r>
          </w:p>
        </w:tc>
        <w:tc>
          <w:tcPr>
            <w:tcW w:w="659" w:type="dxa"/>
            <w:vMerge w:val="continue"/>
            <w:tcBorders>
              <w:left w:val="single" w:color="000000" w:sz="4" w:space="0"/>
            </w:tcBorders>
            <w:vAlign w:val="center"/>
          </w:tcPr>
          <w:p w14:paraId="214F47BE">
            <w:pPr>
              <w:spacing w:line="360" w:lineRule="exact"/>
              <w:ind w:firstLine="0" w:firstLineChars="0"/>
              <w:jc w:val="center"/>
              <w:rPr>
                <w:rFonts w:cs="Times New Roman"/>
                <w:color w:val="auto"/>
                <w:kern w:val="0"/>
                <w:sz w:val="21"/>
                <w:szCs w:val="21"/>
                <w:highlight w:val="none"/>
              </w:rPr>
            </w:pPr>
          </w:p>
        </w:tc>
      </w:tr>
      <w:tr w14:paraId="528A5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restart"/>
            <w:vAlign w:val="center"/>
          </w:tcPr>
          <w:p w14:paraId="28763F7C">
            <w:pPr>
              <w:spacing w:line="360" w:lineRule="exact"/>
              <w:ind w:firstLine="0" w:firstLineChars="0"/>
              <w:jc w:val="center"/>
              <w:rPr>
                <w:rFonts w:cs="Times New Roman"/>
                <w:b/>
                <w:color w:val="auto"/>
                <w:sz w:val="21"/>
                <w:szCs w:val="21"/>
                <w:highlight w:val="none"/>
                <w:lang w:eastAsia="en-US"/>
              </w:rPr>
            </w:pPr>
            <w:r>
              <w:rPr>
                <w:rFonts w:cs="Times New Roman"/>
                <w:color w:val="auto"/>
                <w:sz w:val="21"/>
                <w:szCs w:val="21"/>
                <w:highlight w:val="none"/>
              </w:rPr>
              <w:t>污水处理</w:t>
            </w:r>
          </w:p>
        </w:tc>
        <w:tc>
          <w:tcPr>
            <w:tcW w:w="704" w:type="dxa"/>
            <w:vMerge w:val="restart"/>
            <w:vAlign w:val="center"/>
          </w:tcPr>
          <w:p w14:paraId="740A88CE">
            <w:pPr>
              <w:spacing w:line="360" w:lineRule="exact"/>
              <w:ind w:firstLine="0" w:firstLineChars="0"/>
              <w:jc w:val="center"/>
              <w:rPr>
                <w:rFonts w:cs="Times New Roman"/>
                <w:b/>
                <w:color w:val="auto"/>
                <w:sz w:val="21"/>
                <w:szCs w:val="21"/>
                <w:highlight w:val="none"/>
                <w:lang w:eastAsia="en-US"/>
              </w:rPr>
            </w:pPr>
            <w:r>
              <w:rPr>
                <w:rFonts w:cs="Times New Roman"/>
                <w:color w:val="auto"/>
                <w:sz w:val="21"/>
                <w:szCs w:val="21"/>
                <w:highlight w:val="none"/>
              </w:rPr>
              <w:t>污水处理站</w:t>
            </w:r>
          </w:p>
        </w:tc>
        <w:tc>
          <w:tcPr>
            <w:tcW w:w="889" w:type="dxa"/>
            <w:vMerge w:val="restart"/>
            <w:vAlign w:val="center"/>
          </w:tcPr>
          <w:p w14:paraId="05DBCD6E">
            <w:pPr>
              <w:widowControl/>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DA00</w:t>
            </w:r>
            <w:r>
              <w:rPr>
                <w:rFonts w:hint="eastAsia" w:cs="Times New Roman"/>
                <w:color w:val="auto"/>
                <w:sz w:val="21"/>
                <w:szCs w:val="21"/>
                <w:highlight w:val="none"/>
                <w:lang w:val="en-US" w:eastAsia="zh-CN"/>
              </w:rPr>
              <w:t>2</w:t>
            </w:r>
          </w:p>
        </w:tc>
        <w:tc>
          <w:tcPr>
            <w:tcW w:w="859" w:type="dxa"/>
            <w:vAlign w:val="center"/>
          </w:tcPr>
          <w:p w14:paraId="174C5A5A">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720" w:type="dxa"/>
            <w:vMerge w:val="restart"/>
            <w:vAlign w:val="center"/>
          </w:tcPr>
          <w:p w14:paraId="6C2F8480">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类比法</w:t>
            </w:r>
          </w:p>
        </w:tc>
        <w:tc>
          <w:tcPr>
            <w:tcW w:w="818" w:type="dxa"/>
            <w:vMerge w:val="restart"/>
            <w:vAlign w:val="center"/>
          </w:tcPr>
          <w:p w14:paraId="0CFD8A3C">
            <w:pPr>
              <w:spacing w:line="360" w:lineRule="exact"/>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2</w:t>
            </w:r>
            <w:r>
              <w:rPr>
                <w:rFonts w:cs="Times New Roman"/>
                <w:color w:val="auto"/>
                <w:kern w:val="0"/>
                <w:sz w:val="21"/>
                <w:szCs w:val="21"/>
                <w:highlight w:val="none"/>
              </w:rPr>
              <w:t>000</w:t>
            </w:r>
          </w:p>
        </w:tc>
        <w:tc>
          <w:tcPr>
            <w:tcW w:w="902" w:type="dxa"/>
            <w:vAlign w:val="center"/>
          </w:tcPr>
          <w:p w14:paraId="1564E69E">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24.5</w:t>
            </w:r>
          </w:p>
        </w:tc>
        <w:tc>
          <w:tcPr>
            <w:tcW w:w="1220" w:type="dxa"/>
            <w:vAlign w:val="center"/>
          </w:tcPr>
          <w:p w14:paraId="49EC3CB4">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0.049</w:t>
            </w:r>
          </w:p>
        </w:tc>
        <w:tc>
          <w:tcPr>
            <w:tcW w:w="1715" w:type="dxa"/>
            <w:vMerge w:val="restart"/>
            <w:vAlign w:val="center"/>
          </w:tcPr>
          <w:p w14:paraId="6CDDDC00">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活性炭吸附+15m高排气筒</w:t>
            </w:r>
          </w:p>
        </w:tc>
        <w:tc>
          <w:tcPr>
            <w:tcW w:w="778" w:type="dxa"/>
            <w:vMerge w:val="restart"/>
            <w:vAlign w:val="center"/>
          </w:tcPr>
          <w:p w14:paraId="53258C9D">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80</w:t>
            </w:r>
          </w:p>
        </w:tc>
        <w:tc>
          <w:tcPr>
            <w:tcW w:w="711" w:type="dxa"/>
            <w:vMerge w:val="restart"/>
            <w:tcBorders>
              <w:right w:val="single" w:color="000000" w:sz="4" w:space="0"/>
            </w:tcBorders>
            <w:vAlign w:val="center"/>
          </w:tcPr>
          <w:p w14:paraId="4CDF095C">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类比法</w:t>
            </w:r>
          </w:p>
        </w:tc>
        <w:tc>
          <w:tcPr>
            <w:tcW w:w="879" w:type="dxa"/>
            <w:vMerge w:val="restart"/>
            <w:tcBorders>
              <w:left w:val="single" w:color="000000" w:sz="4" w:space="0"/>
            </w:tcBorders>
            <w:vAlign w:val="center"/>
          </w:tcPr>
          <w:p w14:paraId="2C1A0465">
            <w:pPr>
              <w:spacing w:line="360" w:lineRule="exact"/>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2</w:t>
            </w:r>
            <w:r>
              <w:rPr>
                <w:rFonts w:cs="Times New Roman"/>
                <w:color w:val="auto"/>
                <w:kern w:val="0"/>
                <w:sz w:val="21"/>
                <w:szCs w:val="21"/>
                <w:highlight w:val="none"/>
              </w:rPr>
              <w:t>000</w:t>
            </w:r>
          </w:p>
        </w:tc>
        <w:tc>
          <w:tcPr>
            <w:tcW w:w="1002" w:type="dxa"/>
            <w:vAlign w:val="center"/>
          </w:tcPr>
          <w:p w14:paraId="1B74DBF2">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4.45</w:t>
            </w:r>
          </w:p>
        </w:tc>
        <w:tc>
          <w:tcPr>
            <w:tcW w:w="1181" w:type="dxa"/>
            <w:tcBorders>
              <w:right w:val="single" w:color="000000" w:sz="4" w:space="0"/>
            </w:tcBorders>
            <w:vAlign w:val="center"/>
          </w:tcPr>
          <w:p w14:paraId="2E231EA5">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8.9×10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3</w:t>
            </w:r>
          </w:p>
        </w:tc>
        <w:tc>
          <w:tcPr>
            <w:tcW w:w="659" w:type="dxa"/>
            <w:vMerge w:val="restart"/>
            <w:tcBorders>
              <w:left w:val="single" w:color="000000" w:sz="4" w:space="0"/>
            </w:tcBorders>
            <w:vAlign w:val="center"/>
          </w:tcPr>
          <w:p w14:paraId="31234743">
            <w:pPr>
              <w:widowControl/>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7200</w:t>
            </w:r>
          </w:p>
        </w:tc>
      </w:tr>
      <w:tr w14:paraId="5F433E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continue"/>
            <w:vAlign w:val="center"/>
          </w:tcPr>
          <w:p w14:paraId="1F02F3BC">
            <w:pPr>
              <w:spacing w:line="360" w:lineRule="exact"/>
              <w:ind w:firstLine="0" w:firstLineChars="0"/>
              <w:jc w:val="center"/>
              <w:rPr>
                <w:rFonts w:cs="Times New Roman"/>
                <w:b/>
                <w:color w:val="auto"/>
                <w:sz w:val="21"/>
                <w:szCs w:val="21"/>
                <w:highlight w:val="none"/>
                <w:lang w:eastAsia="en-US"/>
              </w:rPr>
            </w:pPr>
          </w:p>
        </w:tc>
        <w:tc>
          <w:tcPr>
            <w:tcW w:w="704" w:type="dxa"/>
            <w:vMerge w:val="continue"/>
            <w:vAlign w:val="center"/>
          </w:tcPr>
          <w:p w14:paraId="47DA0D75">
            <w:pPr>
              <w:spacing w:line="360" w:lineRule="exact"/>
              <w:ind w:firstLine="0" w:firstLineChars="0"/>
              <w:jc w:val="center"/>
              <w:rPr>
                <w:rFonts w:cs="Times New Roman"/>
                <w:b/>
                <w:color w:val="auto"/>
                <w:sz w:val="21"/>
                <w:szCs w:val="21"/>
                <w:highlight w:val="none"/>
                <w:lang w:eastAsia="en-US"/>
              </w:rPr>
            </w:pPr>
          </w:p>
        </w:tc>
        <w:tc>
          <w:tcPr>
            <w:tcW w:w="889" w:type="dxa"/>
            <w:vMerge w:val="continue"/>
            <w:vAlign w:val="center"/>
          </w:tcPr>
          <w:p w14:paraId="2FB1623A">
            <w:pPr>
              <w:widowControl/>
              <w:spacing w:line="360" w:lineRule="exact"/>
              <w:ind w:firstLine="0" w:firstLineChars="0"/>
              <w:jc w:val="center"/>
              <w:rPr>
                <w:rFonts w:cs="Times New Roman"/>
                <w:color w:val="auto"/>
                <w:sz w:val="21"/>
                <w:szCs w:val="21"/>
                <w:highlight w:val="none"/>
              </w:rPr>
            </w:pPr>
          </w:p>
        </w:tc>
        <w:tc>
          <w:tcPr>
            <w:tcW w:w="859" w:type="dxa"/>
            <w:tcBorders>
              <w:bottom w:val="single" w:color="000000" w:sz="4" w:space="0"/>
            </w:tcBorders>
            <w:vAlign w:val="center"/>
          </w:tcPr>
          <w:p w14:paraId="28CD32A4">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720" w:type="dxa"/>
            <w:vMerge w:val="continue"/>
            <w:vAlign w:val="center"/>
          </w:tcPr>
          <w:p w14:paraId="28124B64">
            <w:pPr>
              <w:spacing w:line="360" w:lineRule="exact"/>
              <w:ind w:firstLine="0" w:firstLineChars="0"/>
              <w:jc w:val="center"/>
              <w:rPr>
                <w:rFonts w:cs="Times New Roman"/>
                <w:color w:val="auto"/>
                <w:kern w:val="0"/>
                <w:sz w:val="21"/>
                <w:szCs w:val="21"/>
                <w:highlight w:val="none"/>
              </w:rPr>
            </w:pPr>
          </w:p>
        </w:tc>
        <w:tc>
          <w:tcPr>
            <w:tcW w:w="818" w:type="dxa"/>
            <w:vMerge w:val="continue"/>
            <w:vAlign w:val="center"/>
          </w:tcPr>
          <w:p w14:paraId="2620D8E8">
            <w:pPr>
              <w:spacing w:line="360" w:lineRule="exact"/>
              <w:ind w:firstLine="0" w:firstLineChars="0"/>
              <w:jc w:val="center"/>
              <w:rPr>
                <w:rFonts w:cs="Times New Roman"/>
                <w:color w:val="auto"/>
                <w:kern w:val="0"/>
                <w:sz w:val="21"/>
                <w:szCs w:val="21"/>
                <w:highlight w:val="none"/>
              </w:rPr>
            </w:pPr>
          </w:p>
        </w:tc>
        <w:tc>
          <w:tcPr>
            <w:tcW w:w="902" w:type="dxa"/>
            <w:vAlign w:val="center"/>
          </w:tcPr>
          <w:p w14:paraId="1DDB52F0">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2.35</w:t>
            </w:r>
          </w:p>
        </w:tc>
        <w:tc>
          <w:tcPr>
            <w:tcW w:w="1220" w:type="dxa"/>
            <w:vAlign w:val="center"/>
          </w:tcPr>
          <w:p w14:paraId="0EC4AAFC">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4.7</w:t>
            </w:r>
            <w:r>
              <w:rPr>
                <w:rFonts w:cs="Times New Roman"/>
                <w:color w:val="auto"/>
                <w:sz w:val="21"/>
                <w:szCs w:val="21"/>
                <w:highlight w:val="none"/>
              </w:rPr>
              <w:t>×</w:t>
            </w:r>
            <w:r>
              <w:rPr>
                <w:rFonts w:cs="Times New Roman"/>
                <w:color w:val="auto"/>
                <w:kern w:val="0"/>
                <w:sz w:val="21"/>
                <w:szCs w:val="21"/>
                <w:highlight w:val="no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3</w:t>
            </w:r>
          </w:p>
        </w:tc>
        <w:tc>
          <w:tcPr>
            <w:tcW w:w="1715" w:type="dxa"/>
            <w:vMerge w:val="continue"/>
            <w:vAlign w:val="center"/>
          </w:tcPr>
          <w:p w14:paraId="54CC1BE6">
            <w:pPr>
              <w:spacing w:line="360" w:lineRule="exact"/>
              <w:ind w:firstLine="0" w:firstLineChars="0"/>
              <w:jc w:val="center"/>
              <w:rPr>
                <w:rFonts w:cs="Times New Roman"/>
                <w:color w:val="auto"/>
                <w:kern w:val="0"/>
                <w:sz w:val="21"/>
                <w:szCs w:val="21"/>
                <w:highlight w:val="none"/>
              </w:rPr>
            </w:pPr>
          </w:p>
        </w:tc>
        <w:tc>
          <w:tcPr>
            <w:tcW w:w="778" w:type="dxa"/>
            <w:vMerge w:val="continue"/>
            <w:vAlign w:val="center"/>
          </w:tcPr>
          <w:p w14:paraId="535D6DE9">
            <w:pPr>
              <w:spacing w:line="360" w:lineRule="exact"/>
              <w:ind w:firstLine="0" w:firstLineChars="0"/>
              <w:jc w:val="center"/>
              <w:rPr>
                <w:rFonts w:cs="Times New Roman"/>
                <w:color w:val="auto"/>
                <w:kern w:val="0"/>
                <w:sz w:val="21"/>
                <w:szCs w:val="21"/>
                <w:highlight w:val="none"/>
              </w:rPr>
            </w:pPr>
          </w:p>
        </w:tc>
        <w:tc>
          <w:tcPr>
            <w:tcW w:w="711" w:type="dxa"/>
            <w:vMerge w:val="continue"/>
            <w:tcBorders>
              <w:right w:val="single" w:color="000000" w:sz="4" w:space="0"/>
            </w:tcBorders>
            <w:vAlign w:val="center"/>
          </w:tcPr>
          <w:p w14:paraId="2C5E0587">
            <w:pPr>
              <w:spacing w:line="360" w:lineRule="exact"/>
              <w:ind w:firstLine="0" w:firstLineChars="0"/>
              <w:jc w:val="center"/>
              <w:rPr>
                <w:rFonts w:cs="Times New Roman"/>
                <w:color w:val="auto"/>
                <w:kern w:val="0"/>
                <w:sz w:val="21"/>
                <w:szCs w:val="21"/>
                <w:highlight w:val="none"/>
              </w:rPr>
            </w:pPr>
          </w:p>
        </w:tc>
        <w:tc>
          <w:tcPr>
            <w:tcW w:w="879" w:type="dxa"/>
            <w:vMerge w:val="continue"/>
            <w:tcBorders>
              <w:left w:val="single" w:color="000000" w:sz="4" w:space="0"/>
            </w:tcBorders>
            <w:vAlign w:val="center"/>
          </w:tcPr>
          <w:p w14:paraId="02AC2215">
            <w:pPr>
              <w:spacing w:line="360" w:lineRule="exact"/>
              <w:ind w:firstLine="0" w:firstLineChars="0"/>
              <w:jc w:val="center"/>
              <w:rPr>
                <w:rFonts w:cs="Times New Roman"/>
                <w:color w:val="auto"/>
                <w:kern w:val="0"/>
                <w:sz w:val="21"/>
                <w:szCs w:val="21"/>
                <w:highlight w:val="none"/>
              </w:rPr>
            </w:pPr>
          </w:p>
        </w:tc>
        <w:tc>
          <w:tcPr>
            <w:tcW w:w="1002" w:type="dxa"/>
            <w:vAlign w:val="center"/>
          </w:tcPr>
          <w:p w14:paraId="75ABF21E">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0.42</w:t>
            </w:r>
          </w:p>
        </w:tc>
        <w:tc>
          <w:tcPr>
            <w:tcW w:w="1181" w:type="dxa"/>
            <w:tcBorders>
              <w:right w:val="single" w:color="000000" w:sz="4" w:space="0"/>
            </w:tcBorders>
            <w:vAlign w:val="center"/>
          </w:tcPr>
          <w:p w14:paraId="486BF92E">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8.4×10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4</w:t>
            </w:r>
          </w:p>
        </w:tc>
        <w:tc>
          <w:tcPr>
            <w:tcW w:w="659" w:type="dxa"/>
            <w:vMerge w:val="continue"/>
            <w:tcBorders>
              <w:left w:val="single" w:color="000000" w:sz="4" w:space="0"/>
            </w:tcBorders>
            <w:vAlign w:val="center"/>
          </w:tcPr>
          <w:p w14:paraId="3ADEC84C">
            <w:pPr>
              <w:widowControl/>
              <w:spacing w:line="360" w:lineRule="exact"/>
              <w:ind w:firstLine="0" w:firstLineChars="0"/>
              <w:jc w:val="center"/>
              <w:rPr>
                <w:rFonts w:cs="Times New Roman"/>
                <w:color w:val="auto"/>
                <w:kern w:val="0"/>
                <w:sz w:val="21"/>
                <w:szCs w:val="21"/>
                <w:highlight w:val="none"/>
              </w:rPr>
            </w:pPr>
          </w:p>
        </w:tc>
      </w:tr>
      <w:tr w14:paraId="2BF1E3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continue"/>
            <w:vAlign w:val="center"/>
          </w:tcPr>
          <w:p w14:paraId="54C65164">
            <w:pPr>
              <w:spacing w:line="360" w:lineRule="exact"/>
              <w:ind w:firstLine="0" w:firstLineChars="0"/>
              <w:jc w:val="center"/>
              <w:rPr>
                <w:rFonts w:cs="Times New Roman"/>
                <w:color w:val="auto"/>
                <w:sz w:val="21"/>
                <w:szCs w:val="21"/>
                <w:highlight w:val="none"/>
              </w:rPr>
            </w:pPr>
          </w:p>
        </w:tc>
        <w:tc>
          <w:tcPr>
            <w:tcW w:w="704" w:type="dxa"/>
            <w:vMerge w:val="continue"/>
            <w:vAlign w:val="center"/>
          </w:tcPr>
          <w:p w14:paraId="2B9C411F">
            <w:pPr>
              <w:spacing w:line="360" w:lineRule="exact"/>
              <w:ind w:firstLine="0" w:firstLineChars="0"/>
              <w:jc w:val="center"/>
              <w:rPr>
                <w:rFonts w:cs="Times New Roman"/>
                <w:color w:val="auto"/>
                <w:sz w:val="21"/>
                <w:szCs w:val="21"/>
                <w:highlight w:val="none"/>
              </w:rPr>
            </w:pPr>
          </w:p>
        </w:tc>
        <w:tc>
          <w:tcPr>
            <w:tcW w:w="889" w:type="dxa"/>
            <w:vMerge w:val="restart"/>
            <w:vAlign w:val="center"/>
          </w:tcPr>
          <w:p w14:paraId="179AD95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无组织</w:t>
            </w:r>
          </w:p>
        </w:tc>
        <w:tc>
          <w:tcPr>
            <w:tcW w:w="859" w:type="dxa"/>
            <w:vAlign w:val="center"/>
          </w:tcPr>
          <w:p w14:paraId="7ED6EA92">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720" w:type="dxa"/>
            <w:vMerge w:val="continue"/>
            <w:vAlign w:val="center"/>
          </w:tcPr>
          <w:p w14:paraId="1F7A56AD">
            <w:pPr>
              <w:spacing w:line="360" w:lineRule="exact"/>
              <w:ind w:firstLine="0" w:firstLineChars="0"/>
              <w:jc w:val="center"/>
              <w:rPr>
                <w:rFonts w:cs="Times New Roman"/>
                <w:color w:val="auto"/>
                <w:sz w:val="21"/>
                <w:szCs w:val="21"/>
                <w:highlight w:val="none"/>
              </w:rPr>
            </w:pPr>
          </w:p>
        </w:tc>
        <w:tc>
          <w:tcPr>
            <w:tcW w:w="818" w:type="dxa"/>
            <w:vMerge w:val="restart"/>
            <w:vAlign w:val="center"/>
          </w:tcPr>
          <w:p w14:paraId="1006F83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902" w:type="dxa"/>
            <w:vAlign w:val="center"/>
          </w:tcPr>
          <w:p w14:paraId="47E8E22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20" w:type="dxa"/>
            <w:vAlign w:val="center"/>
          </w:tcPr>
          <w:p w14:paraId="21EF2CFC">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4.9</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3</w:t>
            </w:r>
          </w:p>
        </w:tc>
        <w:tc>
          <w:tcPr>
            <w:tcW w:w="1715" w:type="dxa"/>
            <w:vMerge w:val="restart"/>
            <w:vAlign w:val="center"/>
          </w:tcPr>
          <w:p w14:paraId="54F100C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喷洒除臭剂、产生恶臭区域加盖</w:t>
            </w:r>
          </w:p>
        </w:tc>
        <w:tc>
          <w:tcPr>
            <w:tcW w:w="778" w:type="dxa"/>
            <w:vMerge w:val="restart"/>
            <w:vAlign w:val="center"/>
          </w:tcPr>
          <w:p w14:paraId="676CDD43">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8</w:t>
            </w:r>
            <w:r>
              <w:rPr>
                <w:rFonts w:cs="Times New Roman"/>
                <w:color w:val="auto"/>
                <w:sz w:val="21"/>
                <w:szCs w:val="21"/>
                <w:highlight w:val="none"/>
              </w:rPr>
              <w:t>0</w:t>
            </w:r>
          </w:p>
        </w:tc>
        <w:tc>
          <w:tcPr>
            <w:tcW w:w="711" w:type="dxa"/>
            <w:vMerge w:val="continue"/>
            <w:tcBorders>
              <w:right w:val="single" w:color="000000" w:sz="4" w:space="0"/>
            </w:tcBorders>
            <w:vAlign w:val="center"/>
          </w:tcPr>
          <w:p w14:paraId="0319D760">
            <w:pPr>
              <w:spacing w:line="360" w:lineRule="exact"/>
              <w:ind w:firstLine="0" w:firstLineChars="0"/>
              <w:jc w:val="center"/>
              <w:rPr>
                <w:rFonts w:cs="Times New Roman"/>
                <w:color w:val="auto"/>
                <w:sz w:val="21"/>
                <w:szCs w:val="21"/>
                <w:highlight w:val="none"/>
              </w:rPr>
            </w:pPr>
          </w:p>
        </w:tc>
        <w:tc>
          <w:tcPr>
            <w:tcW w:w="879" w:type="dxa"/>
            <w:vMerge w:val="restart"/>
            <w:tcBorders>
              <w:left w:val="single" w:color="000000" w:sz="4" w:space="0"/>
            </w:tcBorders>
            <w:vAlign w:val="center"/>
          </w:tcPr>
          <w:p w14:paraId="0101B48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002" w:type="dxa"/>
            <w:vAlign w:val="center"/>
          </w:tcPr>
          <w:p w14:paraId="0C33D2B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181" w:type="dxa"/>
            <w:tcBorders>
              <w:right w:val="single" w:color="000000" w:sz="4" w:space="0"/>
            </w:tcBorders>
            <w:vAlign w:val="center"/>
          </w:tcPr>
          <w:p w14:paraId="5024B137">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9.8</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659" w:type="dxa"/>
            <w:vMerge w:val="continue"/>
            <w:tcBorders>
              <w:left w:val="single" w:color="000000" w:sz="4" w:space="0"/>
            </w:tcBorders>
            <w:vAlign w:val="center"/>
          </w:tcPr>
          <w:p w14:paraId="3FF444F8">
            <w:pPr>
              <w:spacing w:line="360" w:lineRule="exact"/>
              <w:ind w:firstLine="0" w:firstLineChars="0"/>
              <w:jc w:val="center"/>
              <w:rPr>
                <w:rFonts w:cs="Times New Roman"/>
                <w:color w:val="auto"/>
                <w:sz w:val="21"/>
                <w:szCs w:val="21"/>
                <w:highlight w:val="none"/>
              </w:rPr>
            </w:pPr>
          </w:p>
        </w:tc>
      </w:tr>
      <w:tr w14:paraId="359401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continue"/>
            <w:vAlign w:val="center"/>
          </w:tcPr>
          <w:p w14:paraId="3694543A">
            <w:pPr>
              <w:spacing w:line="360" w:lineRule="exact"/>
              <w:ind w:firstLine="0" w:firstLineChars="0"/>
              <w:jc w:val="center"/>
              <w:rPr>
                <w:rFonts w:cs="Times New Roman"/>
                <w:color w:val="auto"/>
                <w:sz w:val="21"/>
                <w:szCs w:val="21"/>
                <w:highlight w:val="none"/>
              </w:rPr>
            </w:pPr>
          </w:p>
        </w:tc>
        <w:tc>
          <w:tcPr>
            <w:tcW w:w="704" w:type="dxa"/>
            <w:vMerge w:val="continue"/>
            <w:vAlign w:val="center"/>
          </w:tcPr>
          <w:p w14:paraId="07EFE537">
            <w:pPr>
              <w:spacing w:line="360" w:lineRule="exact"/>
              <w:ind w:firstLine="0" w:firstLineChars="0"/>
              <w:jc w:val="center"/>
              <w:rPr>
                <w:rFonts w:cs="Times New Roman"/>
                <w:color w:val="auto"/>
                <w:sz w:val="21"/>
                <w:szCs w:val="21"/>
                <w:highlight w:val="none"/>
              </w:rPr>
            </w:pPr>
          </w:p>
        </w:tc>
        <w:tc>
          <w:tcPr>
            <w:tcW w:w="889" w:type="dxa"/>
            <w:vMerge w:val="continue"/>
            <w:vAlign w:val="center"/>
          </w:tcPr>
          <w:p w14:paraId="2D5D3B8B">
            <w:pPr>
              <w:spacing w:line="360" w:lineRule="exact"/>
              <w:ind w:firstLine="0" w:firstLineChars="0"/>
              <w:jc w:val="center"/>
              <w:rPr>
                <w:rFonts w:cs="Times New Roman"/>
                <w:color w:val="auto"/>
                <w:sz w:val="21"/>
                <w:szCs w:val="21"/>
                <w:highlight w:val="none"/>
              </w:rPr>
            </w:pPr>
          </w:p>
        </w:tc>
        <w:tc>
          <w:tcPr>
            <w:tcW w:w="859" w:type="dxa"/>
            <w:vAlign w:val="center"/>
          </w:tcPr>
          <w:p w14:paraId="2542A35F">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720" w:type="dxa"/>
            <w:vMerge w:val="continue"/>
            <w:vAlign w:val="center"/>
          </w:tcPr>
          <w:p w14:paraId="7BCEE214">
            <w:pPr>
              <w:spacing w:line="360" w:lineRule="exact"/>
              <w:ind w:firstLine="0" w:firstLineChars="0"/>
              <w:jc w:val="center"/>
              <w:rPr>
                <w:rFonts w:cs="Times New Roman"/>
                <w:color w:val="auto"/>
                <w:sz w:val="21"/>
                <w:szCs w:val="21"/>
                <w:highlight w:val="none"/>
              </w:rPr>
            </w:pPr>
          </w:p>
        </w:tc>
        <w:tc>
          <w:tcPr>
            <w:tcW w:w="818" w:type="dxa"/>
            <w:vMerge w:val="continue"/>
            <w:vAlign w:val="center"/>
          </w:tcPr>
          <w:p w14:paraId="258576C4">
            <w:pPr>
              <w:spacing w:line="360" w:lineRule="exact"/>
              <w:ind w:firstLine="0" w:firstLineChars="0"/>
              <w:jc w:val="center"/>
              <w:rPr>
                <w:rFonts w:cs="Times New Roman"/>
                <w:color w:val="auto"/>
                <w:sz w:val="21"/>
                <w:szCs w:val="21"/>
                <w:highlight w:val="none"/>
              </w:rPr>
            </w:pPr>
          </w:p>
        </w:tc>
        <w:tc>
          <w:tcPr>
            <w:tcW w:w="902" w:type="dxa"/>
            <w:vAlign w:val="center"/>
          </w:tcPr>
          <w:p w14:paraId="578133A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20" w:type="dxa"/>
            <w:vAlign w:val="center"/>
          </w:tcPr>
          <w:p w14:paraId="76189955">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4.2</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1715" w:type="dxa"/>
            <w:vMerge w:val="continue"/>
            <w:vAlign w:val="center"/>
          </w:tcPr>
          <w:p w14:paraId="590B56F0">
            <w:pPr>
              <w:spacing w:line="360" w:lineRule="exact"/>
              <w:ind w:firstLine="0" w:firstLineChars="0"/>
              <w:jc w:val="center"/>
              <w:rPr>
                <w:rFonts w:cs="Times New Roman"/>
                <w:color w:val="auto"/>
                <w:sz w:val="21"/>
                <w:szCs w:val="21"/>
                <w:highlight w:val="none"/>
              </w:rPr>
            </w:pPr>
          </w:p>
        </w:tc>
        <w:tc>
          <w:tcPr>
            <w:tcW w:w="778" w:type="dxa"/>
            <w:vMerge w:val="continue"/>
            <w:vAlign w:val="center"/>
          </w:tcPr>
          <w:p w14:paraId="3CD33C79">
            <w:pPr>
              <w:spacing w:line="360" w:lineRule="exact"/>
              <w:ind w:firstLine="0" w:firstLineChars="0"/>
              <w:jc w:val="center"/>
              <w:rPr>
                <w:rFonts w:cs="Times New Roman"/>
                <w:color w:val="auto"/>
                <w:sz w:val="21"/>
                <w:szCs w:val="21"/>
                <w:highlight w:val="none"/>
              </w:rPr>
            </w:pPr>
          </w:p>
        </w:tc>
        <w:tc>
          <w:tcPr>
            <w:tcW w:w="711" w:type="dxa"/>
            <w:vMerge w:val="continue"/>
            <w:tcBorders>
              <w:right w:val="single" w:color="000000" w:sz="4" w:space="0"/>
            </w:tcBorders>
            <w:vAlign w:val="center"/>
          </w:tcPr>
          <w:p w14:paraId="70A24D79">
            <w:pPr>
              <w:spacing w:line="360" w:lineRule="exact"/>
              <w:ind w:firstLine="0" w:firstLineChars="0"/>
              <w:jc w:val="center"/>
              <w:rPr>
                <w:rFonts w:cs="Times New Roman"/>
                <w:color w:val="auto"/>
                <w:sz w:val="21"/>
                <w:szCs w:val="21"/>
                <w:highlight w:val="none"/>
              </w:rPr>
            </w:pPr>
          </w:p>
        </w:tc>
        <w:tc>
          <w:tcPr>
            <w:tcW w:w="879" w:type="dxa"/>
            <w:vMerge w:val="continue"/>
            <w:tcBorders>
              <w:left w:val="single" w:color="000000" w:sz="4" w:space="0"/>
            </w:tcBorders>
            <w:vAlign w:val="center"/>
          </w:tcPr>
          <w:p w14:paraId="4415EE12">
            <w:pPr>
              <w:spacing w:line="360" w:lineRule="exact"/>
              <w:ind w:firstLine="0" w:firstLineChars="0"/>
              <w:jc w:val="center"/>
              <w:rPr>
                <w:rFonts w:cs="Times New Roman"/>
                <w:color w:val="auto"/>
                <w:sz w:val="21"/>
                <w:szCs w:val="21"/>
                <w:highlight w:val="none"/>
              </w:rPr>
            </w:pPr>
          </w:p>
        </w:tc>
        <w:tc>
          <w:tcPr>
            <w:tcW w:w="1002" w:type="dxa"/>
            <w:vAlign w:val="center"/>
          </w:tcPr>
          <w:p w14:paraId="0D8CBA3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181" w:type="dxa"/>
            <w:tcBorders>
              <w:right w:val="single" w:color="000000" w:sz="4" w:space="0"/>
            </w:tcBorders>
            <w:vAlign w:val="center"/>
          </w:tcPr>
          <w:p w14:paraId="37B34C1D">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8.4</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5</w:t>
            </w:r>
          </w:p>
        </w:tc>
        <w:tc>
          <w:tcPr>
            <w:tcW w:w="659" w:type="dxa"/>
            <w:vMerge w:val="continue"/>
            <w:tcBorders>
              <w:left w:val="single" w:color="000000" w:sz="4" w:space="0"/>
            </w:tcBorders>
            <w:vAlign w:val="center"/>
          </w:tcPr>
          <w:p w14:paraId="51001D88">
            <w:pPr>
              <w:spacing w:line="360" w:lineRule="exact"/>
              <w:ind w:firstLine="0" w:firstLineChars="0"/>
              <w:jc w:val="center"/>
              <w:rPr>
                <w:rFonts w:cs="Times New Roman"/>
                <w:color w:val="auto"/>
                <w:sz w:val="21"/>
                <w:szCs w:val="21"/>
                <w:highlight w:val="none"/>
              </w:rPr>
            </w:pPr>
          </w:p>
        </w:tc>
      </w:tr>
      <w:tr w14:paraId="6246EA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restart"/>
            <w:vAlign w:val="center"/>
          </w:tcPr>
          <w:p w14:paraId="1E309B06">
            <w:pPr>
              <w:widowControl/>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待宰圈</w:t>
            </w:r>
          </w:p>
        </w:tc>
        <w:tc>
          <w:tcPr>
            <w:tcW w:w="704" w:type="dxa"/>
            <w:vMerge w:val="restart"/>
            <w:vAlign w:val="center"/>
          </w:tcPr>
          <w:p w14:paraId="45F3A180">
            <w:pPr>
              <w:widowControl/>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待宰圈</w:t>
            </w:r>
          </w:p>
        </w:tc>
        <w:tc>
          <w:tcPr>
            <w:tcW w:w="889" w:type="dxa"/>
            <w:vMerge w:val="restart"/>
            <w:vAlign w:val="center"/>
          </w:tcPr>
          <w:p w14:paraId="3069D7C3">
            <w:pPr>
              <w:widowControl/>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无组织</w:t>
            </w:r>
          </w:p>
        </w:tc>
        <w:tc>
          <w:tcPr>
            <w:tcW w:w="859" w:type="dxa"/>
            <w:vAlign w:val="center"/>
          </w:tcPr>
          <w:p w14:paraId="1698C1B7">
            <w:pPr>
              <w:widowControl/>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氨</w:t>
            </w:r>
          </w:p>
        </w:tc>
        <w:tc>
          <w:tcPr>
            <w:tcW w:w="720" w:type="dxa"/>
            <w:vMerge w:val="restart"/>
            <w:vAlign w:val="center"/>
          </w:tcPr>
          <w:p w14:paraId="4EB00109">
            <w:pPr>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rPr>
              <w:t>系数法</w:t>
            </w:r>
          </w:p>
        </w:tc>
        <w:tc>
          <w:tcPr>
            <w:tcW w:w="818" w:type="dxa"/>
            <w:vMerge w:val="restart"/>
            <w:vAlign w:val="center"/>
          </w:tcPr>
          <w:p w14:paraId="27103CF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902" w:type="dxa"/>
            <w:vAlign w:val="center"/>
          </w:tcPr>
          <w:p w14:paraId="32D1DFF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20" w:type="dxa"/>
            <w:vAlign w:val="center"/>
          </w:tcPr>
          <w:p w14:paraId="0BFFD4ED">
            <w:pPr>
              <w:spacing w:line="360" w:lineRule="exact"/>
              <w:ind w:firstLine="0" w:firstLineChars="0"/>
              <w:jc w:val="center"/>
              <w:rPr>
                <w:rFonts w:hint="default" w:cs="Times New Roman"/>
                <w:color w:val="auto"/>
                <w:sz w:val="21"/>
                <w:szCs w:val="21"/>
                <w:highlight w:val="none"/>
                <w:lang w:val="en-US"/>
              </w:rPr>
            </w:pPr>
            <w:r>
              <w:rPr>
                <w:rFonts w:hint="eastAsia" w:cs="Times New Roman"/>
                <w:color w:val="auto"/>
                <w:sz w:val="21"/>
                <w:szCs w:val="21"/>
                <w:highlight w:val="none"/>
                <w:lang w:val="en-US" w:eastAsia="zh-CN"/>
              </w:rPr>
              <w:t>1.25</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3</w:t>
            </w:r>
          </w:p>
        </w:tc>
        <w:tc>
          <w:tcPr>
            <w:tcW w:w="1715" w:type="dxa"/>
            <w:vMerge w:val="restart"/>
            <w:vAlign w:val="center"/>
          </w:tcPr>
          <w:p w14:paraId="40767C46">
            <w:pPr>
              <w:spacing w:line="360" w:lineRule="exact"/>
              <w:ind w:firstLine="0" w:firstLineChars="0"/>
              <w:jc w:val="center"/>
              <w:rPr>
                <w:rFonts w:cs="Times New Roman"/>
                <w:color w:val="auto"/>
                <w:sz w:val="21"/>
                <w:szCs w:val="21"/>
                <w:highlight w:val="none"/>
              </w:rPr>
            </w:pPr>
            <w:r>
              <w:rPr>
                <w:rFonts w:hint="eastAsia" w:cs="Times New Roman"/>
                <w:color w:val="auto"/>
                <w:kern w:val="0"/>
                <w:sz w:val="21"/>
                <w:szCs w:val="21"/>
                <w:highlight w:val="none"/>
              </w:rPr>
              <w:t>及时清运粪便</w:t>
            </w:r>
            <w:r>
              <w:rPr>
                <w:rFonts w:cs="Times New Roman"/>
                <w:color w:val="auto"/>
                <w:kern w:val="0"/>
                <w:sz w:val="21"/>
                <w:szCs w:val="21"/>
                <w:highlight w:val="none"/>
              </w:rPr>
              <w:t>，定期冲洗地面</w:t>
            </w:r>
            <w:r>
              <w:rPr>
                <w:rFonts w:hint="eastAsia" w:cs="Times New Roman"/>
                <w:color w:val="auto"/>
                <w:kern w:val="0"/>
                <w:sz w:val="21"/>
                <w:szCs w:val="21"/>
                <w:highlight w:val="none"/>
              </w:rPr>
              <w:t>，</w:t>
            </w:r>
            <w:r>
              <w:rPr>
                <w:rFonts w:cs="Times New Roman"/>
                <w:color w:val="auto"/>
                <w:kern w:val="0"/>
                <w:sz w:val="21"/>
                <w:szCs w:val="21"/>
                <w:highlight w:val="none"/>
              </w:rPr>
              <w:t>喷洒除臭剂</w:t>
            </w:r>
          </w:p>
        </w:tc>
        <w:tc>
          <w:tcPr>
            <w:tcW w:w="778" w:type="dxa"/>
            <w:vMerge w:val="restart"/>
            <w:vAlign w:val="center"/>
          </w:tcPr>
          <w:p w14:paraId="5A01328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80</w:t>
            </w:r>
          </w:p>
        </w:tc>
        <w:tc>
          <w:tcPr>
            <w:tcW w:w="711" w:type="dxa"/>
            <w:vMerge w:val="restart"/>
            <w:tcBorders>
              <w:right w:val="single" w:color="000000" w:sz="4" w:space="0"/>
            </w:tcBorders>
            <w:vAlign w:val="center"/>
          </w:tcPr>
          <w:p w14:paraId="5AD740D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系数法</w:t>
            </w:r>
          </w:p>
        </w:tc>
        <w:tc>
          <w:tcPr>
            <w:tcW w:w="879" w:type="dxa"/>
            <w:vMerge w:val="restart"/>
            <w:tcBorders>
              <w:left w:val="single" w:color="000000" w:sz="4" w:space="0"/>
            </w:tcBorders>
            <w:vAlign w:val="center"/>
          </w:tcPr>
          <w:p w14:paraId="2A8E55E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002" w:type="dxa"/>
            <w:vAlign w:val="center"/>
          </w:tcPr>
          <w:p w14:paraId="638355D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181" w:type="dxa"/>
            <w:tcBorders>
              <w:right w:val="single" w:color="000000" w:sz="4" w:space="0"/>
            </w:tcBorders>
            <w:vAlign w:val="center"/>
          </w:tcPr>
          <w:p w14:paraId="41DEFB2F">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659" w:type="dxa"/>
            <w:vMerge w:val="restart"/>
            <w:tcBorders>
              <w:left w:val="single" w:color="000000" w:sz="4" w:space="0"/>
            </w:tcBorders>
            <w:vAlign w:val="center"/>
          </w:tcPr>
          <w:p w14:paraId="14681190">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4800</w:t>
            </w:r>
          </w:p>
        </w:tc>
      </w:tr>
      <w:tr w14:paraId="196048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Merge w:val="continue"/>
            <w:vAlign w:val="center"/>
          </w:tcPr>
          <w:p w14:paraId="078D56CE">
            <w:pPr>
              <w:widowControl/>
              <w:spacing w:line="360" w:lineRule="exact"/>
              <w:ind w:firstLine="0" w:firstLineChars="0"/>
              <w:jc w:val="center"/>
              <w:rPr>
                <w:rFonts w:ascii="Times New Roman" w:hAnsi="Times New Roman" w:eastAsia="宋体" w:cs="Times New Roman"/>
                <w:color w:val="auto"/>
                <w:sz w:val="21"/>
                <w:szCs w:val="21"/>
                <w:highlight w:val="none"/>
              </w:rPr>
            </w:pPr>
          </w:p>
        </w:tc>
        <w:tc>
          <w:tcPr>
            <w:tcW w:w="704" w:type="dxa"/>
            <w:vMerge w:val="continue"/>
            <w:vAlign w:val="center"/>
          </w:tcPr>
          <w:p w14:paraId="0F3D2F91">
            <w:pPr>
              <w:widowControl/>
              <w:spacing w:line="360" w:lineRule="exact"/>
              <w:ind w:firstLine="0" w:firstLineChars="0"/>
              <w:jc w:val="center"/>
              <w:rPr>
                <w:rFonts w:ascii="Times New Roman" w:hAnsi="Times New Roman" w:eastAsia="宋体" w:cs="Times New Roman"/>
                <w:color w:val="auto"/>
                <w:sz w:val="21"/>
                <w:szCs w:val="21"/>
                <w:highlight w:val="none"/>
              </w:rPr>
            </w:pPr>
          </w:p>
        </w:tc>
        <w:tc>
          <w:tcPr>
            <w:tcW w:w="889" w:type="dxa"/>
            <w:vMerge w:val="continue"/>
            <w:vAlign w:val="center"/>
          </w:tcPr>
          <w:p w14:paraId="384A7576">
            <w:pPr>
              <w:widowControl/>
              <w:spacing w:line="360" w:lineRule="exact"/>
              <w:ind w:firstLine="0" w:firstLineChars="0"/>
              <w:jc w:val="center"/>
              <w:rPr>
                <w:rFonts w:ascii="Times New Roman" w:hAnsi="Times New Roman" w:eastAsia="宋体" w:cs="Times New Roman"/>
                <w:color w:val="auto"/>
                <w:sz w:val="21"/>
                <w:szCs w:val="21"/>
                <w:highlight w:val="none"/>
              </w:rPr>
            </w:pPr>
          </w:p>
        </w:tc>
        <w:tc>
          <w:tcPr>
            <w:tcW w:w="859" w:type="dxa"/>
            <w:vAlign w:val="center"/>
          </w:tcPr>
          <w:p w14:paraId="167EF1CC">
            <w:pPr>
              <w:widowControl/>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硫化氢</w:t>
            </w:r>
          </w:p>
        </w:tc>
        <w:tc>
          <w:tcPr>
            <w:tcW w:w="720" w:type="dxa"/>
            <w:vMerge w:val="continue"/>
            <w:vAlign w:val="center"/>
          </w:tcPr>
          <w:p w14:paraId="68B79C9B">
            <w:pPr>
              <w:spacing w:line="360" w:lineRule="exact"/>
              <w:ind w:firstLine="0" w:firstLineChars="0"/>
              <w:jc w:val="center"/>
              <w:rPr>
                <w:rFonts w:cs="Times New Roman"/>
                <w:color w:val="auto"/>
                <w:sz w:val="21"/>
                <w:szCs w:val="21"/>
                <w:highlight w:val="none"/>
              </w:rPr>
            </w:pPr>
          </w:p>
        </w:tc>
        <w:tc>
          <w:tcPr>
            <w:tcW w:w="818" w:type="dxa"/>
            <w:vMerge w:val="continue"/>
            <w:vAlign w:val="center"/>
          </w:tcPr>
          <w:p w14:paraId="4EC6713A">
            <w:pPr>
              <w:spacing w:line="360" w:lineRule="exact"/>
              <w:ind w:firstLine="0" w:firstLineChars="0"/>
              <w:jc w:val="center"/>
              <w:rPr>
                <w:rFonts w:cs="Times New Roman"/>
                <w:color w:val="auto"/>
                <w:sz w:val="21"/>
                <w:szCs w:val="21"/>
                <w:highlight w:val="none"/>
              </w:rPr>
            </w:pPr>
          </w:p>
        </w:tc>
        <w:tc>
          <w:tcPr>
            <w:tcW w:w="902" w:type="dxa"/>
            <w:vAlign w:val="center"/>
          </w:tcPr>
          <w:p w14:paraId="75E3104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20" w:type="dxa"/>
            <w:vAlign w:val="center"/>
          </w:tcPr>
          <w:p w14:paraId="5A1AFE7F">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1.25</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1715" w:type="dxa"/>
            <w:vMerge w:val="continue"/>
            <w:vAlign w:val="center"/>
          </w:tcPr>
          <w:p w14:paraId="23C30A12">
            <w:pPr>
              <w:spacing w:line="360" w:lineRule="exact"/>
              <w:ind w:firstLine="0" w:firstLineChars="0"/>
              <w:jc w:val="center"/>
              <w:rPr>
                <w:rFonts w:cs="Times New Roman"/>
                <w:color w:val="auto"/>
                <w:sz w:val="21"/>
                <w:szCs w:val="21"/>
                <w:highlight w:val="none"/>
              </w:rPr>
            </w:pPr>
          </w:p>
        </w:tc>
        <w:tc>
          <w:tcPr>
            <w:tcW w:w="778" w:type="dxa"/>
            <w:vMerge w:val="continue"/>
            <w:vAlign w:val="center"/>
          </w:tcPr>
          <w:p w14:paraId="627B3837">
            <w:pPr>
              <w:spacing w:line="360" w:lineRule="exact"/>
              <w:ind w:firstLine="0" w:firstLineChars="0"/>
              <w:jc w:val="center"/>
              <w:rPr>
                <w:rFonts w:cs="Times New Roman"/>
                <w:color w:val="auto"/>
                <w:sz w:val="21"/>
                <w:szCs w:val="21"/>
                <w:highlight w:val="none"/>
              </w:rPr>
            </w:pPr>
          </w:p>
        </w:tc>
        <w:tc>
          <w:tcPr>
            <w:tcW w:w="711" w:type="dxa"/>
            <w:vMerge w:val="continue"/>
            <w:tcBorders>
              <w:right w:val="single" w:color="000000" w:sz="4" w:space="0"/>
            </w:tcBorders>
            <w:vAlign w:val="center"/>
          </w:tcPr>
          <w:p w14:paraId="028864E5">
            <w:pPr>
              <w:spacing w:line="360" w:lineRule="exact"/>
              <w:ind w:firstLine="0" w:firstLineChars="0"/>
              <w:jc w:val="center"/>
              <w:rPr>
                <w:rFonts w:cs="Times New Roman"/>
                <w:color w:val="auto"/>
                <w:sz w:val="21"/>
                <w:szCs w:val="21"/>
                <w:highlight w:val="none"/>
              </w:rPr>
            </w:pPr>
          </w:p>
        </w:tc>
        <w:tc>
          <w:tcPr>
            <w:tcW w:w="879" w:type="dxa"/>
            <w:vMerge w:val="continue"/>
            <w:tcBorders>
              <w:left w:val="single" w:color="000000" w:sz="4" w:space="0"/>
            </w:tcBorders>
            <w:vAlign w:val="center"/>
          </w:tcPr>
          <w:p w14:paraId="4B4784E5">
            <w:pPr>
              <w:spacing w:line="360" w:lineRule="exact"/>
              <w:ind w:firstLine="0" w:firstLineChars="0"/>
              <w:jc w:val="center"/>
              <w:rPr>
                <w:rFonts w:cs="Times New Roman"/>
                <w:color w:val="auto"/>
                <w:sz w:val="21"/>
                <w:szCs w:val="21"/>
                <w:highlight w:val="none"/>
              </w:rPr>
            </w:pPr>
          </w:p>
        </w:tc>
        <w:tc>
          <w:tcPr>
            <w:tcW w:w="1002" w:type="dxa"/>
            <w:vAlign w:val="center"/>
          </w:tcPr>
          <w:p w14:paraId="1C5EE7F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181" w:type="dxa"/>
            <w:tcBorders>
              <w:right w:val="single" w:color="000000" w:sz="4" w:space="0"/>
            </w:tcBorders>
            <w:vAlign w:val="center"/>
          </w:tcPr>
          <w:p w14:paraId="13A77801">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2.5</w:t>
            </w:r>
            <w:r>
              <w:rPr>
                <w:rFonts w:cs="Times New Roman"/>
                <w:color w:val="auto"/>
                <w:sz w:val="21"/>
                <w:szCs w:val="21"/>
                <w:highlight w:val="none"/>
                <w:lang w:val="zh-CN"/>
              </w:rPr>
              <w:t>×10</w:t>
            </w:r>
            <w:r>
              <w:rPr>
                <w:rFonts w:cs="Times New Roman"/>
                <w:color w:val="auto"/>
                <w:sz w:val="21"/>
                <w:szCs w:val="21"/>
                <w:highlight w:val="none"/>
                <w:vertAlign w:val="superscript"/>
                <w:lang w:val="zh-CN"/>
              </w:rPr>
              <w:t>-</w:t>
            </w:r>
            <w:r>
              <w:rPr>
                <w:rFonts w:hint="eastAsia" w:cs="Times New Roman"/>
                <w:color w:val="auto"/>
                <w:sz w:val="21"/>
                <w:szCs w:val="21"/>
                <w:highlight w:val="none"/>
                <w:vertAlign w:val="superscript"/>
                <w:lang w:val="en-US" w:eastAsia="zh-CN"/>
              </w:rPr>
              <w:t>5</w:t>
            </w:r>
          </w:p>
        </w:tc>
        <w:tc>
          <w:tcPr>
            <w:tcW w:w="659" w:type="dxa"/>
            <w:vMerge w:val="continue"/>
            <w:tcBorders>
              <w:left w:val="single" w:color="000000" w:sz="4" w:space="0"/>
            </w:tcBorders>
            <w:vAlign w:val="center"/>
          </w:tcPr>
          <w:p w14:paraId="487D3972">
            <w:pPr>
              <w:spacing w:line="360" w:lineRule="exact"/>
              <w:ind w:firstLine="0" w:firstLineChars="0"/>
              <w:jc w:val="center"/>
              <w:rPr>
                <w:rFonts w:cs="Times New Roman"/>
                <w:color w:val="auto"/>
                <w:sz w:val="21"/>
                <w:szCs w:val="21"/>
                <w:highlight w:val="none"/>
              </w:rPr>
            </w:pPr>
          </w:p>
        </w:tc>
      </w:tr>
      <w:tr w14:paraId="094DA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vAlign w:val="center"/>
          </w:tcPr>
          <w:p w14:paraId="08752F5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固废暂存</w:t>
            </w:r>
          </w:p>
        </w:tc>
        <w:tc>
          <w:tcPr>
            <w:tcW w:w="704" w:type="dxa"/>
            <w:vAlign w:val="center"/>
          </w:tcPr>
          <w:p w14:paraId="39C33FB6">
            <w:pPr>
              <w:spacing w:line="360" w:lineRule="exac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固废暂存间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毛皮暂存间</w:t>
            </w:r>
          </w:p>
        </w:tc>
        <w:tc>
          <w:tcPr>
            <w:tcW w:w="889" w:type="dxa"/>
            <w:vAlign w:val="center"/>
          </w:tcPr>
          <w:p w14:paraId="7258B84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无组织</w:t>
            </w:r>
          </w:p>
        </w:tc>
        <w:tc>
          <w:tcPr>
            <w:tcW w:w="859" w:type="dxa"/>
            <w:vAlign w:val="center"/>
          </w:tcPr>
          <w:p w14:paraId="70091690">
            <w:pPr>
              <w:pStyle w:val="370"/>
              <w:adjustRightInd w:val="0"/>
              <w:snapToGrid w:val="0"/>
              <w:spacing w:line="360" w:lineRule="exact"/>
              <w:ind w:right="0" w:rightChars="0"/>
              <w:rPr>
                <w:rFonts w:ascii="Times New Roman" w:hAnsi="Times New Roman" w:eastAsia="宋体"/>
                <w:color w:val="auto"/>
                <w:szCs w:val="21"/>
                <w:highlight w:val="none"/>
              </w:rPr>
            </w:pPr>
            <w:r>
              <w:rPr>
                <w:rFonts w:ascii="Times New Roman" w:hAnsi="Times New Roman" w:eastAsia="宋体"/>
                <w:color w:val="auto"/>
                <w:szCs w:val="21"/>
                <w:highlight w:val="none"/>
              </w:rPr>
              <w:t>恶臭</w:t>
            </w:r>
          </w:p>
        </w:tc>
        <w:tc>
          <w:tcPr>
            <w:tcW w:w="720" w:type="dxa"/>
            <w:vAlign w:val="center"/>
          </w:tcPr>
          <w:p w14:paraId="53B8C6E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818" w:type="dxa"/>
            <w:vAlign w:val="center"/>
          </w:tcPr>
          <w:p w14:paraId="115FAAA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902" w:type="dxa"/>
            <w:vAlign w:val="center"/>
          </w:tcPr>
          <w:p w14:paraId="3681A5B3">
            <w:pPr>
              <w:pStyle w:val="370"/>
              <w:adjustRightInd w:val="0"/>
              <w:snapToGrid w:val="0"/>
              <w:spacing w:line="360" w:lineRule="exact"/>
              <w:ind w:right="0" w:rightChars="0"/>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1220" w:type="dxa"/>
            <w:vAlign w:val="center"/>
          </w:tcPr>
          <w:p w14:paraId="4A5AE83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少量</w:t>
            </w:r>
          </w:p>
        </w:tc>
        <w:tc>
          <w:tcPr>
            <w:tcW w:w="1715" w:type="dxa"/>
            <w:vAlign w:val="center"/>
          </w:tcPr>
          <w:p w14:paraId="0E4121F4">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各储存池密封</w:t>
            </w:r>
            <w:r>
              <w:rPr>
                <w:rFonts w:hint="eastAsia" w:cs="Times New Roman"/>
                <w:color w:val="auto"/>
                <w:sz w:val="21"/>
                <w:szCs w:val="21"/>
                <w:highlight w:val="none"/>
                <w:lang w:eastAsia="zh-CN"/>
              </w:rPr>
              <w:t>、</w:t>
            </w:r>
            <w:r>
              <w:rPr>
                <w:rFonts w:cs="Times New Roman"/>
                <w:color w:val="auto"/>
                <w:kern w:val="0"/>
                <w:sz w:val="21"/>
                <w:szCs w:val="21"/>
                <w:highlight w:val="none"/>
              </w:rPr>
              <w:t>喷洒除臭剂</w:t>
            </w:r>
          </w:p>
        </w:tc>
        <w:tc>
          <w:tcPr>
            <w:tcW w:w="778" w:type="dxa"/>
            <w:vAlign w:val="center"/>
          </w:tcPr>
          <w:p w14:paraId="57BB82F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711" w:type="dxa"/>
            <w:tcBorders>
              <w:right w:val="single" w:color="000000" w:sz="4" w:space="0"/>
            </w:tcBorders>
            <w:vAlign w:val="center"/>
          </w:tcPr>
          <w:p w14:paraId="1E3780E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879" w:type="dxa"/>
            <w:tcBorders>
              <w:left w:val="single" w:color="000000" w:sz="4" w:space="0"/>
            </w:tcBorders>
            <w:vAlign w:val="center"/>
          </w:tcPr>
          <w:p w14:paraId="77019CD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002" w:type="dxa"/>
            <w:vAlign w:val="center"/>
          </w:tcPr>
          <w:p w14:paraId="2AFB6FF7">
            <w:pPr>
              <w:pStyle w:val="370"/>
              <w:adjustRightInd w:val="0"/>
              <w:snapToGrid w:val="0"/>
              <w:spacing w:line="360" w:lineRule="exact"/>
              <w:ind w:right="0" w:rightChars="0"/>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1181" w:type="dxa"/>
            <w:tcBorders>
              <w:right w:val="single" w:color="000000" w:sz="4" w:space="0"/>
            </w:tcBorders>
            <w:vAlign w:val="center"/>
          </w:tcPr>
          <w:p w14:paraId="4DD38D9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少量</w:t>
            </w:r>
          </w:p>
        </w:tc>
        <w:tc>
          <w:tcPr>
            <w:tcW w:w="659" w:type="dxa"/>
            <w:tcBorders>
              <w:left w:val="single" w:color="000000" w:sz="4" w:space="0"/>
            </w:tcBorders>
            <w:vAlign w:val="center"/>
          </w:tcPr>
          <w:p w14:paraId="675F985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r>
    </w:tbl>
    <w:p w14:paraId="673AC8A2">
      <w:pPr>
        <w:spacing w:line="500" w:lineRule="exact"/>
        <w:ind w:firstLine="0" w:firstLineChars="0"/>
        <w:rPr>
          <w:rFonts w:hint="default" w:cs="Times New Roman"/>
          <w:snapToGrid w:val="0"/>
          <w:color w:val="auto"/>
          <w:highlight w:val="none"/>
          <w:lang w:val="en-US"/>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26" w:charSpace="0"/>
        </w:sectPr>
      </w:pPr>
    </w:p>
    <w:bookmarkEnd w:id="134"/>
    <w:p w14:paraId="60B4CCB0">
      <w:pPr>
        <w:keepNext/>
        <w:keepLines/>
        <w:spacing w:line="500" w:lineRule="exact"/>
        <w:ind w:firstLine="0" w:firstLineChars="0"/>
        <w:outlineLvl w:val="3"/>
        <w:rPr>
          <w:rFonts w:cs="Times New Roman"/>
          <w:b/>
          <w:bCs/>
          <w:snapToGrid w:val="0"/>
          <w:color w:val="auto"/>
          <w:szCs w:val="20"/>
          <w:highlight w:val="none"/>
          <w:lang w:val="zh-CN"/>
        </w:rPr>
      </w:pPr>
      <w:r>
        <w:rPr>
          <w:rFonts w:cs="Times New Roman"/>
          <w:b/>
          <w:bCs/>
          <w:snapToGrid w:val="0"/>
          <w:color w:val="auto"/>
          <w:szCs w:val="20"/>
          <w:highlight w:val="none"/>
          <w:lang w:val="zh-CN"/>
        </w:rPr>
        <w:t>3.4.2.2废水</w:t>
      </w:r>
    </w:p>
    <w:p w14:paraId="012848AE">
      <w:pPr>
        <w:pStyle w:val="117"/>
        <w:rPr>
          <w:rFonts w:cs="Times New Roman"/>
          <w:snapToGrid w:val="0"/>
          <w:color w:val="auto"/>
          <w:highlight w:val="none"/>
        </w:rPr>
      </w:pPr>
      <w:r>
        <w:rPr>
          <w:rFonts w:cs="Times New Roman"/>
          <w:snapToGrid w:val="0"/>
          <w:color w:val="auto"/>
          <w:highlight w:val="none"/>
        </w:rPr>
        <w:t>本项目产生的废水主要为</w:t>
      </w:r>
      <w:r>
        <w:rPr>
          <w:rFonts w:cs="Times New Roman"/>
          <w:snapToGrid w:val="0"/>
          <w:color w:val="auto"/>
          <w:kern w:val="0"/>
          <w:highlight w:val="none"/>
        </w:rPr>
        <w:t>职工生活污水、屠宰废水</w:t>
      </w:r>
      <w:r>
        <w:rPr>
          <w:rFonts w:hint="eastAsia" w:cs="Times New Roman"/>
          <w:snapToGrid w:val="0"/>
          <w:color w:val="auto"/>
          <w:kern w:val="0"/>
          <w:highlight w:val="none"/>
          <w:lang w:eastAsia="zh-CN"/>
        </w:rPr>
        <w:t>、</w:t>
      </w:r>
      <w:r>
        <w:rPr>
          <w:rFonts w:hint="eastAsia" w:cs="Times New Roman"/>
          <w:snapToGrid w:val="0"/>
          <w:color w:val="auto"/>
          <w:kern w:val="0"/>
          <w:highlight w:val="none"/>
          <w:lang w:val="en-US" w:eastAsia="zh-CN"/>
        </w:rPr>
        <w:t>车辆冲洗水及冷库排酸废水</w:t>
      </w:r>
      <w:r>
        <w:rPr>
          <w:rFonts w:cs="Times New Roman"/>
          <w:snapToGrid w:val="0"/>
          <w:color w:val="auto"/>
          <w:highlight w:val="none"/>
        </w:rPr>
        <w:t>。</w:t>
      </w:r>
    </w:p>
    <w:p w14:paraId="3C19C5F7">
      <w:pPr>
        <w:pStyle w:val="117"/>
        <w:ind w:firstLine="482"/>
        <w:rPr>
          <w:rFonts w:cs="Times New Roman"/>
          <w:b/>
          <w:bCs/>
          <w:snapToGrid w:val="0"/>
          <w:color w:val="auto"/>
          <w:highlight w:val="none"/>
        </w:rPr>
      </w:pPr>
      <w:r>
        <w:rPr>
          <w:rFonts w:cs="Times New Roman"/>
          <w:b/>
          <w:bCs/>
          <w:snapToGrid w:val="0"/>
          <w:color w:val="auto"/>
          <w:highlight w:val="none"/>
        </w:rPr>
        <w:t>1、正常工况</w:t>
      </w:r>
    </w:p>
    <w:p w14:paraId="52EDFF21">
      <w:pPr>
        <w:pStyle w:val="117"/>
        <w:rPr>
          <w:rFonts w:cs="Times New Roman"/>
          <w:snapToGrid w:val="0"/>
          <w:color w:val="auto"/>
          <w:highlight w:val="none"/>
        </w:rPr>
      </w:pPr>
      <w:r>
        <w:rPr>
          <w:rFonts w:cs="Times New Roman"/>
          <w:snapToGrid w:val="0"/>
          <w:color w:val="auto"/>
          <w:highlight w:val="none"/>
        </w:rPr>
        <w:t>（1）生活污水</w:t>
      </w:r>
    </w:p>
    <w:p w14:paraId="6894716F">
      <w:pPr>
        <w:pStyle w:val="117"/>
        <w:rPr>
          <w:rFonts w:cs="Times New Roman"/>
          <w:snapToGrid w:val="0"/>
          <w:color w:val="auto"/>
          <w:highlight w:val="none"/>
        </w:rPr>
      </w:pPr>
      <w:r>
        <w:rPr>
          <w:rFonts w:cs="Times New Roman"/>
          <w:color w:val="auto"/>
          <w:szCs w:val="24"/>
          <w:highlight w:val="none"/>
        </w:rPr>
        <w:t>本项目职工人数为</w:t>
      </w:r>
      <w:r>
        <w:rPr>
          <w:rFonts w:hint="eastAsia" w:cs="Times New Roman"/>
          <w:color w:val="auto"/>
          <w:szCs w:val="24"/>
          <w:highlight w:val="none"/>
          <w:lang w:val="en-US" w:eastAsia="zh-CN"/>
        </w:rPr>
        <w:t>3</w:t>
      </w:r>
      <w:r>
        <w:rPr>
          <w:rFonts w:cs="Times New Roman"/>
          <w:color w:val="auto"/>
          <w:szCs w:val="24"/>
          <w:highlight w:val="none"/>
        </w:rPr>
        <w:t>0人，年工作3</w:t>
      </w:r>
      <w:r>
        <w:rPr>
          <w:rFonts w:hint="eastAsia" w:cs="Times New Roman"/>
          <w:color w:val="auto"/>
          <w:szCs w:val="24"/>
          <w:highlight w:val="none"/>
          <w:lang w:val="en-US" w:eastAsia="zh-CN"/>
        </w:rPr>
        <w:t>0</w:t>
      </w:r>
      <w:r>
        <w:rPr>
          <w:rFonts w:cs="Times New Roman"/>
          <w:color w:val="auto"/>
          <w:szCs w:val="24"/>
          <w:highlight w:val="none"/>
        </w:rPr>
        <w:t>0d，</w:t>
      </w:r>
      <w:r>
        <w:rPr>
          <w:rFonts w:cs="Times New Roman"/>
          <w:snapToGrid w:val="0"/>
          <w:color w:val="auto"/>
          <w:highlight w:val="none"/>
        </w:rPr>
        <w:t>排水量按用水量的80%计，则生活污水量为</w:t>
      </w:r>
      <w:r>
        <w:rPr>
          <w:rFonts w:hint="eastAsia" w:cs="Times New Roman"/>
          <w:snapToGrid w:val="0"/>
          <w:color w:val="auto"/>
          <w:highlight w:val="none"/>
          <w:lang w:val="en-US" w:eastAsia="zh-CN"/>
        </w:rPr>
        <w:t>1.92</w:t>
      </w:r>
      <w:r>
        <w:rPr>
          <w:rFonts w:cs="Times New Roman"/>
          <w:snapToGrid w:val="0"/>
          <w:color w:val="auto"/>
          <w:kern w:val="0"/>
          <w:highlight w:val="none"/>
        </w:rPr>
        <w:t>m</w:t>
      </w:r>
      <w:r>
        <w:rPr>
          <w:rFonts w:cs="Times New Roman"/>
          <w:snapToGrid w:val="0"/>
          <w:color w:val="auto"/>
          <w:kern w:val="0"/>
          <w:highlight w:val="none"/>
          <w:vertAlign w:val="superscript"/>
        </w:rPr>
        <w:t>3</w:t>
      </w:r>
      <w:r>
        <w:rPr>
          <w:rFonts w:cs="Times New Roman"/>
          <w:snapToGrid w:val="0"/>
          <w:color w:val="auto"/>
          <w:kern w:val="0"/>
          <w:highlight w:val="none"/>
        </w:rPr>
        <w:t>/d</w:t>
      </w:r>
      <w:r>
        <w:rPr>
          <w:rFonts w:cs="Times New Roman"/>
          <w:snapToGrid w:val="0"/>
          <w:color w:val="auto"/>
          <w:highlight w:val="none"/>
        </w:rPr>
        <w:t>，</w:t>
      </w:r>
      <w:r>
        <w:rPr>
          <w:rFonts w:hint="eastAsia" w:cs="Times New Roman"/>
          <w:snapToGrid w:val="0"/>
          <w:color w:val="auto"/>
          <w:highlight w:val="none"/>
          <w:lang w:val="en-US" w:eastAsia="zh-CN"/>
        </w:rPr>
        <w:t>576</w:t>
      </w:r>
      <w:r>
        <w:rPr>
          <w:rFonts w:cs="Times New Roman"/>
          <w:snapToGrid w:val="0"/>
          <w:color w:val="auto"/>
          <w:highlight w:val="none"/>
        </w:rPr>
        <w:t>t/a。</w:t>
      </w:r>
      <w:r>
        <w:rPr>
          <w:rFonts w:cs="Times New Roman"/>
          <w:color w:val="auto"/>
          <w:spacing w:val="12"/>
          <w:szCs w:val="24"/>
          <w:highlight w:val="none"/>
        </w:rPr>
        <w:t>COD浓度为300mg/L，氨氮浓度为30mg/L。</w:t>
      </w:r>
    </w:p>
    <w:p w14:paraId="564DA4AF">
      <w:pPr>
        <w:pStyle w:val="117"/>
        <w:rPr>
          <w:rFonts w:cs="Times New Roman"/>
          <w:snapToGrid w:val="0"/>
          <w:color w:val="auto"/>
          <w:highlight w:val="none"/>
        </w:rPr>
      </w:pPr>
      <w:r>
        <w:rPr>
          <w:rFonts w:cs="Times New Roman"/>
          <w:snapToGrid w:val="0"/>
          <w:color w:val="auto"/>
          <w:highlight w:val="none"/>
        </w:rPr>
        <w:t>（2）屠宰废水</w:t>
      </w:r>
    </w:p>
    <w:p w14:paraId="38BFDB17">
      <w:pPr>
        <w:adjustRightInd/>
        <w:snapToGrid/>
        <w:spacing w:line="500" w:lineRule="exact"/>
        <w:ind w:firstLineChars="0"/>
        <w:rPr>
          <w:rFonts w:cs="Times New Roman"/>
          <w:snapToGrid w:val="0"/>
          <w:color w:val="auto"/>
          <w:kern w:val="0"/>
          <w:highlight w:val="none"/>
        </w:rPr>
      </w:pPr>
      <w:r>
        <w:rPr>
          <w:rFonts w:cs="Times New Roman"/>
          <w:snapToGrid w:val="0"/>
          <w:color w:val="auto"/>
          <w:kern w:val="0"/>
          <w:highlight w:val="none"/>
        </w:rPr>
        <w:t>屠宰废水指屠宰过程产生的废水，包括屠宰时</w:t>
      </w:r>
      <w:r>
        <w:rPr>
          <w:rFonts w:hint="eastAsia" w:cs="Times New Roman"/>
          <w:snapToGrid w:val="0"/>
          <w:color w:val="auto"/>
          <w:kern w:val="0"/>
          <w:highlight w:val="none"/>
          <w:lang w:val="en-US" w:eastAsia="zh-CN"/>
        </w:rPr>
        <w:t>待宰</w:t>
      </w:r>
      <w:r>
        <w:rPr>
          <w:rFonts w:cs="Times New Roman"/>
          <w:snapToGrid w:val="0"/>
          <w:color w:val="auto"/>
          <w:kern w:val="0"/>
          <w:highlight w:val="none"/>
        </w:rPr>
        <w:t>圈栏冲洗、宰前淋洗、宰后烫毛、开腔、劈半、解体、内脏洗涤剂车间冲洗等过程产生的废水，宏观上主要含有的污染物为血污、碎肉、蓄毛、未消化的食物及尿液等，微观上主要含有的污染物为COD</w:t>
      </w:r>
      <w:r>
        <w:rPr>
          <w:rFonts w:cs="Times New Roman"/>
          <w:snapToGrid w:val="0"/>
          <w:color w:val="auto"/>
          <w:kern w:val="0"/>
          <w:highlight w:val="none"/>
          <w:vertAlign w:val="subscript"/>
        </w:rPr>
        <w:t>Cr</w:t>
      </w:r>
      <w:r>
        <w:rPr>
          <w:rFonts w:cs="Times New Roman"/>
          <w:snapToGrid w:val="0"/>
          <w:color w:val="auto"/>
          <w:kern w:val="0"/>
          <w:highlight w:val="none"/>
        </w:rPr>
        <w:t>、BOD</w:t>
      </w:r>
      <w:r>
        <w:rPr>
          <w:rFonts w:cs="Times New Roman"/>
          <w:snapToGrid w:val="0"/>
          <w:color w:val="auto"/>
          <w:kern w:val="0"/>
          <w:highlight w:val="none"/>
          <w:vertAlign w:val="subscript"/>
        </w:rPr>
        <w:t>5</w:t>
      </w:r>
      <w:r>
        <w:rPr>
          <w:rFonts w:cs="Times New Roman"/>
          <w:snapToGrid w:val="0"/>
          <w:color w:val="auto"/>
          <w:kern w:val="0"/>
          <w:highlight w:val="none"/>
        </w:rPr>
        <w:t>、SS、氨氮、动植物油、总氮及总磷。</w:t>
      </w:r>
    </w:p>
    <w:p w14:paraId="0C76E1DB">
      <w:pPr>
        <w:adjustRightInd/>
        <w:snapToGrid/>
        <w:spacing w:line="500" w:lineRule="exact"/>
        <w:ind w:firstLineChars="0"/>
        <w:rPr>
          <w:rFonts w:cs="Times New Roman"/>
          <w:snapToGrid w:val="0"/>
          <w:color w:val="auto"/>
          <w:kern w:val="0"/>
          <w:szCs w:val="24"/>
          <w:highlight w:val="none"/>
        </w:rPr>
      </w:pPr>
      <w:r>
        <w:rPr>
          <w:rFonts w:cs="Times New Roman"/>
          <w:snapToGrid w:val="0"/>
          <w:color w:val="auto"/>
          <w:kern w:val="0"/>
          <w:highlight w:val="none"/>
        </w:rPr>
        <w:t>本项目</w:t>
      </w:r>
      <w:r>
        <w:rPr>
          <w:rFonts w:hint="eastAsia" w:cs="Times New Roman"/>
          <w:color w:val="auto"/>
          <w:highlight w:val="none"/>
        </w:rPr>
        <w:t>屠宰量为肉牛</w:t>
      </w:r>
      <w:r>
        <w:rPr>
          <w:rFonts w:hint="eastAsia" w:cs="Times New Roman"/>
          <w:color w:val="auto"/>
          <w:highlight w:val="none"/>
          <w:lang w:val="en-US" w:eastAsia="zh-CN"/>
        </w:rPr>
        <w:t>100</w:t>
      </w:r>
      <w:r>
        <w:rPr>
          <w:rFonts w:hint="eastAsia" w:cs="Times New Roman"/>
          <w:color w:val="auto"/>
          <w:highlight w:val="none"/>
        </w:rPr>
        <w:t>头/d，肉羊</w:t>
      </w:r>
      <w:r>
        <w:rPr>
          <w:rFonts w:hint="eastAsia" w:cs="Times New Roman"/>
          <w:color w:val="auto"/>
          <w:highlight w:val="none"/>
          <w:lang w:val="en-US" w:eastAsia="zh-CN"/>
        </w:rPr>
        <w:t>500</w:t>
      </w:r>
      <w:r>
        <w:rPr>
          <w:rFonts w:hint="eastAsia" w:cs="Times New Roman"/>
          <w:color w:val="auto"/>
          <w:highlight w:val="none"/>
        </w:rPr>
        <w:t>只/d</w:t>
      </w:r>
      <w:r>
        <w:rPr>
          <w:rFonts w:hint="eastAsia" w:cs="Times New Roman"/>
          <w:color w:val="auto"/>
          <w:highlight w:val="none"/>
          <w:lang w:eastAsia="zh-CN"/>
        </w:rPr>
        <w:t>，</w:t>
      </w:r>
      <w:r>
        <w:rPr>
          <w:rFonts w:hint="eastAsia" w:cs="Times New Roman"/>
          <w:color w:val="auto"/>
          <w:highlight w:val="none"/>
        </w:rPr>
        <w:t>按设计3</w:t>
      </w:r>
      <w:r>
        <w:rPr>
          <w:rFonts w:hint="eastAsia" w:cs="Times New Roman"/>
          <w:color w:val="auto"/>
          <w:highlight w:val="none"/>
          <w:lang w:val="en-US" w:eastAsia="zh-CN"/>
        </w:rPr>
        <w:t>0</w:t>
      </w:r>
      <w:r>
        <w:rPr>
          <w:rFonts w:cs="Times New Roman"/>
          <w:color w:val="auto"/>
          <w:highlight w:val="none"/>
        </w:rPr>
        <w:t>0</w:t>
      </w:r>
      <w:r>
        <w:rPr>
          <w:rFonts w:hint="eastAsia" w:cs="Times New Roman"/>
          <w:color w:val="auto"/>
          <w:highlight w:val="none"/>
        </w:rPr>
        <w:t>天工作计算，</w:t>
      </w:r>
      <w:r>
        <w:rPr>
          <w:rFonts w:hint="eastAsia" w:cs="Times New Roman"/>
          <w:color w:val="auto"/>
          <w:highlight w:val="none"/>
          <w:lang w:eastAsia="zh-CN"/>
        </w:rPr>
        <w:t>年屠宰肉牛</w:t>
      </w:r>
      <w:r>
        <w:rPr>
          <w:rFonts w:hint="eastAsia" w:cs="Times New Roman"/>
          <w:color w:val="auto"/>
          <w:highlight w:val="none"/>
          <w:lang w:val="en-US" w:eastAsia="zh-CN"/>
        </w:rPr>
        <w:t>30000</w:t>
      </w:r>
      <w:r>
        <w:rPr>
          <w:rFonts w:hint="eastAsia" w:cs="Times New Roman"/>
          <w:color w:val="auto"/>
          <w:highlight w:val="none"/>
          <w:lang w:eastAsia="zh-CN"/>
        </w:rPr>
        <w:t>头、肉羊</w:t>
      </w:r>
      <w:r>
        <w:rPr>
          <w:rFonts w:hint="eastAsia" w:cs="Times New Roman"/>
          <w:color w:val="auto"/>
          <w:highlight w:val="none"/>
          <w:lang w:val="en-US" w:eastAsia="zh-CN"/>
        </w:rPr>
        <w:t>150</w:t>
      </w:r>
      <w:r>
        <w:rPr>
          <w:rFonts w:hint="eastAsia" w:cs="Times New Roman"/>
          <w:color w:val="auto"/>
          <w:highlight w:val="none"/>
          <w:lang w:eastAsia="zh-CN"/>
        </w:rPr>
        <w:t>000只。</w:t>
      </w:r>
      <w:r>
        <w:rPr>
          <w:rFonts w:cs="Times New Roman"/>
          <w:snapToGrid w:val="0"/>
          <w:color w:val="auto"/>
          <w:kern w:val="0"/>
          <w:highlight w:val="none"/>
        </w:rPr>
        <w:t>根据</w:t>
      </w:r>
      <w:r>
        <w:rPr>
          <w:rFonts w:ascii="Times New Roman" w:hAnsi="Times New Roman" w:cs="Times New Roman"/>
          <w:color w:val="auto"/>
          <w:highlight w:val="none"/>
        </w:rPr>
        <w:t>《排放源统计调查产排污核算方法和系数手册》中</w:t>
      </w:r>
      <w:r>
        <w:rPr>
          <w:rFonts w:cs="Times New Roman"/>
          <w:snapToGrid w:val="0"/>
          <w:color w:val="auto"/>
          <w:kern w:val="0"/>
          <w:highlight w:val="none"/>
        </w:rPr>
        <w:t>《135屠宰及肉类加工行业系数手册》</w:t>
      </w:r>
      <w:r>
        <w:rPr>
          <w:rFonts w:hint="eastAsia" w:cs="Times New Roman"/>
          <w:snapToGrid w:val="0"/>
          <w:color w:val="auto"/>
          <w:kern w:val="0"/>
          <w:highlight w:val="none"/>
          <w:lang w:val="en-US" w:eastAsia="zh-CN"/>
        </w:rPr>
        <w:t>的</w:t>
      </w:r>
      <w:r>
        <w:rPr>
          <w:rFonts w:cs="Times New Roman"/>
          <w:snapToGrid w:val="0"/>
          <w:color w:val="auto"/>
          <w:kern w:val="0"/>
          <w:highlight w:val="none"/>
        </w:rPr>
        <w:t>1351牲畜屠宰行业产污系数表可知，牛：工业废水量为0.941吨/头牛，</w:t>
      </w:r>
      <w:r>
        <w:rPr>
          <w:rFonts w:cs="Times New Roman"/>
          <w:snapToGrid w:val="0"/>
          <w:color w:val="auto"/>
          <w:kern w:val="0"/>
          <w:szCs w:val="24"/>
          <w:highlight w:val="none"/>
        </w:rPr>
        <w:t>COD产污系数为3.87×10</w:t>
      </w:r>
      <w:r>
        <w:rPr>
          <w:rFonts w:cs="Times New Roman"/>
          <w:snapToGrid w:val="0"/>
          <w:color w:val="auto"/>
          <w:kern w:val="0"/>
          <w:szCs w:val="24"/>
          <w:highlight w:val="none"/>
          <w:vertAlign w:val="superscript"/>
        </w:rPr>
        <w:t>3</w:t>
      </w:r>
      <w:r>
        <w:rPr>
          <w:rFonts w:cs="Times New Roman"/>
          <w:snapToGrid w:val="0"/>
          <w:color w:val="auto"/>
          <w:kern w:val="0"/>
          <w:szCs w:val="24"/>
          <w:highlight w:val="none"/>
        </w:rPr>
        <w:t>克/头，氨氮产污系数为107克/头，总氮为226克/头，总磷为13克/头；羊：</w:t>
      </w:r>
      <w:r>
        <w:rPr>
          <w:rFonts w:cs="Times New Roman"/>
          <w:snapToGrid w:val="0"/>
          <w:color w:val="auto"/>
          <w:kern w:val="0"/>
          <w:highlight w:val="none"/>
        </w:rPr>
        <w:t>工业废水量为0.27吨/头牛，</w:t>
      </w:r>
      <w:r>
        <w:rPr>
          <w:rFonts w:cs="Times New Roman"/>
          <w:snapToGrid w:val="0"/>
          <w:color w:val="auto"/>
          <w:kern w:val="0"/>
          <w:szCs w:val="24"/>
          <w:highlight w:val="none"/>
        </w:rPr>
        <w:t>COD产污系数为471克/只，氨氮产污系数为18克/只，总氮为45克/只，总磷为5.8克/只。</w:t>
      </w:r>
    </w:p>
    <w:p w14:paraId="23651425">
      <w:pPr>
        <w:adjustRightInd/>
        <w:snapToGrid/>
        <w:spacing w:line="500" w:lineRule="exact"/>
        <w:ind w:firstLineChars="0"/>
        <w:rPr>
          <w:rFonts w:hint="eastAsia" w:ascii="Times New Roman" w:hAnsi="Times New Roman" w:eastAsia="宋体" w:cs="Times New Roman"/>
          <w:color w:val="auto"/>
          <w:sz w:val="24"/>
          <w:szCs w:val="24"/>
          <w:highlight w:val="none"/>
          <w:lang w:val="en-US" w:eastAsia="zh-CN"/>
        </w:rPr>
      </w:pPr>
      <w:r>
        <w:rPr>
          <w:rFonts w:cs="Times New Roman"/>
          <w:snapToGrid w:val="0"/>
          <w:color w:val="auto"/>
          <w:kern w:val="0"/>
          <w:highlight w:val="none"/>
        </w:rPr>
        <w:t>本项目屠宰过程中排水量约为</w:t>
      </w:r>
      <w:r>
        <w:rPr>
          <w:rFonts w:hint="eastAsia" w:cs="Times New Roman"/>
          <w:snapToGrid w:val="0"/>
          <w:color w:val="auto"/>
          <w:kern w:val="0"/>
          <w:highlight w:val="none"/>
          <w:lang w:val="en-US" w:eastAsia="zh-CN"/>
        </w:rPr>
        <w:t>68730</w:t>
      </w:r>
      <w:r>
        <w:rPr>
          <w:rFonts w:cs="Times New Roman"/>
          <w:snapToGrid w:val="0"/>
          <w:color w:val="auto"/>
          <w:kern w:val="0"/>
          <w:highlight w:val="none"/>
        </w:rPr>
        <w:t>t/a（</w:t>
      </w:r>
      <w:r>
        <w:rPr>
          <w:rFonts w:hint="eastAsia" w:cs="Times New Roman"/>
          <w:snapToGrid w:val="0"/>
          <w:color w:val="auto"/>
          <w:kern w:val="0"/>
          <w:highlight w:val="none"/>
          <w:lang w:val="en-US" w:eastAsia="zh-CN"/>
        </w:rPr>
        <w:t>229.1</w:t>
      </w:r>
      <w:r>
        <w:rPr>
          <w:rFonts w:cs="Times New Roman"/>
          <w:snapToGrid w:val="0"/>
          <w:color w:val="auto"/>
          <w:kern w:val="0"/>
          <w:highlight w:val="none"/>
        </w:rPr>
        <w:t>t/d），</w:t>
      </w:r>
      <w:r>
        <w:rPr>
          <w:rFonts w:cs="Times New Roman"/>
          <w:snapToGrid w:val="0"/>
          <w:color w:val="auto"/>
          <w:kern w:val="0"/>
          <w:szCs w:val="24"/>
          <w:highlight w:val="none"/>
        </w:rPr>
        <w:t>COD产生量为</w:t>
      </w:r>
      <w:r>
        <w:rPr>
          <w:rFonts w:hint="eastAsia" w:cs="Times New Roman"/>
          <w:snapToGrid w:val="0"/>
          <w:color w:val="auto"/>
          <w:kern w:val="0"/>
          <w:szCs w:val="24"/>
          <w:highlight w:val="none"/>
          <w:lang w:val="en-US" w:eastAsia="zh-CN"/>
        </w:rPr>
        <w:t>186.75</w:t>
      </w:r>
      <w:r>
        <w:rPr>
          <w:rFonts w:cs="Times New Roman"/>
          <w:snapToGrid w:val="0"/>
          <w:color w:val="auto"/>
          <w:kern w:val="0"/>
          <w:szCs w:val="24"/>
          <w:highlight w:val="none"/>
        </w:rPr>
        <w:t>t/a，氨氮产生量为</w:t>
      </w:r>
      <w:r>
        <w:rPr>
          <w:rFonts w:hint="eastAsia" w:cs="Times New Roman"/>
          <w:snapToGrid w:val="0"/>
          <w:color w:val="auto"/>
          <w:kern w:val="0"/>
          <w:szCs w:val="24"/>
          <w:highlight w:val="none"/>
          <w:lang w:val="en-US" w:eastAsia="zh-CN"/>
        </w:rPr>
        <w:t>5.91</w:t>
      </w:r>
      <w:r>
        <w:rPr>
          <w:rFonts w:cs="Times New Roman"/>
          <w:snapToGrid w:val="0"/>
          <w:color w:val="auto"/>
          <w:kern w:val="0"/>
          <w:szCs w:val="24"/>
          <w:highlight w:val="none"/>
        </w:rPr>
        <w:t>t/a，总氮产生量为</w:t>
      </w:r>
      <w:r>
        <w:rPr>
          <w:rFonts w:hint="eastAsia" w:cs="Times New Roman"/>
          <w:snapToGrid w:val="0"/>
          <w:color w:val="auto"/>
          <w:kern w:val="0"/>
          <w:szCs w:val="24"/>
          <w:highlight w:val="none"/>
          <w:lang w:val="en-US" w:eastAsia="zh-CN"/>
        </w:rPr>
        <w:t>13.53</w:t>
      </w:r>
      <w:r>
        <w:rPr>
          <w:rFonts w:cs="Times New Roman"/>
          <w:snapToGrid w:val="0"/>
          <w:color w:val="auto"/>
          <w:kern w:val="0"/>
          <w:szCs w:val="24"/>
          <w:highlight w:val="none"/>
        </w:rPr>
        <w:t>t/a，总磷产生量为</w:t>
      </w:r>
      <w:r>
        <w:rPr>
          <w:rFonts w:hint="eastAsia" w:cs="Times New Roman"/>
          <w:snapToGrid w:val="0"/>
          <w:color w:val="auto"/>
          <w:kern w:val="0"/>
          <w:szCs w:val="24"/>
          <w:highlight w:val="none"/>
          <w:lang w:val="en-US" w:eastAsia="zh-CN"/>
        </w:rPr>
        <w:t>1.26</w:t>
      </w:r>
      <w:r>
        <w:rPr>
          <w:rFonts w:cs="Times New Roman"/>
          <w:snapToGrid w:val="0"/>
          <w:color w:val="auto"/>
          <w:kern w:val="0"/>
          <w:szCs w:val="24"/>
          <w:highlight w:val="none"/>
        </w:rPr>
        <w:t>t/a。本项目屠宰废水COD产生浓度为</w:t>
      </w:r>
      <w:r>
        <w:rPr>
          <w:rFonts w:hint="eastAsia" w:cs="Times New Roman"/>
          <w:snapToGrid w:val="0"/>
          <w:color w:val="auto"/>
          <w:kern w:val="0"/>
          <w:szCs w:val="24"/>
          <w:highlight w:val="none"/>
          <w:lang w:val="en-US" w:eastAsia="zh-CN"/>
        </w:rPr>
        <w:t>2717</w:t>
      </w:r>
      <w:r>
        <w:rPr>
          <w:rFonts w:cs="Times New Roman"/>
          <w:snapToGrid w:val="0"/>
          <w:color w:val="auto"/>
          <w:kern w:val="0"/>
          <w:szCs w:val="24"/>
          <w:highlight w:val="none"/>
        </w:rPr>
        <w:t>mg/L，氨氮产生浓度为</w:t>
      </w:r>
      <w:r>
        <w:rPr>
          <w:rFonts w:hint="eastAsia" w:cs="Times New Roman"/>
          <w:snapToGrid w:val="0"/>
          <w:color w:val="auto"/>
          <w:kern w:val="0"/>
          <w:szCs w:val="24"/>
          <w:highlight w:val="none"/>
          <w:lang w:val="en-US" w:eastAsia="zh-CN"/>
        </w:rPr>
        <w:t>86</w:t>
      </w:r>
      <w:r>
        <w:rPr>
          <w:rFonts w:cs="Times New Roman"/>
          <w:snapToGrid w:val="0"/>
          <w:color w:val="auto"/>
          <w:kern w:val="0"/>
          <w:szCs w:val="24"/>
          <w:highlight w:val="none"/>
        </w:rPr>
        <w:t>mg/L，总氮产生浓度为</w:t>
      </w:r>
      <w:r>
        <w:rPr>
          <w:rFonts w:hint="eastAsia" w:cs="Times New Roman"/>
          <w:snapToGrid w:val="0"/>
          <w:color w:val="auto"/>
          <w:kern w:val="0"/>
          <w:szCs w:val="24"/>
          <w:highlight w:val="none"/>
          <w:lang w:val="en-US" w:eastAsia="zh-CN"/>
        </w:rPr>
        <w:t>197</w:t>
      </w:r>
      <w:r>
        <w:rPr>
          <w:rFonts w:cs="Times New Roman"/>
          <w:snapToGrid w:val="0"/>
          <w:color w:val="auto"/>
          <w:kern w:val="0"/>
          <w:szCs w:val="24"/>
          <w:highlight w:val="none"/>
        </w:rPr>
        <w:t>mg/L，总磷产生浓度为</w:t>
      </w:r>
      <w:r>
        <w:rPr>
          <w:rFonts w:hint="eastAsia" w:cs="Times New Roman"/>
          <w:snapToGrid w:val="0"/>
          <w:color w:val="auto"/>
          <w:kern w:val="0"/>
          <w:szCs w:val="24"/>
          <w:highlight w:val="none"/>
          <w:lang w:val="en-US" w:eastAsia="zh-CN"/>
        </w:rPr>
        <w:t>18</w:t>
      </w:r>
      <w:r>
        <w:rPr>
          <w:rFonts w:cs="Times New Roman"/>
          <w:snapToGrid w:val="0"/>
          <w:color w:val="auto"/>
          <w:kern w:val="0"/>
          <w:szCs w:val="24"/>
          <w:highlight w:val="none"/>
        </w:rPr>
        <w:t>mg/L。</w:t>
      </w:r>
      <w:r>
        <w:rPr>
          <w:rFonts w:cs="Times New Roman"/>
          <w:color w:val="auto"/>
          <w:szCs w:val="24"/>
          <w:highlight w:val="none"/>
        </w:rPr>
        <w:t>SS、BOD</w:t>
      </w:r>
      <w:r>
        <w:rPr>
          <w:rFonts w:cs="Times New Roman"/>
          <w:color w:val="auto"/>
          <w:szCs w:val="24"/>
          <w:highlight w:val="none"/>
          <w:vertAlign w:val="subscript"/>
        </w:rPr>
        <w:t>5</w:t>
      </w:r>
      <w:r>
        <w:rPr>
          <w:rFonts w:cs="Times New Roman"/>
          <w:color w:val="auto"/>
          <w:szCs w:val="24"/>
          <w:highlight w:val="none"/>
        </w:rPr>
        <w:t>及动植物油浓度参照《屠宰与肉类加工废水治理工程技术规范》（HJ2004-2010）中所建议的废水水质，BOD</w:t>
      </w:r>
      <w:r>
        <w:rPr>
          <w:rFonts w:cs="Times New Roman"/>
          <w:color w:val="auto"/>
          <w:szCs w:val="24"/>
          <w:highlight w:val="none"/>
          <w:vertAlign w:val="subscript"/>
        </w:rPr>
        <w:t>5</w:t>
      </w:r>
      <w:r>
        <w:rPr>
          <w:rFonts w:cs="Times New Roman"/>
          <w:color w:val="auto"/>
          <w:szCs w:val="24"/>
          <w:highlight w:val="none"/>
        </w:rPr>
        <w:t>1000mg/L、SS1000mg/L、动植物油200mg/L</w:t>
      </w:r>
      <w:r>
        <w:rPr>
          <w:rFonts w:hint="eastAsia" w:cs="Times New Roman"/>
          <w:color w:val="auto"/>
          <w:szCs w:val="24"/>
          <w:highlight w:val="none"/>
          <w:lang w:eastAsia="zh-CN"/>
        </w:rPr>
        <w:t>、</w:t>
      </w:r>
      <w:r>
        <w:rPr>
          <w:rFonts w:hint="eastAsia" w:cs="Times New Roman"/>
          <w:color w:val="auto"/>
          <w:szCs w:val="24"/>
          <w:highlight w:val="none"/>
          <w:lang w:val="en-US" w:eastAsia="zh-CN"/>
        </w:rPr>
        <w:t>pH6.5~7.5（无量纲）、</w:t>
      </w:r>
      <w:r>
        <w:rPr>
          <w:rFonts w:hint="eastAsia"/>
          <w:color w:val="auto"/>
          <w:highlight w:val="none"/>
        </w:rPr>
        <w:t>大肠菌群数取值参考《环境工程技术手册废水污染控制技术手册》中国内大型肉类联合加工企业生产废水水质大肠菌群数平均值3.83×10</w:t>
      </w:r>
      <w:r>
        <w:rPr>
          <w:rFonts w:hint="eastAsia"/>
          <w:color w:val="auto"/>
          <w:highlight w:val="none"/>
          <w:vertAlign w:val="superscript"/>
        </w:rPr>
        <w:t>5</w:t>
      </w:r>
      <w:r>
        <w:rPr>
          <w:rFonts w:hint="eastAsia"/>
          <w:color w:val="auto"/>
          <w:highlight w:val="none"/>
        </w:rPr>
        <w:t>个/L。</w:t>
      </w:r>
    </w:p>
    <w:p w14:paraId="5D002329">
      <w:pPr>
        <w:spacing w:line="500" w:lineRule="exact"/>
        <w:rPr>
          <w:rFonts w:hint="default"/>
          <w:color w:val="auto"/>
          <w:highlight w:val="none"/>
          <w:lang w:val="en-US" w:eastAsia="zh-CN"/>
        </w:rPr>
      </w:pPr>
      <w:r>
        <w:rPr>
          <w:rFonts w:hint="eastAsia" w:cs="Times New Roman"/>
          <w:snapToGrid w:val="0"/>
          <w:color w:val="auto"/>
          <w:kern w:val="0"/>
          <w:highlight w:val="none"/>
          <w:lang w:val="en-US" w:eastAsia="zh-CN"/>
        </w:rPr>
        <w:t>屠宰废水中隔离间废水和检疫室排水由于可能存在致病菌，需单独收集，经消毒后排入厂区内污水处理站处理。</w:t>
      </w:r>
    </w:p>
    <w:p w14:paraId="571E3EE5">
      <w:pPr>
        <w:pStyle w:val="117"/>
        <w:ind w:firstLine="0" w:firstLineChars="0"/>
        <w:jc w:val="right"/>
        <w:rPr>
          <w:rFonts w:hint="default" w:ascii="Times New Roman" w:hAnsi="Times New Roman" w:eastAsia="宋体" w:cs="Times New Roman"/>
          <w:b/>
          <w:color w:val="auto"/>
          <w:szCs w:val="24"/>
          <w:highlight w:val="none"/>
          <w:lang w:val="en-US" w:eastAsia="zh-CN"/>
        </w:rPr>
      </w:pPr>
      <w:r>
        <w:rPr>
          <w:rFonts w:ascii="Times New Roman" w:hAnsi="Times New Roman" w:eastAsia="宋体" w:cs="Times New Roman"/>
          <w:b/>
          <w:color w:val="auto"/>
          <w:szCs w:val="24"/>
          <w:highlight w:val="none"/>
        </w:rPr>
        <w:t>表3-4-7  屠宰废水水质一览表</w:t>
      </w:r>
      <w:r>
        <w:rPr>
          <w:rFonts w:hint="eastAsia" w:ascii="Times New Roman" w:hAnsi="Times New Roman" w:eastAsia="宋体" w:cs="Times New Roman"/>
          <w:b/>
          <w:color w:val="auto"/>
          <w:szCs w:val="24"/>
          <w:highlight w:val="none"/>
          <w:lang w:val="en-US" w:eastAsia="zh-CN"/>
        </w:rPr>
        <w:t xml:space="preserve">  </w:t>
      </w:r>
      <w:r>
        <w:rPr>
          <w:rFonts w:hint="eastAsia" w:ascii="Times New Roman" w:hAnsi="Times New Roman" w:eastAsia="宋体" w:cs="Times New Roman"/>
          <w:b/>
          <w:color w:val="auto"/>
          <w:sz w:val="21"/>
          <w:szCs w:val="21"/>
          <w:highlight w:val="none"/>
          <w:lang w:val="en-US" w:eastAsia="zh-CN"/>
        </w:rPr>
        <w:t>单位：pH值无量纲，大肠菌群数</w:t>
      </w:r>
      <w:r>
        <w:rPr>
          <w:rFonts w:hint="eastAsia" w:cs="Times New Roman"/>
          <w:b/>
          <w:color w:val="auto"/>
          <w:sz w:val="21"/>
          <w:szCs w:val="21"/>
          <w:highlight w:val="none"/>
          <w:lang w:val="en-US" w:eastAsia="zh-CN"/>
        </w:rPr>
        <w:t>个</w:t>
      </w:r>
      <w:r>
        <w:rPr>
          <w:rFonts w:hint="eastAsia" w:ascii="Times New Roman" w:hAnsi="Times New Roman" w:eastAsia="宋体" w:cs="Times New Roman"/>
          <w:b/>
          <w:color w:val="auto"/>
          <w:sz w:val="21"/>
          <w:szCs w:val="21"/>
          <w:highlight w:val="none"/>
          <w:lang w:val="en-US" w:eastAsia="zh-CN"/>
        </w:rPr>
        <w:t>/L</w:t>
      </w:r>
    </w:p>
    <w:tbl>
      <w:tblPr>
        <w:tblStyle w:val="47"/>
        <w:tblW w:w="8525" w:type="dxa"/>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Layout w:type="fixed"/>
        <w:tblCellMar>
          <w:top w:w="0" w:type="dxa"/>
          <w:left w:w="108" w:type="dxa"/>
          <w:bottom w:w="0" w:type="dxa"/>
          <w:right w:w="108" w:type="dxa"/>
        </w:tblCellMar>
      </w:tblPr>
      <w:tblGrid>
        <w:gridCol w:w="881"/>
        <w:gridCol w:w="799"/>
        <w:gridCol w:w="709"/>
        <w:gridCol w:w="783"/>
        <w:gridCol w:w="639"/>
        <w:gridCol w:w="705"/>
        <w:gridCol w:w="694"/>
        <w:gridCol w:w="699"/>
        <w:gridCol w:w="693"/>
        <w:gridCol w:w="915"/>
        <w:gridCol w:w="1008"/>
      </w:tblGrid>
      <w:tr w14:paraId="3DF6173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36" w:hRule="atLeast"/>
          <w:jc w:val="center"/>
        </w:trPr>
        <w:tc>
          <w:tcPr>
            <w:tcW w:w="881" w:type="dxa"/>
            <w:vMerge w:val="restart"/>
            <w:tcBorders>
              <w:tl2br w:val="nil"/>
              <w:tr2bl w:val="nil"/>
            </w:tcBorders>
            <w:shd w:val="clear" w:color="auto" w:fill="auto"/>
            <w:vAlign w:val="center"/>
          </w:tcPr>
          <w:p w14:paraId="5AB34FAE">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类别</w:t>
            </w:r>
          </w:p>
        </w:tc>
        <w:tc>
          <w:tcPr>
            <w:tcW w:w="799" w:type="dxa"/>
            <w:tcBorders>
              <w:tl2br w:val="nil"/>
              <w:tr2bl w:val="nil"/>
            </w:tcBorders>
            <w:shd w:val="clear" w:color="auto" w:fill="auto"/>
            <w:vAlign w:val="center"/>
          </w:tcPr>
          <w:p w14:paraId="4606B6E9">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排水量</w:t>
            </w:r>
          </w:p>
        </w:tc>
        <w:tc>
          <w:tcPr>
            <w:tcW w:w="6845" w:type="dxa"/>
            <w:gridSpan w:val="9"/>
            <w:tcBorders>
              <w:tl2br w:val="nil"/>
              <w:tr2bl w:val="nil"/>
            </w:tcBorders>
            <w:shd w:val="clear" w:color="auto" w:fill="auto"/>
            <w:vAlign w:val="center"/>
          </w:tcPr>
          <w:p w14:paraId="66199FA8">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主要污染物浓度（</w:t>
            </w:r>
            <w:r>
              <w:rPr>
                <w:rFonts w:hint="default" w:ascii="Times New Roman" w:hAnsi="Times New Roman" w:eastAsia="宋体" w:cs="Times New Roman"/>
                <w:color w:val="auto"/>
                <w:sz w:val="21"/>
                <w:szCs w:val="21"/>
                <w:highlight w:val="none"/>
                <w:lang w:val="en-US" w:eastAsia="zh-CN"/>
              </w:rPr>
              <w:t>mg/L</w:t>
            </w:r>
            <w:r>
              <w:rPr>
                <w:rFonts w:hint="eastAsia" w:ascii="Times New Roman" w:hAnsi="Times New Roman" w:eastAsia="宋体" w:cs="Times New Roman"/>
                <w:color w:val="auto"/>
                <w:sz w:val="21"/>
                <w:szCs w:val="21"/>
                <w:highlight w:val="none"/>
                <w:lang w:val="en-US" w:eastAsia="zh-CN"/>
              </w:rPr>
              <w:t>）</w:t>
            </w:r>
          </w:p>
        </w:tc>
      </w:tr>
      <w:tr w14:paraId="141C91E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57" w:hRule="atLeast"/>
          <w:jc w:val="center"/>
        </w:trPr>
        <w:tc>
          <w:tcPr>
            <w:tcW w:w="881" w:type="dxa"/>
            <w:vMerge w:val="continue"/>
            <w:tcBorders>
              <w:tl2br w:val="nil"/>
              <w:tr2bl w:val="nil"/>
            </w:tcBorders>
            <w:shd w:val="clear" w:color="auto" w:fill="auto"/>
            <w:vAlign w:val="center"/>
          </w:tcPr>
          <w:p w14:paraId="0BDE002E">
            <w:pPr>
              <w:pStyle w:val="303"/>
              <w:adjustRightInd w:val="0"/>
              <w:snapToGrid w:val="0"/>
              <w:rPr>
                <w:rFonts w:hint="eastAsia" w:ascii="Times New Roman" w:hAnsi="Times New Roman" w:eastAsia="宋体" w:cs="Times New Roman"/>
                <w:color w:val="auto"/>
                <w:sz w:val="21"/>
                <w:szCs w:val="21"/>
                <w:highlight w:val="none"/>
                <w:lang w:eastAsia="zh-CN"/>
              </w:rPr>
            </w:pPr>
          </w:p>
        </w:tc>
        <w:tc>
          <w:tcPr>
            <w:tcW w:w="799" w:type="dxa"/>
            <w:tcBorders>
              <w:tl2br w:val="nil"/>
              <w:tr2bl w:val="nil"/>
            </w:tcBorders>
            <w:shd w:val="clear" w:color="auto" w:fill="auto"/>
            <w:vAlign w:val="center"/>
          </w:tcPr>
          <w:p w14:paraId="3DCC024A">
            <w:pPr>
              <w:pStyle w:val="303"/>
              <w:adjustRightInd w:val="0"/>
              <w:snapToGrid w:val="0"/>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709" w:type="dxa"/>
            <w:tcBorders>
              <w:tl2br w:val="nil"/>
              <w:tr2bl w:val="nil"/>
            </w:tcBorders>
            <w:shd w:val="clear" w:color="auto" w:fill="auto"/>
            <w:vAlign w:val="center"/>
          </w:tcPr>
          <w:p w14:paraId="06C2AF2B">
            <w:pPr>
              <w:pStyle w:val="303"/>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COD</w:t>
            </w:r>
          </w:p>
        </w:tc>
        <w:tc>
          <w:tcPr>
            <w:tcW w:w="783" w:type="dxa"/>
            <w:tcBorders>
              <w:tl2br w:val="nil"/>
              <w:tr2bl w:val="nil"/>
            </w:tcBorders>
            <w:shd w:val="clear" w:color="auto" w:fill="auto"/>
            <w:vAlign w:val="center"/>
          </w:tcPr>
          <w:p w14:paraId="560C7EED">
            <w:pPr>
              <w:pStyle w:val="303"/>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p>
        </w:tc>
        <w:tc>
          <w:tcPr>
            <w:tcW w:w="639" w:type="dxa"/>
            <w:tcBorders>
              <w:tl2br w:val="nil"/>
              <w:tr2bl w:val="nil"/>
            </w:tcBorders>
            <w:shd w:val="clear" w:color="auto" w:fill="auto"/>
            <w:vAlign w:val="center"/>
          </w:tcPr>
          <w:p w14:paraId="3F8CE620">
            <w:pPr>
              <w:pStyle w:val="303"/>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SS</w:t>
            </w:r>
          </w:p>
        </w:tc>
        <w:tc>
          <w:tcPr>
            <w:tcW w:w="705" w:type="dxa"/>
            <w:tcBorders>
              <w:tl2br w:val="nil"/>
              <w:tr2bl w:val="nil"/>
            </w:tcBorders>
            <w:shd w:val="clear" w:color="auto" w:fill="auto"/>
            <w:vAlign w:val="center"/>
          </w:tcPr>
          <w:p w14:paraId="061739C7">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氨氮</w:t>
            </w:r>
          </w:p>
        </w:tc>
        <w:tc>
          <w:tcPr>
            <w:tcW w:w="694" w:type="dxa"/>
            <w:tcBorders>
              <w:tl2br w:val="nil"/>
              <w:tr2bl w:val="nil"/>
            </w:tcBorders>
            <w:shd w:val="clear" w:color="auto" w:fill="auto"/>
            <w:vAlign w:val="center"/>
          </w:tcPr>
          <w:p w14:paraId="4714B21D">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动植物油</w:t>
            </w:r>
          </w:p>
        </w:tc>
        <w:tc>
          <w:tcPr>
            <w:tcW w:w="699" w:type="dxa"/>
            <w:tcBorders>
              <w:tl2br w:val="nil"/>
              <w:tr2bl w:val="nil"/>
            </w:tcBorders>
            <w:shd w:val="clear" w:color="auto" w:fill="auto"/>
            <w:vAlign w:val="center"/>
          </w:tcPr>
          <w:p w14:paraId="00D36141">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总氮</w:t>
            </w:r>
          </w:p>
        </w:tc>
        <w:tc>
          <w:tcPr>
            <w:tcW w:w="693" w:type="dxa"/>
            <w:tcBorders>
              <w:tl2br w:val="nil"/>
              <w:tr2bl w:val="nil"/>
            </w:tcBorders>
            <w:shd w:val="clear" w:color="auto" w:fill="auto"/>
            <w:vAlign w:val="center"/>
          </w:tcPr>
          <w:p w14:paraId="7E61DA95">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总磷</w:t>
            </w:r>
          </w:p>
        </w:tc>
        <w:tc>
          <w:tcPr>
            <w:tcW w:w="915" w:type="dxa"/>
            <w:tcBorders>
              <w:tl2br w:val="nil"/>
              <w:tr2bl w:val="nil"/>
            </w:tcBorders>
            <w:shd w:val="clear" w:color="auto" w:fill="auto"/>
            <w:vAlign w:val="center"/>
          </w:tcPr>
          <w:p w14:paraId="74A51A31">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pH值</w:t>
            </w:r>
          </w:p>
        </w:tc>
        <w:tc>
          <w:tcPr>
            <w:tcW w:w="1008" w:type="dxa"/>
            <w:tcBorders>
              <w:tl2br w:val="nil"/>
              <w:tr2bl w:val="nil"/>
            </w:tcBorders>
            <w:shd w:val="clear" w:color="auto" w:fill="auto"/>
            <w:vAlign w:val="center"/>
          </w:tcPr>
          <w:p w14:paraId="38F7A10B">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大肠菌群数</w:t>
            </w:r>
          </w:p>
        </w:tc>
      </w:tr>
      <w:tr w14:paraId="7A8AF6D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26" w:hRule="atLeast"/>
          <w:jc w:val="center"/>
        </w:trPr>
        <w:tc>
          <w:tcPr>
            <w:tcW w:w="881" w:type="dxa"/>
            <w:tcBorders>
              <w:tl2br w:val="nil"/>
              <w:tr2bl w:val="nil"/>
            </w:tcBorders>
            <w:shd w:val="clear" w:color="auto" w:fill="auto"/>
            <w:vAlign w:val="center"/>
          </w:tcPr>
          <w:p w14:paraId="57BB8E91">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牛屠宰废水</w:t>
            </w:r>
          </w:p>
        </w:tc>
        <w:tc>
          <w:tcPr>
            <w:tcW w:w="799" w:type="dxa"/>
            <w:tcBorders>
              <w:tl2br w:val="nil"/>
              <w:tr2bl w:val="nil"/>
            </w:tcBorders>
            <w:shd w:val="clear" w:color="auto" w:fill="auto"/>
            <w:vAlign w:val="center"/>
          </w:tcPr>
          <w:p w14:paraId="1C7C2848">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94.1</w:t>
            </w:r>
          </w:p>
        </w:tc>
        <w:tc>
          <w:tcPr>
            <w:tcW w:w="709" w:type="dxa"/>
            <w:tcBorders>
              <w:tl2br w:val="nil"/>
              <w:tr2bl w:val="nil"/>
            </w:tcBorders>
            <w:shd w:val="clear" w:color="auto" w:fill="auto"/>
            <w:vAlign w:val="center"/>
          </w:tcPr>
          <w:p w14:paraId="1B8B9B07">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4113</w:t>
            </w:r>
          </w:p>
        </w:tc>
        <w:tc>
          <w:tcPr>
            <w:tcW w:w="783" w:type="dxa"/>
            <w:tcBorders>
              <w:tl2br w:val="nil"/>
              <w:tr2bl w:val="nil"/>
            </w:tcBorders>
            <w:shd w:val="clear" w:color="auto" w:fill="auto"/>
            <w:vAlign w:val="center"/>
          </w:tcPr>
          <w:p w14:paraId="3AF1FFAE">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1000</w:t>
            </w:r>
          </w:p>
        </w:tc>
        <w:tc>
          <w:tcPr>
            <w:tcW w:w="639" w:type="dxa"/>
            <w:tcBorders>
              <w:tl2br w:val="nil"/>
              <w:tr2bl w:val="nil"/>
            </w:tcBorders>
            <w:shd w:val="clear" w:color="auto" w:fill="auto"/>
            <w:vAlign w:val="center"/>
          </w:tcPr>
          <w:p w14:paraId="6D00CCC4">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1000</w:t>
            </w:r>
          </w:p>
        </w:tc>
        <w:tc>
          <w:tcPr>
            <w:tcW w:w="705" w:type="dxa"/>
            <w:tcBorders>
              <w:tl2br w:val="nil"/>
              <w:tr2bl w:val="nil"/>
            </w:tcBorders>
            <w:shd w:val="clear" w:color="auto" w:fill="auto"/>
            <w:vAlign w:val="center"/>
          </w:tcPr>
          <w:p w14:paraId="181A7CF7">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113.7</w:t>
            </w:r>
          </w:p>
        </w:tc>
        <w:tc>
          <w:tcPr>
            <w:tcW w:w="694" w:type="dxa"/>
            <w:tcBorders>
              <w:tl2br w:val="nil"/>
              <w:tr2bl w:val="nil"/>
            </w:tcBorders>
            <w:shd w:val="clear" w:color="auto" w:fill="auto"/>
            <w:vAlign w:val="center"/>
          </w:tcPr>
          <w:p w14:paraId="214661C8">
            <w:pPr>
              <w:pStyle w:val="303"/>
              <w:adjustRightInd w:val="0"/>
              <w:snapToGrid w:val="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200</w:t>
            </w:r>
          </w:p>
        </w:tc>
        <w:tc>
          <w:tcPr>
            <w:tcW w:w="699" w:type="dxa"/>
            <w:tcBorders>
              <w:tl2br w:val="nil"/>
              <w:tr2bl w:val="nil"/>
            </w:tcBorders>
            <w:shd w:val="clear" w:color="auto" w:fill="auto"/>
            <w:vAlign w:val="center"/>
          </w:tcPr>
          <w:p w14:paraId="37A9E1B9">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240.2</w:t>
            </w:r>
          </w:p>
        </w:tc>
        <w:tc>
          <w:tcPr>
            <w:tcW w:w="693" w:type="dxa"/>
            <w:tcBorders>
              <w:tl2br w:val="nil"/>
              <w:tr2bl w:val="nil"/>
            </w:tcBorders>
            <w:shd w:val="clear" w:color="auto" w:fill="auto"/>
            <w:vAlign w:val="center"/>
          </w:tcPr>
          <w:p w14:paraId="6F338BB0">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13.8</w:t>
            </w:r>
          </w:p>
        </w:tc>
        <w:tc>
          <w:tcPr>
            <w:tcW w:w="915" w:type="dxa"/>
            <w:tcBorders>
              <w:tl2br w:val="nil"/>
              <w:tr2bl w:val="nil"/>
            </w:tcBorders>
            <w:shd w:val="clear" w:color="auto" w:fill="auto"/>
            <w:vAlign w:val="center"/>
          </w:tcPr>
          <w:p w14:paraId="2F59EA6F">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7.5</w:t>
            </w:r>
          </w:p>
        </w:tc>
        <w:tc>
          <w:tcPr>
            <w:tcW w:w="1008" w:type="dxa"/>
            <w:tcBorders>
              <w:tl2br w:val="nil"/>
              <w:tr2bl w:val="nil"/>
            </w:tcBorders>
            <w:shd w:val="clear" w:color="auto" w:fill="auto"/>
            <w:vAlign w:val="center"/>
          </w:tcPr>
          <w:p w14:paraId="2BB89B01">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r>
      <w:tr w14:paraId="0B01891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726" w:hRule="atLeast"/>
          <w:jc w:val="center"/>
        </w:trPr>
        <w:tc>
          <w:tcPr>
            <w:tcW w:w="881" w:type="dxa"/>
            <w:tcBorders>
              <w:tl2br w:val="nil"/>
              <w:tr2bl w:val="nil"/>
            </w:tcBorders>
            <w:shd w:val="clear" w:color="auto" w:fill="auto"/>
            <w:vAlign w:val="center"/>
          </w:tcPr>
          <w:p w14:paraId="3189700A">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羊屠宰废水</w:t>
            </w:r>
          </w:p>
        </w:tc>
        <w:tc>
          <w:tcPr>
            <w:tcW w:w="799" w:type="dxa"/>
            <w:tcBorders>
              <w:tl2br w:val="nil"/>
              <w:tr2bl w:val="nil"/>
            </w:tcBorders>
            <w:shd w:val="clear" w:color="auto" w:fill="auto"/>
            <w:vAlign w:val="center"/>
          </w:tcPr>
          <w:p w14:paraId="12F2A508">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135</w:t>
            </w:r>
          </w:p>
        </w:tc>
        <w:tc>
          <w:tcPr>
            <w:tcW w:w="709" w:type="dxa"/>
            <w:tcBorders>
              <w:tl2br w:val="nil"/>
              <w:tr2bl w:val="nil"/>
            </w:tcBorders>
            <w:shd w:val="clear" w:color="auto" w:fill="auto"/>
            <w:vAlign w:val="center"/>
          </w:tcPr>
          <w:p w14:paraId="2D16CBA7">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1744</w:t>
            </w:r>
          </w:p>
        </w:tc>
        <w:tc>
          <w:tcPr>
            <w:tcW w:w="783" w:type="dxa"/>
            <w:tcBorders>
              <w:tl2br w:val="nil"/>
              <w:tr2bl w:val="nil"/>
            </w:tcBorders>
            <w:shd w:val="clear" w:color="auto" w:fill="auto"/>
            <w:vAlign w:val="center"/>
          </w:tcPr>
          <w:p w14:paraId="406A3B81">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1000</w:t>
            </w:r>
          </w:p>
        </w:tc>
        <w:tc>
          <w:tcPr>
            <w:tcW w:w="639" w:type="dxa"/>
            <w:tcBorders>
              <w:tl2br w:val="nil"/>
              <w:tr2bl w:val="nil"/>
            </w:tcBorders>
            <w:shd w:val="clear" w:color="auto" w:fill="auto"/>
            <w:vAlign w:val="center"/>
          </w:tcPr>
          <w:p w14:paraId="733196CF">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1000</w:t>
            </w:r>
          </w:p>
        </w:tc>
        <w:tc>
          <w:tcPr>
            <w:tcW w:w="705" w:type="dxa"/>
            <w:tcBorders>
              <w:tl2br w:val="nil"/>
              <w:tr2bl w:val="nil"/>
            </w:tcBorders>
            <w:shd w:val="clear" w:color="auto" w:fill="auto"/>
            <w:vAlign w:val="center"/>
          </w:tcPr>
          <w:p w14:paraId="11ECB005">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66.7</w:t>
            </w:r>
          </w:p>
        </w:tc>
        <w:tc>
          <w:tcPr>
            <w:tcW w:w="694" w:type="dxa"/>
            <w:tcBorders>
              <w:tl2br w:val="nil"/>
              <w:tr2bl w:val="nil"/>
            </w:tcBorders>
            <w:shd w:val="clear" w:color="auto" w:fill="auto"/>
            <w:vAlign w:val="center"/>
          </w:tcPr>
          <w:p w14:paraId="668A7C2C">
            <w:pPr>
              <w:pStyle w:val="303"/>
              <w:adjustRightInd w:val="0"/>
              <w:snapToGrid w:val="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200</w:t>
            </w:r>
          </w:p>
        </w:tc>
        <w:tc>
          <w:tcPr>
            <w:tcW w:w="699" w:type="dxa"/>
            <w:tcBorders>
              <w:tl2br w:val="nil"/>
              <w:tr2bl w:val="nil"/>
            </w:tcBorders>
            <w:shd w:val="clear" w:color="auto" w:fill="auto"/>
            <w:vAlign w:val="center"/>
          </w:tcPr>
          <w:p w14:paraId="448D6E72">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166.7</w:t>
            </w:r>
          </w:p>
        </w:tc>
        <w:tc>
          <w:tcPr>
            <w:tcW w:w="693" w:type="dxa"/>
            <w:tcBorders>
              <w:tl2br w:val="nil"/>
              <w:tr2bl w:val="nil"/>
            </w:tcBorders>
            <w:shd w:val="clear" w:color="auto" w:fill="auto"/>
            <w:vAlign w:val="center"/>
          </w:tcPr>
          <w:p w14:paraId="7D7DD1F8">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21.5</w:t>
            </w:r>
          </w:p>
        </w:tc>
        <w:tc>
          <w:tcPr>
            <w:tcW w:w="915" w:type="dxa"/>
            <w:tcBorders>
              <w:tl2br w:val="nil"/>
              <w:tr2bl w:val="nil"/>
            </w:tcBorders>
            <w:shd w:val="clear" w:color="auto" w:fill="auto"/>
            <w:vAlign w:val="center"/>
          </w:tcPr>
          <w:p w14:paraId="015253FC">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7.5</w:t>
            </w:r>
          </w:p>
        </w:tc>
        <w:tc>
          <w:tcPr>
            <w:tcW w:w="1008" w:type="dxa"/>
            <w:tcBorders>
              <w:tl2br w:val="nil"/>
              <w:tr2bl w:val="nil"/>
            </w:tcBorders>
            <w:shd w:val="clear" w:color="auto" w:fill="auto"/>
            <w:vAlign w:val="center"/>
          </w:tcPr>
          <w:p w14:paraId="6AB6A4DD">
            <w:pPr>
              <w:pStyle w:val="303"/>
              <w:adjustRightInd w:val="0"/>
              <w:snapToGrid w:val="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r>
      <w:tr w14:paraId="0626BF3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55" w:hRule="atLeast"/>
          <w:jc w:val="center"/>
        </w:trPr>
        <w:tc>
          <w:tcPr>
            <w:tcW w:w="881" w:type="dxa"/>
            <w:tcBorders>
              <w:tl2br w:val="nil"/>
              <w:tr2bl w:val="nil"/>
            </w:tcBorders>
            <w:shd w:val="clear" w:color="auto" w:fill="auto"/>
            <w:vAlign w:val="center"/>
          </w:tcPr>
          <w:p w14:paraId="35723A2C">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混合屠宰废水</w:t>
            </w:r>
          </w:p>
        </w:tc>
        <w:tc>
          <w:tcPr>
            <w:tcW w:w="799" w:type="dxa"/>
            <w:tcBorders>
              <w:tl2br w:val="nil"/>
              <w:tr2bl w:val="nil"/>
            </w:tcBorders>
            <w:shd w:val="clear" w:color="auto" w:fill="auto"/>
            <w:vAlign w:val="center"/>
          </w:tcPr>
          <w:p w14:paraId="78D080ED">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229.1</w:t>
            </w:r>
          </w:p>
        </w:tc>
        <w:tc>
          <w:tcPr>
            <w:tcW w:w="709" w:type="dxa"/>
            <w:tcBorders>
              <w:tl2br w:val="nil"/>
              <w:tr2bl w:val="nil"/>
            </w:tcBorders>
            <w:shd w:val="clear" w:color="auto" w:fill="auto"/>
            <w:vAlign w:val="center"/>
          </w:tcPr>
          <w:p w14:paraId="5A890E55">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2717</w:t>
            </w:r>
          </w:p>
        </w:tc>
        <w:tc>
          <w:tcPr>
            <w:tcW w:w="783" w:type="dxa"/>
            <w:tcBorders>
              <w:tl2br w:val="nil"/>
              <w:tr2bl w:val="nil"/>
            </w:tcBorders>
            <w:shd w:val="clear" w:color="auto" w:fill="auto"/>
            <w:vAlign w:val="center"/>
          </w:tcPr>
          <w:p w14:paraId="10D3F9AD">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1000</w:t>
            </w:r>
          </w:p>
        </w:tc>
        <w:tc>
          <w:tcPr>
            <w:tcW w:w="639" w:type="dxa"/>
            <w:tcBorders>
              <w:tl2br w:val="nil"/>
              <w:tr2bl w:val="nil"/>
            </w:tcBorders>
            <w:shd w:val="clear" w:color="auto" w:fill="auto"/>
            <w:vAlign w:val="center"/>
          </w:tcPr>
          <w:p w14:paraId="1821B08C">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1000</w:t>
            </w:r>
          </w:p>
        </w:tc>
        <w:tc>
          <w:tcPr>
            <w:tcW w:w="705" w:type="dxa"/>
            <w:tcBorders>
              <w:tl2br w:val="nil"/>
              <w:tr2bl w:val="nil"/>
            </w:tcBorders>
            <w:shd w:val="clear" w:color="auto" w:fill="auto"/>
            <w:vAlign w:val="center"/>
          </w:tcPr>
          <w:p w14:paraId="63568EA7">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86</w:t>
            </w:r>
          </w:p>
        </w:tc>
        <w:tc>
          <w:tcPr>
            <w:tcW w:w="694" w:type="dxa"/>
            <w:tcBorders>
              <w:tl2br w:val="nil"/>
              <w:tr2bl w:val="nil"/>
            </w:tcBorders>
            <w:shd w:val="clear" w:color="auto" w:fill="auto"/>
            <w:vAlign w:val="center"/>
          </w:tcPr>
          <w:p w14:paraId="1BBE79BE">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c>
          <w:tcPr>
            <w:tcW w:w="699" w:type="dxa"/>
            <w:tcBorders>
              <w:tl2br w:val="nil"/>
              <w:tr2bl w:val="nil"/>
            </w:tcBorders>
            <w:shd w:val="clear" w:color="auto" w:fill="auto"/>
            <w:vAlign w:val="center"/>
          </w:tcPr>
          <w:p w14:paraId="3FAE2B8A">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197</w:t>
            </w:r>
          </w:p>
        </w:tc>
        <w:tc>
          <w:tcPr>
            <w:tcW w:w="693" w:type="dxa"/>
            <w:tcBorders>
              <w:tl2br w:val="nil"/>
              <w:tr2bl w:val="nil"/>
            </w:tcBorders>
            <w:shd w:val="clear" w:color="auto" w:fill="auto"/>
            <w:vAlign w:val="center"/>
          </w:tcPr>
          <w:p w14:paraId="4BCA30C5">
            <w:pPr>
              <w:pStyle w:val="303"/>
              <w:adjustRightInd w:val="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w:t>
            </w:r>
          </w:p>
        </w:tc>
        <w:tc>
          <w:tcPr>
            <w:tcW w:w="915" w:type="dxa"/>
            <w:tcBorders>
              <w:tl2br w:val="nil"/>
              <w:tr2bl w:val="nil"/>
            </w:tcBorders>
            <w:shd w:val="clear" w:color="auto" w:fill="auto"/>
            <w:vAlign w:val="center"/>
          </w:tcPr>
          <w:p w14:paraId="4C48B505">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7.5</w:t>
            </w:r>
          </w:p>
        </w:tc>
        <w:tc>
          <w:tcPr>
            <w:tcW w:w="1008" w:type="dxa"/>
            <w:tcBorders>
              <w:tl2br w:val="nil"/>
              <w:tr2bl w:val="nil"/>
            </w:tcBorders>
            <w:shd w:val="clear" w:color="auto" w:fill="auto"/>
            <w:vAlign w:val="center"/>
          </w:tcPr>
          <w:p w14:paraId="34CADAAB">
            <w:pPr>
              <w:pStyle w:val="303"/>
              <w:adjustRightInd w:val="0"/>
              <w:snapToGrid w:val="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r>
    </w:tbl>
    <w:p w14:paraId="7AD2F5D0">
      <w:pPr>
        <w:adjustRightInd/>
        <w:snapToGrid/>
        <w:spacing w:line="500" w:lineRule="exact"/>
        <w:ind w:firstLineChars="0"/>
        <w:rPr>
          <w:rFonts w:hint="eastAsia" w:cs="Times New Roman"/>
          <w:color w:val="auto"/>
          <w:szCs w:val="24"/>
          <w:highlight w:val="none"/>
          <w:lang w:val="en-US" w:eastAsia="zh-CN"/>
        </w:rPr>
      </w:pPr>
      <w:r>
        <w:rPr>
          <w:rFonts w:hint="eastAsia" w:cs="Times New Roman"/>
          <w:color w:val="auto"/>
          <w:szCs w:val="24"/>
          <w:highlight w:val="none"/>
          <w:lang w:val="en-US" w:eastAsia="zh-CN"/>
        </w:rPr>
        <w:t>（3）车辆冲洗废水</w:t>
      </w:r>
    </w:p>
    <w:p w14:paraId="2E1C9870">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Ansi="宋体"/>
          <w:color w:val="auto"/>
          <w:highlight w:val="none"/>
        </w:rPr>
      </w:pPr>
      <w:r>
        <w:rPr>
          <w:rFonts w:hint="eastAsia"/>
          <w:color w:val="auto"/>
          <w:highlight w:val="none"/>
          <w:lang w:val="en-US" w:eastAsia="zh-CN"/>
        </w:rPr>
        <w:t>运送牛羊</w:t>
      </w:r>
      <w:r>
        <w:rPr>
          <w:rFonts w:hint="eastAsia"/>
          <w:color w:val="auto"/>
          <w:highlight w:val="none"/>
        </w:rPr>
        <w:t>车辆清洗废水产生量为</w:t>
      </w:r>
      <w:r>
        <w:rPr>
          <w:rFonts w:hint="eastAsia"/>
          <w:color w:val="auto"/>
          <w:highlight w:val="none"/>
          <w:lang w:val="en-US" w:eastAsia="zh-CN"/>
        </w:rPr>
        <w:t>1.6</w:t>
      </w:r>
      <w:r>
        <w:rPr>
          <w:color w:val="auto"/>
          <w:highlight w:val="none"/>
        </w:rPr>
        <w:t>m</w:t>
      </w:r>
      <w:r>
        <w:rPr>
          <w:color w:val="auto"/>
          <w:highlight w:val="none"/>
          <w:vertAlign w:val="superscript"/>
        </w:rPr>
        <w:t>3</w:t>
      </w:r>
      <w:r>
        <w:rPr>
          <w:color w:val="auto"/>
          <w:highlight w:val="none"/>
        </w:rPr>
        <w:t>/d</w:t>
      </w:r>
      <w:r>
        <w:rPr>
          <w:rFonts w:hint="eastAsia"/>
          <w:color w:val="auto"/>
          <w:highlight w:val="none"/>
        </w:rPr>
        <w:t>、</w:t>
      </w:r>
      <w:r>
        <w:rPr>
          <w:rFonts w:hint="eastAsia"/>
          <w:color w:val="auto"/>
          <w:highlight w:val="none"/>
          <w:lang w:val="en-US" w:eastAsia="zh-CN"/>
        </w:rPr>
        <w:t>480</w:t>
      </w:r>
      <w:r>
        <w:rPr>
          <w:color w:val="auto"/>
          <w:highlight w:val="none"/>
        </w:rPr>
        <w:t>m</w:t>
      </w:r>
      <w:r>
        <w:rPr>
          <w:color w:val="auto"/>
          <w:highlight w:val="none"/>
          <w:vertAlign w:val="superscript"/>
        </w:rPr>
        <w:t>3</w:t>
      </w:r>
      <w:r>
        <w:rPr>
          <w:color w:val="auto"/>
          <w:highlight w:val="none"/>
        </w:rPr>
        <w:t>/a</w:t>
      </w:r>
      <w:r>
        <w:rPr>
          <w:rFonts w:hint="eastAsia"/>
          <w:color w:val="auto"/>
          <w:highlight w:val="none"/>
        </w:rPr>
        <w:t>。</w:t>
      </w:r>
      <w:r>
        <w:rPr>
          <w:rFonts w:hint="eastAsia"/>
          <w:color w:val="auto"/>
          <w:highlight w:val="none"/>
          <w:lang w:val="en-US" w:eastAsia="zh-CN"/>
        </w:rPr>
        <w:t>该项目</w:t>
      </w:r>
      <w:r>
        <w:rPr>
          <w:rFonts w:hint="eastAsia" w:cs="Times New Roman"/>
          <w:color w:val="auto"/>
          <w:szCs w:val="24"/>
          <w:highlight w:val="none"/>
          <w:lang w:val="en-US" w:eastAsia="zh-CN"/>
        </w:rPr>
        <w:t>车辆冲洗废水含有少量粪便，因此确定车辆冲洗废水</w:t>
      </w:r>
      <w:r>
        <w:rPr>
          <w:rFonts w:hAnsi="宋体"/>
          <w:color w:val="auto"/>
          <w:highlight w:val="none"/>
        </w:rPr>
        <w:t>主要污染物为</w:t>
      </w:r>
      <w:r>
        <w:rPr>
          <w:color w:val="auto"/>
          <w:highlight w:val="none"/>
        </w:rPr>
        <w:t>COD1200mg/L</w:t>
      </w:r>
      <w:r>
        <w:rPr>
          <w:rFonts w:hAnsi="宋体"/>
          <w:color w:val="auto"/>
          <w:highlight w:val="none"/>
        </w:rPr>
        <w:t>、</w:t>
      </w:r>
      <w:r>
        <w:rPr>
          <w:color w:val="auto"/>
          <w:highlight w:val="none"/>
        </w:rPr>
        <w:t>BOD</w:t>
      </w:r>
      <w:r>
        <w:rPr>
          <w:color w:val="auto"/>
          <w:highlight w:val="none"/>
          <w:vertAlign w:val="subscript"/>
        </w:rPr>
        <w:t>5</w:t>
      </w:r>
      <w:r>
        <w:rPr>
          <w:color w:val="auto"/>
          <w:highlight w:val="none"/>
        </w:rPr>
        <w:t>500mg/L</w:t>
      </w:r>
      <w:r>
        <w:rPr>
          <w:rFonts w:hAnsi="宋体"/>
          <w:color w:val="auto"/>
          <w:highlight w:val="none"/>
        </w:rPr>
        <w:t>、</w:t>
      </w:r>
      <w:r>
        <w:rPr>
          <w:color w:val="auto"/>
          <w:highlight w:val="none"/>
        </w:rPr>
        <w:t>SS550mg/L</w:t>
      </w:r>
      <w:r>
        <w:rPr>
          <w:rFonts w:hAnsi="宋体"/>
          <w:color w:val="auto"/>
          <w:highlight w:val="none"/>
        </w:rPr>
        <w:t>、</w:t>
      </w:r>
      <w:r>
        <w:rPr>
          <w:color w:val="auto"/>
          <w:highlight w:val="none"/>
        </w:rPr>
        <w:t>NH</w:t>
      </w:r>
      <w:r>
        <w:rPr>
          <w:color w:val="auto"/>
          <w:highlight w:val="none"/>
          <w:vertAlign w:val="subscript"/>
        </w:rPr>
        <w:t>3</w:t>
      </w:r>
      <w:r>
        <w:rPr>
          <w:color w:val="auto"/>
          <w:highlight w:val="none"/>
        </w:rPr>
        <w:t>-N55mg/L</w:t>
      </w:r>
      <w:r>
        <w:rPr>
          <w:rFonts w:hAnsi="宋体"/>
          <w:color w:val="auto"/>
          <w:highlight w:val="none"/>
        </w:rPr>
        <w:t>。</w:t>
      </w:r>
    </w:p>
    <w:p w14:paraId="3BECB03E">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宋体" w:eastAsia="宋体"/>
          <w:color w:val="auto"/>
          <w:highlight w:val="none"/>
          <w:lang w:val="en-US" w:eastAsia="zh-CN"/>
        </w:rPr>
      </w:pPr>
      <w:r>
        <w:rPr>
          <w:rFonts w:hint="eastAsia" w:ascii="Times New Roman" w:hAnsi="宋体" w:eastAsia="宋体"/>
          <w:color w:val="auto"/>
          <w:highlight w:val="none"/>
          <w:lang w:eastAsia="zh-CN"/>
        </w:rPr>
        <w:t>（</w:t>
      </w:r>
      <w:r>
        <w:rPr>
          <w:rFonts w:hint="eastAsia" w:ascii="Times New Roman" w:hAnsi="宋体" w:eastAsia="宋体"/>
          <w:color w:val="auto"/>
          <w:highlight w:val="none"/>
          <w:lang w:val="en-US" w:eastAsia="zh-CN"/>
        </w:rPr>
        <w:t>4</w:t>
      </w:r>
      <w:r>
        <w:rPr>
          <w:rFonts w:hint="eastAsia" w:ascii="Times New Roman" w:hAnsi="宋体" w:eastAsia="宋体"/>
          <w:color w:val="auto"/>
          <w:highlight w:val="none"/>
          <w:lang w:eastAsia="zh-CN"/>
        </w:rPr>
        <w:t>）</w:t>
      </w:r>
      <w:r>
        <w:rPr>
          <w:rFonts w:hint="eastAsia" w:ascii="Times New Roman" w:hAnsi="宋体" w:eastAsia="宋体"/>
          <w:color w:val="auto"/>
          <w:highlight w:val="none"/>
          <w:lang w:val="en-US" w:eastAsia="zh-CN"/>
        </w:rPr>
        <w:t>冷库排酸废水</w:t>
      </w:r>
    </w:p>
    <w:p w14:paraId="261CCFF6">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color w:val="auto"/>
          <w:highlight w:val="none"/>
          <w:lang w:val="en-US" w:eastAsia="zh-CN"/>
        </w:rPr>
      </w:pPr>
      <w:r>
        <w:rPr>
          <w:rFonts w:hint="eastAsia"/>
          <w:color w:val="auto"/>
          <w:highlight w:val="none"/>
          <w:lang w:val="en-US" w:eastAsia="zh-CN"/>
        </w:rPr>
        <w:t>冷库排酸废水</w:t>
      </w:r>
      <w:r>
        <w:rPr>
          <w:rFonts w:hint="eastAsia"/>
          <w:color w:val="auto"/>
          <w:highlight w:val="none"/>
        </w:rPr>
        <w:t>产生量为</w:t>
      </w:r>
      <w:r>
        <w:rPr>
          <w:rFonts w:hint="eastAsia"/>
          <w:color w:val="auto"/>
          <w:highlight w:val="none"/>
          <w:lang w:val="en-US" w:eastAsia="zh-CN"/>
        </w:rPr>
        <w:t>8.075</w:t>
      </w:r>
      <w:r>
        <w:rPr>
          <w:color w:val="auto"/>
          <w:highlight w:val="none"/>
        </w:rPr>
        <w:t>m</w:t>
      </w:r>
      <w:r>
        <w:rPr>
          <w:color w:val="auto"/>
          <w:highlight w:val="none"/>
          <w:vertAlign w:val="superscript"/>
        </w:rPr>
        <w:t>3</w:t>
      </w:r>
      <w:r>
        <w:rPr>
          <w:color w:val="auto"/>
          <w:highlight w:val="none"/>
        </w:rPr>
        <w:t>/d</w:t>
      </w:r>
      <w:r>
        <w:rPr>
          <w:rFonts w:hint="eastAsia"/>
          <w:color w:val="auto"/>
          <w:highlight w:val="none"/>
        </w:rPr>
        <w:t>、</w:t>
      </w:r>
      <w:r>
        <w:rPr>
          <w:rFonts w:hint="eastAsia"/>
          <w:color w:val="auto"/>
          <w:highlight w:val="none"/>
          <w:lang w:val="en-US" w:eastAsia="zh-CN"/>
        </w:rPr>
        <w:t>2422.5</w:t>
      </w:r>
      <w:r>
        <w:rPr>
          <w:color w:val="auto"/>
          <w:highlight w:val="none"/>
        </w:rPr>
        <w:t>m</w:t>
      </w:r>
      <w:r>
        <w:rPr>
          <w:color w:val="auto"/>
          <w:highlight w:val="none"/>
          <w:vertAlign w:val="superscript"/>
        </w:rPr>
        <w:t>3</w:t>
      </w:r>
      <w:r>
        <w:rPr>
          <w:color w:val="auto"/>
          <w:highlight w:val="none"/>
        </w:rPr>
        <w:t>/a</w:t>
      </w:r>
      <w:r>
        <w:rPr>
          <w:rFonts w:hint="eastAsia"/>
          <w:color w:val="auto"/>
          <w:highlight w:val="none"/>
        </w:rPr>
        <w:t>。</w:t>
      </w:r>
      <w:r>
        <w:rPr>
          <w:rFonts w:hint="eastAsia"/>
          <w:color w:val="auto"/>
          <w:highlight w:val="none"/>
          <w:lang w:val="en-US" w:eastAsia="zh-CN"/>
        </w:rPr>
        <w:t>冷库排酸废水主要是含有血液、体液的废水，因此确定冷库排酸废水</w:t>
      </w:r>
      <w:r>
        <w:rPr>
          <w:rFonts w:hAnsi="宋体"/>
          <w:color w:val="auto"/>
          <w:highlight w:val="none"/>
        </w:rPr>
        <w:t>主要污染物为</w:t>
      </w:r>
      <w:r>
        <w:rPr>
          <w:color w:val="auto"/>
          <w:highlight w:val="none"/>
        </w:rPr>
        <w:t>COD</w:t>
      </w:r>
      <w:r>
        <w:rPr>
          <w:rFonts w:hint="eastAsia"/>
          <w:color w:val="auto"/>
          <w:highlight w:val="none"/>
          <w:lang w:val="en-US" w:eastAsia="zh-CN"/>
        </w:rPr>
        <w:t>10</w:t>
      </w:r>
      <w:r>
        <w:rPr>
          <w:color w:val="auto"/>
          <w:highlight w:val="none"/>
        </w:rPr>
        <w:t>00mg/L</w:t>
      </w:r>
      <w:r>
        <w:rPr>
          <w:rFonts w:hAnsi="宋体"/>
          <w:color w:val="auto"/>
          <w:highlight w:val="none"/>
        </w:rPr>
        <w:t>、</w:t>
      </w:r>
      <w:r>
        <w:rPr>
          <w:color w:val="auto"/>
          <w:highlight w:val="none"/>
        </w:rPr>
        <w:t>NH</w:t>
      </w:r>
      <w:r>
        <w:rPr>
          <w:color w:val="auto"/>
          <w:highlight w:val="none"/>
          <w:vertAlign w:val="subscript"/>
        </w:rPr>
        <w:t>3</w:t>
      </w:r>
      <w:r>
        <w:rPr>
          <w:color w:val="auto"/>
          <w:highlight w:val="none"/>
        </w:rPr>
        <w:t>-N</w:t>
      </w:r>
      <w:r>
        <w:rPr>
          <w:rFonts w:hint="eastAsia"/>
          <w:color w:val="auto"/>
          <w:highlight w:val="none"/>
          <w:lang w:val="en-US" w:eastAsia="zh-CN"/>
        </w:rPr>
        <w:t>35</w:t>
      </w:r>
      <w:r>
        <w:rPr>
          <w:color w:val="auto"/>
          <w:highlight w:val="none"/>
        </w:rPr>
        <w:t>mg/L</w:t>
      </w:r>
      <w:r>
        <w:rPr>
          <w:rFonts w:hAnsi="宋体"/>
          <w:color w:val="auto"/>
          <w:highlight w:val="none"/>
        </w:rPr>
        <w:t>。</w:t>
      </w:r>
    </w:p>
    <w:p w14:paraId="5AE5E7FA">
      <w:pPr>
        <w:pStyle w:val="117"/>
        <w:ind w:firstLine="0" w:firstLineChars="0"/>
        <w:jc w:val="right"/>
        <w:rPr>
          <w:rFonts w:hint="default" w:eastAsia="宋体" w:cs="Times New Roman"/>
          <w:b/>
          <w:color w:val="auto"/>
          <w:szCs w:val="24"/>
          <w:highlight w:val="none"/>
          <w:lang w:val="en-US" w:eastAsia="zh-CN"/>
        </w:rPr>
      </w:pPr>
      <w:r>
        <w:rPr>
          <w:rFonts w:cs="Times New Roman"/>
          <w:b/>
          <w:color w:val="auto"/>
          <w:szCs w:val="24"/>
          <w:highlight w:val="none"/>
        </w:rPr>
        <w:t>表3-4-</w:t>
      </w:r>
      <w:r>
        <w:rPr>
          <w:rFonts w:hint="eastAsia" w:cs="Times New Roman"/>
          <w:b/>
          <w:color w:val="auto"/>
          <w:szCs w:val="24"/>
          <w:highlight w:val="none"/>
          <w:lang w:val="en-US" w:eastAsia="zh-CN"/>
        </w:rPr>
        <w:t>8</w:t>
      </w:r>
      <w:r>
        <w:rPr>
          <w:rFonts w:cs="Times New Roman"/>
          <w:b/>
          <w:color w:val="auto"/>
          <w:szCs w:val="24"/>
          <w:highlight w:val="none"/>
        </w:rPr>
        <w:t xml:space="preserve"> </w:t>
      </w:r>
      <w:r>
        <w:rPr>
          <w:rFonts w:hint="eastAsia" w:cs="Times New Roman"/>
          <w:b/>
          <w:color w:val="auto"/>
          <w:szCs w:val="24"/>
          <w:highlight w:val="none"/>
          <w:lang w:val="en-US" w:eastAsia="zh-CN"/>
        </w:rPr>
        <w:t>污水处理站进水</w:t>
      </w:r>
      <w:r>
        <w:rPr>
          <w:rFonts w:cs="Times New Roman"/>
          <w:b/>
          <w:color w:val="auto"/>
          <w:szCs w:val="24"/>
          <w:highlight w:val="none"/>
        </w:rPr>
        <w:t>水质一览表</w:t>
      </w:r>
      <w:r>
        <w:rPr>
          <w:rFonts w:hint="eastAsia" w:cs="Times New Roman"/>
          <w:b/>
          <w:color w:val="auto"/>
          <w:szCs w:val="24"/>
          <w:highlight w:val="none"/>
          <w:lang w:val="en-US" w:eastAsia="zh-CN"/>
        </w:rPr>
        <w:t xml:space="preserve">  </w:t>
      </w:r>
      <w:r>
        <w:rPr>
          <w:rFonts w:hint="eastAsia" w:ascii="Times New Roman" w:hAnsi="Times New Roman" w:eastAsia="宋体" w:cs="Times New Roman"/>
          <w:b/>
          <w:color w:val="auto"/>
          <w:sz w:val="21"/>
          <w:szCs w:val="21"/>
          <w:highlight w:val="none"/>
          <w:lang w:val="en-US" w:eastAsia="zh-CN"/>
        </w:rPr>
        <w:t>单位：pH值无量纲，大肠菌群数MPN/L</w:t>
      </w:r>
    </w:p>
    <w:tbl>
      <w:tblPr>
        <w:tblStyle w:val="47"/>
        <w:tblW w:w="8596" w:type="dxa"/>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Layout w:type="fixed"/>
        <w:tblCellMar>
          <w:top w:w="0" w:type="dxa"/>
          <w:left w:w="108" w:type="dxa"/>
          <w:bottom w:w="0" w:type="dxa"/>
          <w:right w:w="108" w:type="dxa"/>
        </w:tblCellMar>
      </w:tblPr>
      <w:tblGrid>
        <w:gridCol w:w="952"/>
        <w:gridCol w:w="799"/>
        <w:gridCol w:w="709"/>
        <w:gridCol w:w="783"/>
        <w:gridCol w:w="639"/>
        <w:gridCol w:w="705"/>
        <w:gridCol w:w="694"/>
        <w:gridCol w:w="699"/>
        <w:gridCol w:w="693"/>
        <w:gridCol w:w="915"/>
        <w:gridCol w:w="1008"/>
      </w:tblGrid>
      <w:tr w14:paraId="060644C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36" w:hRule="atLeast"/>
          <w:jc w:val="center"/>
        </w:trPr>
        <w:tc>
          <w:tcPr>
            <w:tcW w:w="952" w:type="dxa"/>
            <w:vMerge w:val="restart"/>
            <w:tcBorders>
              <w:tl2br w:val="nil"/>
              <w:tr2bl w:val="nil"/>
            </w:tcBorders>
            <w:shd w:val="clear" w:color="auto" w:fill="auto"/>
            <w:vAlign w:val="center"/>
          </w:tcPr>
          <w:p w14:paraId="44889C50">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类别</w:t>
            </w:r>
          </w:p>
        </w:tc>
        <w:tc>
          <w:tcPr>
            <w:tcW w:w="799" w:type="dxa"/>
            <w:tcBorders>
              <w:tl2br w:val="nil"/>
              <w:tr2bl w:val="nil"/>
            </w:tcBorders>
            <w:shd w:val="clear" w:color="auto" w:fill="auto"/>
            <w:vAlign w:val="center"/>
          </w:tcPr>
          <w:p w14:paraId="7C35563F">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排水量</w:t>
            </w:r>
          </w:p>
        </w:tc>
        <w:tc>
          <w:tcPr>
            <w:tcW w:w="6845" w:type="dxa"/>
            <w:gridSpan w:val="9"/>
            <w:tcBorders>
              <w:tl2br w:val="nil"/>
              <w:tr2bl w:val="nil"/>
            </w:tcBorders>
            <w:shd w:val="clear" w:color="auto" w:fill="auto"/>
            <w:vAlign w:val="center"/>
          </w:tcPr>
          <w:p w14:paraId="17B76F95">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主要污染物浓度（</w:t>
            </w:r>
            <w:r>
              <w:rPr>
                <w:rFonts w:hint="default" w:ascii="Times New Roman" w:hAnsi="Times New Roman" w:eastAsia="宋体" w:cs="Times New Roman"/>
                <w:color w:val="auto"/>
                <w:sz w:val="21"/>
                <w:szCs w:val="21"/>
                <w:highlight w:val="none"/>
                <w:lang w:val="en-US" w:eastAsia="zh-CN"/>
              </w:rPr>
              <w:t>mg/L</w:t>
            </w:r>
            <w:r>
              <w:rPr>
                <w:rFonts w:hint="eastAsia" w:ascii="Times New Roman" w:hAnsi="Times New Roman" w:eastAsia="宋体" w:cs="Times New Roman"/>
                <w:color w:val="auto"/>
                <w:sz w:val="21"/>
                <w:szCs w:val="21"/>
                <w:highlight w:val="none"/>
                <w:lang w:val="en-US" w:eastAsia="zh-CN"/>
              </w:rPr>
              <w:t>）</w:t>
            </w:r>
          </w:p>
        </w:tc>
      </w:tr>
      <w:tr w14:paraId="69D5CD4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57" w:hRule="atLeast"/>
          <w:jc w:val="center"/>
        </w:trPr>
        <w:tc>
          <w:tcPr>
            <w:tcW w:w="952" w:type="dxa"/>
            <w:vMerge w:val="continue"/>
            <w:tcBorders>
              <w:tl2br w:val="nil"/>
              <w:tr2bl w:val="nil"/>
            </w:tcBorders>
            <w:shd w:val="clear" w:color="auto" w:fill="auto"/>
            <w:vAlign w:val="center"/>
          </w:tcPr>
          <w:p w14:paraId="2EFCC036">
            <w:pPr>
              <w:pStyle w:val="303"/>
              <w:adjustRightInd w:val="0"/>
              <w:snapToGrid w:val="0"/>
              <w:rPr>
                <w:rFonts w:hint="eastAsia" w:ascii="Times New Roman" w:hAnsi="Times New Roman" w:eastAsia="宋体" w:cs="Times New Roman"/>
                <w:color w:val="auto"/>
                <w:sz w:val="21"/>
                <w:szCs w:val="21"/>
                <w:highlight w:val="none"/>
                <w:lang w:eastAsia="zh-CN"/>
              </w:rPr>
            </w:pPr>
          </w:p>
        </w:tc>
        <w:tc>
          <w:tcPr>
            <w:tcW w:w="799" w:type="dxa"/>
            <w:tcBorders>
              <w:tl2br w:val="nil"/>
              <w:tr2bl w:val="nil"/>
            </w:tcBorders>
            <w:shd w:val="clear" w:color="auto" w:fill="auto"/>
            <w:vAlign w:val="center"/>
          </w:tcPr>
          <w:p w14:paraId="65EE8F1D">
            <w:pPr>
              <w:pStyle w:val="303"/>
              <w:adjustRightInd w:val="0"/>
              <w:snapToGrid w:val="0"/>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709" w:type="dxa"/>
            <w:tcBorders>
              <w:tl2br w:val="nil"/>
              <w:tr2bl w:val="nil"/>
            </w:tcBorders>
            <w:shd w:val="clear" w:color="auto" w:fill="auto"/>
            <w:vAlign w:val="center"/>
          </w:tcPr>
          <w:p w14:paraId="228282CE">
            <w:pPr>
              <w:pStyle w:val="303"/>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COD</w:t>
            </w:r>
          </w:p>
        </w:tc>
        <w:tc>
          <w:tcPr>
            <w:tcW w:w="783" w:type="dxa"/>
            <w:tcBorders>
              <w:tl2br w:val="nil"/>
              <w:tr2bl w:val="nil"/>
            </w:tcBorders>
            <w:shd w:val="clear" w:color="auto" w:fill="auto"/>
            <w:vAlign w:val="center"/>
          </w:tcPr>
          <w:p w14:paraId="7A230128">
            <w:pPr>
              <w:pStyle w:val="303"/>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p>
        </w:tc>
        <w:tc>
          <w:tcPr>
            <w:tcW w:w="639" w:type="dxa"/>
            <w:tcBorders>
              <w:tl2br w:val="nil"/>
              <w:tr2bl w:val="nil"/>
            </w:tcBorders>
            <w:shd w:val="clear" w:color="auto" w:fill="auto"/>
            <w:vAlign w:val="center"/>
          </w:tcPr>
          <w:p w14:paraId="6B9E6B56">
            <w:pPr>
              <w:pStyle w:val="303"/>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SS</w:t>
            </w:r>
          </w:p>
        </w:tc>
        <w:tc>
          <w:tcPr>
            <w:tcW w:w="705" w:type="dxa"/>
            <w:tcBorders>
              <w:tl2br w:val="nil"/>
              <w:tr2bl w:val="nil"/>
            </w:tcBorders>
            <w:shd w:val="clear" w:color="auto" w:fill="auto"/>
            <w:vAlign w:val="center"/>
          </w:tcPr>
          <w:p w14:paraId="2E442781">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氨氮</w:t>
            </w:r>
          </w:p>
        </w:tc>
        <w:tc>
          <w:tcPr>
            <w:tcW w:w="694" w:type="dxa"/>
            <w:tcBorders>
              <w:tl2br w:val="nil"/>
              <w:tr2bl w:val="nil"/>
            </w:tcBorders>
            <w:shd w:val="clear" w:color="auto" w:fill="auto"/>
            <w:vAlign w:val="center"/>
          </w:tcPr>
          <w:p w14:paraId="6ADFFD35">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动植物油</w:t>
            </w:r>
          </w:p>
        </w:tc>
        <w:tc>
          <w:tcPr>
            <w:tcW w:w="699" w:type="dxa"/>
            <w:tcBorders>
              <w:tl2br w:val="nil"/>
              <w:tr2bl w:val="nil"/>
            </w:tcBorders>
            <w:shd w:val="clear" w:color="auto" w:fill="auto"/>
            <w:vAlign w:val="center"/>
          </w:tcPr>
          <w:p w14:paraId="5512A658">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总氮</w:t>
            </w:r>
          </w:p>
        </w:tc>
        <w:tc>
          <w:tcPr>
            <w:tcW w:w="693" w:type="dxa"/>
            <w:tcBorders>
              <w:tl2br w:val="nil"/>
              <w:tr2bl w:val="nil"/>
            </w:tcBorders>
            <w:shd w:val="clear" w:color="auto" w:fill="auto"/>
            <w:vAlign w:val="center"/>
          </w:tcPr>
          <w:p w14:paraId="7F14A43A">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总磷</w:t>
            </w:r>
          </w:p>
        </w:tc>
        <w:tc>
          <w:tcPr>
            <w:tcW w:w="915" w:type="dxa"/>
            <w:tcBorders>
              <w:tl2br w:val="nil"/>
              <w:tr2bl w:val="nil"/>
            </w:tcBorders>
            <w:shd w:val="clear" w:color="auto" w:fill="auto"/>
            <w:vAlign w:val="center"/>
          </w:tcPr>
          <w:p w14:paraId="5CE6D348">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pH值</w:t>
            </w:r>
          </w:p>
        </w:tc>
        <w:tc>
          <w:tcPr>
            <w:tcW w:w="1008" w:type="dxa"/>
            <w:tcBorders>
              <w:tl2br w:val="nil"/>
              <w:tr2bl w:val="nil"/>
            </w:tcBorders>
            <w:shd w:val="clear" w:color="auto" w:fill="auto"/>
            <w:vAlign w:val="center"/>
          </w:tcPr>
          <w:p w14:paraId="3F03E4F7">
            <w:pPr>
              <w:pStyle w:val="303"/>
              <w:adjustRightInd w:val="0"/>
              <w:snapToGrid w:val="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大肠菌群数</w:t>
            </w:r>
          </w:p>
        </w:tc>
      </w:tr>
      <w:tr w14:paraId="61FBF39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26" w:hRule="atLeast"/>
          <w:jc w:val="center"/>
        </w:trPr>
        <w:tc>
          <w:tcPr>
            <w:tcW w:w="952" w:type="dxa"/>
            <w:tcBorders>
              <w:tl2br w:val="nil"/>
              <w:tr2bl w:val="nil"/>
            </w:tcBorders>
            <w:shd w:val="clear" w:color="auto" w:fill="auto"/>
            <w:vAlign w:val="center"/>
          </w:tcPr>
          <w:p w14:paraId="31B945BF">
            <w:pPr>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cs="Times New Roman"/>
                <w:color w:val="auto"/>
                <w:sz w:val="21"/>
                <w:szCs w:val="21"/>
                <w:highlight w:val="none"/>
              </w:rPr>
              <w:t>屠宰废水</w:t>
            </w:r>
          </w:p>
        </w:tc>
        <w:tc>
          <w:tcPr>
            <w:tcW w:w="799" w:type="dxa"/>
            <w:tcBorders>
              <w:tl2br w:val="nil"/>
              <w:tr2bl w:val="nil"/>
            </w:tcBorders>
            <w:shd w:val="clear" w:color="auto" w:fill="auto"/>
            <w:vAlign w:val="center"/>
          </w:tcPr>
          <w:p w14:paraId="4565AAD9">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229.1</w:t>
            </w:r>
          </w:p>
        </w:tc>
        <w:tc>
          <w:tcPr>
            <w:tcW w:w="709" w:type="dxa"/>
            <w:tcBorders>
              <w:tl2br w:val="nil"/>
              <w:tr2bl w:val="nil"/>
            </w:tcBorders>
            <w:shd w:val="clear" w:color="auto" w:fill="auto"/>
            <w:vAlign w:val="center"/>
          </w:tcPr>
          <w:p w14:paraId="5DE90B3E">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2717</w:t>
            </w:r>
          </w:p>
        </w:tc>
        <w:tc>
          <w:tcPr>
            <w:tcW w:w="783" w:type="dxa"/>
            <w:tcBorders>
              <w:tl2br w:val="nil"/>
              <w:tr2bl w:val="nil"/>
            </w:tcBorders>
            <w:shd w:val="clear" w:color="auto" w:fill="auto"/>
            <w:vAlign w:val="center"/>
          </w:tcPr>
          <w:p w14:paraId="5B101195">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1000</w:t>
            </w:r>
          </w:p>
        </w:tc>
        <w:tc>
          <w:tcPr>
            <w:tcW w:w="639" w:type="dxa"/>
            <w:tcBorders>
              <w:tl2br w:val="nil"/>
              <w:tr2bl w:val="nil"/>
            </w:tcBorders>
            <w:shd w:val="clear" w:color="auto" w:fill="auto"/>
            <w:vAlign w:val="center"/>
          </w:tcPr>
          <w:p w14:paraId="083B1B62">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1000</w:t>
            </w:r>
          </w:p>
        </w:tc>
        <w:tc>
          <w:tcPr>
            <w:tcW w:w="705" w:type="dxa"/>
            <w:tcBorders>
              <w:tl2br w:val="nil"/>
              <w:tr2bl w:val="nil"/>
            </w:tcBorders>
            <w:shd w:val="clear" w:color="auto" w:fill="auto"/>
            <w:vAlign w:val="center"/>
          </w:tcPr>
          <w:p w14:paraId="34C10A83">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86</w:t>
            </w:r>
          </w:p>
        </w:tc>
        <w:tc>
          <w:tcPr>
            <w:tcW w:w="694" w:type="dxa"/>
            <w:tcBorders>
              <w:tl2br w:val="nil"/>
              <w:tr2bl w:val="nil"/>
            </w:tcBorders>
            <w:shd w:val="clear" w:color="auto" w:fill="auto"/>
            <w:vAlign w:val="center"/>
          </w:tcPr>
          <w:p w14:paraId="39DE82AF">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200</w:t>
            </w:r>
          </w:p>
        </w:tc>
        <w:tc>
          <w:tcPr>
            <w:tcW w:w="699" w:type="dxa"/>
            <w:tcBorders>
              <w:tl2br w:val="nil"/>
              <w:tr2bl w:val="nil"/>
            </w:tcBorders>
            <w:shd w:val="clear" w:color="auto" w:fill="auto"/>
            <w:vAlign w:val="center"/>
          </w:tcPr>
          <w:p w14:paraId="3932E26D">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197</w:t>
            </w:r>
          </w:p>
        </w:tc>
        <w:tc>
          <w:tcPr>
            <w:tcW w:w="693" w:type="dxa"/>
            <w:tcBorders>
              <w:tl2br w:val="nil"/>
              <w:tr2bl w:val="nil"/>
            </w:tcBorders>
            <w:shd w:val="clear" w:color="auto" w:fill="auto"/>
            <w:vAlign w:val="center"/>
          </w:tcPr>
          <w:p w14:paraId="2057E58E">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18</w:t>
            </w:r>
          </w:p>
        </w:tc>
        <w:tc>
          <w:tcPr>
            <w:tcW w:w="915" w:type="dxa"/>
            <w:tcBorders>
              <w:tl2br w:val="nil"/>
              <w:tr2bl w:val="nil"/>
            </w:tcBorders>
            <w:shd w:val="clear" w:color="auto" w:fill="auto"/>
            <w:vAlign w:val="center"/>
          </w:tcPr>
          <w:p w14:paraId="330325DB">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7.5</w:t>
            </w:r>
          </w:p>
        </w:tc>
        <w:tc>
          <w:tcPr>
            <w:tcW w:w="1008" w:type="dxa"/>
            <w:tcBorders>
              <w:tl2br w:val="nil"/>
              <w:tr2bl w:val="nil"/>
            </w:tcBorders>
            <w:shd w:val="clear" w:color="auto" w:fill="auto"/>
            <w:vAlign w:val="center"/>
          </w:tcPr>
          <w:p w14:paraId="0A1FA26D">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r>
      <w:tr w14:paraId="195CF90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26" w:hRule="atLeast"/>
          <w:jc w:val="center"/>
        </w:trPr>
        <w:tc>
          <w:tcPr>
            <w:tcW w:w="952" w:type="dxa"/>
            <w:tcBorders>
              <w:tl2br w:val="nil"/>
              <w:tr2bl w:val="nil"/>
            </w:tcBorders>
            <w:shd w:val="clear" w:color="auto" w:fill="auto"/>
            <w:vAlign w:val="center"/>
          </w:tcPr>
          <w:p w14:paraId="24E90651">
            <w:pPr>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pacing w:val="12"/>
                <w:sz w:val="21"/>
                <w:szCs w:val="21"/>
                <w:highlight w:val="none"/>
                <w:lang w:val="en-US" w:eastAsia="zh-CN"/>
              </w:rPr>
              <w:t>车辆冲洗</w:t>
            </w:r>
            <w:r>
              <w:rPr>
                <w:rFonts w:cs="Times New Roman"/>
                <w:color w:val="auto"/>
                <w:spacing w:val="12"/>
                <w:sz w:val="21"/>
                <w:szCs w:val="21"/>
                <w:highlight w:val="none"/>
              </w:rPr>
              <w:t>废水</w:t>
            </w:r>
          </w:p>
        </w:tc>
        <w:tc>
          <w:tcPr>
            <w:tcW w:w="799" w:type="dxa"/>
            <w:tcBorders>
              <w:tl2br w:val="nil"/>
              <w:tr2bl w:val="nil"/>
            </w:tcBorders>
            <w:shd w:val="clear" w:color="auto" w:fill="auto"/>
            <w:vAlign w:val="center"/>
          </w:tcPr>
          <w:p w14:paraId="3DD091EE">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w:t>
            </w:r>
          </w:p>
        </w:tc>
        <w:tc>
          <w:tcPr>
            <w:tcW w:w="709" w:type="dxa"/>
            <w:tcBorders>
              <w:tl2br w:val="nil"/>
              <w:tr2bl w:val="nil"/>
            </w:tcBorders>
            <w:shd w:val="clear" w:color="auto" w:fill="auto"/>
            <w:vAlign w:val="center"/>
          </w:tcPr>
          <w:p w14:paraId="064423DD">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1200</w:t>
            </w:r>
          </w:p>
        </w:tc>
        <w:tc>
          <w:tcPr>
            <w:tcW w:w="783" w:type="dxa"/>
            <w:tcBorders>
              <w:tl2br w:val="nil"/>
              <w:tr2bl w:val="nil"/>
            </w:tcBorders>
            <w:shd w:val="clear" w:color="auto" w:fill="auto"/>
            <w:vAlign w:val="center"/>
          </w:tcPr>
          <w:p w14:paraId="3DC87331">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500</w:t>
            </w:r>
          </w:p>
        </w:tc>
        <w:tc>
          <w:tcPr>
            <w:tcW w:w="639" w:type="dxa"/>
            <w:tcBorders>
              <w:tl2br w:val="nil"/>
              <w:tr2bl w:val="nil"/>
            </w:tcBorders>
            <w:shd w:val="clear" w:color="auto" w:fill="auto"/>
            <w:vAlign w:val="center"/>
          </w:tcPr>
          <w:p w14:paraId="14688E79">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550</w:t>
            </w:r>
          </w:p>
        </w:tc>
        <w:tc>
          <w:tcPr>
            <w:tcW w:w="705" w:type="dxa"/>
            <w:tcBorders>
              <w:tl2br w:val="nil"/>
              <w:tr2bl w:val="nil"/>
            </w:tcBorders>
            <w:shd w:val="clear" w:color="auto" w:fill="auto"/>
            <w:vAlign w:val="center"/>
          </w:tcPr>
          <w:p w14:paraId="1DBFB879">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55</w:t>
            </w:r>
          </w:p>
        </w:tc>
        <w:tc>
          <w:tcPr>
            <w:tcW w:w="694" w:type="dxa"/>
            <w:tcBorders>
              <w:tl2br w:val="nil"/>
              <w:tr2bl w:val="nil"/>
            </w:tcBorders>
            <w:shd w:val="clear" w:color="auto" w:fill="auto"/>
            <w:vAlign w:val="center"/>
          </w:tcPr>
          <w:p w14:paraId="227D115D">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699" w:type="dxa"/>
            <w:tcBorders>
              <w:tl2br w:val="nil"/>
              <w:tr2bl w:val="nil"/>
            </w:tcBorders>
            <w:shd w:val="clear" w:color="auto" w:fill="auto"/>
            <w:vAlign w:val="center"/>
          </w:tcPr>
          <w:p w14:paraId="10864562">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693" w:type="dxa"/>
            <w:tcBorders>
              <w:tl2br w:val="nil"/>
              <w:tr2bl w:val="nil"/>
            </w:tcBorders>
            <w:shd w:val="clear" w:color="auto" w:fill="auto"/>
            <w:vAlign w:val="center"/>
          </w:tcPr>
          <w:p w14:paraId="0E9CB030">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915" w:type="dxa"/>
            <w:tcBorders>
              <w:tl2br w:val="nil"/>
              <w:tr2bl w:val="nil"/>
            </w:tcBorders>
            <w:shd w:val="clear" w:color="auto" w:fill="auto"/>
            <w:vAlign w:val="center"/>
          </w:tcPr>
          <w:p w14:paraId="49B5239D">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1008" w:type="dxa"/>
            <w:tcBorders>
              <w:tl2br w:val="nil"/>
              <w:tr2bl w:val="nil"/>
            </w:tcBorders>
            <w:shd w:val="clear" w:color="auto" w:fill="auto"/>
            <w:vAlign w:val="center"/>
          </w:tcPr>
          <w:p w14:paraId="1B8465B1">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r>
      <w:tr w14:paraId="3B76BCF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55" w:hRule="atLeast"/>
          <w:jc w:val="center"/>
        </w:trPr>
        <w:tc>
          <w:tcPr>
            <w:tcW w:w="952" w:type="dxa"/>
            <w:tcBorders>
              <w:tl2br w:val="nil"/>
              <w:tr2bl w:val="nil"/>
            </w:tcBorders>
            <w:shd w:val="clear" w:color="auto" w:fill="auto"/>
            <w:vAlign w:val="center"/>
          </w:tcPr>
          <w:p w14:paraId="1CA57737">
            <w:pPr>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冷库排酸废水</w:t>
            </w:r>
          </w:p>
        </w:tc>
        <w:tc>
          <w:tcPr>
            <w:tcW w:w="799" w:type="dxa"/>
            <w:tcBorders>
              <w:tl2br w:val="nil"/>
              <w:tr2bl w:val="nil"/>
            </w:tcBorders>
            <w:shd w:val="clear" w:color="auto" w:fill="auto"/>
            <w:vAlign w:val="center"/>
          </w:tcPr>
          <w:p w14:paraId="3245AA4F">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8.075</w:t>
            </w:r>
          </w:p>
        </w:tc>
        <w:tc>
          <w:tcPr>
            <w:tcW w:w="709" w:type="dxa"/>
            <w:tcBorders>
              <w:tl2br w:val="nil"/>
              <w:tr2bl w:val="nil"/>
            </w:tcBorders>
            <w:shd w:val="clear" w:color="auto" w:fill="auto"/>
            <w:vAlign w:val="center"/>
          </w:tcPr>
          <w:p w14:paraId="125E163B">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1000</w:t>
            </w:r>
          </w:p>
        </w:tc>
        <w:tc>
          <w:tcPr>
            <w:tcW w:w="783" w:type="dxa"/>
            <w:tcBorders>
              <w:tl2br w:val="nil"/>
              <w:tr2bl w:val="nil"/>
            </w:tcBorders>
            <w:shd w:val="clear" w:color="auto" w:fill="auto"/>
            <w:vAlign w:val="center"/>
          </w:tcPr>
          <w:p w14:paraId="67787524">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639" w:type="dxa"/>
            <w:tcBorders>
              <w:tl2br w:val="nil"/>
              <w:tr2bl w:val="nil"/>
            </w:tcBorders>
            <w:shd w:val="clear" w:color="auto" w:fill="auto"/>
            <w:vAlign w:val="center"/>
          </w:tcPr>
          <w:p w14:paraId="41F91D20">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705" w:type="dxa"/>
            <w:tcBorders>
              <w:tl2br w:val="nil"/>
              <w:tr2bl w:val="nil"/>
            </w:tcBorders>
            <w:shd w:val="clear" w:color="auto" w:fill="auto"/>
            <w:vAlign w:val="center"/>
          </w:tcPr>
          <w:p w14:paraId="235E5FB0">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35</w:t>
            </w:r>
          </w:p>
        </w:tc>
        <w:tc>
          <w:tcPr>
            <w:tcW w:w="694" w:type="dxa"/>
            <w:tcBorders>
              <w:tl2br w:val="nil"/>
              <w:tr2bl w:val="nil"/>
            </w:tcBorders>
            <w:shd w:val="clear" w:color="auto" w:fill="auto"/>
            <w:vAlign w:val="center"/>
          </w:tcPr>
          <w:p w14:paraId="64C412C8">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699" w:type="dxa"/>
            <w:tcBorders>
              <w:tl2br w:val="nil"/>
              <w:tr2bl w:val="nil"/>
            </w:tcBorders>
            <w:shd w:val="clear" w:color="auto" w:fill="auto"/>
            <w:vAlign w:val="center"/>
          </w:tcPr>
          <w:p w14:paraId="1B5FEDAD">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693" w:type="dxa"/>
            <w:tcBorders>
              <w:tl2br w:val="nil"/>
              <w:tr2bl w:val="nil"/>
            </w:tcBorders>
            <w:shd w:val="clear" w:color="auto" w:fill="auto"/>
            <w:vAlign w:val="center"/>
          </w:tcPr>
          <w:p w14:paraId="48CEB51F">
            <w:pPr>
              <w:spacing w:line="36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915" w:type="dxa"/>
            <w:tcBorders>
              <w:tl2br w:val="nil"/>
              <w:tr2bl w:val="nil"/>
            </w:tcBorders>
            <w:shd w:val="clear" w:color="auto" w:fill="auto"/>
            <w:vAlign w:val="center"/>
          </w:tcPr>
          <w:p w14:paraId="3BD7403D">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1008" w:type="dxa"/>
            <w:tcBorders>
              <w:tl2br w:val="nil"/>
              <w:tr2bl w:val="nil"/>
            </w:tcBorders>
            <w:shd w:val="clear" w:color="auto" w:fill="auto"/>
            <w:vAlign w:val="center"/>
          </w:tcPr>
          <w:p w14:paraId="7A687BE9">
            <w:pPr>
              <w:pStyle w:val="303"/>
              <w:adjustRightInd w:val="0"/>
              <w:snapToGrid w:val="0"/>
              <w:ind w:firstLine="0" w:firstLineChars="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r>
      <w:tr w14:paraId="3071F9E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55" w:hRule="atLeast"/>
          <w:jc w:val="center"/>
        </w:trPr>
        <w:tc>
          <w:tcPr>
            <w:tcW w:w="952" w:type="dxa"/>
            <w:tcBorders>
              <w:tl2br w:val="nil"/>
              <w:tr2bl w:val="nil"/>
            </w:tcBorders>
            <w:shd w:val="clear" w:color="auto" w:fill="auto"/>
            <w:vAlign w:val="center"/>
          </w:tcPr>
          <w:p w14:paraId="7634A424">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混合废水</w:t>
            </w:r>
          </w:p>
        </w:tc>
        <w:tc>
          <w:tcPr>
            <w:tcW w:w="799" w:type="dxa"/>
            <w:tcBorders>
              <w:tl2br w:val="nil"/>
              <w:tr2bl w:val="nil"/>
            </w:tcBorders>
            <w:shd w:val="clear" w:color="auto" w:fill="auto"/>
            <w:vAlign w:val="center"/>
          </w:tcPr>
          <w:p w14:paraId="6F1C87DF">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238.775</w:t>
            </w:r>
          </w:p>
        </w:tc>
        <w:tc>
          <w:tcPr>
            <w:tcW w:w="709" w:type="dxa"/>
            <w:tcBorders>
              <w:tl2br w:val="nil"/>
              <w:tr2bl w:val="nil"/>
            </w:tcBorders>
            <w:shd w:val="clear" w:color="auto" w:fill="auto"/>
            <w:vAlign w:val="center"/>
          </w:tcPr>
          <w:p w14:paraId="06BA7AC1">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2649</w:t>
            </w:r>
          </w:p>
        </w:tc>
        <w:tc>
          <w:tcPr>
            <w:tcW w:w="783" w:type="dxa"/>
            <w:tcBorders>
              <w:tl2br w:val="nil"/>
              <w:tr2bl w:val="nil"/>
            </w:tcBorders>
            <w:shd w:val="clear" w:color="auto" w:fill="auto"/>
            <w:vAlign w:val="center"/>
          </w:tcPr>
          <w:p w14:paraId="5A04C979">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963</w:t>
            </w:r>
          </w:p>
        </w:tc>
        <w:tc>
          <w:tcPr>
            <w:tcW w:w="639" w:type="dxa"/>
            <w:tcBorders>
              <w:tl2br w:val="nil"/>
              <w:tr2bl w:val="nil"/>
            </w:tcBorders>
            <w:shd w:val="clear" w:color="auto" w:fill="auto"/>
            <w:vAlign w:val="center"/>
          </w:tcPr>
          <w:p w14:paraId="6CDD974A">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963</w:t>
            </w:r>
          </w:p>
        </w:tc>
        <w:tc>
          <w:tcPr>
            <w:tcW w:w="705" w:type="dxa"/>
            <w:tcBorders>
              <w:tl2br w:val="nil"/>
              <w:tr2bl w:val="nil"/>
            </w:tcBorders>
            <w:shd w:val="clear" w:color="auto" w:fill="auto"/>
            <w:vAlign w:val="center"/>
          </w:tcPr>
          <w:p w14:paraId="1ADCB553">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84</w:t>
            </w:r>
          </w:p>
        </w:tc>
        <w:tc>
          <w:tcPr>
            <w:tcW w:w="694" w:type="dxa"/>
            <w:tcBorders>
              <w:tl2br w:val="nil"/>
              <w:tr2bl w:val="nil"/>
            </w:tcBorders>
            <w:shd w:val="clear" w:color="auto" w:fill="auto"/>
            <w:vAlign w:val="center"/>
          </w:tcPr>
          <w:p w14:paraId="6B77264D">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192</w:t>
            </w:r>
          </w:p>
        </w:tc>
        <w:tc>
          <w:tcPr>
            <w:tcW w:w="699" w:type="dxa"/>
            <w:tcBorders>
              <w:tl2br w:val="nil"/>
              <w:tr2bl w:val="nil"/>
            </w:tcBorders>
            <w:shd w:val="clear" w:color="auto" w:fill="auto"/>
            <w:vAlign w:val="center"/>
          </w:tcPr>
          <w:p w14:paraId="0C7C3D3F">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189</w:t>
            </w:r>
          </w:p>
        </w:tc>
        <w:tc>
          <w:tcPr>
            <w:tcW w:w="693" w:type="dxa"/>
            <w:tcBorders>
              <w:tl2br w:val="nil"/>
              <w:tr2bl w:val="nil"/>
            </w:tcBorders>
            <w:shd w:val="clear" w:color="auto" w:fill="auto"/>
            <w:vAlign w:val="center"/>
          </w:tcPr>
          <w:p w14:paraId="38D32356">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w:t>
            </w:r>
          </w:p>
        </w:tc>
        <w:tc>
          <w:tcPr>
            <w:tcW w:w="915" w:type="dxa"/>
            <w:tcBorders>
              <w:tl2br w:val="nil"/>
              <w:tr2bl w:val="nil"/>
            </w:tcBorders>
            <w:shd w:val="clear" w:color="auto" w:fill="auto"/>
            <w:vAlign w:val="center"/>
          </w:tcPr>
          <w:p w14:paraId="4DE77A02">
            <w:pPr>
              <w:pStyle w:val="303"/>
              <w:adjustRightInd w:val="0"/>
              <w:snapToGrid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6.5~7.5</w:t>
            </w:r>
          </w:p>
        </w:tc>
        <w:tc>
          <w:tcPr>
            <w:tcW w:w="1008" w:type="dxa"/>
            <w:tcBorders>
              <w:tl2br w:val="nil"/>
              <w:tr2bl w:val="nil"/>
            </w:tcBorders>
            <w:shd w:val="clear" w:color="auto" w:fill="auto"/>
            <w:vAlign w:val="center"/>
          </w:tcPr>
          <w:p w14:paraId="63E01A00">
            <w:pPr>
              <w:pStyle w:val="303"/>
              <w:adjustRightInd w:val="0"/>
              <w:snapToGrid w:val="0"/>
              <w:ind w:firstLine="0" w:firstLineChars="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r>
      <w:tr w14:paraId="5211E98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755" w:hRule="atLeast"/>
          <w:jc w:val="center"/>
        </w:trPr>
        <w:tc>
          <w:tcPr>
            <w:tcW w:w="952" w:type="dxa"/>
            <w:tcBorders>
              <w:tl2br w:val="nil"/>
              <w:tr2bl w:val="nil"/>
            </w:tcBorders>
            <w:shd w:val="clear" w:color="auto" w:fill="auto"/>
            <w:vAlign w:val="center"/>
          </w:tcPr>
          <w:p w14:paraId="5E25B81B">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cs="Times New Roman"/>
                <w:color w:val="auto"/>
                <w:sz w:val="21"/>
                <w:szCs w:val="21"/>
                <w:highlight w:val="none"/>
              </w:rPr>
              <w:t>污水处理站</w:t>
            </w:r>
          </w:p>
        </w:tc>
        <w:tc>
          <w:tcPr>
            <w:tcW w:w="7644" w:type="dxa"/>
            <w:gridSpan w:val="10"/>
            <w:tcBorders>
              <w:tl2br w:val="nil"/>
              <w:tr2bl w:val="nil"/>
            </w:tcBorders>
            <w:shd w:val="clear" w:color="auto" w:fill="auto"/>
            <w:vAlign w:val="center"/>
          </w:tcPr>
          <w:p w14:paraId="53E1BE7D">
            <w:pPr>
              <w:spacing w:line="360" w:lineRule="exact"/>
              <w:ind w:firstLine="0" w:firstLineChars="0"/>
              <w:jc w:val="center"/>
              <w:rPr>
                <w:rFonts w:hint="eastAsia" w:eastAsia="宋体" w:cs="Times New Roman"/>
                <w:color w:val="auto"/>
                <w:sz w:val="21"/>
                <w:szCs w:val="21"/>
                <w:highlight w:val="none"/>
                <w:lang w:val="en-US" w:eastAsia="zh-CN"/>
              </w:rPr>
            </w:pPr>
            <w:r>
              <w:rPr>
                <w:rFonts w:cs="Times New Roman"/>
                <w:color w:val="auto"/>
                <w:sz w:val="21"/>
                <w:szCs w:val="21"/>
                <w:highlight w:val="none"/>
              </w:rPr>
              <w:t>污水处理采</w:t>
            </w:r>
            <w:r>
              <w:rPr>
                <w:rFonts w:hint="eastAsia" w:eastAsia="宋体" w:cs="Times New Roman"/>
                <w:color w:val="auto"/>
                <w:sz w:val="21"/>
                <w:szCs w:val="21"/>
                <w:highlight w:val="none"/>
                <w:lang w:eastAsia="zh-CN"/>
              </w:rPr>
              <w:t>用“格栅+</w:t>
            </w:r>
            <w:r>
              <w:rPr>
                <w:rFonts w:hint="eastAsia" w:eastAsia="宋体" w:cs="Times New Roman"/>
                <w:color w:val="auto"/>
                <w:sz w:val="21"/>
                <w:szCs w:val="21"/>
                <w:highlight w:val="none"/>
                <w:lang w:val="en-US" w:eastAsia="zh-CN"/>
              </w:rPr>
              <w:t>调节池</w:t>
            </w:r>
            <w:r>
              <w:rPr>
                <w:rFonts w:hint="eastAsia" w:eastAsia="宋体" w:cs="Times New Roman"/>
                <w:color w:val="auto"/>
                <w:sz w:val="21"/>
                <w:szCs w:val="21"/>
                <w:highlight w:val="none"/>
                <w:lang w:eastAsia="zh-CN"/>
              </w:rPr>
              <w:t>+气浮+水解酸化+</w:t>
            </w:r>
            <w:r>
              <w:rPr>
                <w:rFonts w:hint="eastAsia" w:eastAsia="宋体" w:cs="Times New Roman"/>
                <w:color w:val="auto"/>
                <w:sz w:val="21"/>
                <w:szCs w:val="21"/>
                <w:highlight w:val="none"/>
                <w:lang w:val="en-US" w:eastAsia="zh-CN"/>
              </w:rPr>
              <w:t>反硝化缺氧+好氧</w:t>
            </w:r>
            <w:r>
              <w:rPr>
                <w:rFonts w:hint="eastAsia" w:eastAsia="宋体" w:cs="Times New Roman"/>
                <w:color w:val="auto"/>
                <w:sz w:val="21"/>
                <w:szCs w:val="21"/>
                <w:highlight w:val="none"/>
                <w:lang w:eastAsia="zh-CN"/>
              </w:rPr>
              <w:t>+沉淀+消毒（</w:t>
            </w:r>
            <w:r>
              <w:rPr>
                <w:rFonts w:hint="eastAsia" w:eastAsia="宋体" w:cs="Times New Roman"/>
                <w:color w:val="auto"/>
                <w:sz w:val="21"/>
                <w:szCs w:val="21"/>
                <w:highlight w:val="none"/>
                <w:lang w:val="en-US" w:eastAsia="zh-CN"/>
              </w:rPr>
              <w:t>次氯酸钠</w:t>
            </w:r>
            <w:r>
              <w:rPr>
                <w:rFonts w:hint="eastAsia" w:eastAsia="宋体" w:cs="Times New Roman"/>
                <w:color w:val="auto"/>
                <w:sz w:val="21"/>
                <w:szCs w:val="21"/>
                <w:highlight w:val="none"/>
                <w:lang w:eastAsia="zh-CN"/>
              </w:rPr>
              <w:t>）”，设计处理能</w:t>
            </w:r>
            <w:r>
              <w:rPr>
                <w:rFonts w:hint="eastAsia" w:cs="Times New Roman"/>
                <w:color w:val="auto"/>
                <w:sz w:val="21"/>
                <w:szCs w:val="21"/>
                <w:highlight w:val="none"/>
                <w:lang w:eastAsia="zh-CN"/>
              </w:rPr>
              <w:t>力为</w:t>
            </w:r>
            <w:r>
              <w:rPr>
                <w:rFonts w:hint="eastAsia" w:cs="Times New Roman"/>
                <w:color w:val="auto"/>
                <w:sz w:val="21"/>
                <w:szCs w:val="21"/>
                <w:highlight w:val="none"/>
                <w:lang w:val="en-US" w:eastAsia="zh-CN"/>
              </w:rPr>
              <w:t>2</w:t>
            </w:r>
            <w:r>
              <w:rPr>
                <w:rFonts w:hint="eastAsia" w:cs="Times New Roman"/>
                <w:color w:val="auto"/>
                <w:sz w:val="21"/>
                <w:szCs w:val="21"/>
                <w:highlight w:val="none"/>
                <w:lang w:eastAsia="zh-CN"/>
              </w:rPr>
              <w:t>50</w:t>
            </w:r>
            <w:r>
              <w:rPr>
                <w:rFonts w:cs="Times New Roman"/>
                <w:color w:val="auto"/>
                <w:sz w:val="21"/>
                <w:szCs w:val="21"/>
                <w:highlight w:val="none"/>
              </w:rPr>
              <w:t>m</w:t>
            </w:r>
            <w:r>
              <w:rPr>
                <w:rFonts w:cs="Times New Roman"/>
                <w:color w:val="auto"/>
                <w:sz w:val="21"/>
                <w:szCs w:val="21"/>
                <w:highlight w:val="none"/>
                <w:vertAlign w:val="superscript"/>
              </w:rPr>
              <w:t>3</w:t>
            </w:r>
            <w:r>
              <w:rPr>
                <w:rFonts w:cs="Times New Roman"/>
                <w:color w:val="auto"/>
                <w:sz w:val="21"/>
                <w:szCs w:val="21"/>
                <w:highlight w:val="none"/>
              </w:rPr>
              <w:t>/d</w:t>
            </w:r>
            <w:r>
              <w:rPr>
                <w:rFonts w:hint="eastAsia" w:cs="Times New Roman"/>
                <w:color w:val="auto"/>
                <w:sz w:val="21"/>
                <w:szCs w:val="21"/>
                <w:highlight w:val="none"/>
                <w:lang w:eastAsia="zh-CN"/>
              </w:rPr>
              <w:t>。</w:t>
            </w:r>
          </w:p>
        </w:tc>
      </w:tr>
    </w:tbl>
    <w:p w14:paraId="252087DB">
      <w:pPr>
        <w:pStyle w:val="117"/>
        <w:ind w:firstLine="0" w:firstLineChars="0"/>
        <w:jc w:val="center"/>
        <w:rPr>
          <w:rFonts w:cs="Times New Roman"/>
          <w:b/>
          <w:color w:val="auto"/>
          <w:szCs w:val="24"/>
          <w:highlight w:val="none"/>
        </w:rPr>
      </w:pPr>
      <w:r>
        <w:rPr>
          <w:rFonts w:cs="Times New Roman"/>
          <w:b/>
          <w:color w:val="auto"/>
          <w:szCs w:val="24"/>
          <w:highlight w:val="none"/>
        </w:rPr>
        <w:t>表3-4-8  本项目污水处理站进</w:t>
      </w:r>
      <w:r>
        <w:rPr>
          <w:rFonts w:hint="eastAsia" w:cs="Times New Roman"/>
          <w:b/>
          <w:color w:val="auto"/>
          <w:szCs w:val="24"/>
          <w:highlight w:val="none"/>
          <w:lang w:eastAsia="zh-CN"/>
        </w:rPr>
        <w:t>、</w:t>
      </w:r>
      <w:r>
        <w:rPr>
          <w:rFonts w:cs="Times New Roman"/>
          <w:b/>
          <w:color w:val="auto"/>
          <w:szCs w:val="24"/>
          <w:highlight w:val="none"/>
        </w:rPr>
        <w:t>出水水质</w:t>
      </w:r>
    </w:p>
    <w:tbl>
      <w:tblPr>
        <w:tblStyle w:val="47"/>
        <w:tblW w:w="926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47"/>
        <w:gridCol w:w="1198"/>
        <w:gridCol w:w="819"/>
        <w:gridCol w:w="745"/>
        <w:gridCol w:w="724"/>
        <w:gridCol w:w="724"/>
        <w:gridCol w:w="954"/>
        <w:gridCol w:w="757"/>
        <w:gridCol w:w="713"/>
        <w:gridCol w:w="849"/>
        <w:gridCol w:w="939"/>
      </w:tblGrid>
      <w:tr w14:paraId="0DF1BE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42" w:hRule="atLeast"/>
          <w:jc w:val="center"/>
        </w:trPr>
        <w:tc>
          <w:tcPr>
            <w:tcW w:w="2045" w:type="dxa"/>
            <w:gridSpan w:val="2"/>
            <w:vAlign w:val="center"/>
          </w:tcPr>
          <w:p w14:paraId="3E5ED657">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项目</w:t>
            </w:r>
          </w:p>
        </w:tc>
        <w:tc>
          <w:tcPr>
            <w:tcW w:w="819" w:type="dxa"/>
            <w:vAlign w:val="center"/>
          </w:tcPr>
          <w:p w14:paraId="6DC8E5F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COD</w:t>
            </w:r>
          </w:p>
          <w:p w14:paraId="6B75E397">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(mg/L)</w:t>
            </w:r>
          </w:p>
        </w:tc>
        <w:tc>
          <w:tcPr>
            <w:tcW w:w="745" w:type="dxa"/>
            <w:vAlign w:val="center"/>
          </w:tcPr>
          <w:p w14:paraId="3C4E08C2">
            <w:pPr>
              <w:spacing w:line="240" w:lineRule="auto"/>
              <w:ind w:firstLine="0" w:firstLineChars="0"/>
              <w:jc w:val="center"/>
              <w:rPr>
                <w:rFonts w:cs="Times New Roman"/>
                <w:color w:val="auto"/>
                <w:sz w:val="21"/>
                <w:szCs w:val="21"/>
                <w:highlight w:val="none"/>
                <w:vertAlign w:val="subscript"/>
              </w:rPr>
            </w:pPr>
            <w:r>
              <w:rPr>
                <w:rFonts w:cs="Times New Roman"/>
                <w:color w:val="auto"/>
                <w:sz w:val="21"/>
                <w:szCs w:val="21"/>
                <w:highlight w:val="none"/>
              </w:rPr>
              <w:t>BOD</w:t>
            </w:r>
            <w:r>
              <w:rPr>
                <w:rFonts w:cs="Times New Roman"/>
                <w:color w:val="auto"/>
                <w:sz w:val="21"/>
                <w:szCs w:val="21"/>
                <w:highlight w:val="none"/>
                <w:vertAlign w:val="subscript"/>
              </w:rPr>
              <w:t>5</w:t>
            </w:r>
          </w:p>
          <w:p w14:paraId="670772A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(mg/L)</w:t>
            </w:r>
          </w:p>
        </w:tc>
        <w:tc>
          <w:tcPr>
            <w:tcW w:w="724" w:type="dxa"/>
            <w:vAlign w:val="center"/>
          </w:tcPr>
          <w:p w14:paraId="6E09F1F9">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SS</w:t>
            </w:r>
          </w:p>
          <w:p w14:paraId="216D91AC">
            <w:pPr>
              <w:spacing w:line="240" w:lineRule="auto"/>
              <w:ind w:firstLine="0" w:firstLineChars="0"/>
              <w:jc w:val="center"/>
              <w:rPr>
                <w:rFonts w:cs="Times New Roman"/>
                <w:color w:val="auto"/>
                <w:sz w:val="21"/>
                <w:szCs w:val="21"/>
                <w:highlight w:val="none"/>
                <w:vertAlign w:val="subscript"/>
              </w:rPr>
            </w:pPr>
            <w:r>
              <w:rPr>
                <w:rFonts w:cs="Times New Roman"/>
                <w:color w:val="auto"/>
                <w:sz w:val="21"/>
                <w:szCs w:val="21"/>
                <w:highlight w:val="none"/>
              </w:rPr>
              <w:t>(mg/L)</w:t>
            </w:r>
          </w:p>
        </w:tc>
        <w:tc>
          <w:tcPr>
            <w:tcW w:w="724" w:type="dxa"/>
            <w:vAlign w:val="center"/>
          </w:tcPr>
          <w:p w14:paraId="21911DE9">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氨氮</w:t>
            </w:r>
          </w:p>
          <w:p w14:paraId="40C75D4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(mg/L)</w:t>
            </w:r>
          </w:p>
        </w:tc>
        <w:tc>
          <w:tcPr>
            <w:tcW w:w="954" w:type="dxa"/>
            <w:vAlign w:val="center"/>
          </w:tcPr>
          <w:p w14:paraId="020D6532">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动植物油</w:t>
            </w:r>
          </w:p>
          <w:p w14:paraId="5485E9A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(mg/L)</w:t>
            </w:r>
          </w:p>
        </w:tc>
        <w:tc>
          <w:tcPr>
            <w:tcW w:w="757" w:type="dxa"/>
            <w:vAlign w:val="center"/>
          </w:tcPr>
          <w:p w14:paraId="19A6E18A">
            <w:pPr>
              <w:pStyle w:val="303"/>
              <w:adjustRightInd w:val="0"/>
              <w:snapToGrid w:val="0"/>
              <w:spacing w:line="240" w:lineRule="auto"/>
              <w:rPr>
                <w:color w:val="auto"/>
                <w:sz w:val="21"/>
                <w:szCs w:val="21"/>
                <w:highlight w:val="none"/>
              </w:rPr>
            </w:pPr>
            <w:r>
              <w:rPr>
                <w:snapToGrid w:val="0"/>
                <w:color w:val="auto"/>
                <w:sz w:val="21"/>
                <w:szCs w:val="21"/>
                <w:highlight w:val="none"/>
              </w:rPr>
              <w:t>总氮</w:t>
            </w:r>
            <w:r>
              <w:rPr>
                <w:color w:val="auto"/>
                <w:sz w:val="21"/>
                <w:szCs w:val="21"/>
                <w:highlight w:val="none"/>
              </w:rPr>
              <w:t>(mg/L)</w:t>
            </w:r>
          </w:p>
        </w:tc>
        <w:tc>
          <w:tcPr>
            <w:tcW w:w="713" w:type="dxa"/>
            <w:vAlign w:val="center"/>
          </w:tcPr>
          <w:p w14:paraId="5F422BC2">
            <w:pPr>
              <w:pStyle w:val="303"/>
              <w:adjustRightInd w:val="0"/>
              <w:snapToGrid w:val="0"/>
              <w:spacing w:line="240" w:lineRule="auto"/>
              <w:rPr>
                <w:color w:val="auto"/>
                <w:sz w:val="21"/>
                <w:szCs w:val="21"/>
                <w:highlight w:val="none"/>
              </w:rPr>
            </w:pPr>
            <w:r>
              <w:rPr>
                <w:snapToGrid w:val="0"/>
                <w:color w:val="auto"/>
                <w:sz w:val="21"/>
                <w:szCs w:val="21"/>
                <w:highlight w:val="none"/>
              </w:rPr>
              <w:t>总磷</w:t>
            </w:r>
            <w:r>
              <w:rPr>
                <w:color w:val="auto"/>
                <w:sz w:val="21"/>
                <w:szCs w:val="21"/>
                <w:highlight w:val="none"/>
              </w:rPr>
              <w:t>(mg/L)</w:t>
            </w:r>
          </w:p>
        </w:tc>
        <w:tc>
          <w:tcPr>
            <w:tcW w:w="849" w:type="dxa"/>
            <w:vAlign w:val="center"/>
          </w:tcPr>
          <w:p w14:paraId="41C52B9A">
            <w:pPr>
              <w:pStyle w:val="303"/>
              <w:adjustRightInd w:val="0"/>
              <w:snapToGrid w:val="0"/>
              <w:ind w:firstLine="0" w:firstLineChars="0"/>
              <w:rPr>
                <w:snapToGrid w:val="0"/>
                <w:color w:val="auto"/>
                <w:sz w:val="21"/>
                <w:szCs w:val="21"/>
                <w:highlight w:val="none"/>
              </w:rPr>
            </w:pPr>
            <w:r>
              <w:rPr>
                <w:rFonts w:hint="eastAsia" w:ascii="Times New Roman" w:hAnsi="Times New Roman" w:eastAsia="宋体" w:cs="Times New Roman"/>
                <w:color w:val="auto"/>
                <w:sz w:val="21"/>
                <w:szCs w:val="21"/>
                <w:highlight w:val="none"/>
                <w:lang w:val="en-US" w:eastAsia="zh-CN"/>
              </w:rPr>
              <w:t>pH值</w:t>
            </w:r>
          </w:p>
        </w:tc>
        <w:tc>
          <w:tcPr>
            <w:tcW w:w="939" w:type="dxa"/>
            <w:vAlign w:val="center"/>
          </w:tcPr>
          <w:p w14:paraId="04D35495">
            <w:pPr>
              <w:pStyle w:val="303"/>
              <w:adjustRightInd w:val="0"/>
              <w:snapToGrid w:val="0"/>
              <w:ind w:firstLine="0" w:firstLineChars="0"/>
              <w:rPr>
                <w:snapToGrid w:val="0"/>
                <w:color w:val="auto"/>
                <w:sz w:val="21"/>
                <w:szCs w:val="21"/>
                <w:highlight w:val="none"/>
              </w:rPr>
            </w:pPr>
            <w:r>
              <w:rPr>
                <w:rFonts w:hint="eastAsia" w:ascii="Times New Roman" w:hAnsi="Times New Roman" w:eastAsia="宋体" w:cs="Times New Roman"/>
                <w:color w:val="auto"/>
                <w:sz w:val="21"/>
                <w:szCs w:val="21"/>
                <w:highlight w:val="none"/>
                <w:lang w:val="en-US" w:eastAsia="zh-CN"/>
              </w:rPr>
              <w:t>大肠菌群数</w:t>
            </w:r>
          </w:p>
        </w:tc>
      </w:tr>
      <w:tr w14:paraId="20D51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81" w:hRule="atLeast"/>
          <w:jc w:val="center"/>
        </w:trPr>
        <w:tc>
          <w:tcPr>
            <w:tcW w:w="847" w:type="dxa"/>
            <w:vMerge w:val="restart"/>
            <w:vAlign w:val="center"/>
          </w:tcPr>
          <w:p w14:paraId="2904E4D0">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调节池</w:t>
            </w:r>
            <w:r>
              <w:rPr>
                <w:rFonts w:cs="Times New Roman"/>
                <w:color w:val="auto"/>
                <w:sz w:val="21"/>
                <w:szCs w:val="21"/>
                <w:highlight w:val="none"/>
              </w:rPr>
              <w:t>+气浮+水解酸化</w:t>
            </w:r>
            <w:r>
              <w:rPr>
                <w:rFonts w:eastAsia="宋体" w:cs="Times New Roman"/>
                <w:color w:val="auto"/>
                <w:sz w:val="21"/>
                <w:szCs w:val="21"/>
                <w:highlight w:val="none"/>
              </w:rPr>
              <w:t>+</w:t>
            </w:r>
            <w:r>
              <w:rPr>
                <w:rFonts w:hint="eastAsia" w:eastAsia="宋体" w:cs="Times New Roman"/>
                <w:color w:val="auto"/>
                <w:sz w:val="21"/>
                <w:szCs w:val="21"/>
                <w:highlight w:val="none"/>
                <w:lang w:val="en-US" w:eastAsia="zh-CN"/>
              </w:rPr>
              <w:t>反硝化缺氧+好氧</w:t>
            </w:r>
          </w:p>
        </w:tc>
        <w:tc>
          <w:tcPr>
            <w:tcW w:w="1198" w:type="dxa"/>
            <w:vAlign w:val="center"/>
          </w:tcPr>
          <w:p w14:paraId="715C40C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混合后水质</w:t>
            </w:r>
          </w:p>
        </w:tc>
        <w:tc>
          <w:tcPr>
            <w:tcW w:w="819" w:type="dxa"/>
            <w:shd w:val="clear" w:color="auto" w:fill="auto"/>
            <w:vAlign w:val="center"/>
          </w:tcPr>
          <w:p w14:paraId="4AE844E8">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2649</w:t>
            </w:r>
          </w:p>
        </w:tc>
        <w:tc>
          <w:tcPr>
            <w:tcW w:w="745" w:type="dxa"/>
            <w:shd w:val="clear" w:color="auto" w:fill="auto"/>
            <w:vAlign w:val="center"/>
          </w:tcPr>
          <w:p w14:paraId="7E18CD60">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963</w:t>
            </w:r>
          </w:p>
        </w:tc>
        <w:tc>
          <w:tcPr>
            <w:tcW w:w="724" w:type="dxa"/>
            <w:shd w:val="clear" w:color="auto" w:fill="auto"/>
            <w:vAlign w:val="center"/>
          </w:tcPr>
          <w:p w14:paraId="22E07915">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963</w:t>
            </w:r>
          </w:p>
        </w:tc>
        <w:tc>
          <w:tcPr>
            <w:tcW w:w="724" w:type="dxa"/>
            <w:shd w:val="clear" w:color="auto" w:fill="auto"/>
            <w:vAlign w:val="center"/>
          </w:tcPr>
          <w:p w14:paraId="1ED9B3FC">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84</w:t>
            </w:r>
          </w:p>
        </w:tc>
        <w:tc>
          <w:tcPr>
            <w:tcW w:w="954" w:type="dxa"/>
            <w:shd w:val="clear" w:color="auto" w:fill="auto"/>
            <w:vAlign w:val="center"/>
          </w:tcPr>
          <w:p w14:paraId="46EF2CBE">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192</w:t>
            </w:r>
          </w:p>
        </w:tc>
        <w:tc>
          <w:tcPr>
            <w:tcW w:w="757" w:type="dxa"/>
            <w:shd w:val="clear" w:color="auto" w:fill="auto"/>
            <w:vAlign w:val="center"/>
          </w:tcPr>
          <w:p w14:paraId="65145115">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189</w:t>
            </w:r>
          </w:p>
        </w:tc>
        <w:tc>
          <w:tcPr>
            <w:tcW w:w="713" w:type="dxa"/>
            <w:shd w:val="clear" w:color="auto" w:fill="auto"/>
            <w:vAlign w:val="center"/>
          </w:tcPr>
          <w:p w14:paraId="03A139F0">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17</w:t>
            </w:r>
          </w:p>
        </w:tc>
        <w:tc>
          <w:tcPr>
            <w:tcW w:w="849" w:type="dxa"/>
            <w:shd w:val="clear" w:color="auto" w:fill="auto"/>
            <w:vAlign w:val="center"/>
          </w:tcPr>
          <w:p w14:paraId="4FB6B4A6">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6.5~7.5</w:t>
            </w:r>
          </w:p>
        </w:tc>
        <w:tc>
          <w:tcPr>
            <w:tcW w:w="939" w:type="dxa"/>
            <w:shd w:val="clear" w:color="auto" w:fill="auto"/>
            <w:vAlign w:val="center"/>
          </w:tcPr>
          <w:p w14:paraId="4F758F6F">
            <w:pPr>
              <w:pStyle w:val="303"/>
              <w:adjustRightInd w:val="0"/>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r>
      <w:tr w14:paraId="0A146D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03" w:hRule="atLeast"/>
          <w:jc w:val="center"/>
        </w:trPr>
        <w:tc>
          <w:tcPr>
            <w:tcW w:w="847" w:type="dxa"/>
            <w:vMerge w:val="continue"/>
            <w:vAlign w:val="center"/>
          </w:tcPr>
          <w:p w14:paraId="7BA7446C">
            <w:pPr>
              <w:spacing w:line="240" w:lineRule="auto"/>
              <w:ind w:firstLine="0" w:firstLineChars="0"/>
              <w:jc w:val="center"/>
              <w:rPr>
                <w:rFonts w:cs="Times New Roman"/>
                <w:color w:val="auto"/>
                <w:sz w:val="21"/>
                <w:szCs w:val="21"/>
                <w:highlight w:val="none"/>
              </w:rPr>
            </w:pPr>
            <w:bookmarkStart w:id="135" w:name="OLE_LINK1" w:colFirst="2" w:colLast="8"/>
          </w:p>
        </w:tc>
        <w:tc>
          <w:tcPr>
            <w:tcW w:w="1198" w:type="dxa"/>
            <w:vAlign w:val="center"/>
          </w:tcPr>
          <w:p w14:paraId="4933F9C0">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去除率（%）</w:t>
            </w:r>
          </w:p>
        </w:tc>
        <w:tc>
          <w:tcPr>
            <w:tcW w:w="819" w:type="dxa"/>
            <w:vAlign w:val="center"/>
          </w:tcPr>
          <w:p w14:paraId="1F1C0BA9">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90</w:t>
            </w:r>
          </w:p>
        </w:tc>
        <w:tc>
          <w:tcPr>
            <w:tcW w:w="745" w:type="dxa"/>
            <w:vAlign w:val="center"/>
          </w:tcPr>
          <w:p w14:paraId="1CA0BE6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75</w:t>
            </w:r>
          </w:p>
        </w:tc>
        <w:tc>
          <w:tcPr>
            <w:tcW w:w="724" w:type="dxa"/>
            <w:vAlign w:val="center"/>
          </w:tcPr>
          <w:p w14:paraId="5ED3FB4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90</w:t>
            </w:r>
          </w:p>
        </w:tc>
        <w:tc>
          <w:tcPr>
            <w:tcW w:w="724" w:type="dxa"/>
            <w:vAlign w:val="center"/>
          </w:tcPr>
          <w:p w14:paraId="155BECF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60</w:t>
            </w:r>
          </w:p>
        </w:tc>
        <w:tc>
          <w:tcPr>
            <w:tcW w:w="954" w:type="dxa"/>
            <w:vAlign w:val="center"/>
          </w:tcPr>
          <w:p w14:paraId="4AF0618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75</w:t>
            </w:r>
          </w:p>
        </w:tc>
        <w:tc>
          <w:tcPr>
            <w:tcW w:w="757" w:type="dxa"/>
            <w:vAlign w:val="center"/>
          </w:tcPr>
          <w:p w14:paraId="736A0BC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75</w:t>
            </w:r>
          </w:p>
        </w:tc>
        <w:tc>
          <w:tcPr>
            <w:tcW w:w="713" w:type="dxa"/>
            <w:vAlign w:val="center"/>
          </w:tcPr>
          <w:p w14:paraId="220AA0E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70</w:t>
            </w:r>
          </w:p>
        </w:tc>
        <w:tc>
          <w:tcPr>
            <w:tcW w:w="849" w:type="dxa"/>
            <w:vAlign w:val="center"/>
          </w:tcPr>
          <w:p w14:paraId="0BAA1E65">
            <w:pPr>
              <w:spacing w:line="24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939" w:type="dxa"/>
            <w:vAlign w:val="center"/>
          </w:tcPr>
          <w:p w14:paraId="35AEF8DB">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99</w:t>
            </w:r>
          </w:p>
        </w:tc>
      </w:tr>
      <w:bookmarkEnd w:id="135"/>
      <w:tr w14:paraId="05946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03" w:hRule="atLeast"/>
          <w:jc w:val="center"/>
        </w:trPr>
        <w:tc>
          <w:tcPr>
            <w:tcW w:w="847" w:type="dxa"/>
            <w:vMerge w:val="continue"/>
            <w:vAlign w:val="center"/>
          </w:tcPr>
          <w:p w14:paraId="173F4D18">
            <w:pPr>
              <w:spacing w:line="240" w:lineRule="auto"/>
              <w:ind w:firstLine="0" w:firstLineChars="0"/>
              <w:jc w:val="center"/>
              <w:rPr>
                <w:rFonts w:cs="Times New Roman"/>
                <w:color w:val="auto"/>
                <w:sz w:val="21"/>
                <w:szCs w:val="21"/>
                <w:highlight w:val="none"/>
              </w:rPr>
            </w:pPr>
          </w:p>
        </w:tc>
        <w:tc>
          <w:tcPr>
            <w:tcW w:w="1198" w:type="dxa"/>
            <w:vAlign w:val="center"/>
          </w:tcPr>
          <w:p w14:paraId="3F866223">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出水水质</w:t>
            </w:r>
          </w:p>
        </w:tc>
        <w:tc>
          <w:tcPr>
            <w:tcW w:w="819" w:type="dxa"/>
            <w:vAlign w:val="center"/>
          </w:tcPr>
          <w:p w14:paraId="729C7CB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265</w:t>
            </w:r>
          </w:p>
        </w:tc>
        <w:tc>
          <w:tcPr>
            <w:tcW w:w="745" w:type="dxa"/>
            <w:vAlign w:val="center"/>
          </w:tcPr>
          <w:p w14:paraId="46263386">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241</w:t>
            </w:r>
          </w:p>
        </w:tc>
        <w:tc>
          <w:tcPr>
            <w:tcW w:w="724" w:type="dxa"/>
            <w:vAlign w:val="center"/>
          </w:tcPr>
          <w:p w14:paraId="632E153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289</w:t>
            </w:r>
          </w:p>
        </w:tc>
        <w:tc>
          <w:tcPr>
            <w:tcW w:w="724" w:type="dxa"/>
            <w:vAlign w:val="center"/>
          </w:tcPr>
          <w:p w14:paraId="25BD3A1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34</w:t>
            </w:r>
          </w:p>
        </w:tc>
        <w:tc>
          <w:tcPr>
            <w:tcW w:w="954" w:type="dxa"/>
            <w:vAlign w:val="center"/>
          </w:tcPr>
          <w:p w14:paraId="575BD4F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48</w:t>
            </w:r>
          </w:p>
        </w:tc>
        <w:tc>
          <w:tcPr>
            <w:tcW w:w="757" w:type="dxa"/>
            <w:vAlign w:val="center"/>
          </w:tcPr>
          <w:p w14:paraId="1517AE1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47</w:t>
            </w:r>
          </w:p>
        </w:tc>
        <w:tc>
          <w:tcPr>
            <w:tcW w:w="713" w:type="dxa"/>
            <w:vAlign w:val="center"/>
          </w:tcPr>
          <w:p w14:paraId="1B609E20">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849" w:type="dxa"/>
            <w:vAlign w:val="center"/>
          </w:tcPr>
          <w:p w14:paraId="3AF745F8">
            <w:pPr>
              <w:pStyle w:val="303"/>
              <w:adjustRightInd w:val="0"/>
              <w:snapToGrid w:val="0"/>
              <w:ind w:firstLine="0" w:firstLineChars="0"/>
              <w:rPr>
                <w:rFonts w:cs="Times New Roman"/>
                <w:color w:val="auto"/>
                <w:sz w:val="21"/>
                <w:szCs w:val="21"/>
                <w:highlight w:val="none"/>
              </w:rPr>
            </w:pPr>
            <w:r>
              <w:rPr>
                <w:rFonts w:hint="eastAsia" w:eastAsia="宋体" w:cs="Times New Roman"/>
                <w:color w:val="auto"/>
                <w:kern w:val="0"/>
                <w:sz w:val="21"/>
                <w:szCs w:val="21"/>
                <w:highlight w:val="none"/>
                <w:lang w:val="en-US" w:eastAsia="zh-CN" w:bidi="ar-SA"/>
              </w:rPr>
              <w:t>6.5~7.5</w:t>
            </w:r>
          </w:p>
        </w:tc>
        <w:tc>
          <w:tcPr>
            <w:tcW w:w="939" w:type="dxa"/>
            <w:vAlign w:val="center"/>
          </w:tcPr>
          <w:p w14:paraId="6E85F428">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3830</w:t>
            </w:r>
          </w:p>
        </w:tc>
      </w:tr>
      <w:tr w14:paraId="3D42D1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82" w:hRule="atLeast"/>
          <w:jc w:val="center"/>
        </w:trPr>
        <w:tc>
          <w:tcPr>
            <w:tcW w:w="2045" w:type="dxa"/>
            <w:gridSpan w:val="2"/>
            <w:vAlign w:val="center"/>
          </w:tcPr>
          <w:p w14:paraId="3FB998DB">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标准</w:t>
            </w:r>
          </w:p>
        </w:tc>
        <w:tc>
          <w:tcPr>
            <w:tcW w:w="819" w:type="dxa"/>
            <w:vAlign w:val="center"/>
          </w:tcPr>
          <w:p w14:paraId="66A8D8CE">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500</w:t>
            </w:r>
          </w:p>
        </w:tc>
        <w:tc>
          <w:tcPr>
            <w:tcW w:w="745" w:type="dxa"/>
            <w:vAlign w:val="center"/>
          </w:tcPr>
          <w:p w14:paraId="032EDD53">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300</w:t>
            </w:r>
          </w:p>
        </w:tc>
        <w:tc>
          <w:tcPr>
            <w:tcW w:w="724" w:type="dxa"/>
            <w:vAlign w:val="center"/>
          </w:tcPr>
          <w:p w14:paraId="2F393DA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400</w:t>
            </w:r>
          </w:p>
        </w:tc>
        <w:tc>
          <w:tcPr>
            <w:tcW w:w="724" w:type="dxa"/>
            <w:vAlign w:val="center"/>
          </w:tcPr>
          <w:p w14:paraId="5DBD45F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45</w:t>
            </w:r>
          </w:p>
        </w:tc>
        <w:tc>
          <w:tcPr>
            <w:tcW w:w="954" w:type="dxa"/>
            <w:vAlign w:val="center"/>
          </w:tcPr>
          <w:p w14:paraId="663051F3">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60</w:t>
            </w:r>
          </w:p>
        </w:tc>
        <w:tc>
          <w:tcPr>
            <w:tcW w:w="757" w:type="dxa"/>
            <w:vAlign w:val="center"/>
          </w:tcPr>
          <w:p w14:paraId="0BA46BD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70</w:t>
            </w:r>
          </w:p>
        </w:tc>
        <w:tc>
          <w:tcPr>
            <w:tcW w:w="713" w:type="dxa"/>
            <w:vAlign w:val="center"/>
          </w:tcPr>
          <w:p w14:paraId="0F24FE5E">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8</w:t>
            </w:r>
          </w:p>
        </w:tc>
        <w:tc>
          <w:tcPr>
            <w:tcW w:w="849" w:type="dxa"/>
            <w:vAlign w:val="center"/>
          </w:tcPr>
          <w:p w14:paraId="3C7D50C8">
            <w:pPr>
              <w:spacing w:line="240" w:lineRule="auto"/>
              <w:ind w:firstLine="0" w:firstLineChars="0"/>
              <w:jc w:val="center"/>
              <w:rPr>
                <w:rFonts w:cs="Times New Roman"/>
                <w:color w:val="auto"/>
                <w:sz w:val="21"/>
                <w:szCs w:val="21"/>
                <w:highlight w:val="none"/>
              </w:rPr>
            </w:pPr>
            <w:r>
              <w:rPr>
                <w:rFonts w:ascii="Times New Roman" w:hAnsi="Times New Roman"/>
                <w:color w:val="auto"/>
                <w:sz w:val="21"/>
                <w:szCs w:val="21"/>
                <w:highlight w:val="none"/>
                <w:lang w:eastAsia="zh-CN"/>
              </w:rPr>
              <w:t>6.0-8.5</w:t>
            </w:r>
          </w:p>
        </w:tc>
        <w:tc>
          <w:tcPr>
            <w:tcW w:w="939" w:type="dxa"/>
            <w:vAlign w:val="center"/>
          </w:tcPr>
          <w:p w14:paraId="2C63B521">
            <w:pPr>
              <w:spacing w:line="24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2D2EB678">
      <w:pPr>
        <w:pStyle w:val="117"/>
        <w:rPr>
          <w:rFonts w:cs="Times New Roman"/>
          <w:color w:val="auto"/>
          <w:kern w:val="0"/>
          <w:highlight w:val="none"/>
          <w:lang w:val="en-GB"/>
        </w:rPr>
      </w:pPr>
      <w:r>
        <w:rPr>
          <w:rFonts w:hint="eastAsia" w:cs="Times New Roman"/>
          <w:color w:val="auto"/>
          <w:kern w:val="0"/>
          <w:highlight w:val="none"/>
          <w:lang w:eastAsia="zh-CN"/>
        </w:rPr>
        <w:t>屠宰废水、车辆冲洗水及冷库排酸废水经污水处理站处理后，</w:t>
      </w:r>
      <w:r>
        <w:rPr>
          <w:rFonts w:cs="Times New Roman"/>
          <w:color w:val="auto"/>
          <w:kern w:val="0"/>
          <w:highlight w:val="none"/>
        </w:rPr>
        <w:t>水污染物浓度均</w:t>
      </w:r>
      <w:r>
        <w:rPr>
          <w:rFonts w:cs="Times New Roman"/>
          <w:color w:val="auto"/>
          <w:kern w:val="0"/>
          <w:highlight w:val="none"/>
          <w:lang w:val="en-GB"/>
        </w:rPr>
        <w:t>达到《肉类加工工业水污染物排放标准》（GB13457-92）</w:t>
      </w:r>
      <w:r>
        <w:rPr>
          <w:rFonts w:cs="Times New Roman"/>
          <w:color w:val="auto"/>
          <w:kern w:val="0"/>
          <w:highlight w:val="none"/>
        </w:rPr>
        <w:t>表3</w:t>
      </w:r>
      <w:r>
        <w:rPr>
          <w:rFonts w:cs="Times New Roman"/>
          <w:color w:val="auto"/>
          <w:kern w:val="0"/>
          <w:highlight w:val="none"/>
          <w:lang w:val="en-GB"/>
        </w:rPr>
        <w:t>中畜类屠宰加工三级标准，并满足</w:t>
      </w:r>
      <w:r>
        <w:rPr>
          <w:rFonts w:hint="eastAsia" w:cs="Times New Roman"/>
          <w:color w:val="auto"/>
          <w:kern w:val="0"/>
          <w:highlight w:val="none"/>
          <w:lang w:val="en-GB" w:eastAsia="zh-CN"/>
        </w:rPr>
        <w:t>双鸭山市畅源排水有限公司</w:t>
      </w:r>
      <w:r>
        <w:rPr>
          <w:rFonts w:cs="Times New Roman"/>
          <w:color w:val="auto"/>
          <w:kern w:val="0"/>
          <w:highlight w:val="none"/>
          <w:lang w:val="en-GB"/>
        </w:rPr>
        <w:t>进水水质要求后，</w:t>
      </w:r>
      <w:r>
        <w:rPr>
          <w:rFonts w:cs="Times New Roman"/>
          <w:color w:val="auto"/>
          <w:kern w:val="0"/>
          <w:highlight w:val="none"/>
        </w:rPr>
        <w:t>与生活污水一同经污水管网进入</w:t>
      </w:r>
      <w:r>
        <w:rPr>
          <w:rFonts w:hint="eastAsia" w:cs="Times New Roman"/>
          <w:color w:val="auto"/>
          <w:kern w:val="0"/>
          <w:highlight w:val="none"/>
          <w:lang w:val="en-GB" w:eastAsia="zh-CN"/>
        </w:rPr>
        <w:t>双鸭山市畅源排水有限公司</w:t>
      </w:r>
      <w:r>
        <w:rPr>
          <w:rFonts w:cs="Times New Roman"/>
          <w:color w:val="auto"/>
          <w:kern w:val="0"/>
          <w:highlight w:val="none"/>
        </w:rPr>
        <w:t>处理，处理达标后排放。</w:t>
      </w:r>
    </w:p>
    <w:p w14:paraId="164FA570">
      <w:pPr>
        <w:pStyle w:val="117"/>
        <w:ind w:firstLine="0" w:firstLineChars="0"/>
        <w:jc w:val="center"/>
        <w:rPr>
          <w:rFonts w:ascii="Times New Roman" w:hAnsi="Times New Roman" w:eastAsia="宋体" w:cs="Times New Roman"/>
          <w:b/>
          <w:color w:val="auto"/>
          <w:szCs w:val="24"/>
          <w:highlight w:val="none"/>
        </w:rPr>
      </w:pPr>
      <w:r>
        <w:rPr>
          <w:rFonts w:ascii="Times New Roman" w:hAnsi="Times New Roman" w:eastAsia="宋体" w:cs="Times New Roman"/>
          <w:b/>
          <w:color w:val="auto"/>
          <w:szCs w:val="24"/>
          <w:highlight w:val="none"/>
        </w:rPr>
        <w:t>表3-4-</w:t>
      </w:r>
      <w:r>
        <w:rPr>
          <w:rFonts w:hint="eastAsia" w:ascii="Times New Roman" w:hAnsi="Times New Roman" w:eastAsia="宋体" w:cs="Times New Roman"/>
          <w:b/>
          <w:color w:val="auto"/>
          <w:szCs w:val="24"/>
          <w:highlight w:val="none"/>
          <w:lang w:val="en-US" w:eastAsia="zh-CN"/>
        </w:rPr>
        <w:t>9</w:t>
      </w:r>
      <w:r>
        <w:rPr>
          <w:rFonts w:ascii="Times New Roman" w:hAnsi="Times New Roman" w:eastAsia="宋体" w:cs="Times New Roman"/>
          <w:b/>
          <w:color w:val="auto"/>
          <w:szCs w:val="24"/>
          <w:highlight w:val="none"/>
        </w:rPr>
        <w:t xml:space="preserve">  排放总量和单位活屠量排水量情况一览表</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10"/>
        <w:gridCol w:w="873"/>
        <w:gridCol w:w="943"/>
        <w:gridCol w:w="711"/>
        <w:gridCol w:w="999"/>
        <w:gridCol w:w="942"/>
        <w:gridCol w:w="1244"/>
      </w:tblGrid>
      <w:tr w14:paraId="5725B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48" w:type="pct"/>
            <w:noWrap w:val="0"/>
            <w:vAlign w:val="center"/>
          </w:tcPr>
          <w:p w14:paraId="61441488">
            <w:pPr>
              <w:pStyle w:val="73"/>
              <w:rPr>
                <w:snapToGrid w:val="0"/>
                <w:color w:val="auto"/>
                <w:kern w:val="2"/>
                <w:sz w:val="21"/>
                <w:szCs w:val="22"/>
                <w:highlight w:val="none"/>
              </w:rPr>
            </w:pPr>
            <w:r>
              <w:rPr>
                <w:snapToGrid w:val="0"/>
                <w:color w:val="auto"/>
                <w:kern w:val="2"/>
                <w:sz w:val="21"/>
                <w:szCs w:val="22"/>
                <w:highlight w:val="none"/>
              </w:rPr>
              <w:t>污染源名称</w:t>
            </w:r>
          </w:p>
        </w:tc>
        <w:tc>
          <w:tcPr>
            <w:tcW w:w="512" w:type="pct"/>
            <w:noWrap w:val="0"/>
            <w:vAlign w:val="center"/>
          </w:tcPr>
          <w:p w14:paraId="7F88FF44">
            <w:pPr>
              <w:pStyle w:val="73"/>
              <w:rPr>
                <w:snapToGrid w:val="0"/>
                <w:color w:val="auto"/>
                <w:kern w:val="2"/>
                <w:sz w:val="21"/>
                <w:szCs w:val="22"/>
                <w:highlight w:val="none"/>
              </w:rPr>
            </w:pPr>
            <w:r>
              <w:rPr>
                <w:snapToGrid w:val="0"/>
                <w:color w:val="auto"/>
                <w:kern w:val="2"/>
                <w:sz w:val="21"/>
                <w:szCs w:val="22"/>
                <w:highlight w:val="none"/>
              </w:rPr>
              <w:t>COD</w:t>
            </w:r>
          </w:p>
        </w:tc>
        <w:tc>
          <w:tcPr>
            <w:tcW w:w="553" w:type="pct"/>
            <w:noWrap w:val="0"/>
            <w:vAlign w:val="center"/>
          </w:tcPr>
          <w:p w14:paraId="1AC586C1">
            <w:pPr>
              <w:pStyle w:val="73"/>
              <w:rPr>
                <w:snapToGrid w:val="0"/>
                <w:color w:val="auto"/>
                <w:kern w:val="2"/>
                <w:sz w:val="21"/>
                <w:szCs w:val="22"/>
                <w:highlight w:val="none"/>
                <w:vertAlign w:val="subscript"/>
              </w:rPr>
            </w:pPr>
            <w:r>
              <w:rPr>
                <w:snapToGrid w:val="0"/>
                <w:color w:val="auto"/>
                <w:kern w:val="2"/>
                <w:sz w:val="21"/>
                <w:szCs w:val="22"/>
                <w:highlight w:val="none"/>
              </w:rPr>
              <w:t>BOD</w:t>
            </w:r>
            <w:r>
              <w:rPr>
                <w:snapToGrid w:val="0"/>
                <w:color w:val="auto"/>
                <w:kern w:val="2"/>
                <w:sz w:val="21"/>
                <w:szCs w:val="22"/>
                <w:highlight w:val="none"/>
                <w:vertAlign w:val="subscript"/>
              </w:rPr>
              <w:t>5</w:t>
            </w:r>
          </w:p>
        </w:tc>
        <w:tc>
          <w:tcPr>
            <w:tcW w:w="417" w:type="pct"/>
            <w:noWrap w:val="0"/>
            <w:vAlign w:val="center"/>
          </w:tcPr>
          <w:p w14:paraId="379B4391">
            <w:pPr>
              <w:pStyle w:val="73"/>
              <w:rPr>
                <w:snapToGrid w:val="0"/>
                <w:color w:val="auto"/>
                <w:kern w:val="2"/>
                <w:sz w:val="21"/>
                <w:szCs w:val="22"/>
                <w:highlight w:val="none"/>
              </w:rPr>
            </w:pPr>
            <w:r>
              <w:rPr>
                <w:snapToGrid w:val="0"/>
                <w:color w:val="auto"/>
                <w:kern w:val="2"/>
                <w:sz w:val="21"/>
                <w:szCs w:val="22"/>
                <w:highlight w:val="none"/>
              </w:rPr>
              <w:t>SS</w:t>
            </w:r>
          </w:p>
        </w:tc>
        <w:tc>
          <w:tcPr>
            <w:tcW w:w="586" w:type="pct"/>
            <w:noWrap w:val="0"/>
            <w:vAlign w:val="center"/>
          </w:tcPr>
          <w:p w14:paraId="07EDD686">
            <w:pPr>
              <w:pStyle w:val="73"/>
              <w:rPr>
                <w:snapToGrid w:val="0"/>
                <w:color w:val="auto"/>
                <w:kern w:val="2"/>
                <w:sz w:val="21"/>
                <w:szCs w:val="22"/>
                <w:highlight w:val="none"/>
              </w:rPr>
            </w:pPr>
            <w:r>
              <w:rPr>
                <w:snapToGrid w:val="0"/>
                <w:color w:val="auto"/>
                <w:kern w:val="2"/>
                <w:sz w:val="21"/>
                <w:szCs w:val="22"/>
                <w:highlight w:val="none"/>
              </w:rPr>
              <w:t>动植物油</w:t>
            </w:r>
          </w:p>
        </w:tc>
        <w:tc>
          <w:tcPr>
            <w:tcW w:w="552" w:type="pct"/>
            <w:noWrap w:val="0"/>
            <w:vAlign w:val="center"/>
          </w:tcPr>
          <w:p w14:paraId="325D9646">
            <w:pPr>
              <w:pStyle w:val="73"/>
              <w:rPr>
                <w:snapToGrid w:val="0"/>
                <w:color w:val="auto"/>
                <w:kern w:val="2"/>
                <w:sz w:val="21"/>
                <w:szCs w:val="22"/>
                <w:highlight w:val="none"/>
              </w:rPr>
            </w:pPr>
            <w:r>
              <w:rPr>
                <w:snapToGrid w:val="0"/>
                <w:color w:val="auto"/>
                <w:kern w:val="2"/>
                <w:sz w:val="21"/>
                <w:szCs w:val="22"/>
                <w:highlight w:val="none"/>
              </w:rPr>
              <w:t>氨氮</w:t>
            </w:r>
          </w:p>
        </w:tc>
        <w:tc>
          <w:tcPr>
            <w:tcW w:w="729" w:type="pct"/>
            <w:noWrap w:val="0"/>
            <w:vAlign w:val="center"/>
          </w:tcPr>
          <w:p w14:paraId="2AB74ADD">
            <w:pPr>
              <w:pStyle w:val="73"/>
              <w:rPr>
                <w:snapToGrid w:val="0"/>
                <w:color w:val="auto"/>
                <w:kern w:val="2"/>
                <w:sz w:val="21"/>
                <w:szCs w:val="22"/>
                <w:highlight w:val="none"/>
              </w:rPr>
            </w:pPr>
            <w:r>
              <w:rPr>
                <w:snapToGrid w:val="0"/>
                <w:color w:val="auto"/>
                <w:kern w:val="2"/>
                <w:sz w:val="21"/>
                <w:szCs w:val="22"/>
                <w:highlight w:val="none"/>
              </w:rPr>
              <w:t>排水量</w:t>
            </w:r>
          </w:p>
          <w:p w14:paraId="0F79F0E3">
            <w:pPr>
              <w:pStyle w:val="73"/>
              <w:rPr>
                <w:snapToGrid w:val="0"/>
                <w:color w:val="auto"/>
                <w:kern w:val="2"/>
                <w:sz w:val="21"/>
                <w:szCs w:val="22"/>
                <w:highlight w:val="none"/>
              </w:rPr>
            </w:pPr>
            <w:r>
              <w:rPr>
                <w:snapToGrid w:val="0"/>
                <w:color w:val="auto"/>
                <w:kern w:val="2"/>
                <w:sz w:val="21"/>
                <w:szCs w:val="22"/>
                <w:highlight w:val="none"/>
              </w:rPr>
              <w:t>m</w:t>
            </w:r>
            <w:r>
              <w:rPr>
                <w:snapToGrid w:val="0"/>
                <w:color w:val="auto"/>
                <w:kern w:val="2"/>
                <w:sz w:val="21"/>
                <w:szCs w:val="22"/>
                <w:highlight w:val="none"/>
                <w:vertAlign w:val="superscript"/>
              </w:rPr>
              <w:t>3</w:t>
            </w:r>
            <w:r>
              <w:rPr>
                <w:snapToGrid w:val="0"/>
                <w:color w:val="auto"/>
                <w:kern w:val="2"/>
                <w:sz w:val="21"/>
                <w:szCs w:val="22"/>
                <w:highlight w:val="none"/>
              </w:rPr>
              <w:t>/t活屠量</w:t>
            </w:r>
          </w:p>
        </w:tc>
      </w:tr>
      <w:tr w14:paraId="0674D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48" w:type="pct"/>
            <w:noWrap w:val="0"/>
            <w:vAlign w:val="center"/>
          </w:tcPr>
          <w:p w14:paraId="0AAEB157">
            <w:pPr>
              <w:pStyle w:val="73"/>
              <w:rPr>
                <w:snapToGrid w:val="0"/>
                <w:color w:val="auto"/>
                <w:kern w:val="2"/>
                <w:sz w:val="21"/>
                <w:szCs w:val="22"/>
                <w:highlight w:val="none"/>
              </w:rPr>
            </w:pPr>
            <w:r>
              <w:rPr>
                <w:snapToGrid w:val="0"/>
                <w:color w:val="auto"/>
                <w:kern w:val="2"/>
                <w:sz w:val="21"/>
                <w:szCs w:val="22"/>
                <w:highlight w:val="none"/>
              </w:rPr>
              <w:t>本项目排放总量kg/t活屠量</w:t>
            </w:r>
          </w:p>
        </w:tc>
        <w:tc>
          <w:tcPr>
            <w:tcW w:w="512" w:type="pct"/>
            <w:noWrap w:val="0"/>
            <w:vAlign w:val="center"/>
          </w:tcPr>
          <w:p w14:paraId="7CA6475B">
            <w:pPr>
              <w:pStyle w:val="73"/>
              <w:rPr>
                <w:rFonts w:hint="default" w:eastAsia="宋体"/>
                <w:snapToGrid w:val="0"/>
                <w:color w:val="auto"/>
                <w:kern w:val="2"/>
                <w:sz w:val="21"/>
                <w:szCs w:val="22"/>
                <w:highlight w:val="none"/>
                <w:lang w:val="en-US" w:eastAsia="zh-CN"/>
              </w:rPr>
            </w:pPr>
            <w:r>
              <w:rPr>
                <w:rFonts w:hint="eastAsia"/>
                <w:snapToGrid w:val="0"/>
                <w:color w:val="auto"/>
                <w:kern w:val="2"/>
                <w:sz w:val="21"/>
                <w:szCs w:val="22"/>
                <w:highlight w:val="none"/>
                <w:lang w:val="en-US" w:eastAsia="zh-CN"/>
              </w:rPr>
              <w:t>0.84</w:t>
            </w:r>
          </w:p>
        </w:tc>
        <w:tc>
          <w:tcPr>
            <w:tcW w:w="553" w:type="pct"/>
            <w:noWrap w:val="0"/>
            <w:vAlign w:val="center"/>
          </w:tcPr>
          <w:p w14:paraId="672A8568">
            <w:pPr>
              <w:pStyle w:val="73"/>
              <w:rPr>
                <w:rFonts w:hint="default" w:eastAsia="宋体"/>
                <w:snapToGrid w:val="0"/>
                <w:color w:val="auto"/>
                <w:kern w:val="2"/>
                <w:sz w:val="21"/>
                <w:szCs w:val="22"/>
                <w:highlight w:val="none"/>
                <w:lang w:val="en-US" w:eastAsia="zh-CN"/>
              </w:rPr>
            </w:pPr>
            <w:r>
              <w:rPr>
                <w:rFonts w:hint="eastAsia"/>
                <w:snapToGrid w:val="0"/>
                <w:color w:val="auto"/>
                <w:kern w:val="2"/>
                <w:sz w:val="21"/>
                <w:szCs w:val="22"/>
                <w:highlight w:val="none"/>
                <w:lang w:val="en-US" w:eastAsia="zh-CN"/>
              </w:rPr>
              <w:t>0.77</w:t>
            </w:r>
          </w:p>
        </w:tc>
        <w:tc>
          <w:tcPr>
            <w:tcW w:w="417" w:type="pct"/>
            <w:noWrap w:val="0"/>
            <w:vAlign w:val="center"/>
          </w:tcPr>
          <w:p w14:paraId="04359159">
            <w:pPr>
              <w:pStyle w:val="73"/>
              <w:rPr>
                <w:rFonts w:hint="default" w:eastAsia="宋体"/>
                <w:snapToGrid w:val="0"/>
                <w:color w:val="auto"/>
                <w:kern w:val="2"/>
                <w:sz w:val="21"/>
                <w:szCs w:val="22"/>
                <w:highlight w:val="none"/>
                <w:lang w:val="en-US" w:eastAsia="zh-CN"/>
              </w:rPr>
            </w:pPr>
            <w:r>
              <w:rPr>
                <w:rFonts w:hint="eastAsia"/>
                <w:snapToGrid w:val="0"/>
                <w:color w:val="auto"/>
                <w:kern w:val="2"/>
                <w:sz w:val="21"/>
                <w:szCs w:val="22"/>
                <w:highlight w:val="none"/>
                <w:lang w:val="en-US" w:eastAsia="zh-CN"/>
              </w:rPr>
              <w:t>0.92</w:t>
            </w:r>
          </w:p>
        </w:tc>
        <w:tc>
          <w:tcPr>
            <w:tcW w:w="586" w:type="pct"/>
            <w:noWrap w:val="0"/>
            <w:vAlign w:val="center"/>
          </w:tcPr>
          <w:p w14:paraId="5E625F7C">
            <w:pPr>
              <w:pStyle w:val="73"/>
              <w:rPr>
                <w:rFonts w:hint="default" w:eastAsia="宋体"/>
                <w:snapToGrid w:val="0"/>
                <w:color w:val="auto"/>
                <w:kern w:val="2"/>
                <w:sz w:val="21"/>
                <w:szCs w:val="22"/>
                <w:highlight w:val="none"/>
                <w:lang w:val="en-US" w:eastAsia="zh-CN"/>
              </w:rPr>
            </w:pPr>
            <w:r>
              <w:rPr>
                <w:rFonts w:hint="eastAsia"/>
                <w:snapToGrid w:val="0"/>
                <w:color w:val="auto"/>
                <w:kern w:val="2"/>
                <w:sz w:val="21"/>
                <w:szCs w:val="22"/>
                <w:highlight w:val="none"/>
                <w:lang w:val="en-US" w:eastAsia="zh-CN"/>
              </w:rPr>
              <w:t>0.15</w:t>
            </w:r>
          </w:p>
        </w:tc>
        <w:tc>
          <w:tcPr>
            <w:tcW w:w="552" w:type="pct"/>
            <w:noWrap w:val="0"/>
            <w:vAlign w:val="center"/>
          </w:tcPr>
          <w:p w14:paraId="79DC16E7">
            <w:pPr>
              <w:pStyle w:val="73"/>
              <w:rPr>
                <w:rFonts w:hint="default" w:eastAsia="宋体"/>
                <w:snapToGrid w:val="0"/>
                <w:color w:val="auto"/>
                <w:kern w:val="2"/>
                <w:sz w:val="21"/>
                <w:szCs w:val="22"/>
                <w:highlight w:val="none"/>
                <w:lang w:val="en-US" w:eastAsia="zh-CN"/>
              </w:rPr>
            </w:pPr>
            <w:r>
              <w:rPr>
                <w:rFonts w:hint="eastAsia"/>
                <w:snapToGrid w:val="0"/>
                <w:color w:val="auto"/>
                <w:kern w:val="2"/>
                <w:sz w:val="21"/>
                <w:szCs w:val="22"/>
                <w:highlight w:val="none"/>
                <w:lang w:val="en-US" w:eastAsia="zh-CN"/>
              </w:rPr>
              <w:t>0.11</w:t>
            </w:r>
          </w:p>
        </w:tc>
        <w:tc>
          <w:tcPr>
            <w:tcW w:w="729" w:type="pct"/>
            <w:noWrap w:val="0"/>
            <w:vAlign w:val="center"/>
          </w:tcPr>
          <w:p w14:paraId="0488EBF0">
            <w:pPr>
              <w:pStyle w:val="73"/>
              <w:rPr>
                <w:rFonts w:hint="default" w:eastAsia="宋体"/>
                <w:snapToGrid w:val="0"/>
                <w:color w:val="auto"/>
                <w:kern w:val="2"/>
                <w:sz w:val="21"/>
                <w:szCs w:val="22"/>
                <w:highlight w:val="none"/>
                <w:lang w:val="en-US" w:eastAsia="zh-CN"/>
              </w:rPr>
            </w:pPr>
            <w:r>
              <w:rPr>
                <w:rFonts w:hint="eastAsia"/>
                <w:snapToGrid w:val="0"/>
                <w:color w:val="auto"/>
                <w:kern w:val="2"/>
                <w:sz w:val="21"/>
                <w:szCs w:val="22"/>
                <w:highlight w:val="none"/>
                <w:lang w:val="en-US" w:eastAsia="zh-CN"/>
              </w:rPr>
              <w:t>3.18</w:t>
            </w:r>
          </w:p>
        </w:tc>
      </w:tr>
      <w:tr w14:paraId="471614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48" w:type="pct"/>
            <w:noWrap w:val="0"/>
            <w:vAlign w:val="center"/>
          </w:tcPr>
          <w:p w14:paraId="6B6ACE3E">
            <w:pPr>
              <w:pStyle w:val="73"/>
              <w:jc w:val="both"/>
              <w:rPr>
                <w:snapToGrid w:val="0"/>
                <w:color w:val="auto"/>
                <w:kern w:val="2"/>
                <w:sz w:val="21"/>
                <w:szCs w:val="22"/>
                <w:highlight w:val="none"/>
              </w:rPr>
            </w:pPr>
            <w:r>
              <w:rPr>
                <w:rFonts w:cs="Times New Roman"/>
                <w:color w:val="auto"/>
                <w:kern w:val="0"/>
                <w:highlight w:val="none"/>
                <w:lang w:val="en-GB"/>
              </w:rPr>
              <w:t>《肉类加工工业水污染物排放标准》（GB13457-92）</w:t>
            </w:r>
            <w:r>
              <w:rPr>
                <w:rFonts w:cs="Times New Roman"/>
                <w:color w:val="auto"/>
                <w:kern w:val="0"/>
                <w:highlight w:val="none"/>
              </w:rPr>
              <w:t>表3</w:t>
            </w:r>
            <w:r>
              <w:rPr>
                <w:rFonts w:cs="Times New Roman"/>
                <w:color w:val="auto"/>
                <w:kern w:val="0"/>
                <w:highlight w:val="none"/>
                <w:lang w:val="en-GB"/>
              </w:rPr>
              <w:t>中畜类屠宰加工三级标准</w:t>
            </w:r>
          </w:p>
        </w:tc>
        <w:tc>
          <w:tcPr>
            <w:tcW w:w="512" w:type="pct"/>
            <w:noWrap w:val="0"/>
            <w:vAlign w:val="center"/>
          </w:tcPr>
          <w:p w14:paraId="16BE16D0">
            <w:pPr>
              <w:pStyle w:val="73"/>
              <w:ind w:firstLine="0" w:firstLineChars="0"/>
              <w:rPr>
                <w:snapToGrid w:val="0"/>
                <w:color w:val="auto"/>
                <w:kern w:val="2"/>
                <w:sz w:val="21"/>
                <w:szCs w:val="22"/>
                <w:highlight w:val="none"/>
              </w:rPr>
            </w:pPr>
            <w:r>
              <w:rPr>
                <w:rFonts w:hint="eastAsia"/>
                <w:snapToGrid w:val="0"/>
                <w:color w:val="auto"/>
                <w:kern w:val="2"/>
                <w:sz w:val="21"/>
                <w:szCs w:val="22"/>
                <w:highlight w:val="none"/>
                <w:lang w:val="en-US" w:eastAsia="zh-CN"/>
              </w:rPr>
              <w:t>3.3</w:t>
            </w:r>
          </w:p>
        </w:tc>
        <w:tc>
          <w:tcPr>
            <w:tcW w:w="553" w:type="pct"/>
            <w:noWrap w:val="0"/>
            <w:vAlign w:val="center"/>
          </w:tcPr>
          <w:p w14:paraId="16ABA170">
            <w:pPr>
              <w:pStyle w:val="73"/>
              <w:ind w:firstLine="0" w:firstLineChars="0"/>
              <w:rPr>
                <w:snapToGrid w:val="0"/>
                <w:color w:val="auto"/>
                <w:kern w:val="2"/>
                <w:sz w:val="21"/>
                <w:szCs w:val="22"/>
                <w:highlight w:val="none"/>
              </w:rPr>
            </w:pPr>
            <w:r>
              <w:rPr>
                <w:rFonts w:hint="eastAsia"/>
                <w:snapToGrid w:val="0"/>
                <w:color w:val="auto"/>
                <w:kern w:val="2"/>
                <w:sz w:val="21"/>
                <w:szCs w:val="22"/>
                <w:highlight w:val="none"/>
                <w:lang w:val="en-US" w:eastAsia="zh-CN"/>
              </w:rPr>
              <w:t>2.0</w:t>
            </w:r>
          </w:p>
        </w:tc>
        <w:tc>
          <w:tcPr>
            <w:tcW w:w="417" w:type="pct"/>
            <w:noWrap w:val="0"/>
            <w:vAlign w:val="center"/>
          </w:tcPr>
          <w:p w14:paraId="4FF88751">
            <w:pPr>
              <w:pStyle w:val="73"/>
              <w:ind w:firstLine="0" w:firstLineChars="0"/>
              <w:rPr>
                <w:snapToGrid w:val="0"/>
                <w:color w:val="auto"/>
                <w:kern w:val="2"/>
                <w:sz w:val="21"/>
                <w:szCs w:val="22"/>
                <w:highlight w:val="none"/>
              </w:rPr>
            </w:pPr>
            <w:r>
              <w:rPr>
                <w:rFonts w:hint="eastAsia"/>
                <w:snapToGrid w:val="0"/>
                <w:color w:val="auto"/>
                <w:kern w:val="2"/>
                <w:sz w:val="21"/>
                <w:szCs w:val="22"/>
                <w:highlight w:val="none"/>
                <w:lang w:val="en-US" w:eastAsia="zh-CN"/>
              </w:rPr>
              <w:t>2.6</w:t>
            </w:r>
          </w:p>
        </w:tc>
        <w:tc>
          <w:tcPr>
            <w:tcW w:w="586" w:type="pct"/>
            <w:noWrap w:val="0"/>
            <w:vAlign w:val="center"/>
          </w:tcPr>
          <w:p w14:paraId="58A960F0">
            <w:pPr>
              <w:pStyle w:val="73"/>
              <w:ind w:firstLine="0" w:firstLineChars="0"/>
              <w:rPr>
                <w:snapToGrid w:val="0"/>
                <w:color w:val="auto"/>
                <w:kern w:val="2"/>
                <w:sz w:val="21"/>
                <w:szCs w:val="22"/>
                <w:highlight w:val="none"/>
              </w:rPr>
            </w:pPr>
            <w:r>
              <w:rPr>
                <w:rFonts w:hint="eastAsia"/>
                <w:snapToGrid w:val="0"/>
                <w:color w:val="auto"/>
                <w:kern w:val="2"/>
                <w:sz w:val="21"/>
                <w:szCs w:val="22"/>
                <w:highlight w:val="none"/>
                <w:lang w:val="en-US" w:eastAsia="zh-CN"/>
              </w:rPr>
              <w:t>0.4</w:t>
            </w:r>
          </w:p>
        </w:tc>
        <w:tc>
          <w:tcPr>
            <w:tcW w:w="552" w:type="pct"/>
            <w:noWrap w:val="0"/>
            <w:vAlign w:val="center"/>
          </w:tcPr>
          <w:p w14:paraId="1AFA2A50">
            <w:pPr>
              <w:pStyle w:val="73"/>
              <w:ind w:firstLine="0" w:firstLineChars="0"/>
              <w:rPr>
                <w:snapToGrid w:val="0"/>
                <w:color w:val="auto"/>
                <w:kern w:val="2"/>
                <w:sz w:val="21"/>
                <w:szCs w:val="22"/>
                <w:highlight w:val="none"/>
              </w:rPr>
            </w:pPr>
            <w:r>
              <w:rPr>
                <w:rFonts w:hint="eastAsia"/>
                <w:snapToGrid w:val="0"/>
                <w:color w:val="auto"/>
                <w:kern w:val="2"/>
                <w:sz w:val="21"/>
                <w:szCs w:val="22"/>
                <w:highlight w:val="none"/>
                <w:lang w:val="en-US" w:eastAsia="zh-CN"/>
              </w:rPr>
              <w:t>/</w:t>
            </w:r>
          </w:p>
        </w:tc>
        <w:tc>
          <w:tcPr>
            <w:tcW w:w="729" w:type="pct"/>
            <w:noWrap w:val="0"/>
            <w:vAlign w:val="center"/>
          </w:tcPr>
          <w:p w14:paraId="09DE6757">
            <w:pPr>
              <w:pStyle w:val="73"/>
              <w:rPr>
                <w:rFonts w:hint="default" w:eastAsia="宋体"/>
                <w:snapToGrid w:val="0"/>
                <w:color w:val="auto"/>
                <w:kern w:val="2"/>
                <w:sz w:val="21"/>
                <w:szCs w:val="22"/>
                <w:highlight w:val="none"/>
                <w:lang w:val="en-US" w:eastAsia="zh-CN"/>
              </w:rPr>
            </w:pPr>
            <w:r>
              <w:rPr>
                <w:rFonts w:hint="eastAsia"/>
                <w:snapToGrid w:val="0"/>
                <w:color w:val="auto"/>
                <w:kern w:val="2"/>
                <w:sz w:val="21"/>
                <w:szCs w:val="22"/>
                <w:highlight w:val="none"/>
                <w:lang w:val="en-US" w:eastAsia="zh-CN"/>
              </w:rPr>
              <w:t>6.5</w:t>
            </w:r>
          </w:p>
        </w:tc>
      </w:tr>
      <w:tr w14:paraId="318A9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48" w:type="pct"/>
            <w:noWrap w:val="0"/>
            <w:vAlign w:val="center"/>
          </w:tcPr>
          <w:p w14:paraId="45C7A3EF">
            <w:pPr>
              <w:pStyle w:val="73"/>
              <w:rPr>
                <w:snapToGrid w:val="0"/>
                <w:color w:val="auto"/>
                <w:kern w:val="2"/>
                <w:sz w:val="21"/>
                <w:szCs w:val="22"/>
                <w:highlight w:val="none"/>
              </w:rPr>
            </w:pPr>
            <w:r>
              <w:rPr>
                <w:snapToGrid w:val="0"/>
                <w:color w:val="auto"/>
                <w:kern w:val="2"/>
                <w:sz w:val="21"/>
                <w:szCs w:val="22"/>
                <w:highlight w:val="none"/>
              </w:rPr>
              <w:t>达标情况</w:t>
            </w:r>
          </w:p>
        </w:tc>
        <w:tc>
          <w:tcPr>
            <w:tcW w:w="512" w:type="pct"/>
            <w:noWrap w:val="0"/>
            <w:vAlign w:val="center"/>
          </w:tcPr>
          <w:p w14:paraId="3063F6DE">
            <w:pPr>
              <w:pStyle w:val="73"/>
              <w:rPr>
                <w:snapToGrid w:val="0"/>
                <w:color w:val="auto"/>
                <w:spacing w:val="-6"/>
                <w:kern w:val="2"/>
                <w:sz w:val="21"/>
                <w:szCs w:val="22"/>
                <w:highlight w:val="none"/>
              </w:rPr>
            </w:pPr>
            <w:r>
              <w:rPr>
                <w:snapToGrid w:val="0"/>
                <w:color w:val="auto"/>
                <w:spacing w:val="-6"/>
                <w:kern w:val="2"/>
                <w:sz w:val="21"/>
                <w:szCs w:val="22"/>
                <w:highlight w:val="none"/>
              </w:rPr>
              <w:t>达标</w:t>
            </w:r>
          </w:p>
        </w:tc>
        <w:tc>
          <w:tcPr>
            <w:tcW w:w="553" w:type="pct"/>
            <w:noWrap w:val="0"/>
            <w:vAlign w:val="center"/>
          </w:tcPr>
          <w:p w14:paraId="73403BF7">
            <w:pPr>
              <w:pStyle w:val="73"/>
              <w:rPr>
                <w:snapToGrid w:val="0"/>
                <w:color w:val="auto"/>
                <w:kern w:val="2"/>
                <w:sz w:val="21"/>
                <w:szCs w:val="22"/>
                <w:highlight w:val="none"/>
              </w:rPr>
            </w:pPr>
            <w:r>
              <w:rPr>
                <w:snapToGrid w:val="0"/>
                <w:color w:val="auto"/>
                <w:spacing w:val="-6"/>
                <w:kern w:val="2"/>
                <w:sz w:val="21"/>
                <w:szCs w:val="22"/>
                <w:highlight w:val="none"/>
              </w:rPr>
              <w:t>达标</w:t>
            </w:r>
          </w:p>
        </w:tc>
        <w:tc>
          <w:tcPr>
            <w:tcW w:w="417" w:type="pct"/>
            <w:noWrap w:val="0"/>
            <w:vAlign w:val="center"/>
          </w:tcPr>
          <w:p w14:paraId="040F09A3">
            <w:pPr>
              <w:pStyle w:val="73"/>
              <w:rPr>
                <w:snapToGrid w:val="0"/>
                <w:color w:val="auto"/>
                <w:kern w:val="2"/>
                <w:sz w:val="21"/>
                <w:szCs w:val="22"/>
                <w:highlight w:val="none"/>
              </w:rPr>
            </w:pPr>
            <w:r>
              <w:rPr>
                <w:snapToGrid w:val="0"/>
                <w:color w:val="auto"/>
                <w:spacing w:val="-6"/>
                <w:kern w:val="2"/>
                <w:sz w:val="21"/>
                <w:szCs w:val="22"/>
                <w:highlight w:val="none"/>
              </w:rPr>
              <w:t>达标</w:t>
            </w:r>
          </w:p>
        </w:tc>
        <w:tc>
          <w:tcPr>
            <w:tcW w:w="586" w:type="pct"/>
            <w:noWrap w:val="0"/>
            <w:vAlign w:val="center"/>
          </w:tcPr>
          <w:p w14:paraId="7961C505">
            <w:pPr>
              <w:pStyle w:val="73"/>
              <w:rPr>
                <w:snapToGrid w:val="0"/>
                <w:color w:val="auto"/>
                <w:kern w:val="2"/>
                <w:sz w:val="21"/>
                <w:szCs w:val="22"/>
                <w:highlight w:val="none"/>
              </w:rPr>
            </w:pPr>
            <w:r>
              <w:rPr>
                <w:snapToGrid w:val="0"/>
                <w:color w:val="auto"/>
                <w:spacing w:val="-6"/>
                <w:kern w:val="2"/>
                <w:sz w:val="21"/>
                <w:szCs w:val="22"/>
                <w:highlight w:val="none"/>
              </w:rPr>
              <w:t>达标</w:t>
            </w:r>
          </w:p>
        </w:tc>
        <w:tc>
          <w:tcPr>
            <w:tcW w:w="552" w:type="pct"/>
            <w:noWrap w:val="0"/>
            <w:vAlign w:val="center"/>
          </w:tcPr>
          <w:p w14:paraId="23B2B9FB">
            <w:pPr>
              <w:pStyle w:val="73"/>
              <w:rPr>
                <w:snapToGrid w:val="0"/>
                <w:color w:val="auto"/>
                <w:spacing w:val="-6"/>
                <w:kern w:val="2"/>
                <w:sz w:val="21"/>
                <w:szCs w:val="22"/>
                <w:highlight w:val="none"/>
              </w:rPr>
            </w:pPr>
            <w:r>
              <w:rPr>
                <w:snapToGrid w:val="0"/>
                <w:color w:val="auto"/>
                <w:kern w:val="2"/>
                <w:sz w:val="21"/>
                <w:szCs w:val="22"/>
                <w:highlight w:val="none"/>
              </w:rPr>
              <w:t>/</w:t>
            </w:r>
          </w:p>
        </w:tc>
        <w:tc>
          <w:tcPr>
            <w:tcW w:w="729" w:type="pct"/>
            <w:noWrap w:val="0"/>
            <w:vAlign w:val="center"/>
          </w:tcPr>
          <w:p w14:paraId="26D3C2D8">
            <w:pPr>
              <w:pStyle w:val="73"/>
              <w:rPr>
                <w:snapToGrid w:val="0"/>
                <w:color w:val="auto"/>
                <w:kern w:val="2"/>
                <w:sz w:val="21"/>
                <w:szCs w:val="22"/>
                <w:highlight w:val="none"/>
              </w:rPr>
            </w:pPr>
            <w:r>
              <w:rPr>
                <w:snapToGrid w:val="0"/>
                <w:color w:val="auto"/>
                <w:spacing w:val="-6"/>
                <w:kern w:val="2"/>
                <w:sz w:val="21"/>
                <w:szCs w:val="22"/>
                <w:highlight w:val="none"/>
              </w:rPr>
              <w:t>达标</w:t>
            </w:r>
          </w:p>
        </w:tc>
      </w:tr>
    </w:tbl>
    <w:p w14:paraId="51B604B7">
      <w:pPr>
        <w:pStyle w:val="11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eastAsia="宋体" w:cs="Times New Roman"/>
          <w:b/>
          <w:bCs/>
          <w:snapToGrid w:val="0"/>
          <w:color w:val="auto"/>
          <w:sz w:val="21"/>
          <w:szCs w:val="21"/>
          <w:highlight w:val="none"/>
          <w:lang w:val="en-US" w:eastAsia="zh-CN"/>
        </w:rPr>
      </w:pPr>
      <w:r>
        <w:rPr>
          <w:rFonts w:hint="eastAsia" w:cs="Times New Roman"/>
          <w:b/>
          <w:bCs/>
          <w:snapToGrid w:val="0"/>
          <w:color w:val="auto"/>
          <w:sz w:val="21"/>
          <w:szCs w:val="21"/>
          <w:highlight w:val="none"/>
          <w:lang w:val="en-US" w:eastAsia="zh-CN"/>
        </w:rPr>
        <w:t>注：本项目屠宰牛、羊活屠重为22500t</w:t>
      </w:r>
    </w:p>
    <w:p w14:paraId="0745E975">
      <w:pPr>
        <w:pStyle w:val="117"/>
        <w:rPr>
          <w:rFonts w:hint="eastAsia" w:ascii="Times New Roman" w:hAnsi="Times New Roman" w:eastAsia="宋体" w:cs="Times New Roman"/>
          <w:color w:val="auto"/>
          <w:kern w:val="0"/>
          <w:highlight w:val="none"/>
          <w:lang w:val="en-US" w:eastAsia="zh-CN"/>
        </w:rPr>
      </w:pPr>
      <w:r>
        <w:rPr>
          <w:rFonts w:hint="eastAsia" w:ascii="Times New Roman" w:hAnsi="Times New Roman" w:eastAsia="宋体" w:cs="Times New Roman"/>
          <w:color w:val="auto"/>
          <w:kern w:val="0"/>
          <w:highlight w:val="none"/>
          <w:lang w:val="en-US" w:eastAsia="zh-CN"/>
        </w:rPr>
        <w:t>由上表可知，本项目废水污染物排放量满足</w:t>
      </w:r>
      <w:r>
        <w:rPr>
          <w:rFonts w:cs="Times New Roman"/>
          <w:color w:val="auto"/>
          <w:kern w:val="0"/>
          <w:highlight w:val="none"/>
          <w:lang w:val="en-GB"/>
        </w:rPr>
        <w:t>《肉类加工工业水污染物排放标准》（GB13457-92）</w:t>
      </w:r>
      <w:r>
        <w:rPr>
          <w:rFonts w:cs="Times New Roman"/>
          <w:color w:val="auto"/>
          <w:kern w:val="0"/>
          <w:highlight w:val="none"/>
        </w:rPr>
        <w:t>表3</w:t>
      </w:r>
      <w:r>
        <w:rPr>
          <w:rFonts w:cs="Times New Roman"/>
          <w:color w:val="auto"/>
          <w:kern w:val="0"/>
          <w:highlight w:val="none"/>
          <w:lang w:val="en-GB"/>
        </w:rPr>
        <w:t>中畜类屠宰加工三级标准</w:t>
      </w:r>
      <w:r>
        <w:rPr>
          <w:rFonts w:hint="eastAsia" w:cs="Times New Roman"/>
          <w:color w:val="auto"/>
          <w:kern w:val="0"/>
          <w:highlight w:val="none"/>
          <w:lang w:val="en-GB" w:eastAsia="zh-CN"/>
        </w:rPr>
        <w:t>。</w:t>
      </w:r>
    </w:p>
    <w:p w14:paraId="3CF37571">
      <w:pPr>
        <w:pStyle w:val="117"/>
        <w:ind w:firstLine="482"/>
        <w:rPr>
          <w:rFonts w:cs="Times New Roman"/>
          <w:b/>
          <w:bCs/>
          <w:snapToGrid w:val="0"/>
          <w:color w:val="auto"/>
          <w:highlight w:val="none"/>
        </w:rPr>
      </w:pPr>
      <w:r>
        <w:rPr>
          <w:rFonts w:cs="Times New Roman"/>
          <w:b/>
          <w:bCs/>
          <w:snapToGrid w:val="0"/>
          <w:color w:val="auto"/>
          <w:highlight w:val="none"/>
        </w:rPr>
        <w:t xml:space="preserve">2、非正常工况 </w:t>
      </w:r>
    </w:p>
    <w:p w14:paraId="76863329">
      <w:pPr>
        <w:pStyle w:val="117"/>
        <w:rPr>
          <w:rFonts w:cs="Times New Roman"/>
          <w:color w:val="auto"/>
          <w:kern w:val="0"/>
          <w:highlight w:val="none"/>
        </w:rPr>
      </w:pPr>
      <w:r>
        <w:rPr>
          <w:rFonts w:cs="Times New Roman"/>
          <w:color w:val="auto"/>
          <w:kern w:val="0"/>
          <w:highlight w:val="none"/>
        </w:rPr>
        <w:t>本项目污水处理站如果发生事故，不能达到接管要求则切断出水，停止生产，废水排入事故池，分批返回处理达到接管要求后再排放，故不考虑废水非正常排放情况。</w:t>
      </w:r>
    </w:p>
    <w:p w14:paraId="4159CCE6">
      <w:pPr>
        <w:pStyle w:val="117"/>
        <w:ind w:firstLine="0" w:firstLineChars="0"/>
        <w:rPr>
          <w:rFonts w:cs="Times New Roman"/>
          <w:snapToGrid w:val="0"/>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A81D29D">
      <w:pPr>
        <w:pStyle w:val="66"/>
        <w:spacing w:line="240" w:lineRule="auto"/>
        <w:rPr>
          <w:rFonts w:eastAsia="宋体" w:cs="Times New Roman"/>
          <w:b/>
          <w:color w:val="auto"/>
          <w:szCs w:val="24"/>
          <w:highlight w:val="none"/>
        </w:rPr>
      </w:pPr>
      <w:r>
        <w:rPr>
          <w:rFonts w:eastAsia="宋体" w:cs="Times New Roman"/>
          <w:b/>
          <w:color w:val="auto"/>
          <w:szCs w:val="24"/>
          <w:highlight w:val="none"/>
        </w:rPr>
        <w:t>表</w:t>
      </w:r>
      <w:r>
        <w:rPr>
          <w:rFonts w:eastAsia="宋体" w:cs="Times New Roman"/>
          <w:b/>
          <w:color w:val="auto"/>
          <w:szCs w:val="24"/>
          <w:highlight w:val="none"/>
          <w:lang w:val="en-US"/>
        </w:rPr>
        <w:t>3-4</w:t>
      </w:r>
      <w:r>
        <w:rPr>
          <w:rFonts w:eastAsia="宋体" w:cs="Times New Roman"/>
          <w:b/>
          <w:color w:val="auto"/>
          <w:szCs w:val="24"/>
          <w:highlight w:val="none"/>
        </w:rPr>
        <w:t>-</w:t>
      </w:r>
      <w:r>
        <w:rPr>
          <w:rFonts w:eastAsia="宋体" w:cs="Times New Roman"/>
          <w:b/>
          <w:color w:val="auto"/>
          <w:szCs w:val="24"/>
          <w:highlight w:val="none"/>
          <w:lang w:val="en-US"/>
        </w:rPr>
        <w:t xml:space="preserve">10  </w:t>
      </w:r>
      <w:r>
        <w:rPr>
          <w:rFonts w:eastAsia="宋体" w:cs="Times New Roman"/>
          <w:b/>
          <w:color w:val="auto"/>
          <w:szCs w:val="24"/>
          <w:highlight w:val="none"/>
        </w:rPr>
        <w:t>废水产生源强一览表</w:t>
      </w:r>
    </w:p>
    <w:tbl>
      <w:tblPr>
        <w:tblStyle w:val="47"/>
        <w:tblW w:w="1387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70"/>
        <w:gridCol w:w="870"/>
        <w:gridCol w:w="841"/>
        <w:gridCol w:w="1278"/>
        <w:gridCol w:w="787"/>
        <w:gridCol w:w="899"/>
        <w:gridCol w:w="999"/>
        <w:gridCol w:w="960"/>
        <w:gridCol w:w="1226"/>
        <w:gridCol w:w="1000"/>
        <w:gridCol w:w="844"/>
        <w:gridCol w:w="899"/>
        <w:gridCol w:w="879"/>
        <w:gridCol w:w="899"/>
        <w:gridCol w:w="724"/>
      </w:tblGrid>
      <w:tr w14:paraId="1094F6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773" w:type="dxa"/>
            <w:vMerge w:val="restart"/>
            <w:tcBorders>
              <w:tl2br w:val="nil"/>
              <w:tr2bl w:val="nil"/>
            </w:tcBorders>
            <w:shd w:val="clear" w:color="auto" w:fill="auto"/>
            <w:vAlign w:val="center"/>
          </w:tcPr>
          <w:p w14:paraId="3B6AD8A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工序/生产线</w:t>
            </w:r>
          </w:p>
        </w:tc>
        <w:tc>
          <w:tcPr>
            <w:tcW w:w="872" w:type="dxa"/>
            <w:vMerge w:val="restart"/>
            <w:tcBorders>
              <w:tl2br w:val="nil"/>
              <w:tr2bl w:val="nil"/>
            </w:tcBorders>
            <w:shd w:val="clear" w:color="auto" w:fill="auto"/>
            <w:vAlign w:val="center"/>
          </w:tcPr>
          <w:p w14:paraId="18A7F8B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装置</w:t>
            </w:r>
          </w:p>
        </w:tc>
        <w:tc>
          <w:tcPr>
            <w:tcW w:w="842" w:type="dxa"/>
            <w:vMerge w:val="restart"/>
            <w:tcBorders>
              <w:tl2br w:val="nil"/>
              <w:tr2bl w:val="nil"/>
            </w:tcBorders>
            <w:shd w:val="clear" w:color="auto" w:fill="auto"/>
            <w:vAlign w:val="center"/>
          </w:tcPr>
          <w:p w14:paraId="0DC04C0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排放源</w:t>
            </w:r>
          </w:p>
        </w:tc>
        <w:tc>
          <w:tcPr>
            <w:tcW w:w="1278" w:type="dxa"/>
            <w:vMerge w:val="restart"/>
            <w:tcBorders>
              <w:tl2br w:val="nil"/>
              <w:tr2bl w:val="nil"/>
            </w:tcBorders>
            <w:shd w:val="clear" w:color="auto" w:fill="auto"/>
            <w:vAlign w:val="center"/>
          </w:tcPr>
          <w:p w14:paraId="2B9E4EB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3647" w:type="dxa"/>
            <w:gridSpan w:val="4"/>
            <w:tcBorders>
              <w:tl2br w:val="nil"/>
              <w:tr2bl w:val="nil"/>
            </w:tcBorders>
            <w:shd w:val="clear" w:color="auto" w:fill="auto"/>
            <w:vAlign w:val="center"/>
          </w:tcPr>
          <w:p w14:paraId="1946221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污染物产生</w:t>
            </w:r>
          </w:p>
        </w:tc>
        <w:tc>
          <w:tcPr>
            <w:tcW w:w="2233" w:type="dxa"/>
            <w:gridSpan w:val="2"/>
            <w:tcBorders>
              <w:tl2br w:val="nil"/>
              <w:tr2bl w:val="nil"/>
            </w:tcBorders>
            <w:shd w:val="clear" w:color="auto" w:fill="auto"/>
            <w:vAlign w:val="center"/>
          </w:tcPr>
          <w:p w14:paraId="29BF629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治理措施</w:t>
            </w:r>
          </w:p>
        </w:tc>
        <w:tc>
          <w:tcPr>
            <w:tcW w:w="3505" w:type="dxa"/>
            <w:gridSpan w:val="4"/>
            <w:tcBorders>
              <w:tl2br w:val="nil"/>
              <w:tr2bl w:val="nil"/>
            </w:tcBorders>
            <w:shd w:val="clear" w:color="auto" w:fill="auto"/>
            <w:vAlign w:val="center"/>
          </w:tcPr>
          <w:p w14:paraId="7D7357D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污染物排放</w:t>
            </w:r>
          </w:p>
        </w:tc>
        <w:tc>
          <w:tcPr>
            <w:tcW w:w="725" w:type="dxa"/>
            <w:vMerge w:val="restart"/>
            <w:tcBorders>
              <w:tl2br w:val="nil"/>
              <w:tr2bl w:val="nil"/>
            </w:tcBorders>
            <w:shd w:val="clear" w:color="auto" w:fill="auto"/>
            <w:vAlign w:val="center"/>
          </w:tcPr>
          <w:p w14:paraId="15C6064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排放时间h</w:t>
            </w:r>
          </w:p>
        </w:tc>
      </w:tr>
      <w:tr w14:paraId="4D8B05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4" w:hRule="atLeast"/>
          <w:jc w:val="center"/>
        </w:trPr>
        <w:tc>
          <w:tcPr>
            <w:tcW w:w="773" w:type="dxa"/>
            <w:vMerge w:val="continue"/>
            <w:tcBorders>
              <w:tl2br w:val="nil"/>
              <w:tr2bl w:val="nil"/>
            </w:tcBorders>
            <w:shd w:val="clear" w:color="auto" w:fill="auto"/>
            <w:vAlign w:val="center"/>
          </w:tcPr>
          <w:p w14:paraId="76F2DC9C">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08DEC5D3">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54A74A63">
            <w:pPr>
              <w:spacing w:line="360" w:lineRule="exact"/>
              <w:ind w:firstLine="0" w:firstLineChars="0"/>
              <w:jc w:val="center"/>
              <w:rPr>
                <w:rFonts w:cs="Times New Roman"/>
                <w:color w:val="auto"/>
                <w:sz w:val="21"/>
                <w:szCs w:val="21"/>
                <w:highlight w:val="none"/>
              </w:rPr>
            </w:pPr>
          </w:p>
        </w:tc>
        <w:tc>
          <w:tcPr>
            <w:tcW w:w="1278" w:type="dxa"/>
            <w:vMerge w:val="continue"/>
            <w:tcBorders>
              <w:tl2br w:val="nil"/>
              <w:tr2bl w:val="nil"/>
            </w:tcBorders>
            <w:shd w:val="clear" w:color="auto" w:fill="auto"/>
            <w:vAlign w:val="center"/>
          </w:tcPr>
          <w:p w14:paraId="70BA6999">
            <w:pPr>
              <w:spacing w:line="360" w:lineRule="exact"/>
              <w:ind w:firstLine="0" w:firstLineChars="0"/>
              <w:jc w:val="center"/>
              <w:rPr>
                <w:rFonts w:cs="Times New Roman"/>
                <w:color w:val="auto"/>
                <w:sz w:val="21"/>
                <w:szCs w:val="21"/>
                <w:highlight w:val="none"/>
              </w:rPr>
            </w:pPr>
          </w:p>
        </w:tc>
        <w:tc>
          <w:tcPr>
            <w:tcW w:w="789" w:type="dxa"/>
            <w:tcBorders>
              <w:tl2br w:val="nil"/>
              <w:tr2bl w:val="nil"/>
            </w:tcBorders>
            <w:shd w:val="clear" w:color="auto" w:fill="auto"/>
            <w:vAlign w:val="center"/>
          </w:tcPr>
          <w:p w14:paraId="51BBDE6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核算方法</w:t>
            </w:r>
          </w:p>
        </w:tc>
        <w:tc>
          <w:tcPr>
            <w:tcW w:w="899" w:type="dxa"/>
            <w:tcBorders>
              <w:tl2br w:val="nil"/>
              <w:tr2bl w:val="nil"/>
            </w:tcBorders>
            <w:shd w:val="clear" w:color="auto" w:fill="auto"/>
            <w:vAlign w:val="center"/>
          </w:tcPr>
          <w:p w14:paraId="133F81B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产生废水量m</w:t>
            </w:r>
            <w:r>
              <w:rPr>
                <w:rFonts w:cs="Times New Roman"/>
                <w:color w:val="auto"/>
                <w:sz w:val="21"/>
                <w:szCs w:val="21"/>
                <w:highlight w:val="none"/>
                <w:vertAlign w:val="superscript"/>
              </w:rPr>
              <w:t>3</w:t>
            </w:r>
            <w:r>
              <w:rPr>
                <w:rFonts w:cs="Times New Roman"/>
                <w:color w:val="auto"/>
                <w:sz w:val="21"/>
                <w:szCs w:val="21"/>
                <w:highlight w:val="none"/>
              </w:rPr>
              <w:t>/a</w:t>
            </w:r>
          </w:p>
        </w:tc>
        <w:tc>
          <w:tcPr>
            <w:tcW w:w="999" w:type="dxa"/>
            <w:tcBorders>
              <w:tl2br w:val="nil"/>
              <w:tr2bl w:val="nil"/>
            </w:tcBorders>
            <w:shd w:val="clear" w:color="auto" w:fill="auto"/>
            <w:vAlign w:val="center"/>
          </w:tcPr>
          <w:p w14:paraId="4F99A47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产生浓度mg/L</w:t>
            </w:r>
          </w:p>
        </w:tc>
        <w:tc>
          <w:tcPr>
            <w:tcW w:w="960" w:type="dxa"/>
            <w:tcBorders>
              <w:tl2br w:val="nil"/>
              <w:tr2bl w:val="nil"/>
            </w:tcBorders>
            <w:shd w:val="clear" w:color="auto" w:fill="auto"/>
            <w:vAlign w:val="center"/>
          </w:tcPr>
          <w:p w14:paraId="5D8CF00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产生量t/a</w:t>
            </w:r>
          </w:p>
        </w:tc>
        <w:tc>
          <w:tcPr>
            <w:tcW w:w="1230" w:type="dxa"/>
            <w:tcBorders>
              <w:tl2br w:val="nil"/>
              <w:tr2bl w:val="nil"/>
            </w:tcBorders>
            <w:shd w:val="clear" w:color="auto" w:fill="auto"/>
            <w:vAlign w:val="center"/>
          </w:tcPr>
          <w:p w14:paraId="7AC0691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工艺</w:t>
            </w:r>
          </w:p>
        </w:tc>
        <w:tc>
          <w:tcPr>
            <w:tcW w:w="1003" w:type="dxa"/>
            <w:tcBorders>
              <w:tl2br w:val="nil"/>
              <w:tr2bl w:val="nil"/>
            </w:tcBorders>
            <w:shd w:val="clear" w:color="auto" w:fill="auto"/>
            <w:vAlign w:val="center"/>
          </w:tcPr>
          <w:p w14:paraId="14FED47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效率%</w:t>
            </w:r>
          </w:p>
        </w:tc>
        <w:tc>
          <w:tcPr>
            <w:tcW w:w="847" w:type="dxa"/>
            <w:tcBorders>
              <w:tl2br w:val="nil"/>
              <w:tr2bl w:val="nil"/>
            </w:tcBorders>
            <w:shd w:val="clear" w:color="auto" w:fill="auto"/>
            <w:vAlign w:val="center"/>
          </w:tcPr>
          <w:p w14:paraId="1056C21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核算方法</w:t>
            </w:r>
          </w:p>
        </w:tc>
        <w:tc>
          <w:tcPr>
            <w:tcW w:w="899" w:type="dxa"/>
            <w:tcBorders>
              <w:tl2br w:val="nil"/>
              <w:tr2bl w:val="nil"/>
            </w:tcBorders>
            <w:shd w:val="clear" w:color="auto" w:fill="auto"/>
            <w:vAlign w:val="center"/>
          </w:tcPr>
          <w:p w14:paraId="314AC74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排放废水量m</w:t>
            </w:r>
            <w:r>
              <w:rPr>
                <w:rFonts w:cs="Times New Roman"/>
                <w:color w:val="auto"/>
                <w:sz w:val="21"/>
                <w:szCs w:val="21"/>
                <w:highlight w:val="none"/>
                <w:vertAlign w:val="superscript"/>
              </w:rPr>
              <w:t>3</w:t>
            </w:r>
            <w:r>
              <w:rPr>
                <w:rFonts w:cs="Times New Roman"/>
                <w:color w:val="auto"/>
                <w:sz w:val="21"/>
                <w:szCs w:val="21"/>
                <w:highlight w:val="none"/>
              </w:rPr>
              <w:t>/a</w:t>
            </w:r>
          </w:p>
        </w:tc>
        <w:tc>
          <w:tcPr>
            <w:tcW w:w="879" w:type="dxa"/>
            <w:tcBorders>
              <w:tl2br w:val="nil"/>
              <w:tr2bl w:val="nil"/>
            </w:tcBorders>
            <w:shd w:val="clear" w:color="auto" w:fill="auto"/>
            <w:vAlign w:val="center"/>
          </w:tcPr>
          <w:p w14:paraId="35F20E0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排放浓度mg/L</w:t>
            </w:r>
          </w:p>
        </w:tc>
        <w:tc>
          <w:tcPr>
            <w:tcW w:w="880" w:type="dxa"/>
            <w:tcBorders>
              <w:tl2br w:val="nil"/>
              <w:tr2bl w:val="nil"/>
            </w:tcBorders>
            <w:shd w:val="clear" w:color="auto" w:fill="auto"/>
            <w:vAlign w:val="center"/>
          </w:tcPr>
          <w:p w14:paraId="26CF5F2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排放量t/a</w:t>
            </w:r>
          </w:p>
        </w:tc>
        <w:tc>
          <w:tcPr>
            <w:tcW w:w="725" w:type="dxa"/>
            <w:vMerge w:val="continue"/>
            <w:tcBorders>
              <w:tl2br w:val="nil"/>
              <w:tr2bl w:val="nil"/>
            </w:tcBorders>
            <w:shd w:val="clear" w:color="auto" w:fill="auto"/>
            <w:vAlign w:val="center"/>
          </w:tcPr>
          <w:p w14:paraId="67E500D0">
            <w:pPr>
              <w:spacing w:line="360" w:lineRule="exact"/>
              <w:ind w:firstLine="0" w:firstLineChars="0"/>
              <w:jc w:val="center"/>
              <w:rPr>
                <w:rFonts w:cs="Times New Roman"/>
                <w:color w:val="auto"/>
                <w:sz w:val="21"/>
                <w:szCs w:val="21"/>
                <w:highlight w:val="none"/>
              </w:rPr>
            </w:pPr>
          </w:p>
        </w:tc>
      </w:tr>
      <w:tr w14:paraId="26676A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773" w:type="dxa"/>
            <w:vMerge w:val="restart"/>
            <w:tcBorders>
              <w:tl2br w:val="nil"/>
              <w:tr2bl w:val="nil"/>
            </w:tcBorders>
            <w:shd w:val="clear" w:color="auto" w:fill="auto"/>
            <w:vAlign w:val="center"/>
          </w:tcPr>
          <w:p w14:paraId="33092E0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生产</w:t>
            </w:r>
          </w:p>
        </w:tc>
        <w:tc>
          <w:tcPr>
            <w:tcW w:w="872" w:type="dxa"/>
            <w:vMerge w:val="restart"/>
            <w:tcBorders>
              <w:tl2br w:val="nil"/>
              <w:tr2bl w:val="nil"/>
            </w:tcBorders>
            <w:shd w:val="clear" w:color="auto" w:fill="auto"/>
            <w:vAlign w:val="center"/>
          </w:tcPr>
          <w:p w14:paraId="46F1A0FA">
            <w:pPr>
              <w:spacing w:line="360" w:lineRule="exac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屠宰</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车棚、排酸冷库</w:t>
            </w:r>
          </w:p>
        </w:tc>
        <w:tc>
          <w:tcPr>
            <w:tcW w:w="842" w:type="dxa"/>
            <w:vMerge w:val="restart"/>
            <w:tcBorders>
              <w:tl2br w:val="nil"/>
              <w:tr2bl w:val="nil"/>
            </w:tcBorders>
            <w:shd w:val="clear" w:color="auto" w:fill="auto"/>
            <w:vAlign w:val="center"/>
          </w:tcPr>
          <w:p w14:paraId="0702D4B7">
            <w:pPr>
              <w:spacing w:line="360" w:lineRule="exact"/>
              <w:ind w:firstLine="0" w:firstLineChars="0"/>
              <w:jc w:val="center"/>
              <w:rPr>
                <w:rFonts w:hint="default" w:cs="Times New Roman"/>
                <w:color w:val="auto"/>
                <w:sz w:val="21"/>
                <w:szCs w:val="21"/>
                <w:highlight w:val="none"/>
                <w:lang w:val="en-US"/>
              </w:rPr>
            </w:pPr>
            <w:r>
              <w:rPr>
                <w:rFonts w:cs="Times New Roman"/>
                <w:color w:val="auto"/>
                <w:sz w:val="21"/>
                <w:szCs w:val="21"/>
                <w:highlight w:val="none"/>
              </w:rPr>
              <w:t>屠宰</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车棚、排酸冷库综合废水</w:t>
            </w:r>
          </w:p>
        </w:tc>
        <w:tc>
          <w:tcPr>
            <w:tcW w:w="1278" w:type="dxa"/>
            <w:tcBorders>
              <w:tl2br w:val="nil"/>
              <w:tr2bl w:val="nil"/>
            </w:tcBorders>
            <w:shd w:val="clear" w:color="auto" w:fill="auto"/>
            <w:vAlign w:val="center"/>
          </w:tcPr>
          <w:p w14:paraId="678EC0E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w:t>
            </w:r>
          </w:p>
        </w:tc>
        <w:tc>
          <w:tcPr>
            <w:tcW w:w="789" w:type="dxa"/>
            <w:vMerge w:val="restart"/>
            <w:tcBorders>
              <w:tl2br w:val="nil"/>
              <w:tr2bl w:val="nil"/>
            </w:tcBorders>
            <w:shd w:val="clear" w:color="auto" w:fill="auto"/>
            <w:vAlign w:val="center"/>
          </w:tcPr>
          <w:p w14:paraId="5669F62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系数法</w:t>
            </w:r>
          </w:p>
        </w:tc>
        <w:tc>
          <w:tcPr>
            <w:tcW w:w="899" w:type="dxa"/>
            <w:vMerge w:val="restart"/>
            <w:tcBorders>
              <w:tl2br w:val="nil"/>
              <w:tr2bl w:val="nil"/>
            </w:tcBorders>
            <w:shd w:val="clear" w:color="auto" w:fill="auto"/>
            <w:vAlign w:val="center"/>
          </w:tcPr>
          <w:p w14:paraId="1BB5D789">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71632.5</w:t>
            </w:r>
          </w:p>
        </w:tc>
        <w:tc>
          <w:tcPr>
            <w:tcW w:w="999" w:type="dxa"/>
            <w:tcBorders>
              <w:tl2br w:val="nil"/>
              <w:tr2bl w:val="nil"/>
            </w:tcBorders>
            <w:shd w:val="clear" w:color="auto" w:fill="auto"/>
            <w:vAlign w:val="center"/>
          </w:tcPr>
          <w:p w14:paraId="1E56D6E2">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2649</w:t>
            </w:r>
          </w:p>
        </w:tc>
        <w:tc>
          <w:tcPr>
            <w:tcW w:w="960" w:type="dxa"/>
            <w:tcBorders>
              <w:tl2br w:val="nil"/>
              <w:tr2bl w:val="nil"/>
            </w:tcBorders>
            <w:shd w:val="clear" w:color="auto" w:fill="auto"/>
            <w:vAlign w:val="center"/>
          </w:tcPr>
          <w:p w14:paraId="3D87E8A2">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182</w:t>
            </w:r>
          </w:p>
        </w:tc>
        <w:tc>
          <w:tcPr>
            <w:tcW w:w="1230" w:type="dxa"/>
            <w:vMerge w:val="restart"/>
            <w:tcBorders>
              <w:tl2br w:val="nil"/>
              <w:tr2bl w:val="nil"/>
            </w:tcBorders>
            <w:shd w:val="clear" w:color="auto" w:fill="auto"/>
            <w:vAlign w:val="center"/>
          </w:tcPr>
          <w:p w14:paraId="084928DD">
            <w:pPr>
              <w:spacing w:line="360" w:lineRule="exact"/>
              <w:ind w:firstLine="0" w:firstLineChars="0"/>
              <w:jc w:val="center"/>
              <w:rPr>
                <w:rFonts w:eastAsia="宋体" w:cs="Times New Roman"/>
                <w:color w:val="auto"/>
                <w:sz w:val="21"/>
                <w:szCs w:val="21"/>
                <w:highlight w:val="none"/>
              </w:rPr>
            </w:pPr>
            <w:r>
              <w:rPr>
                <w:rFonts w:hint="eastAsia" w:eastAsia="宋体" w:cs="Times New Roman"/>
                <w:color w:val="auto"/>
                <w:sz w:val="21"/>
                <w:szCs w:val="21"/>
                <w:highlight w:val="none"/>
                <w:lang w:eastAsia="zh-CN"/>
              </w:rPr>
              <w:t>格栅+</w:t>
            </w:r>
            <w:r>
              <w:rPr>
                <w:rFonts w:hint="eastAsia" w:eastAsia="宋体" w:cs="Times New Roman"/>
                <w:color w:val="auto"/>
                <w:sz w:val="21"/>
                <w:szCs w:val="21"/>
                <w:highlight w:val="none"/>
                <w:lang w:val="en-US" w:eastAsia="zh-CN"/>
              </w:rPr>
              <w:t>隔油池</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调节池</w:t>
            </w:r>
            <w:r>
              <w:rPr>
                <w:rFonts w:hint="eastAsia" w:eastAsia="宋体" w:cs="Times New Roman"/>
                <w:color w:val="auto"/>
                <w:sz w:val="21"/>
                <w:szCs w:val="21"/>
                <w:highlight w:val="none"/>
                <w:lang w:eastAsia="zh-CN"/>
              </w:rPr>
              <w:t>+气浮+水解酸化+</w:t>
            </w:r>
            <w:r>
              <w:rPr>
                <w:rFonts w:hint="eastAsia" w:eastAsia="宋体" w:cs="Times New Roman"/>
                <w:color w:val="auto"/>
                <w:sz w:val="21"/>
                <w:szCs w:val="21"/>
                <w:highlight w:val="none"/>
                <w:lang w:val="en-US" w:eastAsia="zh-CN"/>
              </w:rPr>
              <w:t>反硝化缺氧+好氧</w:t>
            </w:r>
            <w:r>
              <w:rPr>
                <w:rFonts w:hint="eastAsia" w:eastAsia="宋体" w:cs="Times New Roman"/>
                <w:color w:val="auto"/>
                <w:sz w:val="21"/>
                <w:szCs w:val="21"/>
                <w:highlight w:val="none"/>
                <w:lang w:eastAsia="zh-CN"/>
              </w:rPr>
              <w:t>+沉淀+消毒（</w:t>
            </w:r>
            <w:r>
              <w:rPr>
                <w:rFonts w:hint="eastAsia" w:eastAsia="宋体" w:cs="Times New Roman"/>
                <w:color w:val="auto"/>
                <w:sz w:val="21"/>
                <w:szCs w:val="21"/>
                <w:highlight w:val="none"/>
                <w:lang w:val="en-US" w:eastAsia="zh-CN"/>
              </w:rPr>
              <w:t>次氯酸钠</w:t>
            </w:r>
            <w:r>
              <w:rPr>
                <w:rFonts w:hint="eastAsia" w:cs="Times New Roman"/>
                <w:color w:val="auto"/>
                <w:sz w:val="21"/>
                <w:szCs w:val="21"/>
                <w:highlight w:val="none"/>
                <w:lang w:val="en-US" w:eastAsia="zh-CN"/>
              </w:rPr>
              <w:t>）</w:t>
            </w:r>
          </w:p>
        </w:tc>
        <w:tc>
          <w:tcPr>
            <w:tcW w:w="1003" w:type="dxa"/>
            <w:tcBorders>
              <w:tl2br w:val="nil"/>
              <w:tr2bl w:val="nil"/>
            </w:tcBorders>
            <w:shd w:val="clear" w:color="auto" w:fill="auto"/>
            <w:vAlign w:val="center"/>
          </w:tcPr>
          <w:p w14:paraId="7643DE8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90</w:t>
            </w:r>
          </w:p>
        </w:tc>
        <w:tc>
          <w:tcPr>
            <w:tcW w:w="847" w:type="dxa"/>
            <w:vMerge w:val="restart"/>
            <w:tcBorders>
              <w:tl2br w:val="nil"/>
              <w:tr2bl w:val="nil"/>
            </w:tcBorders>
            <w:shd w:val="clear" w:color="auto" w:fill="auto"/>
            <w:vAlign w:val="center"/>
          </w:tcPr>
          <w:p w14:paraId="0629181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系数法</w:t>
            </w:r>
          </w:p>
        </w:tc>
        <w:tc>
          <w:tcPr>
            <w:tcW w:w="899" w:type="dxa"/>
            <w:vMerge w:val="restart"/>
            <w:tcBorders>
              <w:tl2br w:val="nil"/>
              <w:tr2bl w:val="nil"/>
            </w:tcBorders>
            <w:shd w:val="clear" w:color="auto" w:fill="auto"/>
            <w:vAlign w:val="center"/>
          </w:tcPr>
          <w:p w14:paraId="518F77DA">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71632.5</w:t>
            </w:r>
          </w:p>
        </w:tc>
        <w:tc>
          <w:tcPr>
            <w:tcW w:w="879" w:type="dxa"/>
            <w:tcBorders>
              <w:tl2br w:val="nil"/>
              <w:tr2bl w:val="nil"/>
            </w:tcBorders>
            <w:shd w:val="clear" w:color="auto" w:fill="auto"/>
            <w:vAlign w:val="center"/>
          </w:tcPr>
          <w:p w14:paraId="64C163BF">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265</w:t>
            </w:r>
          </w:p>
        </w:tc>
        <w:tc>
          <w:tcPr>
            <w:tcW w:w="880" w:type="dxa"/>
            <w:tcBorders>
              <w:tl2br w:val="nil"/>
              <w:tr2bl w:val="nil"/>
            </w:tcBorders>
            <w:shd w:val="clear" w:color="auto" w:fill="auto"/>
            <w:vAlign w:val="center"/>
          </w:tcPr>
          <w:p w14:paraId="204236D0">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18.21</w:t>
            </w:r>
          </w:p>
        </w:tc>
        <w:tc>
          <w:tcPr>
            <w:tcW w:w="725" w:type="dxa"/>
            <w:vMerge w:val="restart"/>
            <w:tcBorders>
              <w:tl2br w:val="nil"/>
              <w:tr2bl w:val="nil"/>
            </w:tcBorders>
            <w:shd w:val="clear" w:color="auto" w:fill="auto"/>
            <w:vAlign w:val="center"/>
          </w:tcPr>
          <w:p w14:paraId="09988555">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2400</w:t>
            </w:r>
          </w:p>
        </w:tc>
      </w:tr>
      <w:tr w14:paraId="480453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773" w:type="dxa"/>
            <w:vMerge w:val="continue"/>
            <w:tcBorders>
              <w:tl2br w:val="nil"/>
              <w:tr2bl w:val="nil"/>
            </w:tcBorders>
            <w:shd w:val="clear" w:color="auto" w:fill="auto"/>
            <w:vAlign w:val="center"/>
          </w:tcPr>
          <w:p w14:paraId="3CA7158C">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31CEE1A8">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66733830">
            <w:pPr>
              <w:spacing w:line="360" w:lineRule="exact"/>
              <w:ind w:firstLine="0" w:firstLineChars="0"/>
              <w:jc w:val="center"/>
              <w:rPr>
                <w:rFonts w:cs="Times New Roman"/>
                <w:color w:val="auto"/>
                <w:sz w:val="21"/>
                <w:szCs w:val="21"/>
                <w:highlight w:val="none"/>
              </w:rPr>
            </w:pPr>
          </w:p>
        </w:tc>
        <w:tc>
          <w:tcPr>
            <w:tcW w:w="1278" w:type="dxa"/>
            <w:tcBorders>
              <w:tl2br w:val="nil"/>
              <w:tr2bl w:val="nil"/>
            </w:tcBorders>
            <w:shd w:val="clear" w:color="auto" w:fill="auto"/>
            <w:vAlign w:val="center"/>
          </w:tcPr>
          <w:p w14:paraId="40F4AC5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BOD</w:t>
            </w:r>
            <w:r>
              <w:rPr>
                <w:rFonts w:cs="Times New Roman"/>
                <w:color w:val="auto"/>
                <w:sz w:val="21"/>
                <w:szCs w:val="21"/>
                <w:highlight w:val="none"/>
                <w:vertAlign w:val="subscript"/>
              </w:rPr>
              <w:t>5</w:t>
            </w:r>
          </w:p>
        </w:tc>
        <w:tc>
          <w:tcPr>
            <w:tcW w:w="789" w:type="dxa"/>
            <w:vMerge w:val="continue"/>
            <w:tcBorders>
              <w:tl2br w:val="nil"/>
              <w:tr2bl w:val="nil"/>
            </w:tcBorders>
            <w:shd w:val="clear" w:color="auto" w:fill="auto"/>
            <w:vAlign w:val="center"/>
          </w:tcPr>
          <w:p w14:paraId="29FAD474">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6B99102B">
            <w:pPr>
              <w:spacing w:line="360" w:lineRule="exact"/>
              <w:ind w:firstLine="0" w:firstLineChars="0"/>
              <w:jc w:val="center"/>
              <w:rPr>
                <w:rFonts w:cs="Times New Roman"/>
                <w:color w:val="auto"/>
                <w:sz w:val="21"/>
                <w:szCs w:val="21"/>
                <w:highlight w:val="none"/>
              </w:rPr>
            </w:pPr>
          </w:p>
        </w:tc>
        <w:tc>
          <w:tcPr>
            <w:tcW w:w="999" w:type="dxa"/>
            <w:tcBorders>
              <w:tl2br w:val="nil"/>
              <w:tr2bl w:val="nil"/>
            </w:tcBorders>
            <w:shd w:val="clear" w:color="auto" w:fill="auto"/>
            <w:vAlign w:val="center"/>
          </w:tcPr>
          <w:p w14:paraId="5CDF57C6">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963</w:t>
            </w:r>
          </w:p>
        </w:tc>
        <w:tc>
          <w:tcPr>
            <w:tcW w:w="960" w:type="dxa"/>
            <w:tcBorders>
              <w:tl2br w:val="nil"/>
              <w:tr2bl w:val="nil"/>
            </w:tcBorders>
            <w:shd w:val="clear" w:color="auto" w:fill="auto"/>
            <w:vAlign w:val="center"/>
          </w:tcPr>
          <w:p w14:paraId="4251B613">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66.2</w:t>
            </w:r>
          </w:p>
        </w:tc>
        <w:tc>
          <w:tcPr>
            <w:tcW w:w="1230" w:type="dxa"/>
            <w:vMerge w:val="continue"/>
            <w:tcBorders>
              <w:tl2br w:val="nil"/>
              <w:tr2bl w:val="nil"/>
            </w:tcBorders>
            <w:shd w:val="clear" w:color="auto" w:fill="auto"/>
            <w:vAlign w:val="center"/>
          </w:tcPr>
          <w:p w14:paraId="577078D5">
            <w:pPr>
              <w:spacing w:line="360" w:lineRule="exact"/>
              <w:ind w:firstLine="0" w:firstLineChars="0"/>
              <w:jc w:val="center"/>
              <w:rPr>
                <w:rFonts w:cs="Times New Roman"/>
                <w:color w:val="auto"/>
                <w:sz w:val="21"/>
                <w:szCs w:val="21"/>
                <w:highlight w:val="none"/>
              </w:rPr>
            </w:pPr>
          </w:p>
        </w:tc>
        <w:tc>
          <w:tcPr>
            <w:tcW w:w="1003" w:type="dxa"/>
            <w:tcBorders>
              <w:tl2br w:val="nil"/>
              <w:tr2bl w:val="nil"/>
            </w:tcBorders>
            <w:shd w:val="clear" w:color="auto" w:fill="auto"/>
            <w:vAlign w:val="center"/>
          </w:tcPr>
          <w:p w14:paraId="7625167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75</w:t>
            </w:r>
          </w:p>
        </w:tc>
        <w:tc>
          <w:tcPr>
            <w:tcW w:w="847" w:type="dxa"/>
            <w:vMerge w:val="continue"/>
            <w:tcBorders>
              <w:tl2br w:val="nil"/>
              <w:tr2bl w:val="nil"/>
            </w:tcBorders>
            <w:shd w:val="clear" w:color="auto" w:fill="auto"/>
            <w:vAlign w:val="center"/>
          </w:tcPr>
          <w:p w14:paraId="5041E565">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498EA086">
            <w:pPr>
              <w:spacing w:line="360" w:lineRule="exact"/>
              <w:ind w:firstLine="0" w:firstLineChars="0"/>
              <w:jc w:val="center"/>
              <w:rPr>
                <w:rFonts w:cs="Times New Roman"/>
                <w:color w:val="auto"/>
                <w:sz w:val="21"/>
                <w:szCs w:val="21"/>
                <w:highlight w:val="none"/>
              </w:rPr>
            </w:pPr>
          </w:p>
        </w:tc>
        <w:tc>
          <w:tcPr>
            <w:tcW w:w="879" w:type="dxa"/>
            <w:tcBorders>
              <w:tl2br w:val="nil"/>
              <w:tr2bl w:val="nil"/>
            </w:tcBorders>
            <w:shd w:val="clear" w:color="auto" w:fill="auto"/>
            <w:vAlign w:val="center"/>
          </w:tcPr>
          <w:p w14:paraId="43D6377C">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241</w:t>
            </w:r>
          </w:p>
        </w:tc>
        <w:tc>
          <w:tcPr>
            <w:tcW w:w="880" w:type="dxa"/>
            <w:tcBorders>
              <w:tl2br w:val="nil"/>
              <w:tr2bl w:val="nil"/>
            </w:tcBorders>
            <w:shd w:val="clear" w:color="auto" w:fill="auto"/>
            <w:vAlign w:val="center"/>
          </w:tcPr>
          <w:p w14:paraId="16FF012D">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16.56</w:t>
            </w:r>
          </w:p>
        </w:tc>
        <w:tc>
          <w:tcPr>
            <w:tcW w:w="725" w:type="dxa"/>
            <w:vMerge w:val="continue"/>
            <w:tcBorders>
              <w:tl2br w:val="nil"/>
              <w:tr2bl w:val="nil"/>
            </w:tcBorders>
            <w:shd w:val="clear" w:color="auto" w:fill="auto"/>
            <w:vAlign w:val="center"/>
          </w:tcPr>
          <w:p w14:paraId="1983BB7D">
            <w:pPr>
              <w:spacing w:line="360" w:lineRule="exact"/>
              <w:ind w:firstLine="0" w:firstLineChars="0"/>
              <w:jc w:val="center"/>
              <w:rPr>
                <w:rFonts w:cs="Times New Roman"/>
                <w:color w:val="auto"/>
                <w:sz w:val="21"/>
                <w:szCs w:val="21"/>
                <w:highlight w:val="none"/>
              </w:rPr>
            </w:pPr>
          </w:p>
        </w:tc>
      </w:tr>
      <w:tr w14:paraId="65E060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773" w:type="dxa"/>
            <w:vMerge w:val="continue"/>
            <w:tcBorders>
              <w:tl2br w:val="nil"/>
              <w:tr2bl w:val="nil"/>
            </w:tcBorders>
            <w:shd w:val="clear" w:color="auto" w:fill="auto"/>
            <w:vAlign w:val="center"/>
          </w:tcPr>
          <w:p w14:paraId="0A4E0CD3">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18D03D19">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22FE046D">
            <w:pPr>
              <w:spacing w:line="360" w:lineRule="exact"/>
              <w:ind w:firstLine="0" w:firstLineChars="0"/>
              <w:jc w:val="center"/>
              <w:rPr>
                <w:rFonts w:cs="Times New Roman"/>
                <w:color w:val="auto"/>
                <w:sz w:val="21"/>
                <w:szCs w:val="21"/>
                <w:highlight w:val="none"/>
              </w:rPr>
            </w:pPr>
          </w:p>
        </w:tc>
        <w:tc>
          <w:tcPr>
            <w:tcW w:w="1278" w:type="dxa"/>
            <w:tcBorders>
              <w:tl2br w:val="nil"/>
              <w:tr2bl w:val="nil"/>
            </w:tcBorders>
            <w:shd w:val="clear" w:color="auto" w:fill="auto"/>
            <w:vAlign w:val="center"/>
          </w:tcPr>
          <w:p w14:paraId="2A5307B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SS</w:t>
            </w:r>
          </w:p>
        </w:tc>
        <w:tc>
          <w:tcPr>
            <w:tcW w:w="789" w:type="dxa"/>
            <w:vMerge w:val="continue"/>
            <w:tcBorders>
              <w:tl2br w:val="nil"/>
              <w:tr2bl w:val="nil"/>
            </w:tcBorders>
            <w:shd w:val="clear" w:color="auto" w:fill="auto"/>
            <w:vAlign w:val="center"/>
          </w:tcPr>
          <w:p w14:paraId="17B25D2D">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3153A32D">
            <w:pPr>
              <w:spacing w:line="360" w:lineRule="exact"/>
              <w:ind w:firstLine="0" w:firstLineChars="0"/>
              <w:jc w:val="center"/>
              <w:rPr>
                <w:rFonts w:cs="Times New Roman"/>
                <w:color w:val="auto"/>
                <w:sz w:val="21"/>
                <w:szCs w:val="21"/>
                <w:highlight w:val="none"/>
              </w:rPr>
            </w:pPr>
          </w:p>
        </w:tc>
        <w:tc>
          <w:tcPr>
            <w:tcW w:w="999" w:type="dxa"/>
            <w:tcBorders>
              <w:tl2br w:val="nil"/>
              <w:tr2bl w:val="nil"/>
            </w:tcBorders>
            <w:shd w:val="clear" w:color="auto" w:fill="auto"/>
            <w:vAlign w:val="center"/>
          </w:tcPr>
          <w:p w14:paraId="0A0CD27B">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963</w:t>
            </w:r>
          </w:p>
        </w:tc>
        <w:tc>
          <w:tcPr>
            <w:tcW w:w="960" w:type="dxa"/>
            <w:tcBorders>
              <w:tl2br w:val="nil"/>
              <w:tr2bl w:val="nil"/>
            </w:tcBorders>
            <w:shd w:val="clear" w:color="auto" w:fill="auto"/>
            <w:vAlign w:val="center"/>
          </w:tcPr>
          <w:p w14:paraId="2396E7E0">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66.2</w:t>
            </w:r>
          </w:p>
        </w:tc>
        <w:tc>
          <w:tcPr>
            <w:tcW w:w="1230" w:type="dxa"/>
            <w:vMerge w:val="continue"/>
            <w:tcBorders>
              <w:tl2br w:val="nil"/>
              <w:tr2bl w:val="nil"/>
            </w:tcBorders>
            <w:shd w:val="clear" w:color="auto" w:fill="auto"/>
            <w:vAlign w:val="center"/>
          </w:tcPr>
          <w:p w14:paraId="4A6148FD">
            <w:pPr>
              <w:spacing w:line="360" w:lineRule="exact"/>
              <w:ind w:firstLine="0" w:firstLineChars="0"/>
              <w:jc w:val="center"/>
              <w:rPr>
                <w:rFonts w:cs="Times New Roman"/>
                <w:color w:val="auto"/>
                <w:sz w:val="21"/>
                <w:szCs w:val="21"/>
                <w:highlight w:val="none"/>
              </w:rPr>
            </w:pPr>
          </w:p>
        </w:tc>
        <w:tc>
          <w:tcPr>
            <w:tcW w:w="1003" w:type="dxa"/>
            <w:tcBorders>
              <w:tl2br w:val="nil"/>
              <w:tr2bl w:val="nil"/>
            </w:tcBorders>
            <w:shd w:val="clear" w:color="auto" w:fill="auto"/>
            <w:vAlign w:val="center"/>
          </w:tcPr>
          <w:p w14:paraId="632F05C3">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w:t>
            </w:r>
          </w:p>
        </w:tc>
        <w:tc>
          <w:tcPr>
            <w:tcW w:w="847" w:type="dxa"/>
            <w:vMerge w:val="continue"/>
            <w:tcBorders>
              <w:tl2br w:val="nil"/>
              <w:tr2bl w:val="nil"/>
            </w:tcBorders>
            <w:shd w:val="clear" w:color="auto" w:fill="auto"/>
            <w:vAlign w:val="center"/>
          </w:tcPr>
          <w:p w14:paraId="6A8756E9">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1BD9E6B8">
            <w:pPr>
              <w:spacing w:line="360" w:lineRule="exact"/>
              <w:ind w:firstLine="0" w:firstLineChars="0"/>
              <w:jc w:val="center"/>
              <w:rPr>
                <w:rFonts w:cs="Times New Roman"/>
                <w:color w:val="auto"/>
                <w:sz w:val="21"/>
                <w:szCs w:val="21"/>
                <w:highlight w:val="none"/>
              </w:rPr>
            </w:pPr>
          </w:p>
        </w:tc>
        <w:tc>
          <w:tcPr>
            <w:tcW w:w="879" w:type="dxa"/>
            <w:tcBorders>
              <w:tl2br w:val="nil"/>
              <w:tr2bl w:val="nil"/>
            </w:tcBorders>
            <w:shd w:val="clear" w:color="auto" w:fill="auto"/>
            <w:vAlign w:val="center"/>
          </w:tcPr>
          <w:p w14:paraId="7531E0EE">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289</w:t>
            </w:r>
          </w:p>
        </w:tc>
        <w:tc>
          <w:tcPr>
            <w:tcW w:w="880" w:type="dxa"/>
            <w:tcBorders>
              <w:tl2br w:val="nil"/>
              <w:tr2bl w:val="nil"/>
            </w:tcBorders>
            <w:shd w:val="clear" w:color="auto" w:fill="auto"/>
            <w:vAlign w:val="center"/>
          </w:tcPr>
          <w:p w14:paraId="5C7E5AA6">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19.86</w:t>
            </w:r>
          </w:p>
        </w:tc>
        <w:tc>
          <w:tcPr>
            <w:tcW w:w="725" w:type="dxa"/>
            <w:vMerge w:val="continue"/>
            <w:tcBorders>
              <w:tl2br w:val="nil"/>
              <w:tr2bl w:val="nil"/>
            </w:tcBorders>
            <w:shd w:val="clear" w:color="auto" w:fill="auto"/>
            <w:vAlign w:val="center"/>
          </w:tcPr>
          <w:p w14:paraId="6054FAB5">
            <w:pPr>
              <w:spacing w:line="360" w:lineRule="exact"/>
              <w:ind w:firstLine="0" w:firstLineChars="0"/>
              <w:jc w:val="center"/>
              <w:rPr>
                <w:rFonts w:cs="Times New Roman"/>
                <w:color w:val="auto"/>
                <w:sz w:val="21"/>
                <w:szCs w:val="21"/>
                <w:highlight w:val="none"/>
              </w:rPr>
            </w:pPr>
          </w:p>
        </w:tc>
      </w:tr>
      <w:tr w14:paraId="37EDC4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773" w:type="dxa"/>
            <w:vMerge w:val="continue"/>
            <w:tcBorders>
              <w:tl2br w:val="nil"/>
              <w:tr2bl w:val="nil"/>
            </w:tcBorders>
            <w:shd w:val="clear" w:color="auto" w:fill="auto"/>
            <w:vAlign w:val="center"/>
          </w:tcPr>
          <w:p w14:paraId="6A312C29">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3BB0601F">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2CC4463D">
            <w:pPr>
              <w:spacing w:line="360" w:lineRule="exact"/>
              <w:ind w:firstLine="0" w:firstLineChars="0"/>
              <w:jc w:val="center"/>
              <w:rPr>
                <w:rFonts w:cs="Times New Roman"/>
                <w:color w:val="auto"/>
                <w:sz w:val="21"/>
                <w:szCs w:val="21"/>
                <w:highlight w:val="none"/>
              </w:rPr>
            </w:pPr>
          </w:p>
        </w:tc>
        <w:tc>
          <w:tcPr>
            <w:tcW w:w="1278" w:type="dxa"/>
            <w:tcBorders>
              <w:tl2br w:val="nil"/>
              <w:tr2bl w:val="nil"/>
            </w:tcBorders>
            <w:shd w:val="clear" w:color="auto" w:fill="auto"/>
            <w:vAlign w:val="center"/>
          </w:tcPr>
          <w:p w14:paraId="0F99B4E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氨氮</w:t>
            </w:r>
          </w:p>
        </w:tc>
        <w:tc>
          <w:tcPr>
            <w:tcW w:w="789" w:type="dxa"/>
            <w:vMerge w:val="continue"/>
            <w:tcBorders>
              <w:tl2br w:val="nil"/>
              <w:tr2bl w:val="nil"/>
            </w:tcBorders>
            <w:shd w:val="clear" w:color="auto" w:fill="auto"/>
            <w:vAlign w:val="center"/>
          </w:tcPr>
          <w:p w14:paraId="4AFBF594">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464A06EB">
            <w:pPr>
              <w:spacing w:line="360" w:lineRule="exact"/>
              <w:ind w:firstLine="0" w:firstLineChars="0"/>
              <w:jc w:val="center"/>
              <w:rPr>
                <w:rFonts w:cs="Times New Roman"/>
                <w:color w:val="auto"/>
                <w:sz w:val="21"/>
                <w:szCs w:val="21"/>
                <w:highlight w:val="none"/>
              </w:rPr>
            </w:pPr>
          </w:p>
        </w:tc>
        <w:tc>
          <w:tcPr>
            <w:tcW w:w="999" w:type="dxa"/>
            <w:tcBorders>
              <w:tl2br w:val="nil"/>
              <w:tr2bl w:val="nil"/>
            </w:tcBorders>
            <w:shd w:val="clear" w:color="auto" w:fill="auto"/>
            <w:vAlign w:val="center"/>
          </w:tcPr>
          <w:p w14:paraId="080A9D77">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84</w:t>
            </w:r>
          </w:p>
        </w:tc>
        <w:tc>
          <w:tcPr>
            <w:tcW w:w="960" w:type="dxa"/>
            <w:tcBorders>
              <w:tl2br w:val="nil"/>
              <w:tr2bl w:val="nil"/>
            </w:tcBorders>
            <w:shd w:val="clear" w:color="auto" w:fill="auto"/>
            <w:vAlign w:val="center"/>
          </w:tcPr>
          <w:p w14:paraId="04CB44B8">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5.77</w:t>
            </w:r>
          </w:p>
        </w:tc>
        <w:tc>
          <w:tcPr>
            <w:tcW w:w="1230" w:type="dxa"/>
            <w:vMerge w:val="continue"/>
            <w:tcBorders>
              <w:tl2br w:val="nil"/>
              <w:tr2bl w:val="nil"/>
            </w:tcBorders>
            <w:shd w:val="clear" w:color="auto" w:fill="auto"/>
            <w:vAlign w:val="center"/>
          </w:tcPr>
          <w:p w14:paraId="7EE671B1">
            <w:pPr>
              <w:spacing w:line="360" w:lineRule="exact"/>
              <w:ind w:firstLine="0" w:firstLineChars="0"/>
              <w:jc w:val="center"/>
              <w:rPr>
                <w:rFonts w:cs="Times New Roman"/>
                <w:color w:val="auto"/>
                <w:sz w:val="21"/>
                <w:szCs w:val="21"/>
                <w:highlight w:val="none"/>
              </w:rPr>
            </w:pPr>
          </w:p>
        </w:tc>
        <w:tc>
          <w:tcPr>
            <w:tcW w:w="1003" w:type="dxa"/>
            <w:tcBorders>
              <w:tl2br w:val="nil"/>
              <w:tr2bl w:val="nil"/>
            </w:tcBorders>
            <w:shd w:val="clear" w:color="auto" w:fill="auto"/>
            <w:vAlign w:val="center"/>
          </w:tcPr>
          <w:p w14:paraId="55E50EF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60</w:t>
            </w:r>
          </w:p>
        </w:tc>
        <w:tc>
          <w:tcPr>
            <w:tcW w:w="847" w:type="dxa"/>
            <w:vMerge w:val="continue"/>
            <w:tcBorders>
              <w:tl2br w:val="nil"/>
              <w:tr2bl w:val="nil"/>
            </w:tcBorders>
            <w:shd w:val="clear" w:color="auto" w:fill="auto"/>
            <w:vAlign w:val="center"/>
          </w:tcPr>
          <w:p w14:paraId="6DDA9A91">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4FB9745E">
            <w:pPr>
              <w:spacing w:line="360" w:lineRule="exact"/>
              <w:ind w:firstLine="0" w:firstLineChars="0"/>
              <w:jc w:val="center"/>
              <w:rPr>
                <w:rFonts w:cs="Times New Roman"/>
                <w:color w:val="auto"/>
                <w:sz w:val="21"/>
                <w:szCs w:val="21"/>
                <w:highlight w:val="none"/>
              </w:rPr>
            </w:pPr>
          </w:p>
        </w:tc>
        <w:tc>
          <w:tcPr>
            <w:tcW w:w="879" w:type="dxa"/>
            <w:tcBorders>
              <w:tl2br w:val="nil"/>
              <w:tr2bl w:val="nil"/>
            </w:tcBorders>
            <w:shd w:val="clear" w:color="auto" w:fill="auto"/>
            <w:vAlign w:val="center"/>
          </w:tcPr>
          <w:p w14:paraId="01283BF2">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w:t>
            </w:r>
          </w:p>
        </w:tc>
        <w:tc>
          <w:tcPr>
            <w:tcW w:w="880" w:type="dxa"/>
            <w:tcBorders>
              <w:tl2br w:val="nil"/>
              <w:tr2bl w:val="nil"/>
            </w:tcBorders>
            <w:shd w:val="clear" w:color="auto" w:fill="auto"/>
            <w:vAlign w:val="center"/>
          </w:tcPr>
          <w:p w14:paraId="1C4A3206">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2.33</w:t>
            </w:r>
          </w:p>
        </w:tc>
        <w:tc>
          <w:tcPr>
            <w:tcW w:w="725" w:type="dxa"/>
            <w:vMerge w:val="continue"/>
            <w:tcBorders>
              <w:tl2br w:val="nil"/>
              <w:tr2bl w:val="nil"/>
            </w:tcBorders>
            <w:shd w:val="clear" w:color="auto" w:fill="auto"/>
            <w:vAlign w:val="center"/>
          </w:tcPr>
          <w:p w14:paraId="69DFBE1E">
            <w:pPr>
              <w:spacing w:line="360" w:lineRule="exact"/>
              <w:ind w:firstLine="0" w:firstLineChars="0"/>
              <w:jc w:val="center"/>
              <w:rPr>
                <w:rFonts w:cs="Times New Roman"/>
                <w:color w:val="auto"/>
                <w:sz w:val="21"/>
                <w:szCs w:val="21"/>
                <w:highlight w:val="none"/>
              </w:rPr>
            </w:pPr>
          </w:p>
        </w:tc>
      </w:tr>
      <w:tr w14:paraId="746377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2" w:hRule="atLeast"/>
          <w:jc w:val="center"/>
        </w:trPr>
        <w:tc>
          <w:tcPr>
            <w:tcW w:w="773" w:type="dxa"/>
            <w:vMerge w:val="continue"/>
            <w:tcBorders>
              <w:tl2br w:val="nil"/>
              <w:tr2bl w:val="nil"/>
            </w:tcBorders>
            <w:shd w:val="clear" w:color="auto" w:fill="auto"/>
            <w:vAlign w:val="center"/>
          </w:tcPr>
          <w:p w14:paraId="46ECE5A5">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61318AFC">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50F6E7EE">
            <w:pPr>
              <w:spacing w:line="360" w:lineRule="exact"/>
              <w:ind w:firstLine="0" w:firstLineChars="0"/>
              <w:jc w:val="center"/>
              <w:rPr>
                <w:rFonts w:cs="Times New Roman"/>
                <w:color w:val="auto"/>
                <w:sz w:val="21"/>
                <w:szCs w:val="21"/>
                <w:highlight w:val="none"/>
              </w:rPr>
            </w:pPr>
          </w:p>
        </w:tc>
        <w:tc>
          <w:tcPr>
            <w:tcW w:w="1278" w:type="dxa"/>
            <w:tcBorders>
              <w:tl2br w:val="nil"/>
              <w:tr2bl w:val="nil"/>
            </w:tcBorders>
            <w:shd w:val="clear" w:color="auto" w:fill="auto"/>
            <w:vAlign w:val="center"/>
          </w:tcPr>
          <w:p w14:paraId="7914451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动植物油</w:t>
            </w:r>
          </w:p>
        </w:tc>
        <w:tc>
          <w:tcPr>
            <w:tcW w:w="789" w:type="dxa"/>
            <w:vMerge w:val="continue"/>
            <w:tcBorders>
              <w:tl2br w:val="nil"/>
              <w:tr2bl w:val="nil"/>
            </w:tcBorders>
            <w:shd w:val="clear" w:color="auto" w:fill="auto"/>
            <w:vAlign w:val="center"/>
          </w:tcPr>
          <w:p w14:paraId="5B71E5EA">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3FBAD58E">
            <w:pPr>
              <w:spacing w:line="360" w:lineRule="exact"/>
              <w:ind w:firstLine="0" w:firstLineChars="0"/>
              <w:jc w:val="center"/>
              <w:rPr>
                <w:rFonts w:cs="Times New Roman"/>
                <w:color w:val="auto"/>
                <w:sz w:val="21"/>
                <w:szCs w:val="21"/>
                <w:highlight w:val="none"/>
              </w:rPr>
            </w:pPr>
          </w:p>
        </w:tc>
        <w:tc>
          <w:tcPr>
            <w:tcW w:w="999" w:type="dxa"/>
            <w:tcBorders>
              <w:tl2br w:val="nil"/>
              <w:tr2bl w:val="nil"/>
            </w:tcBorders>
            <w:shd w:val="clear" w:color="auto" w:fill="auto"/>
            <w:vAlign w:val="center"/>
          </w:tcPr>
          <w:p w14:paraId="1407B7A6">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192</w:t>
            </w:r>
          </w:p>
        </w:tc>
        <w:tc>
          <w:tcPr>
            <w:tcW w:w="960" w:type="dxa"/>
            <w:tcBorders>
              <w:tl2br w:val="nil"/>
              <w:tr2bl w:val="nil"/>
            </w:tcBorders>
            <w:shd w:val="clear" w:color="auto" w:fill="auto"/>
            <w:vAlign w:val="center"/>
          </w:tcPr>
          <w:p w14:paraId="23A55CEA">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13.2</w:t>
            </w:r>
          </w:p>
        </w:tc>
        <w:tc>
          <w:tcPr>
            <w:tcW w:w="1230" w:type="dxa"/>
            <w:vMerge w:val="continue"/>
            <w:tcBorders>
              <w:tl2br w:val="nil"/>
              <w:tr2bl w:val="nil"/>
            </w:tcBorders>
            <w:shd w:val="clear" w:color="auto" w:fill="auto"/>
            <w:vAlign w:val="center"/>
          </w:tcPr>
          <w:p w14:paraId="5F725EF8">
            <w:pPr>
              <w:spacing w:line="360" w:lineRule="exact"/>
              <w:ind w:firstLine="0" w:firstLineChars="0"/>
              <w:jc w:val="center"/>
              <w:rPr>
                <w:rFonts w:cs="Times New Roman"/>
                <w:color w:val="auto"/>
                <w:sz w:val="21"/>
                <w:szCs w:val="21"/>
                <w:highlight w:val="none"/>
              </w:rPr>
            </w:pPr>
          </w:p>
        </w:tc>
        <w:tc>
          <w:tcPr>
            <w:tcW w:w="1003" w:type="dxa"/>
            <w:tcBorders>
              <w:tl2br w:val="nil"/>
              <w:tr2bl w:val="nil"/>
            </w:tcBorders>
            <w:shd w:val="clear" w:color="auto" w:fill="auto"/>
            <w:vAlign w:val="center"/>
          </w:tcPr>
          <w:p w14:paraId="43CE52C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75</w:t>
            </w:r>
          </w:p>
        </w:tc>
        <w:tc>
          <w:tcPr>
            <w:tcW w:w="847" w:type="dxa"/>
            <w:vMerge w:val="continue"/>
            <w:tcBorders>
              <w:tl2br w:val="nil"/>
              <w:tr2bl w:val="nil"/>
            </w:tcBorders>
            <w:shd w:val="clear" w:color="auto" w:fill="auto"/>
            <w:vAlign w:val="center"/>
          </w:tcPr>
          <w:p w14:paraId="4D9CAC24">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027BED81">
            <w:pPr>
              <w:spacing w:line="360" w:lineRule="exact"/>
              <w:ind w:firstLine="0" w:firstLineChars="0"/>
              <w:jc w:val="center"/>
              <w:rPr>
                <w:rFonts w:cs="Times New Roman"/>
                <w:color w:val="auto"/>
                <w:sz w:val="21"/>
                <w:szCs w:val="21"/>
                <w:highlight w:val="none"/>
              </w:rPr>
            </w:pPr>
          </w:p>
        </w:tc>
        <w:tc>
          <w:tcPr>
            <w:tcW w:w="879" w:type="dxa"/>
            <w:tcBorders>
              <w:tl2br w:val="nil"/>
              <w:tr2bl w:val="nil"/>
            </w:tcBorders>
            <w:shd w:val="clear" w:color="auto" w:fill="auto"/>
            <w:vAlign w:val="center"/>
          </w:tcPr>
          <w:p w14:paraId="6DF75C99">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48</w:t>
            </w:r>
          </w:p>
        </w:tc>
        <w:tc>
          <w:tcPr>
            <w:tcW w:w="880" w:type="dxa"/>
            <w:tcBorders>
              <w:tl2br w:val="nil"/>
              <w:tr2bl w:val="nil"/>
            </w:tcBorders>
            <w:shd w:val="clear" w:color="auto" w:fill="auto"/>
            <w:vAlign w:val="center"/>
          </w:tcPr>
          <w:p w14:paraId="12A97D85">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3.30</w:t>
            </w:r>
          </w:p>
        </w:tc>
        <w:tc>
          <w:tcPr>
            <w:tcW w:w="725" w:type="dxa"/>
            <w:vMerge w:val="continue"/>
            <w:tcBorders>
              <w:tl2br w:val="nil"/>
              <w:tr2bl w:val="nil"/>
            </w:tcBorders>
            <w:shd w:val="clear" w:color="auto" w:fill="auto"/>
            <w:vAlign w:val="center"/>
          </w:tcPr>
          <w:p w14:paraId="3D5A43A6">
            <w:pPr>
              <w:spacing w:line="360" w:lineRule="exact"/>
              <w:ind w:firstLine="0" w:firstLineChars="0"/>
              <w:jc w:val="center"/>
              <w:rPr>
                <w:rFonts w:cs="Times New Roman"/>
                <w:color w:val="auto"/>
                <w:sz w:val="21"/>
                <w:szCs w:val="21"/>
                <w:highlight w:val="none"/>
              </w:rPr>
            </w:pPr>
          </w:p>
        </w:tc>
      </w:tr>
      <w:tr w14:paraId="51E2EB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773" w:type="dxa"/>
            <w:vMerge w:val="continue"/>
            <w:tcBorders>
              <w:tl2br w:val="nil"/>
              <w:tr2bl w:val="nil"/>
            </w:tcBorders>
            <w:shd w:val="clear" w:color="auto" w:fill="auto"/>
            <w:vAlign w:val="center"/>
          </w:tcPr>
          <w:p w14:paraId="65BAD72A">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0E4ABE42">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102C3AD4">
            <w:pPr>
              <w:spacing w:line="360" w:lineRule="exact"/>
              <w:ind w:firstLine="0" w:firstLineChars="0"/>
              <w:jc w:val="center"/>
              <w:rPr>
                <w:rFonts w:cs="Times New Roman"/>
                <w:color w:val="auto"/>
                <w:sz w:val="21"/>
                <w:szCs w:val="21"/>
                <w:highlight w:val="none"/>
              </w:rPr>
            </w:pPr>
          </w:p>
        </w:tc>
        <w:tc>
          <w:tcPr>
            <w:tcW w:w="1278" w:type="dxa"/>
            <w:tcBorders>
              <w:tl2br w:val="nil"/>
              <w:tr2bl w:val="nil"/>
            </w:tcBorders>
            <w:shd w:val="clear" w:color="auto" w:fill="auto"/>
            <w:vAlign w:val="center"/>
          </w:tcPr>
          <w:p w14:paraId="1DEC50B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总氮</w:t>
            </w:r>
          </w:p>
        </w:tc>
        <w:tc>
          <w:tcPr>
            <w:tcW w:w="789" w:type="dxa"/>
            <w:vMerge w:val="continue"/>
            <w:tcBorders>
              <w:tl2br w:val="nil"/>
              <w:tr2bl w:val="nil"/>
            </w:tcBorders>
            <w:shd w:val="clear" w:color="auto" w:fill="auto"/>
            <w:vAlign w:val="center"/>
          </w:tcPr>
          <w:p w14:paraId="049FDBFC">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7230DF37">
            <w:pPr>
              <w:spacing w:line="360" w:lineRule="exact"/>
              <w:ind w:firstLine="0" w:firstLineChars="0"/>
              <w:jc w:val="center"/>
              <w:rPr>
                <w:rFonts w:cs="Times New Roman"/>
                <w:color w:val="auto"/>
                <w:sz w:val="21"/>
                <w:szCs w:val="21"/>
                <w:highlight w:val="none"/>
              </w:rPr>
            </w:pPr>
          </w:p>
        </w:tc>
        <w:tc>
          <w:tcPr>
            <w:tcW w:w="999" w:type="dxa"/>
            <w:tcBorders>
              <w:tl2br w:val="nil"/>
              <w:tr2bl w:val="nil"/>
            </w:tcBorders>
            <w:shd w:val="clear" w:color="auto" w:fill="auto"/>
            <w:vAlign w:val="center"/>
          </w:tcPr>
          <w:p w14:paraId="3AD8B7D7">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189</w:t>
            </w:r>
          </w:p>
        </w:tc>
        <w:tc>
          <w:tcPr>
            <w:tcW w:w="960" w:type="dxa"/>
            <w:tcBorders>
              <w:tl2br w:val="nil"/>
              <w:tr2bl w:val="nil"/>
            </w:tcBorders>
            <w:shd w:val="clear" w:color="auto" w:fill="auto"/>
            <w:vAlign w:val="center"/>
          </w:tcPr>
          <w:p w14:paraId="15926BBF">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13.0</w:t>
            </w:r>
          </w:p>
        </w:tc>
        <w:tc>
          <w:tcPr>
            <w:tcW w:w="1230" w:type="dxa"/>
            <w:vMerge w:val="continue"/>
            <w:tcBorders>
              <w:tl2br w:val="nil"/>
              <w:tr2bl w:val="nil"/>
            </w:tcBorders>
            <w:shd w:val="clear" w:color="auto" w:fill="auto"/>
            <w:vAlign w:val="center"/>
          </w:tcPr>
          <w:p w14:paraId="3C4EC739">
            <w:pPr>
              <w:spacing w:line="360" w:lineRule="exact"/>
              <w:ind w:firstLine="0" w:firstLineChars="0"/>
              <w:jc w:val="center"/>
              <w:rPr>
                <w:rFonts w:cs="Times New Roman"/>
                <w:color w:val="auto"/>
                <w:sz w:val="21"/>
                <w:szCs w:val="21"/>
                <w:highlight w:val="none"/>
              </w:rPr>
            </w:pPr>
          </w:p>
        </w:tc>
        <w:tc>
          <w:tcPr>
            <w:tcW w:w="1003" w:type="dxa"/>
            <w:tcBorders>
              <w:tl2br w:val="nil"/>
              <w:tr2bl w:val="nil"/>
            </w:tcBorders>
            <w:shd w:val="clear" w:color="auto" w:fill="auto"/>
            <w:vAlign w:val="center"/>
          </w:tcPr>
          <w:p w14:paraId="18D2763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75</w:t>
            </w:r>
          </w:p>
        </w:tc>
        <w:tc>
          <w:tcPr>
            <w:tcW w:w="847" w:type="dxa"/>
            <w:vMerge w:val="continue"/>
            <w:tcBorders>
              <w:tl2br w:val="nil"/>
              <w:tr2bl w:val="nil"/>
            </w:tcBorders>
            <w:shd w:val="clear" w:color="auto" w:fill="auto"/>
            <w:vAlign w:val="center"/>
          </w:tcPr>
          <w:p w14:paraId="7D04BD78">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2A10B67E">
            <w:pPr>
              <w:spacing w:line="360" w:lineRule="exact"/>
              <w:ind w:firstLine="0" w:firstLineChars="0"/>
              <w:jc w:val="center"/>
              <w:rPr>
                <w:rFonts w:cs="Times New Roman"/>
                <w:color w:val="auto"/>
                <w:sz w:val="21"/>
                <w:szCs w:val="21"/>
                <w:highlight w:val="none"/>
              </w:rPr>
            </w:pPr>
          </w:p>
        </w:tc>
        <w:tc>
          <w:tcPr>
            <w:tcW w:w="879" w:type="dxa"/>
            <w:tcBorders>
              <w:tl2br w:val="nil"/>
              <w:tr2bl w:val="nil"/>
            </w:tcBorders>
            <w:shd w:val="clear" w:color="auto" w:fill="auto"/>
            <w:vAlign w:val="center"/>
          </w:tcPr>
          <w:p w14:paraId="43BB9F8D">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47</w:t>
            </w:r>
          </w:p>
        </w:tc>
        <w:tc>
          <w:tcPr>
            <w:tcW w:w="880" w:type="dxa"/>
            <w:tcBorders>
              <w:tl2br w:val="nil"/>
              <w:tr2bl w:val="nil"/>
            </w:tcBorders>
            <w:shd w:val="clear" w:color="auto" w:fill="auto"/>
            <w:vAlign w:val="center"/>
          </w:tcPr>
          <w:p w14:paraId="4BF7CC35">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3.23</w:t>
            </w:r>
          </w:p>
        </w:tc>
        <w:tc>
          <w:tcPr>
            <w:tcW w:w="725" w:type="dxa"/>
            <w:vMerge w:val="continue"/>
            <w:tcBorders>
              <w:tl2br w:val="nil"/>
              <w:tr2bl w:val="nil"/>
            </w:tcBorders>
            <w:shd w:val="clear" w:color="auto" w:fill="auto"/>
            <w:vAlign w:val="center"/>
          </w:tcPr>
          <w:p w14:paraId="75772C94">
            <w:pPr>
              <w:spacing w:line="360" w:lineRule="exact"/>
              <w:ind w:firstLine="0" w:firstLineChars="0"/>
              <w:jc w:val="center"/>
              <w:rPr>
                <w:rFonts w:cs="Times New Roman"/>
                <w:color w:val="auto"/>
                <w:sz w:val="21"/>
                <w:szCs w:val="21"/>
                <w:highlight w:val="none"/>
              </w:rPr>
            </w:pPr>
          </w:p>
        </w:tc>
      </w:tr>
      <w:tr w14:paraId="214DD0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773" w:type="dxa"/>
            <w:vMerge w:val="continue"/>
            <w:tcBorders>
              <w:tl2br w:val="nil"/>
              <w:tr2bl w:val="nil"/>
            </w:tcBorders>
            <w:shd w:val="clear" w:color="auto" w:fill="auto"/>
            <w:vAlign w:val="center"/>
          </w:tcPr>
          <w:p w14:paraId="3EF75A78">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7CE543F3">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21681808">
            <w:pPr>
              <w:spacing w:line="360" w:lineRule="exact"/>
              <w:ind w:firstLine="0" w:firstLineChars="0"/>
              <w:jc w:val="center"/>
              <w:rPr>
                <w:rFonts w:cs="Times New Roman"/>
                <w:color w:val="auto"/>
                <w:sz w:val="21"/>
                <w:szCs w:val="21"/>
                <w:highlight w:val="none"/>
              </w:rPr>
            </w:pPr>
          </w:p>
        </w:tc>
        <w:tc>
          <w:tcPr>
            <w:tcW w:w="1278" w:type="dxa"/>
            <w:tcBorders>
              <w:tl2br w:val="nil"/>
              <w:tr2bl w:val="nil"/>
            </w:tcBorders>
            <w:shd w:val="clear" w:color="auto" w:fill="auto"/>
            <w:vAlign w:val="center"/>
          </w:tcPr>
          <w:p w14:paraId="4D91377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总磷</w:t>
            </w:r>
          </w:p>
        </w:tc>
        <w:tc>
          <w:tcPr>
            <w:tcW w:w="789" w:type="dxa"/>
            <w:vMerge w:val="continue"/>
            <w:tcBorders>
              <w:tl2br w:val="nil"/>
              <w:tr2bl w:val="nil"/>
            </w:tcBorders>
            <w:shd w:val="clear" w:color="auto" w:fill="auto"/>
            <w:vAlign w:val="center"/>
          </w:tcPr>
          <w:p w14:paraId="39351013">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46F8585F">
            <w:pPr>
              <w:spacing w:line="360" w:lineRule="exact"/>
              <w:ind w:firstLine="0" w:firstLineChars="0"/>
              <w:jc w:val="center"/>
              <w:rPr>
                <w:rFonts w:cs="Times New Roman"/>
                <w:color w:val="auto"/>
                <w:sz w:val="21"/>
                <w:szCs w:val="21"/>
                <w:highlight w:val="none"/>
              </w:rPr>
            </w:pPr>
          </w:p>
        </w:tc>
        <w:tc>
          <w:tcPr>
            <w:tcW w:w="999" w:type="dxa"/>
            <w:tcBorders>
              <w:tl2br w:val="nil"/>
              <w:tr2bl w:val="nil"/>
            </w:tcBorders>
            <w:shd w:val="clear" w:color="auto" w:fill="auto"/>
            <w:vAlign w:val="center"/>
          </w:tcPr>
          <w:p w14:paraId="4164F839">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w:t>
            </w:r>
          </w:p>
        </w:tc>
        <w:tc>
          <w:tcPr>
            <w:tcW w:w="960" w:type="dxa"/>
            <w:tcBorders>
              <w:tl2br w:val="nil"/>
              <w:tr2bl w:val="nil"/>
            </w:tcBorders>
            <w:shd w:val="clear" w:color="auto" w:fill="auto"/>
            <w:vAlign w:val="center"/>
          </w:tcPr>
          <w:p w14:paraId="6B1DC8B3">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1.17</w:t>
            </w:r>
          </w:p>
        </w:tc>
        <w:tc>
          <w:tcPr>
            <w:tcW w:w="1230" w:type="dxa"/>
            <w:vMerge w:val="continue"/>
            <w:tcBorders>
              <w:tl2br w:val="nil"/>
              <w:tr2bl w:val="nil"/>
            </w:tcBorders>
            <w:shd w:val="clear" w:color="auto" w:fill="auto"/>
            <w:vAlign w:val="center"/>
          </w:tcPr>
          <w:p w14:paraId="3BD29D22">
            <w:pPr>
              <w:spacing w:line="360" w:lineRule="exact"/>
              <w:ind w:firstLine="0" w:firstLineChars="0"/>
              <w:jc w:val="center"/>
              <w:rPr>
                <w:rFonts w:cs="Times New Roman"/>
                <w:color w:val="auto"/>
                <w:sz w:val="21"/>
                <w:szCs w:val="21"/>
                <w:highlight w:val="none"/>
              </w:rPr>
            </w:pPr>
          </w:p>
        </w:tc>
        <w:tc>
          <w:tcPr>
            <w:tcW w:w="1003" w:type="dxa"/>
            <w:tcBorders>
              <w:tl2br w:val="nil"/>
              <w:tr2bl w:val="nil"/>
            </w:tcBorders>
            <w:shd w:val="clear" w:color="auto" w:fill="auto"/>
            <w:vAlign w:val="center"/>
          </w:tcPr>
          <w:p w14:paraId="3D299D8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70</w:t>
            </w:r>
          </w:p>
        </w:tc>
        <w:tc>
          <w:tcPr>
            <w:tcW w:w="847" w:type="dxa"/>
            <w:vMerge w:val="continue"/>
            <w:tcBorders>
              <w:tl2br w:val="nil"/>
              <w:tr2bl w:val="nil"/>
            </w:tcBorders>
            <w:shd w:val="clear" w:color="auto" w:fill="auto"/>
            <w:vAlign w:val="center"/>
          </w:tcPr>
          <w:p w14:paraId="30EE9539">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25CAA349">
            <w:pPr>
              <w:spacing w:line="360" w:lineRule="exact"/>
              <w:ind w:firstLine="0" w:firstLineChars="0"/>
              <w:jc w:val="center"/>
              <w:rPr>
                <w:rFonts w:cs="Times New Roman"/>
                <w:color w:val="auto"/>
                <w:sz w:val="21"/>
                <w:szCs w:val="21"/>
                <w:highlight w:val="none"/>
              </w:rPr>
            </w:pPr>
          </w:p>
        </w:tc>
        <w:tc>
          <w:tcPr>
            <w:tcW w:w="879" w:type="dxa"/>
            <w:tcBorders>
              <w:tl2br w:val="nil"/>
              <w:tr2bl w:val="nil"/>
            </w:tcBorders>
            <w:shd w:val="clear" w:color="auto" w:fill="auto"/>
            <w:vAlign w:val="center"/>
          </w:tcPr>
          <w:p w14:paraId="6DEE15B8">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880" w:type="dxa"/>
            <w:tcBorders>
              <w:tl2br w:val="nil"/>
              <w:tr2bl w:val="nil"/>
            </w:tcBorders>
            <w:shd w:val="clear" w:color="auto" w:fill="auto"/>
            <w:vAlign w:val="center"/>
          </w:tcPr>
          <w:p w14:paraId="176BE935">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0.344</w:t>
            </w:r>
          </w:p>
        </w:tc>
        <w:tc>
          <w:tcPr>
            <w:tcW w:w="725" w:type="dxa"/>
            <w:vMerge w:val="continue"/>
            <w:tcBorders>
              <w:tl2br w:val="nil"/>
              <w:tr2bl w:val="nil"/>
            </w:tcBorders>
            <w:shd w:val="clear" w:color="auto" w:fill="auto"/>
            <w:vAlign w:val="center"/>
          </w:tcPr>
          <w:p w14:paraId="36110808">
            <w:pPr>
              <w:spacing w:line="360" w:lineRule="exact"/>
              <w:ind w:firstLine="0" w:firstLineChars="0"/>
              <w:jc w:val="center"/>
              <w:rPr>
                <w:rFonts w:cs="Times New Roman"/>
                <w:color w:val="auto"/>
                <w:sz w:val="21"/>
                <w:szCs w:val="21"/>
                <w:highlight w:val="none"/>
              </w:rPr>
            </w:pPr>
          </w:p>
        </w:tc>
      </w:tr>
      <w:tr w14:paraId="5012AB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773" w:type="dxa"/>
            <w:vMerge w:val="continue"/>
            <w:tcBorders>
              <w:tl2br w:val="nil"/>
              <w:tr2bl w:val="nil"/>
            </w:tcBorders>
            <w:shd w:val="clear" w:color="auto" w:fill="auto"/>
            <w:vAlign w:val="center"/>
          </w:tcPr>
          <w:p w14:paraId="5BEBAF32">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342FBC69">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1300BFDA">
            <w:pPr>
              <w:spacing w:line="360" w:lineRule="exact"/>
              <w:ind w:firstLine="0" w:firstLineChars="0"/>
              <w:jc w:val="center"/>
              <w:rPr>
                <w:rFonts w:cs="Times New Roman"/>
                <w:color w:val="auto"/>
                <w:sz w:val="21"/>
                <w:szCs w:val="21"/>
                <w:highlight w:val="none"/>
              </w:rPr>
            </w:pPr>
          </w:p>
        </w:tc>
        <w:tc>
          <w:tcPr>
            <w:tcW w:w="1278" w:type="dxa"/>
            <w:tcBorders>
              <w:tl2br w:val="nil"/>
              <w:tr2bl w:val="nil"/>
            </w:tcBorders>
            <w:shd w:val="clear" w:color="auto" w:fill="auto"/>
            <w:vAlign w:val="center"/>
          </w:tcPr>
          <w:p w14:paraId="0BF6A8E2">
            <w:pPr>
              <w:spacing w:line="360" w:lineRule="exact"/>
              <w:ind w:firstLine="0" w:firstLineChars="0"/>
              <w:jc w:val="center"/>
              <w:rPr>
                <w:rFonts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pH值（无量纲）</w:t>
            </w:r>
          </w:p>
        </w:tc>
        <w:tc>
          <w:tcPr>
            <w:tcW w:w="789" w:type="dxa"/>
            <w:vMerge w:val="continue"/>
            <w:tcBorders>
              <w:tl2br w:val="nil"/>
              <w:tr2bl w:val="nil"/>
            </w:tcBorders>
            <w:shd w:val="clear" w:color="auto" w:fill="auto"/>
            <w:vAlign w:val="center"/>
          </w:tcPr>
          <w:p w14:paraId="0C998D6C">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42A091BA">
            <w:pPr>
              <w:spacing w:line="360" w:lineRule="exact"/>
              <w:ind w:firstLine="0" w:firstLineChars="0"/>
              <w:jc w:val="center"/>
              <w:rPr>
                <w:rFonts w:cs="Times New Roman"/>
                <w:color w:val="auto"/>
                <w:sz w:val="21"/>
                <w:szCs w:val="21"/>
                <w:highlight w:val="none"/>
              </w:rPr>
            </w:pPr>
          </w:p>
        </w:tc>
        <w:tc>
          <w:tcPr>
            <w:tcW w:w="999" w:type="dxa"/>
            <w:tcBorders>
              <w:tl2br w:val="nil"/>
              <w:tr2bl w:val="nil"/>
            </w:tcBorders>
            <w:shd w:val="clear" w:color="auto" w:fill="auto"/>
            <w:vAlign w:val="center"/>
          </w:tcPr>
          <w:p w14:paraId="712B58E0">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6.5~7.5</w:t>
            </w:r>
          </w:p>
        </w:tc>
        <w:tc>
          <w:tcPr>
            <w:tcW w:w="960" w:type="dxa"/>
            <w:tcBorders>
              <w:tl2br w:val="nil"/>
              <w:tr2bl w:val="nil"/>
            </w:tcBorders>
            <w:shd w:val="clear" w:color="auto" w:fill="auto"/>
            <w:vAlign w:val="center"/>
          </w:tcPr>
          <w:p w14:paraId="497CB090">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230" w:type="dxa"/>
            <w:vMerge w:val="continue"/>
            <w:tcBorders>
              <w:tl2br w:val="nil"/>
              <w:tr2bl w:val="nil"/>
            </w:tcBorders>
            <w:shd w:val="clear" w:color="auto" w:fill="auto"/>
            <w:vAlign w:val="center"/>
          </w:tcPr>
          <w:p w14:paraId="16098FC4">
            <w:pPr>
              <w:spacing w:line="360" w:lineRule="exact"/>
              <w:ind w:firstLine="0" w:firstLineChars="0"/>
              <w:jc w:val="center"/>
              <w:rPr>
                <w:rFonts w:cs="Times New Roman"/>
                <w:color w:val="auto"/>
                <w:sz w:val="21"/>
                <w:szCs w:val="21"/>
                <w:highlight w:val="none"/>
              </w:rPr>
            </w:pPr>
          </w:p>
        </w:tc>
        <w:tc>
          <w:tcPr>
            <w:tcW w:w="1003" w:type="dxa"/>
            <w:tcBorders>
              <w:tl2br w:val="nil"/>
              <w:tr2bl w:val="nil"/>
            </w:tcBorders>
            <w:shd w:val="clear" w:color="auto" w:fill="auto"/>
            <w:vAlign w:val="center"/>
          </w:tcPr>
          <w:p w14:paraId="0A677F1C">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47" w:type="dxa"/>
            <w:vMerge w:val="continue"/>
            <w:tcBorders>
              <w:tl2br w:val="nil"/>
              <w:tr2bl w:val="nil"/>
            </w:tcBorders>
            <w:shd w:val="clear" w:color="auto" w:fill="auto"/>
            <w:vAlign w:val="center"/>
          </w:tcPr>
          <w:p w14:paraId="5AED4456">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334C52FF">
            <w:pPr>
              <w:spacing w:line="360" w:lineRule="exact"/>
              <w:ind w:firstLine="0" w:firstLineChars="0"/>
              <w:jc w:val="center"/>
              <w:rPr>
                <w:rFonts w:cs="Times New Roman"/>
                <w:color w:val="auto"/>
                <w:sz w:val="21"/>
                <w:szCs w:val="21"/>
                <w:highlight w:val="none"/>
              </w:rPr>
            </w:pPr>
          </w:p>
        </w:tc>
        <w:tc>
          <w:tcPr>
            <w:tcW w:w="879" w:type="dxa"/>
            <w:tcBorders>
              <w:tl2br w:val="nil"/>
              <w:tr2bl w:val="nil"/>
            </w:tcBorders>
            <w:shd w:val="clear" w:color="auto" w:fill="auto"/>
            <w:vAlign w:val="center"/>
          </w:tcPr>
          <w:p w14:paraId="2409A2B7">
            <w:pPr>
              <w:spacing w:line="360" w:lineRule="exact"/>
              <w:ind w:firstLine="0" w:firstLineChars="0"/>
              <w:jc w:val="center"/>
              <w:rPr>
                <w:rFonts w:hint="default"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7.5</w:t>
            </w:r>
          </w:p>
        </w:tc>
        <w:tc>
          <w:tcPr>
            <w:tcW w:w="880" w:type="dxa"/>
            <w:tcBorders>
              <w:tl2br w:val="nil"/>
              <w:tr2bl w:val="nil"/>
            </w:tcBorders>
            <w:shd w:val="clear" w:color="auto" w:fill="auto"/>
            <w:vAlign w:val="center"/>
          </w:tcPr>
          <w:p w14:paraId="68601F78">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25" w:type="dxa"/>
            <w:vMerge w:val="continue"/>
            <w:tcBorders>
              <w:tl2br w:val="nil"/>
              <w:tr2bl w:val="nil"/>
            </w:tcBorders>
            <w:shd w:val="clear" w:color="auto" w:fill="auto"/>
            <w:vAlign w:val="center"/>
          </w:tcPr>
          <w:p w14:paraId="1A80CFC2">
            <w:pPr>
              <w:spacing w:line="360" w:lineRule="exact"/>
              <w:ind w:firstLine="0" w:firstLineChars="0"/>
              <w:jc w:val="center"/>
              <w:rPr>
                <w:rFonts w:cs="Times New Roman"/>
                <w:color w:val="auto"/>
                <w:sz w:val="21"/>
                <w:szCs w:val="21"/>
                <w:highlight w:val="none"/>
              </w:rPr>
            </w:pPr>
          </w:p>
        </w:tc>
      </w:tr>
      <w:tr w14:paraId="6E0E0B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7" w:hRule="atLeast"/>
          <w:jc w:val="center"/>
        </w:trPr>
        <w:tc>
          <w:tcPr>
            <w:tcW w:w="773" w:type="dxa"/>
            <w:vMerge w:val="continue"/>
            <w:tcBorders>
              <w:tl2br w:val="nil"/>
              <w:tr2bl w:val="nil"/>
            </w:tcBorders>
            <w:shd w:val="clear" w:color="auto" w:fill="auto"/>
            <w:vAlign w:val="center"/>
          </w:tcPr>
          <w:p w14:paraId="0FEA65F1">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19684626">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47384764">
            <w:pPr>
              <w:spacing w:line="360" w:lineRule="exact"/>
              <w:ind w:firstLine="0" w:firstLineChars="0"/>
              <w:jc w:val="center"/>
              <w:rPr>
                <w:rFonts w:cs="Times New Roman"/>
                <w:color w:val="auto"/>
                <w:sz w:val="21"/>
                <w:szCs w:val="21"/>
                <w:highlight w:val="none"/>
              </w:rPr>
            </w:pPr>
          </w:p>
        </w:tc>
        <w:tc>
          <w:tcPr>
            <w:tcW w:w="1278" w:type="dxa"/>
            <w:tcBorders>
              <w:tl2br w:val="nil"/>
              <w:tr2bl w:val="nil"/>
            </w:tcBorders>
            <w:shd w:val="clear" w:color="auto" w:fill="auto"/>
            <w:vAlign w:val="center"/>
          </w:tcPr>
          <w:p w14:paraId="4FA804EF">
            <w:pPr>
              <w:spacing w:line="360" w:lineRule="exact"/>
              <w:ind w:firstLine="0" w:firstLineChars="0"/>
              <w:jc w:val="center"/>
              <w:rPr>
                <w:rFonts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大肠菌群数（MPN/L）</w:t>
            </w:r>
          </w:p>
        </w:tc>
        <w:tc>
          <w:tcPr>
            <w:tcW w:w="789" w:type="dxa"/>
            <w:vMerge w:val="continue"/>
            <w:tcBorders>
              <w:tl2br w:val="nil"/>
              <w:tr2bl w:val="nil"/>
            </w:tcBorders>
            <w:shd w:val="clear" w:color="auto" w:fill="auto"/>
            <w:vAlign w:val="center"/>
          </w:tcPr>
          <w:p w14:paraId="40AA6249">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2E8F2B4B">
            <w:pPr>
              <w:spacing w:line="360" w:lineRule="exact"/>
              <w:ind w:firstLine="0" w:firstLineChars="0"/>
              <w:jc w:val="center"/>
              <w:rPr>
                <w:rFonts w:cs="Times New Roman"/>
                <w:color w:val="auto"/>
                <w:sz w:val="21"/>
                <w:szCs w:val="21"/>
                <w:highlight w:val="none"/>
              </w:rPr>
            </w:pPr>
          </w:p>
        </w:tc>
        <w:tc>
          <w:tcPr>
            <w:tcW w:w="999" w:type="dxa"/>
            <w:tcBorders>
              <w:tl2br w:val="nil"/>
              <w:tr2bl w:val="nil"/>
            </w:tcBorders>
            <w:shd w:val="clear" w:color="auto" w:fill="auto"/>
            <w:vAlign w:val="center"/>
          </w:tcPr>
          <w:p w14:paraId="6F8D5A9F">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c>
          <w:tcPr>
            <w:tcW w:w="960" w:type="dxa"/>
            <w:tcBorders>
              <w:tl2br w:val="nil"/>
              <w:tr2bl w:val="nil"/>
            </w:tcBorders>
            <w:shd w:val="clear" w:color="auto" w:fill="auto"/>
            <w:vAlign w:val="center"/>
          </w:tcPr>
          <w:p w14:paraId="24C36BE3">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230" w:type="dxa"/>
            <w:vMerge w:val="continue"/>
            <w:tcBorders>
              <w:tl2br w:val="nil"/>
              <w:tr2bl w:val="nil"/>
            </w:tcBorders>
            <w:shd w:val="clear" w:color="auto" w:fill="auto"/>
            <w:vAlign w:val="center"/>
          </w:tcPr>
          <w:p w14:paraId="55FC2322">
            <w:pPr>
              <w:spacing w:line="360" w:lineRule="exact"/>
              <w:ind w:firstLine="0" w:firstLineChars="0"/>
              <w:jc w:val="center"/>
              <w:rPr>
                <w:rFonts w:cs="Times New Roman"/>
                <w:color w:val="auto"/>
                <w:sz w:val="21"/>
                <w:szCs w:val="21"/>
                <w:highlight w:val="none"/>
              </w:rPr>
            </w:pPr>
          </w:p>
        </w:tc>
        <w:tc>
          <w:tcPr>
            <w:tcW w:w="1003" w:type="dxa"/>
            <w:tcBorders>
              <w:tl2br w:val="nil"/>
              <w:tr2bl w:val="nil"/>
            </w:tcBorders>
            <w:shd w:val="clear" w:color="auto" w:fill="auto"/>
            <w:vAlign w:val="center"/>
          </w:tcPr>
          <w:p w14:paraId="3B67454F">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99</w:t>
            </w:r>
          </w:p>
        </w:tc>
        <w:tc>
          <w:tcPr>
            <w:tcW w:w="847" w:type="dxa"/>
            <w:vMerge w:val="continue"/>
            <w:tcBorders>
              <w:tl2br w:val="nil"/>
              <w:tr2bl w:val="nil"/>
            </w:tcBorders>
            <w:shd w:val="clear" w:color="auto" w:fill="auto"/>
            <w:vAlign w:val="center"/>
          </w:tcPr>
          <w:p w14:paraId="19EAFA23">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7F82B312">
            <w:pPr>
              <w:spacing w:line="360" w:lineRule="exact"/>
              <w:ind w:firstLine="0" w:firstLineChars="0"/>
              <w:jc w:val="center"/>
              <w:rPr>
                <w:rFonts w:cs="Times New Roman"/>
                <w:color w:val="auto"/>
                <w:sz w:val="21"/>
                <w:szCs w:val="21"/>
                <w:highlight w:val="none"/>
              </w:rPr>
            </w:pPr>
          </w:p>
        </w:tc>
        <w:tc>
          <w:tcPr>
            <w:tcW w:w="879" w:type="dxa"/>
            <w:tcBorders>
              <w:tl2br w:val="nil"/>
              <w:tr2bl w:val="nil"/>
            </w:tcBorders>
            <w:shd w:val="clear" w:color="auto" w:fill="auto"/>
            <w:vAlign w:val="center"/>
          </w:tcPr>
          <w:p w14:paraId="234B2EA8">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3830</w:t>
            </w:r>
          </w:p>
        </w:tc>
        <w:tc>
          <w:tcPr>
            <w:tcW w:w="880" w:type="dxa"/>
            <w:tcBorders>
              <w:tl2br w:val="nil"/>
              <w:tr2bl w:val="nil"/>
            </w:tcBorders>
            <w:shd w:val="clear" w:color="auto" w:fill="auto"/>
            <w:vAlign w:val="center"/>
          </w:tcPr>
          <w:p w14:paraId="6172B06C">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25" w:type="dxa"/>
            <w:vMerge w:val="continue"/>
            <w:tcBorders>
              <w:tl2br w:val="nil"/>
              <w:tr2bl w:val="nil"/>
            </w:tcBorders>
            <w:shd w:val="clear" w:color="auto" w:fill="auto"/>
            <w:vAlign w:val="center"/>
          </w:tcPr>
          <w:p w14:paraId="44C94A61">
            <w:pPr>
              <w:spacing w:line="360" w:lineRule="exact"/>
              <w:ind w:firstLine="0" w:firstLineChars="0"/>
              <w:jc w:val="center"/>
              <w:rPr>
                <w:rFonts w:cs="Times New Roman"/>
                <w:color w:val="auto"/>
                <w:sz w:val="21"/>
                <w:szCs w:val="21"/>
                <w:highlight w:val="none"/>
              </w:rPr>
            </w:pPr>
          </w:p>
        </w:tc>
      </w:tr>
      <w:tr w14:paraId="70440D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773" w:type="dxa"/>
            <w:vMerge w:val="restart"/>
            <w:tcBorders>
              <w:tl2br w:val="nil"/>
              <w:tr2bl w:val="nil"/>
            </w:tcBorders>
            <w:shd w:val="clear" w:color="auto" w:fill="auto"/>
            <w:vAlign w:val="center"/>
          </w:tcPr>
          <w:p w14:paraId="6C3CCA0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w:t>
            </w:r>
          </w:p>
        </w:tc>
        <w:tc>
          <w:tcPr>
            <w:tcW w:w="872" w:type="dxa"/>
            <w:vMerge w:val="restart"/>
            <w:tcBorders>
              <w:tl2br w:val="nil"/>
              <w:tr2bl w:val="nil"/>
            </w:tcBorders>
            <w:shd w:val="clear" w:color="auto" w:fill="auto"/>
            <w:vAlign w:val="center"/>
          </w:tcPr>
          <w:p w14:paraId="6AA29F2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员工</w:t>
            </w:r>
          </w:p>
        </w:tc>
        <w:tc>
          <w:tcPr>
            <w:tcW w:w="842" w:type="dxa"/>
            <w:vMerge w:val="restart"/>
            <w:tcBorders>
              <w:tl2br w:val="nil"/>
              <w:tr2bl w:val="nil"/>
            </w:tcBorders>
            <w:shd w:val="clear" w:color="auto" w:fill="auto"/>
            <w:vAlign w:val="center"/>
          </w:tcPr>
          <w:p w14:paraId="41E4BDA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生活污水</w:t>
            </w:r>
          </w:p>
        </w:tc>
        <w:tc>
          <w:tcPr>
            <w:tcW w:w="1278" w:type="dxa"/>
            <w:tcBorders>
              <w:tl2br w:val="nil"/>
              <w:tr2bl w:val="nil"/>
            </w:tcBorders>
            <w:shd w:val="clear" w:color="auto" w:fill="auto"/>
            <w:vAlign w:val="center"/>
          </w:tcPr>
          <w:p w14:paraId="58C15EE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w:t>
            </w:r>
          </w:p>
        </w:tc>
        <w:tc>
          <w:tcPr>
            <w:tcW w:w="789" w:type="dxa"/>
            <w:vMerge w:val="restart"/>
            <w:tcBorders>
              <w:tl2br w:val="nil"/>
              <w:tr2bl w:val="nil"/>
            </w:tcBorders>
            <w:shd w:val="clear" w:color="auto" w:fill="auto"/>
            <w:vAlign w:val="center"/>
          </w:tcPr>
          <w:p w14:paraId="450866E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类比法</w:t>
            </w:r>
          </w:p>
        </w:tc>
        <w:tc>
          <w:tcPr>
            <w:tcW w:w="899" w:type="dxa"/>
            <w:vMerge w:val="restart"/>
            <w:tcBorders>
              <w:tl2br w:val="nil"/>
              <w:tr2bl w:val="nil"/>
            </w:tcBorders>
            <w:shd w:val="clear" w:color="auto" w:fill="auto"/>
            <w:vAlign w:val="center"/>
          </w:tcPr>
          <w:p w14:paraId="6ADAFFF5">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576</w:t>
            </w:r>
          </w:p>
        </w:tc>
        <w:tc>
          <w:tcPr>
            <w:tcW w:w="999" w:type="dxa"/>
            <w:tcBorders>
              <w:tl2br w:val="nil"/>
              <w:tr2bl w:val="nil"/>
            </w:tcBorders>
            <w:shd w:val="clear" w:color="auto" w:fill="auto"/>
            <w:vAlign w:val="center"/>
          </w:tcPr>
          <w:p w14:paraId="45751CF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300</w:t>
            </w:r>
          </w:p>
        </w:tc>
        <w:tc>
          <w:tcPr>
            <w:tcW w:w="960" w:type="dxa"/>
            <w:tcBorders>
              <w:tl2br w:val="nil"/>
              <w:tr2bl w:val="nil"/>
            </w:tcBorders>
            <w:shd w:val="clear" w:color="auto" w:fill="auto"/>
            <w:vAlign w:val="center"/>
          </w:tcPr>
          <w:p w14:paraId="08848F8B">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0.1728</w:t>
            </w:r>
          </w:p>
        </w:tc>
        <w:tc>
          <w:tcPr>
            <w:tcW w:w="2233" w:type="dxa"/>
            <w:gridSpan w:val="2"/>
            <w:vMerge w:val="restart"/>
            <w:tcBorders>
              <w:tl2br w:val="nil"/>
              <w:tr2bl w:val="nil"/>
            </w:tcBorders>
            <w:shd w:val="clear" w:color="auto" w:fill="auto"/>
            <w:vAlign w:val="center"/>
          </w:tcPr>
          <w:p w14:paraId="2C89809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847" w:type="dxa"/>
            <w:vMerge w:val="restart"/>
            <w:tcBorders>
              <w:tl2br w:val="nil"/>
              <w:tr2bl w:val="nil"/>
            </w:tcBorders>
            <w:shd w:val="clear" w:color="auto" w:fill="auto"/>
            <w:vAlign w:val="center"/>
          </w:tcPr>
          <w:p w14:paraId="5A7C2C9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类比法</w:t>
            </w:r>
          </w:p>
        </w:tc>
        <w:tc>
          <w:tcPr>
            <w:tcW w:w="899" w:type="dxa"/>
            <w:vMerge w:val="restart"/>
            <w:tcBorders>
              <w:tl2br w:val="nil"/>
              <w:tr2bl w:val="nil"/>
            </w:tcBorders>
            <w:shd w:val="clear" w:color="auto" w:fill="auto"/>
            <w:vAlign w:val="center"/>
          </w:tcPr>
          <w:p w14:paraId="64E3C3DF">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576</w:t>
            </w:r>
          </w:p>
        </w:tc>
        <w:tc>
          <w:tcPr>
            <w:tcW w:w="879" w:type="dxa"/>
            <w:tcBorders>
              <w:tl2br w:val="nil"/>
              <w:tr2bl w:val="nil"/>
            </w:tcBorders>
            <w:shd w:val="clear" w:color="auto" w:fill="auto"/>
            <w:vAlign w:val="center"/>
          </w:tcPr>
          <w:p w14:paraId="1847C6B8">
            <w:pPr>
              <w:spacing w:line="360" w:lineRule="exact"/>
              <w:ind w:firstLine="0" w:firstLineChars="0"/>
              <w:jc w:val="center"/>
              <w:rPr>
                <w:rFonts w:ascii="Times New Roman" w:hAnsi="Times New Roman" w:eastAsia="宋体" w:cs="Times New Roman"/>
                <w:color w:val="auto"/>
                <w:kern w:val="2"/>
                <w:sz w:val="21"/>
                <w:szCs w:val="21"/>
                <w:highlight w:val="none"/>
                <w:lang w:val="en-US" w:eastAsia="zh-CN" w:bidi="ar-SA"/>
              </w:rPr>
            </w:pPr>
            <w:r>
              <w:rPr>
                <w:rFonts w:cs="Times New Roman"/>
                <w:color w:val="auto"/>
                <w:sz w:val="21"/>
                <w:szCs w:val="21"/>
                <w:highlight w:val="none"/>
              </w:rPr>
              <w:t>300</w:t>
            </w:r>
          </w:p>
        </w:tc>
        <w:tc>
          <w:tcPr>
            <w:tcW w:w="880" w:type="dxa"/>
            <w:tcBorders>
              <w:tl2br w:val="nil"/>
              <w:tr2bl w:val="nil"/>
            </w:tcBorders>
            <w:shd w:val="clear" w:color="auto" w:fill="auto"/>
            <w:vAlign w:val="center"/>
          </w:tcPr>
          <w:p w14:paraId="5313FB90">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0.1728</w:t>
            </w:r>
          </w:p>
        </w:tc>
        <w:tc>
          <w:tcPr>
            <w:tcW w:w="725" w:type="dxa"/>
            <w:vMerge w:val="restart"/>
            <w:tcBorders>
              <w:tl2br w:val="nil"/>
              <w:tr2bl w:val="nil"/>
            </w:tcBorders>
            <w:shd w:val="clear" w:color="auto" w:fill="auto"/>
            <w:vAlign w:val="center"/>
          </w:tcPr>
          <w:p w14:paraId="1D474F3C">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2400</w:t>
            </w:r>
          </w:p>
        </w:tc>
      </w:tr>
      <w:tr w14:paraId="2EFD30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8" w:hRule="atLeast"/>
          <w:jc w:val="center"/>
        </w:trPr>
        <w:tc>
          <w:tcPr>
            <w:tcW w:w="773" w:type="dxa"/>
            <w:vMerge w:val="continue"/>
            <w:tcBorders>
              <w:tl2br w:val="nil"/>
              <w:tr2bl w:val="nil"/>
            </w:tcBorders>
            <w:shd w:val="clear" w:color="auto" w:fill="auto"/>
            <w:vAlign w:val="center"/>
          </w:tcPr>
          <w:p w14:paraId="43396358">
            <w:pPr>
              <w:spacing w:line="360" w:lineRule="exact"/>
              <w:ind w:firstLine="0" w:firstLineChars="0"/>
              <w:jc w:val="center"/>
              <w:rPr>
                <w:rFonts w:cs="Times New Roman"/>
                <w:color w:val="auto"/>
                <w:sz w:val="21"/>
                <w:szCs w:val="21"/>
                <w:highlight w:val="none"/>
              </w:rPr>
            </w:pPr>
          </w:p>
        </w:tc>
        <w:tc>
          <w:tcPr>
            <w:tcW w:w="872" w:type="dxa"/>
            <w:vMerge w:val="continue"/>
            <w:tcBorders>
              <w:tl2br w:val="nil"/>
              <w:tr2bl w:val="nil"/>
            </w:tcBorders>
            <w:shd w:val="clear" w:color="auto" w:fill="auto"/>
            <w:vAlign w:val="center"/>
          </w:tcPr>
          <w:p w14:paraId="3AA76BEE">
            <w:pPr>
              <w:spacing w:line="360" w:lineRule="exact"/>
              <w:ind w:firstLine="0" w:firstLineChars="0"/>
              <w:jc w:val="center"/>
              <w:rPr>
                <w:rFonts w:cs="Times New Roman"/>
                <w:color w:val="auto"/>
                <w:sz w:val="21"/>
                <w:szCs w:val="21"/>
                <w:highlight w:val="none"/>
              </w:rPr>
            </w:pPr>
          </w:p>
        </w:tc>
        <w:tc>
          <w:tcPr>
            <w:tcW w:w="842" w:type="dxa"/>
            <w:vMerge w:val="continue"/>
            <w:tcBorders>
              <w:tl2br w:val="nil"/>
              <w:tr2bl w:val="nil"/>
            </w:tcBorders>
            <w:shd w:val="clear" w:color="auto" w:fill="auto"/>
            <w:vAlign w:val="center"/>
          </w:tcPr>
          <w:p w14:paraId="07647526">
            <w:pPr>
              <w:spacing w:line="360" w:lineRule="exact"/>
              <w:ind w:firstLine="0" w:firstLineChars="0"/>
              <w:jc w:val="center"/>
              <w:rPr>
                <w:rFonts w:cs="Times New Roman"/>
                <w:color w:val="auto"/>
                <w:sz w:val="21"/>
                <w:szCs w:val="21"/>
                <w:highlight w:val="none"/>
              </w:rPr>
            </w:pPr>
          </w:p>
        </w:tc>
        <w:tc>
          <w:tcPr>
            <w:tcW w:w="1278" w:type="dxa"/>
            <w:tcBorders>
              <w:tl2br w:val="nil"/>
              <w:tr2bl w:val="nil"/>
            </w:tcBorders>
            <w:shd w:val="clear" w:color="auto" w:fill="auto"/>
            <w:vAlign w:val="center"/>
          </w:tcPr>
          <w:p w14:paraId="75B6E3E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氨氮</w:t>
            </w:r>
          </w:p>
        </w:tc>
        <w:tc>
          <w:tcPr>
            <w:tcW w:w="789" w:type="dxa"/>
            <w:vMerge w:val="continue"/>
            <w:tcBorders>
              <w:tl2br w:val="nil"/>
              <w:tr2bl w:val="nil"/>
            </w:tcBorders>
            <w:shd w:val="clear" w:color="auto" w:fill="auto"/>
            <w:vAlign w:val="center"/>
          </w:tcPr>
          <w:p w14:paraId="2F23D331">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78C767D9">
            <w:pPr>
              <w:spacing w:line="360" w:lineRule="exact"/>
              <w:ind w:firstLine="0" w:firstLineChars="0"/>
              <w:jc w:val="center"/>
              <w:rPr>
                <w:rFonts w:cs="Times New Roman"/>
                <w:color w:val="auto"/>
                <w:sz w:val="21"/>
                <w:szCs w:val="21"/>
                <w:highlight w:val="none"/>
              </w:rPr>
            </w:pPr>
          </w:p>
        </w:tc>
        <w:tc>
          <w:tcPr>
            <w:tcW w:w="999" w:type="dxa"/>
            <w:tcBorders>
              <w:tl2br w:val="nil"/>
              <w:tr2bl w:val="nil"/>
            </w:tcBorders>
            <w:shd w:val="clear" w:color="auto" w:fill="auto"/>
            <w:vAlign w:val="center"/>
          </w:tcPr>
          <w:p w14:paraId="437FA35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30</w:t>
            </w:r>
          </w:p>
        </w:tc>
        <w:tc>
          <w:tcPr>
            <w:tcW w:w="960" w:type="dxa"/>
            <w:tcBorders>
              <w:tl2br w:val="nil"/>
              <w:tr2bl w:val="nil"/>
            </w:tcBorders>
            <w:shd w:val="clear" w:color="auto" w:fill="auto"/>
            <w:vAlign w:val="center"/>
          </w:tcPr>
          <w:p w14:paraId="32FD4C29">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0.01728</w:t>
            </w:r>
          </w:p>
        </w:tc>
        <w:tc>
          <w:tcPr>
            <w:tcW w:w="2233" w:type="dxa"/>
            <w:gridSpan w:val="2"/>
            <w:vMerge w:val="continue"/>
            <w:tcBorders>
              <w:tl2br w:val="nil"/>
              <w:tr2bl w:val="nil"/>
            </w:tcBorders>
            <w:shd w:val="clear" w:color="auto" w:fill="auto"/>
            <w:vAlign w:val="center"/>
          </w:tcPr>
          <w:p w14:paraId="7FE5E32D">
            <w:pPr>
              <w:spacing w:line="360" w:lineRule="exact"/>
              <w:ind w:firstLine="0" w:firstLineChars="0"/>
              <w:jc w:val="center"/>
              <w:rPr>
                <w:rFonts w:cs="Times New Roman"/>
                <w:color w:val="auto"/>
                <w:sz w:val="21"/>
                <w:szCs w:val="21"/>
                <w:highlight w:val="none"/>
              </w:rPr>
            </w:pPr>
          </w:p>
        </w:tc>
        <w:tc>
          <w:tcPr>
            <w:tcW w:w="847" w:type="dxa"/>
            <w:vMerge w:val="continue"/>
            <w:tcBorders>
              <w:tl2br w:val="nil"/>
              <w:tr2bl w:val="nil"/>
            </w:tcBorders>
            <w:shd w:val="clear" w:color="auto" w:fill="auto"/>
            <w:vAlign w:val="center"/>
          </w:tcPr>
          <w:p w14:paraId="71EAC38E">
            <w:pPr>
              <w:spacing w:line="360" w:lineRule="exact"/>
              <w:ind w:firstLine="0" w:firstLineChars="0"/>
              <w:jc w:val="center"/>
              <w:rPr>
                <w:rFonts w:cs="Times New Roman"/>
                <w:color w:val="auto"/>
                <w:sz w:val="21"/>
                <w:szCs w:val="21"/>
                <w:highlight w:val="none"/>
              </w:rPr>
            </w:pPr>
          </w:p>
        </w:tc>
        <w:tc>
          <w:tcPr>
            <w:tcW w:w="899" w:type="dxa"/>
            <w:vMerge w:val="continue"/>
            <w:tcBorders>
              <w:tl2br w:val="nil"/>
              <w:tr2bl w:val="nil"/>
            </w:tcBorders>
            <w:shd w:val="clear" w:color="auto" w:fill="auto"/>
            <w:vAlign w:val="center"/>
          </w:tcPr>
          <w:p w14:paraId="2866FAFB">
            <w:pPr>
              <w:spacing w:line="360" w:lineRule="exact"/>
              <w:ind w:firstLine="0" w:firstLineChars="0"/>
              <w:jc w:val="center"/>
              <w:rPr>
                <w:rFonts w:cs="Times New Roman"/>
                <w:color w:val="auto"/>
                <w:sz w:val="21"/>
                <w:szCs w:val="21"/>
                <w:highlight w:val="none"/>
              </w:rPr>
            </w:pPr>
          </w:p>
        </w:tc>
        <w:tc>
          <w:tcPr>
            <w:tcW w:w="879" w:type="dxa"/>
            <w:tcBorders>
              <w:tl2br w:val="nil"/>
              <w:tr2bl w:val="nil"/>
            </w:tcBorders>
            <w:shd w:val="clear" w:color="auto" w:fill="auto"/>
            <w:vAlign w:val="center"/>
          </w:tcPr>
          <w:p w14:paraId="5917E28E">
            <w:pPr>
              <w:spacing w:line="360" w:lineRule="exact"/>
              <w:ind w:firstLine="0" w:firstLineChars="0"/>
              <w:jc w:val="center"/>
              <w:rPr>
                <w:rFonts w:ascii="Times New Roman" w:hAnsi="Times New Roman" w:eastAsia="宋体" w:cs="Times New Roman"/>
                <w:color w:val="auto"/>
                <w:kern w:val="2"/>
                <w:sz w:val="21"/>
                <w:szCs w:val="21"/>
                <w:highlight w:val="none"/>
                <w:lang w:val="en-US" w:eastAsia="zh-CN" w:bidi="ar-SA"/>
              </w:rPr>
            </w:pPr>
            <w:r>
              <w:rPr>
                <w:rFonts w:cs="Times New Roman"/>
                <w:color w:val="auto"/>
                <w:sz w:val="21"/>
                <w:szCs w:val="21"/>
                <w:highlight w:val="none"/>
              </w:rPr>
              <w:t>30</w:t>
            </w:r>
          </w:p>
        </w:tc>
        <w:tc>
          <w:tcPr>
            <w:tcW w:w="880" w:type="dxa"/>
            <w:tcBorders>
              <w:tl2br w:val="nil"/>
              <w:tr2bl w:val="nil"/>
            </w:tcBorders>
            <w:shd w:val="clear" w:color="auto" w:fill="auto"/>
            <w:vAlign w:val="center"/>
          </w:tcPr>
          <w:p w14:paraId="2B5DA5F4">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0.01728</w:t>
            </w:r>
          </w:p>
        </w:tc>
        <w:tc>
          <w:tcPr>
            <w:tcW w:w="725" w:type="dxa"/>
            <w:vMerge w:val="continue"/>
            <w:tcBorders>
              <w:tl2br w:val="nil"/>
              <w:tr2bl w:val="nil"/>
            </w:tcBorders>
            <w:shd w:val="clear" w:color="auto" w:fill="auto"/>
            <w:vAlign w:val="center"/>
          </w:tcPr>
          <w:p w14:paraId="57123517">
            <w:pPr>
              <w:spacing w:line="360" w:lineRule="exact"/>
              <w:ind w:firstLine="0" w:firstLineChars="0"/>
              <w:jc w:val="center"/>
              <w:rPr>
                <w:rFonts w:cs="Times New Roman"/>
                <w:color w:val="auto"/>
                <w:sz w:val="21"/>
                <w:szCs w:val="21"/>
                <w:highlight w:val="none"/>
              </w:rPr>
            </w:pPr>
          </w:p>
        </w:tc>
      </w:tr>
    </w:tbl>
    <w:p w14:paraId="76A73AA3">
      <w:pPr>
        <w:pStyle w:val="117"/>
        <w:ind w:firstLine="0" w:firstLineChars="0"/>
        <w:rPr>
          <w:rFonts w:cs="Times New Roman"/>
          <w:snapToGrid w:val="0"/>
          <w:color w:val="auto"/>
          <w:highlight w:val="none"/>
        </w:rPr>
      </w:pPr>
    </w:p>
    <w:p w14:paraId="61A4E581">
      <w:pPr>
        <w:pStyle w:val="117"/>
        <w:ind w:firstLine="0" w:firstLineChars="0"/>
        <w:rPr>
          <w:rFonts w:cs="Times New Roman"/>
          <w:snapToGrid w:val="0"/>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4C161B77">
      <w:pPr>
        <w:pStyle w:val="5"/>
        <w:rPr>
          <w:color w:val="auto"/>
          <w:highlight w:val="none"/>
        </w:rPr>
      </w:pPr>
      <w:r>
        <w:rPr>
          <w:color w:val="auto"/>
          <w:highlight w:val="none"/>
        </w:rPr>
        <w:t>3.4.2.3噪声</w:t>
      </w:r>
    </w:p>
    <w:p w14:paraId="5624FD68">
      <w:pPr>
        <w:pStyle w:val="38"/>
        <w:spacing w:line="500" w:lineRule="exact"/>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本项目运营期噪声主要为设备噪声和牛、羊嚎叫，均为室内声源。</w:t>
      </w:r>
      <w:r>
        <w:rPr>
          <w:rFonts w:hint="eastAsia" w:ascii="Times New Roman" w:hAnsi="Times New Roman" w:eastAsia="宋体" w:cs="Times New Roman"/>
          <w:color w:val="auto"/>
          <w:sz w:val="24"/>
          <w:highlight w:val="none"/>
          <w:lang w:val="en-US" w:eastAsia="zh-CN"/>
        </w:rPr>
        <w:t>根据拟采买设备说明书，</w:t>
      </w:r>
      <w:r>
        <w:rPr>
          <w:rFonts w:ascii="Times New Roman" w:hAnsi="Times New Roman" w:eastAsia="宋体" w:cs="Times New Roman"/>
          <w:color w:val="auto"/>
          <w:sz w:val="24"/>
          <w:highlight w:val="none"/>
        </w:rPr>
        <w:t>噪声源强在70dB（A）~95B（A）之间，项目运营期采取的降噪措施主要为选用低噪声设备、安装减振垫、消声器及厂房隔声等。</w:t>
      </w:r>
    </w:p>
    <w:p w14:paraId="345E6821">
      <w:pPr>
        <w:spacing w:before="163" w:beforeLines="50" w:line="240" w:lineRule="auto"/>
        <w:ind w:firstLine="0" w:firstLineChars="0"/>
        <w:jc w:val="center"/>
        <w:rPr>
          <w:rFonts w:cs="Times New Roman"/>
          <w:b/>
          <w:color w:val="auto"/>
          <w:szCs w:val="24"/>
          <w:highlight w:val="none"/>
        </w:rPr>
      </w:pPr>
      <w:r>
        <w:rPr>
          <w:rFonts w:cs="Times New Roman"/>
          <w:b/>
          <w:color w:val="auto"/>
          <w:szCs w:val="24"/>
          <w:highlight w:val="none"/>
        </w:rPr>
        <w:t>表3-4-12</w:t>
      </w:r>
      <w:r>
        <w:rPr>
          <w:rFonts w:hint="eastAsia" w:cs="Times New Roman"/>
          <w:b/>
          <w:color w:val="auto"/>
          <w:szCs w:val="24"/>
          <w:highlight w:val="none"/>
        </w:rPr>
        <w:t xml:space="preserve"> </w:t>
      </w:r>
      <w:r>
        <w:rPr>
          <w:rFonts w:cs="Times New Roman"/>
          <w:b/>
          <w:color w:val="auto"/>
          <w:szCs w:val="24"/>
          <w:highlight w:val="none"/>
        </w:rPr>
        <w:t>工业企业噪声源强调查清单（室内声源）</w:t>
      </w:r>
    </w:p>
    <w:tbl>
      <w:tblPr>
        <w:tblStyle w:val="48"/>
        <w:tblW w:w="105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542"/>
        <w:gridCol w:w="842"/>
        <w:gridCol w:w="586"/>
        <w:gridCol w:w="825"/>
        <w:gridCol w:w="690"/>
        <w:gridCol w:w="689"/>
        <w:gridCol w:w="652"/>
        <w:gridCol w:w="493"/>
        <w:gridCol w:w="800"/>
        <w:gridCol w:w="852"/>
        <w:gridCol w:w="636"/>
        <w:gridCol w:w="791"/>
        <w:gridCol w:w="852"/>
        <w:gridCol w:w="874"/>
      </w:tblGrid>
      <w:tr w14:paraId="4AB142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429" w:type="dxa"/>
            <w:vMerge w:val="restart"/>
            <w:tcBorders>
              <w:tl2br w:val="nil"/>
              <w:tr2bl w:val="nil"/>
            </w:tcBorders>
            <w:vAlign w:val="center"/>
          </w:tcPr>
          <w:p w14:paraId="11BE2BD1">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序号</w:t>
            </w:r>
          </w:p>
        </w:tc>
        <w:tc>
          <w:tcPr>
            <w:tcW w:w="1384" w:type="dxa"/>
            <w:gridSpan w:val="2"/>
            <w:vMerge w:val="restart"/>
            <w:tcBorders>
              <w:tl2br w:val="nil"/>
              <w:tr2bl w:val="nil"/>
            </w:tcBorders>
            <w:vAlign w:val="center"/>
          </w:tcPr>
          <w:p w14:paraId="1C9B569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声源名称</w:t>
            </w:r>
          </w:p>
        </w:tc>
        <w:tc>
          <w:tcPr>
            <w:tcW w:w="586" w:type="dxa"/>
            <w:vMerge w:val="restart"/>
            <w:tcBorders>
              <w:tl2br w:val="nil"/>
              <w:tr2bl w:val="nil"/>
            </w:tcBorders>
            <w:vAlign w:val="center"/>
          </w:tcPr>
          <w:p w14:paraId="03C86FD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型号</w:t>
            </w:r>
          </w:p>
        </w:tc>
        <w:tc>
          <w:tcPr>
            <w:tcW w:w="825" w:type="dxa"/>
            <w:vMerge w:val="restart"/>
            <w:tcBorders>
              <w:tl2br w:val="nil"/>
              <w:tr2bl w:val="nil"/>
            </w:tcBorders>
            <w:vAlign w:val="center"/>
          </w:tcPr>
          <w:p w14:paraId="5B46B4F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声源源强/dB(A)</w:t>
            </w:r>
          </w:p>
        </w:tc>
        <w:tc>
          <w:tcPr>
            <w:tcW w:w="690" w:type="dxa"/>
            <w:vMerge w:val="restart"/>
            <w:tcBorders>
              <w:tl2br w:val="nil"/>
              <w:tr2bl w:val="nil"/>
            </w:tcBorders>
            <w:vAlign w:val="center"/>
          </w:tcPr>
          <w:p w14:paraId="1D909741">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声源控制措施</w:t>
            </w:r>
          </w:p>
        </w:tc>
        <w:tc>
          <w:tcPr>
            <w:tcW w:w="1834" w:type="dxa"/>
            <w:gridSpan w:val="3"/>
            <w:tcBorders>
              <w:tl2br w:val="nil"/>
              <w:tr2bl w:val="nil"/>
            </w:tcBorders>
            <w:vAlign w:val="center"/>
          </w:tcPr>
          <w:p w14:paraId="0C686BB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空间相对位置/m</w:t>
            </w:r>
          </w:p>
        </w:tc>
        <w:tc>
          <w:tcPr>
            <w:tcW w:w="800" w:type="dxa"/>
            <w:vMerge w:val="restart"/>
            <w:tcBorders>
              <w:tl2br w:val="nil"/>
              <w:tr2bl w:val="nil"/>
            </w:tcBorders>
            <w:vAlign w:val="center"/>
          </w:tcPr>
          <w:p w14:paraId="26424AA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距室内边界距离/m</w:t>
            </w:r>
          </w:p>
        </w:tc>
        <w:tc>
          <w:tcPr>
            <w:tcW w:w="852" w:type="dxa"/>
            <w:vMerge w:val="restart"/>
            <w:tcBorders>
              <w:tl2br w:val="nil"/>
              <w:tr2bl w:val="nil"/>
            </w:tcBorders>
            <w:vAlign w:val="center"/>
          </w:tcPr>
          <w:p w14:paraId="2A99832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室内边界声级</w:t>
            </w:r>
          </w:p>
          <w:p w14:paraId="1EC2FF5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/dB(A)</w:t>
            </w:r>
          </w:p>
        </w:tc>
        <w:tc>
          <w:tcPr>
            <w:tcW w:w="636" w:type="dxa"/>
            <w:vMerge w:val="restart"/>
            <w:tcBorders>
              <w:tl2br w:val="nil"/>
              <w:tr2bl w:val="nil"/>
            </w:tcBorders>
            <w:vAlign w:val="center"/>
          </w:tcPr>
          <w:p w14:paraId="052776F2">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运行时</w:t>
            </w:r>
          </w:p>
          <w:p w14:paraId="1BFB2E3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段</w:t>
            </w:r>
          </w:p>
        </w:tc>
        <w:tc>
          <w:tcPr>
            <w:tcW w:w="791" w:type="dxa"/>
            <w:vMerge w:val="restart"/>
            <w:tcBorders>
              <w:tl2br w:val="nil"/>
              <w:tr2bl w:val="nil"/>
            </w:tcBorders>
            <w:vAlign w:val="center"/>
          </w:tcPr>
          <w:p w14:paraId="293CD0B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建筑物插入损失/</w:t>
            </w:r>
          </w:p>
          <w:p w14:paraId="07BA97D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dB(A)</w:t>
            </w:r>
          </w:p>
        </w:tc>
        <w:tc>
          <w:tcPr>
            <w:tcW w:w="1726" w:type="dxa"/>
            <w:gridSpan w:val="2"/>
            <w:tcBorders>
              <w:tl2br w:val="nil"/>
              <w:tr2bl w:val="nil"/>
            </w:tcBorders>
            <w:vAlign w:val="center"/>
          </w:tcPr>
          <w:p w14:paraId="51F9272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建筑物外噪声</w:t>
            </w:r>
          </w:p>
        </w:tc>
      </w:tr>
      <w:tr w14:paraId="50CA6E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429" w:type="dxa"/>
            <w:vMerge w:val="continue"/>
            <w:tcBorders>
              <w:tl2br w:val="nil"/>
              <w:tr2bl w:val="nil"/>
            </w:tcBorders>
            <w:vAlign w:val="center"/>
          </w:tcPr>
          <w:p w14:paraId="498080F2">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1384" w:type="dxa"/>
            <w:gridSpan w:val="2"/>
            <w:vMerge w:val="continue"/>
            <w:tcBorders>
              <w:tl2br w:val="nil"/>
              <w:tr2bl w:val="nil"/>
            </w:tcBorders>
            <w:vAlign w:val="center"/>
          </w:tcPr>
          <w:p w14:paraId="4A6BBDB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586" w:type="dxa"/>
            <w:vMerge w:val="continue"/>
            <w:tcBorders>
              <w:tl2br w:val="nil"/>
              <w:tr2bl w:val="nil"/>
            </w:tcBorders>
            <w:vAlign w:val="center"/>
          </w:tcPr>
          <w:p w14:paraId="58733A0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25" w:type="dxa"/>
            <w:vMerge w:val="continue"/>
            <w:tcBorders>
              <w:tl2br w:val="nil"/>
              <w:tr2bl w:val="nil"/>
            </w:tcBorders>
            <w:vAlign w:val="center"/>
          </w:tcPr>
          <w:p w14:paraId="679DC70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90" w:type="dxa"/>
            <w:vMerge w:val="continue"/>
            <w:tcBorders>
              <w:tl2br w:val="nil"/>
              <w:tr2bl w:val="nil"/>
            </w:tcBorders>
            <w:vAlign w:val="center"/>
          </w:tcPr>
          <w:p w14:paraId="013EBC7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41B299C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X</w:t>
            </w:r>
          </w:p>
        </w:tc>
        <w:tc>
          <w:tcPr>
            <w:tcW w:w="652" w:type="dxa"/>
            <w:tcBorders>
              <w:tl2br w:val="nil"/>
              <w:tr2bl w:val="nil"/>
            </w:tcBorders>
            <w:vAlign w:val="center"/>
          </w:tcPr>
          <w:p w14:paraId="7B9FFC4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Y</w:t>
            </w:r>
          </w:p>
        </w:tc>
        <w:tc>
          <w:tcPr>
            <w:tcW w:w="493" w:type="dxa"/>
            <w:tcBorders>
              <w:tl2br w:val="nil"/>
              <w:tr2bl w:val="nil"/>
            </w:tcBorders>
            <w:vAlign w:val="center"/>
          </w:tcPr>
          <w:p w14:paraId="52DDA55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Z</w:t>
            </w:r>
          </w:p>
        </w:tc>
        <w:tc>
          <w:tcPr>
            <w:tcW w:w="800" w:type="dxa"/>
            <w:vMerge w:val="continue"/>
            <w:tcBorders>
              <w:tl2br w:val="nil"/>
              <w:tr2bl w:val="nil"/>
            </w:tcBorders>
            <w:vAlign w:val="center"/>
          </w:tcPr>
          <w:p w14:paraId="2A0A659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52" w:type="dxa"/>
            <w:vMerge w:val="continue"/>
            <w:tcBorders>
              <w:tl2br w:val="nil"/>
              <w:tr2bl w:val="nil"/>
            </w:tcBorders>
            <w:vAlign w:val="center"/>
          </w:tcPr>
          <w:p w14:paraId="1003B5F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36" w:type="dxa"/>
            <w:vMerge w:val="continue"/>
            <w:tcBorders>
              <w:tl2br w:val="nil"/>
              <w:tr2bl w:val="nil"/>
            </w:tcBorders>
            <w:vAlign w:val="center"/>
          </w:tcPr>
          <w:p w14:paraId="3EA1086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vMerge w:val="continue"/>
            <w:tcBorders>
              <w:tl2br w:val="nil"/>
              <w:tr2bl w:val="nil"/>
            </w:tcBorders>
            <w:vAlign w:val="center"/>
          </w:tcPr>
          <w:p w14:paraId="51F9027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52" w:type="dxa"/>
            <w:tcBorders>
              <w:tl2br w:val="nil"/>
              <w:tr2bl w:val="nil"/>
            </w:tcBorders>
            <w:vAlign w:val="center"/>
          </w:tcPr>
          <w:p w14:paraId="400B028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声压级</w:t>
            </w:r>
          </w:p>
          <w:p w14:paraId="28456F8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/dB(A)</w:t>
            </w:r>
          </w:p>
        </w:tc>
        <w:tc>
          <w:tcPr>
            <w:tcW w:w="874" w:type="dxa"/>
            <w:tcBorders>
              <w:tl2br w:val="nil"/>
              <w:tr2bl w:val="nil"/>
            </w:tcBorders>
            <w:vAlign w:val="center"/>
          </w:tcPr>
          <w:p w14:paraId="09A3D9D1">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建筑物</w:t>
            </w:r>
          </w:p>
          <w:p w14:paraId="06432262">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外距离/m</w:t>
            </w:r>
          </w:p>
        </w:tc>
      </w:tr>
      <w:tr w14:paraId="3FDE1B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3" w:hRule="atLeast"/>
          <w:jc w:val="center"/>
        </w:trPr>
        <w:tc>
          <w:tcPr>
            <w:tcW w:w="429" w:type="dxa"/>
            <w:tcBorders>
              <w:tl2br w:val="nil"/>
              <w:tr2bl w:val="nil"/>
            </w:tcBorders>
            <w:vAlign w:val="center"/>
          </w:tcPr>
          <w:p w14:paraId="6DF1288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w:t>
            </w:r>
          </w:p>
        </w:tc>
        <w:tc>
          <w:tcPr>
            <w:tcW w:w="542" w:type="dxa"/>
            <w:vMerge w:val="restart"/>
            <w:tcBorders>
              <w:tl2br w:val="nil"/>
              <w:tr2bl w:val="nil"/>
            </w:tcBorders>
            <w:vAlign w:val="center"/>
          </w:tcPr>
          <w:p w14:paraId="0AD3438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屠宰加工</w:t>
            </w:r>
          </w:p>
        </w:tc>
        <w:tc>
          <w:tcPr>
            <w:tcW w:w="842" w:type="dxa"/>
            <w:tcBorders>
              <w:tl2br w:val="nil"/>
              <w:tr2bl w:val="nil"/>
            </w:tcBorders>
            <w:vAlign w:val="center"/>
          </w:tcPr>
          <w:p w14:paraId="6570C8F1">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牛、羊嚎叫</w:t>
            </w:r>
          </w:p>
        </w:tc>
        <w:tc>
          <w:tcPr>
            <w:tcW w:w="586" w:type="dxa"/>
            <w:tcBorders>
              <w:tl2br w:val="nil"/>
              <w:tr2bl w:val="nil"/>
            </w:tcBorders>
            <w:vAlign w:val="center"/>
          </w:tcPr>
          <w:p w14:paraId="70A94892">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825" w:type="dxa"/>
            <w:tcBorders>
              <w:tl2br w:val="nil"/>
              <w:tr2bl w:val="nil"/>
            </w:tcBorders>
            <w:vAlign w:val="center"/>
          </w:tcPr>
          <w:p w14:paraId="1178E1B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70</w:t>
            </w:r>
          </w:p>
        </w:tc>
        <w:tc>
          <w:tcPr>
            <w:tcW w:w="690" w:type="dxa"/>
            <w:vMerge w:val="restart"/>
            <w:tcBorders>
              <w:tl2br w:val="nil"/>
              <w:tr2bl w:val="nil"/>
            </w:tcBorders>
            <w:vAlign w:val="center"/>
          </w:tcPr>
          <w:p w14:paraId="2CE8435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厂房隔声</w:t>
            </w:r>
          </w:p>
        </w:tc>
        <w:tc>
          <w:tcPr>
            <w:tcW w:w="689" w:type="dxa"/>
            <w:tcBorders>
              <w:tl2br w:val="nil"/>
              <w:tr2bl w:val="nil"/>
            </w:tcBorders>
            <w:vAlign w:val="center"/>
          </w:tcPr>
          <w:p w14:paraId="43E3C3F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240.1</w:t>
            </w:r>
          </w:p>
        </w:tc>
        <w:tc>
          <w:tcPr>
            <w:tcW w:w="652" w:type="dxa"/>
            <w:tcBorders>
              <w:tl2br w:val="nil"/>
              <w:tr2bl w:val="nil"/>
            </w:tcBorders>
            <w:vAlign w:val="center"/>
          </w:tcPr>
          <w:p w14:paraId="75CFD49C">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74.5</w:t>
            </w:r>
          </w:p>
        </w:tc>
        <w:tc>
          <w:tcPr>
            <w:tcW w:w="493" w:type="dxa"/>
            <w:tcBorders>
              <w:tl2br w:val="nil"/>
              <w:tr2bl w:val="nil"/>
            </w:tcBorders>
            <w:vAlign w:val="center"/>
          </w:tcPr>
          <w:p w14:paraId="1589D59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1.5</w:t>
            </w:r>
          </w:p>
        </w:tc>
        <w:tc>
          <w:tcPr>
            <w:tcW w:w="800" w:type="dxa"/>
            <w:tcBorders>
              <w:tl2br w:val="nil"/>
              <w:tr2bl w:val="nil"/>
            </w:tcBorders>
            <w:vAlign w:val="center"/>
          </w:tcPr>
          <w:p w14:paraId="1A5D812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7.75</w:t>
            </w:r>
          </w:p>
        </w:tc>
        <w:tc>
          <w:tcPr>
            <w:tcW w:w="852" w:type="dxa"/>
            <w:tcBorders>
              <w:tl2br w:val="nil"/>
              <w:tr2bl w:val="nil"/>
            </w:tcBorders>
            <w:vAlign w:val="center"/>
          </w:tcPr>
          <w:p w14:paraId="3040205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47.3</w:t>
            </w:r>
          </w:p>
        </w:tc>
        <w:tc>
          <w:tcPr>
            <w:tcW w:w="636" w:type="dxa"/>
            <w:vMerge w:val="restart"/>
            <w:tcBorders>
              <w:tl2br w:val="nil"/>
              <w:tr2bl w:val="nil"/>
            </w:tcBorders>
            <w:vAlign w:val="center"/>
          </w:tcPr>
          <w:p w14:paraId="6C826062">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昼间</w:t>
            </w:r>
          </w:p>
        </w:tc>
        <w:tc>
          <w:tcPr>
            <w:tcW w:w="791" w:type="dxa"/>
            <w:tcBorders>
              <w:tl2br w:val="nil"/>
              <w:tr2bl w:val="nil"/>
            </w:tcBorders>
            <w:vAlign w:val="center"/>
          </w:tcPr>
          <w:p w14:paraId="0E3B7152">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30</w:t>
            </w:r>
          </w:p>
        </w:tc>
        <w:tc>
          <w:tcPr>
            <w:tcW w:w="852" w:type="dxa"/>
            <w:tcBorders>
              <w:tl2br w:val="nil"/>
              <w:tr2bl w:val="nil"/>
            </w:tcBorders>
            <w:vAlign w:val="center"/>
          </w:tcPr>
          <w:p w14:paraId="253C9AE2">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33.39</w:t>
            </w:r>
          </w:p>
        </w:tc>
        <w:tc>
          <w:tcPr>
            <w:tcW w:w="874" w:type="dxa"/>
            <w:tcBorders>
              <w:tl2br w:val="nil"/>
              <w:tr2bl w:val="nil"/>
            </w:tcBorders>
            <w:vAlign w:val="center"/>
          </w:tcPr>
          <w:p w14:paraId="28E69F61">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1.0</w:t>
            </w:r>
          </w:p>
        </w:tc>
      </w:tr>
      <w:tr w14:paraId="60C42D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29" w:type="dxa"/>
            <w:tcBorders>
              <w:tl2br w:val="nil"/>
              <w:tr2bl w:val="nil"/>
            </w:tcBorders>
            <w:vAlign w:val="center"/>
          </w:tcPr>
          <w:p w14:paraId="7053447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2</w:t>
            </w:r>
          </w:p>
        </w:tc>
        <w:tc>
          <w:tcPr>
            <w:tcW w:w="542" w:type="dxa"/>
            <w:vMerge w:val="continue"/>
            <w:tcBorders>
              <w:tl2br w:val="nil"/>
              <w:tr2bl w:val="nil"/>
            </w:tcBorders>
            <w:vAlign w:val="center"/>
          </w:tcPr>
          <w:p w14:paraId="3288768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42" w:type="dxa"/>
            <w:tcBorders>
              <w:tl2br w:val="nil"/>
              <w:tr2bl w:val="nil"/>
            </w:tcBorders>
            <w:vAlign w:val="center"/>
          </w:tcPr>
          <w:p w14:paraId="45012D9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引风机</w:t>
            </w:r>
          </w:p>
        </w:tc>
        <w:tc>
          <w:tcPr>
            <w:tcW w:w="586" w:type="dxa"/>
            <w:tcBorders>
              <w:tl2br w:val="nil"/>
              <w:tr2bl w:val="nil"/>
            </w:tcBorders>
            <w:vAlign w:val="center"/>
          </w:tcPr>
          <w:p w14:paraId="5059649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825" w:type="dxa"/>
            <w:tcBorders>
              <w:tl2br w:val="nil"/>
              <w:tr2bl w:val="nil"/>
            </w:tcBorders>
            <w:vAlign w:val="center"/>
          </w:tcPr>
          <w:p w14:paraId="7550A90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80</w:t>
            </w:r>
          </w:p>
        </w:tc>
        <w:tc>
          <w:tcPr>
            <w:tcW w:w="690" w:type="dxa"/>
            <w:vMerge w:val="continue"/>
            <w:tcBorders>
              <w:tl2br w:val="nil"/>
              <w:tr2bl w:val="nil"/>
            </w:tcBorders>
            <w:vAlign w:val="center"/>
          </w:tcPr>
          <w:p w14:paraId="7E31ECA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2AE9FE0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238.6</w:t>
            </w:r>
          </w:p>
        </w:tc>
        <w:tc>
          <w:tcPr>
            <w:tcW w:w="652" w:type="dxa"/>
            <w:tcBorders>
              <w:tl2br w:val="nil"/>
              <w:tr2bl w:val="nil"/>
            </w:tcBorders>
            <w:vAlign w:val="center"/>
          </w:tcPr>
          <w:p w14:paraId="4514B3F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79.5</w:t>
            </w:r>
          </w:p>
        </w:tc>
        <w:tc>
          <w:tcPr>
            <w:tcW w:w="493" w:type="dxa"/>
            <w:tcBorders>
              <w:tl2br w:val="nil"/>
              <w:tr2bl w:val="nil"/>
            </w:tcBorders>
            <w:vAlign w:val="center"/>
          </w:tcPr>
          <w:p w14:paraId="4CAF104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1.8</w:t>
            </w:r>
          </w:p>
        </w:tc>
        <w:tc>
          <w:tcPr>
            <w:tcW w:w="800" w:type="dxa"/>
            <w:tcBorders>
              <w:tl2br w:val="nil"/>
              <w:tr2bl w:val="nil"/>
            </w:tcBorders>
            <w:vAlign w:val="center"/>
          </w:tcPr>
          <w:p w14:paraId="30F50221">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12.95</w:t>
            </w:r>
          </w:p>
        </w:tc>
        <w:tc>
          <w:tcPr>
            <w:tcW w:w="852" w:type="dxa"/>
            <w:tcBorders>
              <w:tl2br w:val="nil"/>
              <w:tr2bl w:val="nil"/>
            </w:tcBorders>
            <w:vAlign w:val="center"/>
          </w:tcPr>
          <w:p w14:paraId="608A8DAF">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55.65</w:t>
            </w:r>
          </w:p>
        </w:tc>
        <w:tc>
          <w:tcPr>
            <w:tcW w:w="636" w:type="dxa"/>
            <w:vMerge w:val="continue"/>
            <w:tcBorders>
              <w:tl2br w:val="nil"/>
              <w:tr2bl w:val="nil"/>
            </w:tcBorders>
            <w:vAlign w:val="center"/>
          </w:tcPr>
          <w:p w14:paraId="6FAA7F9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tcBorders>
              <w:tl2br w:val="nil"/>
              <w:tr2bl w:val="nil"/>
            </w:tcBorders>
            <w:vAlign w:val="center"/>
          </w:tcPr>
          <w:p w14:paraId="626BF91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30</w:t>
            </w:r>
          </w:p>
        </w:tc>
        <w:tc>
          <w:tcPr>
            <w:tcW w:w="852" w:type="dxa"/>
            <w:tcBorders>
              <w:tl2br w:val="nil"/>
              <w:tr2bl w:val="nil"/>
            </w:tcBorders>
            <w:vAlign w:val="center"/>
          </w:tcPr>
          <w:p w14:paraId="1D8E9183">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41.74</w:t>
            </w:r>
          </w:p>
        </w:tc>
        <w:tc>
          <w:tcPr>
            <w:tcW w:w="874" w:type="dxa"/>
            <w:tcBorders>
              <w:tl2br w:val="nil"/>
              <w:tr2bl w:val="nil"/>
            </w:tcBorders>
            <w:vAlign w:val="center"/>
          </w:tcPr>
          <w:p w14:paraId="27F8FEB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1.0</w:t>
            </w:r>
          </w:p>
        </w:tc>
      </w:tr>
      <w:tr w14:paraId="4CF16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29" w:type="dxa"/>
            <w:tcBorders>
              <w:tl2br w:val="nil"/>
              <w:tr2bl w:val="nil"/>
            </w:tcBorders>
            <w:shd w:val="clear" w:color="auto" w:fill="auto"/>
            <w:vAlign w:val="center"/>
          </w:tcPr>
          <w:p w14:paraId="613075FE">
            <w:pPr>
              <w:pStyle w:val="117"/>
              <w:spacing w:line="360" w:lineRule="exact"/>
              <w:ind w:firstLine="0" w:firstLine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sz w:val="21"/>
                <w:szCs w:val="21"/>
                <w:highlight w:val="none"/>
              </w:rPr>
              <w:t>3</w:t>
            </w:r>
          </w:p>
        </w:tc>
        <w:tc>
          <w:tcPr>
            <w:tcW w:w="542" w:type="dxa"/>
            <w:vMerge w:val="continue"/>
            <w:tcBorders>
              <w:tl2br w:val="nil"/>
              <w:tr2bl w:val="nil"/>
            </w:tcBorders>
            <w:vAlign w:val="center"/>
          </w:tcPr>
          <w:p w14:paraId="718D63E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42" w:type="dxa"/>
            <w:tcBorders>
              <w:tl2br w:val="nil"/>
              <w:tr2bl w:val="nil"/>
            </w:tcBorders>
            <w:vAlign w:val="center"/>
          </w:tcPr>
          <w:p w14:paraId="225250D0">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牵牛机</w:t>
            </w:r>
          </w:p>
        </w:tc>
        <w:tc>
          <w:tcPr>
            <w:tcW w:w="586" w:type="dxa"/>
            <w:tcBorders>
              <w:tl2br w:val="nil"/>
              <w:tr2bl w:val="nil"/>
            </w:tcBorders>
            <w:vAlign w:val="center"/>
          </w:tcPr>
          <w:p w14:paraId="75CACEF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25" w:type="dxa"/>
            <w:tcBorders>
              <w:tl2br w:val="nil"/>
              <w:tr2bl w:val="nil"/>
            </w:tcBorders>
            <w:vAlign w:val="center"/>
          </w:tcPr>
          <w:p w14:paraId="1818C7E6">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70</w:t>
            </w:r>
          </w:p>
        </w:tc>
        <w:tc>
          <w:tcPr>
            <w:tcW w:w="690" w:type="dxa"/>
            <w:vMerge w:val="continue"/>
            <w:tcBorders>
              <w:tl2br w:val="nil"/>
              <w:tr2bl w:val="nil"/>
            </w:tcBorders>
            <w:vAlign w:val="center"/>
          </w:tcPr>
          <w:p w14:paraId="28E82EF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5B0C1AD1">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249.8</w:t>
            </w:r>
          </w:p>
        </w:tc>
        <w:tc>
          <w:tcPr>
            <w:tcW w:w="652" w:type="dxa"/>
            <w:tcBorders>
              <w:tl2br w:val="nil"/>
              <w:tr2bl w:val="nil"/>
            </w:tcBorders>
            <w:vAlign w:val="center"/>
          </w:tcPr>
          <w:p w14:paraId="769CF7D7">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71.6</w:t>
            </w:r>
          </w:p>
        </w:tc>
        <w:tc>
          <w:tcPr>
            <w:tcW w:w="493" w:type="dxa"/>
            <w:tcBorders>
              <w:tl2br w:val="nil"/>
              <w:tr2bl w:val="nil"/>
            </w:tcBorders>
            <w:vAlign w:val="center"/>
          </w:tcPr>
          <w:p w14:paraId="28EC2C5D">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1.8</w:t>
            </w:r>
          </w:p>
        </w:tc>
        <w:tc>
          <w:tcPr>
            <w:tcW w:w="800" w:type="dxa"/>
            <w:tcBorders>
              <w:tl2br w:val="nil"/>
              <w:tr2bl w:val="nil"/>
            </w:tcBorders>
            <w:vAlign w:val="center"/>
          </w:tcPr>
          <w:p w14:paraId="65044434">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27.28</w:t>
            </w:r>
          </w:p>
        </w:tc>
        <w:tc>
          <w:tcPr>
            <w:tcW w:w="852" w:type="dxa"/>
            <w:tcBorders>
              <w:tl2br w:val="nil"/>
              <w:tr2bl w:val="nil"/>
            </w:tcBorders>
            <w:vAlign w:val="center"/>
          </w:tcPr>
          <w:p w14:paraId="6189372D">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44.68</w:t>
            </w:r>
          </w:p>
        </w:tc>
        <w:tc>
          <w:tcPr>
            <w:tcW w:w="636" w:type="dxa"/>
            <w:vMerge w:val="continue"/>
            <w:tcBorders>
              <w:tl2br w:val="nil"/>
              <w:tr2bl w:val="nil"/>
            </w:tcBorders>
            <w:vAlign w:val="center"/>
          </w:tcPr>
          <w:p w14:paraId="2C94AE7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tcBorders>
              <w:tl2br w:val="nil"/>
              <w:tr2bl w:val="nil"/>
            </w:tcBorders>
            <w:vAlign w:val="center"/>
          </w:tcPr>
          <w:p w14:paraId="1E71AC26">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30</w:t>
            </w:r>
          </w:p>
        </w:tc>
        <w:tc>
          <w:tcPr>
            <w:tcW w:w="852" w:type="dxa"/>
            <w:tcBorders>
              <w:tl2br w:val="nil"/>
              <w:tr2bl w:val="nil"/>
            </w:tcBorders>
            <w:vAlign w:val="center"/>
          </w:tcPr>
          <w:p w14:paraId="70A39076">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30.77</w:t>
            </w:r>
          </w:p>
        </w:tc>
        <w:tc>
          <w:tcPr>
            <w:tcW w:w="874" w:type="dxa"/>
            <w:tcBorders>
              <w:tl2br w:val="nil"/>
              <w:tr2bl w:val="nil"/>
            </w:tcBorders>
            <w:vAlign w:val="center"/>
          </w:tcPr>
          <w:p w14:paraId="2039A556">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1.0</w:t>
            </w:r>
          </w:p>
        </w:tc>
      </w:tr>
      <w:tr w14:paraId="15C734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29" w:type="dxa"/>
            <w:tcBorders>
              <w:tl2br w:val="nil"/>
              <w:tr2bl w:val="nil"/>
            </w:tcBorders>
            <w:shd w:val="clear" w:color="auto" w:fill="auto"/>
            <w:vAlign w:val="center"/>
          </w:tcPr>
          <w:p w14:paraId="1B229801">
            <w:pPr>
              <w:pStyle w:val="117"/>
              <w:spacing w:line="360" w:lineRule="exact"/>
              <w:ind w:firstLine="0" w:firstLine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sz w:val="21"/>
                <w:szCs w:val="21"/>
                <w:highlight w:val="none"/>
              </w:rPr>
              <w:t>4</w:t>
            </w:r>
          </w:p>
        </w:tc>
        <w:tc>
          <w:tcPr>
            <w:tcW w:w="542" w:type="dxa"/>
            <w:vMerge w:val="continue"/>
            <w:tcBorders>
              <w:tl2br w:val="nil"/>
              <w:tr2bl w:val="nil"/>
            </w:tcBorders>
            <w:vAlign w:val="center"/>
          </w:tcPr>
          <w:p w14:paraId="4FC03BC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42" w:type="dxa"/>
            <w:tcBorders>
              <w:tl2br w:val="nil"/>
              <w:tr2bl w:val="nil"/>
            </w:tcBorders>
            <w:vAlign w:val="center"/>
          </w:tcPr>
          <w:p w14:paraId="22F7908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提升机</w:t>
            </w:r>
          </w:p>
        </w:tc>
        <w:tc>
          <w:tcPr>
            <w:tcW w:w="586" w:type="dxa"/>
            <w:tcBorders>
              <w:tl2br w:val="nil"/>
              <w:tr2bl w:val="nil"/>
            </w:tcBorders>
            <w:vAlign w:val="center"/>
          </w:tcPr>
          <w:p w14:paraId="081F3C4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825" w:type="dxa"/>
            <w:tcBorders>
              <w:tl2br w:val="nil"/>
              <w:tr2bl w:val="nil"/>
            </w:tcBorders>
            <w:vAlign w:val="center"/>
          </w:tcPr>
          <w:p w14:paraId="08943EA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75</w:t>
            </w:r>
          </w:p>
        </w:tc>
        <w:tc>
          <w:tcPr>
            <w:tcW w:w="690" w:type="dxa"/>
            <w:vMerge w:val="continue"/>
            <w:tcBorders>
              <w:tl2br w:val="nil"/>
              <w:tr2bl w:val="nil"/>
            </w:tcBorders>
            <w:vAlign w:val="center"/>
          </w:tcPr>
          <w:p w14:paraId="2053A0C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3A07708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238.7</w:t>
            </w:r>
          </w:p>
        </w:tc>
        <w:tc>
          <w:tcPr>
            <w:tcW w:w="652" w:type="dxa"/>
            <w:tcBorders>
              <w:tl2br w:val="nil"/>
              <w:tr2bl w:val="nil"/>
            </w:tcBorders>
            <w:vAlign w:val="center"/>
          </w:tcPr>
          <w:p w14:paraId="483A5691">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85.4</w:t>
            </w:r>
          </w:p>
        </w:tc>
        <w:tc>
          <w:tcPr>
            <w:tcW w:w="493" w:type="dxa"/>
            <w:tcBorders>
              <w:tl2br w:val="nil"/>
              <w:tr2bl w:val="nil"/>
            </w:tcBorders>
            <w:vAlign w:val="center"/>
          </w:tcPr>
          <w:p w14:paraId="2E456F2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1.5</w:t>
            </w:r>
          </w:p>
        </w:tc>
        <w:tc>
          <w:tcPr>
            <w:tcW w:w="800" w:type="dxa"/>
            <w:tcBorders>
              <w:tl2br w:val="nil"/>
              <w:tr2bl w:val="nil"/>
            </w:tcBorders>
            <w:vAlign w:val="center"/>
          </w:tcPr>
          <w:p w14:paraId="7707F9D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13.05</w:t>
            </w:r>
          </w:p>
        </w:tc>
        <w:tc>
          <w:tcPr>
            <w:tcW w:w="852" w:type="dxa"/>
            <w:tcBorders>
              <w:tl2br w:val="nil"/>
              <w:tr2bl w:val="nil"/>
            </w:tcBorders>
            <w:vAlign w:val="center"/>
          </w:tcPr>
          <w:p w14:paraId="468397B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50.63</w:t>
            </w:r>
          </w:p>
        </w:tc>
        <w:tc>
          <w:tcPr>
            <w:tcW w:w="636" w:type="dxa"/>
            <w:vMerge w:val="continue"/>
            <w:tcBorders>
              <w:tl2br w:val="nil"/>
              <w:tr2bl w:val="nil"/>
            </w:tcBorders>
            <w:vAlign w:val="center"/>
          </w:tcPr>
          <w:p w14:paraId="56B5E8C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tcBorders>
              <w:tl2br w:val="nil"/>
              <w:tr2bl w:val="nil"/>
            </w:tcBorders>
            <w:vAlign w:val="center"/>
          </w:tcPr>
          <w:p w14:paraId="784FE4B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30</w:t>
            </w:r>
          </w:p>
        </w:tc>
        <w:tc>
          <w:tcPr>
            <w:tcW w:w="852" w:type="dxa"/>
            <w:tcBorders>
              <w:tl2br w:val="nil"/>
              <w:tr2bl w:val="nil"/>
            </w:tcBorders>
            <w:vAlign w:val="center"/>
          </w:tcPr>
          <w:p w14:paraId="304A9FAE">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36.72</w:t>
            </w:r>
          </w:p>
        </w:tc>
        <w:tc>
          <w:tcPr>
            <w:tcW w:w="874" w:type="dxa"/>
            <w:tcBorders>
              <w:tl2br w:val="nil"/>
              <w:tr2bl w:val="nil"/>
            </w:tcBorders>
            <w:vAlign w:val="center"/>
          </w:tcPr>
          <w:p w14:paraId="194BE94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1.0</w:t>
            </w:r>
          </w:p>
        </w:tc>
      </w:tr>
      <w:tr w14:paraId="6AAFA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29" w:type="dxa"/>
            <w:tcBorders>
              <w:tl2br w:val="nil"/>
              <w:tr2bl w:val="nil"/>
            </w:tcBorders>
            <w:shd w:val="clear" w:color="auto" w:fill="auto"/>
            <w:vAlign w:val="center"/>
          </w:tcPr>
          <w:p w14:paraId="5615F484">
            <w:pPr>
              <w:pStyle w:val="117"/>
              <w:spacing w:line="360" w:lineRule="exact"/>
              <w:ind w:firstLine="0" w:firstLine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sz w:val="21"/>
                <w:szCs w:val="21"/>
                <w:highlight w:val="none"/>
              </w:rPr>
              <w:t>5</w:t>
            </w:r>
          </w:p>
        </w:tc>
        <w:tc>
          <w:tcPr>
            <w:tcW w:w="542" w:type="dxa"/>
            <w:vMerge w:val="continue"/>
            <w:tcBorders>
              <w:tl2br w:val="nil"/>
              <w:tr2bl w:val="nil"/>
            </w:tcBorders>
            <w:vAlign w:val="center"/>
          </w:tcPr>
          <w:p w14:paraId="425E6E9C">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42" w:type="dxa"/>
            <w:tcBorders>
              <w:tl2br w:val="nil"/>
              <w:tr2bl w:val="nil"/>
            </w:tcBorders>
            <w:vAlign w:val="center"/>
          </w:tcPr>
          <w:p w14:paraId="77F3101F">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扯皮机</w:t>
            </w:r>
          </w:p>
        </w:tc>
        <w:tc>
          <w:tcPr>
            <w:tcW w:w="586" w:type="dxa"/>
            <w:tcBorders>
              <w:tl2br w:val="nil"/>
              <w:tr2bl w:val="nil"/>
            </w:tcBorders>
            <w:vAlign w:val="center"/>
          </w:tcPr>
          <w:p w14:paraId="7733B06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825" w:type="dxa"/>
            <w:tcBorders>
              <w:tl2br w:val="nil"/>
              <w:tr2bl w:val="nil"/>
            </w:tcBorders>
            <w:vAlign w:val="center"/>
          </w:tcPr>
          <w:p w14:paraId="6318682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70</w:t>
            </w:r>
          </w:p>
        </w:tc>
        <w:tc>
          <w:tcPr>
            <w:tcW w:w="690" w:type="dxa"/>
            <w:vMerge w:val="continue"/>
            <w:tcBorders>
              <w:tl2br w:val="nil"/>
              <w:tr2bl w:val="nil"/>
            </w:tcBorders>
            <w:vAlign w:val="center"/>
          </w:tcPr>
          <w:p w14:paraId="3640214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0DA4140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246.3</w:t>
            </w:r>
          </w:p>
        </w:tc>
        <w:tc>
          <w:tcPr>
            <w:tcW w:w="652" w:type="dxa"/>
            <w:tcBorders>
              <w:tl2br w:val="nil"/>
              <w:tr2bl w:val="nil"/>
            </w:tcBorders>
            <w:vAlign w:val="center"/>
          </w:tcPr>
          <w:p w14:paraId="2F64201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82</w:t>
            </w:r>
          </w:p>
        </w:tc>
        <w:tc>
          <w:tcPr>
            <w:tcW w:w="493" w:type="dxa"/>
            <w:tcBorders>
              <w:tl2br w:val="nil"/>
              <w:tr2bl w:val="nil"/>
            </w:tcBorders>
            <w:vAlign w:val="center"/>
          </w:tcPr>
          <w:p w14:paraId="2F5488E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1.5</w:t>
            </w:r>
          </w:p>
        </w:tc>
        <w:tc>
          <w:tcPr>
            <w:tcW w:w="800" w:type="dxa"/>
            <w:tcBorders>
              <w:tl2br w:val="nil"/>
              <w:tr2bl w:val="nil"/>
            </w:tcBorders>
            <w:vAlign w:val="center"/>
          </w:tcPr>
          <w:p w14:paraId="357826BF">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16.24</w:t>
            </w:r>
          </w:p>
        </w:tc>
        <w:tc>
          <w:tcPr>
            <w:tcW w:w="852" w:type="dxa"/>
            <w:tcBorders>
              <w:tl2br w:val="nil"/>
              <w:tr2bl w:val="nil"/>
            </w:tcBorders>
            <w:vAlign w:val="center"/>
          </w:tcPr>
          <w:p w14:paraId="3579DCD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45.22</w:t>
            </w:r>
          </w:p>
        </w:tc>
        <w:tc>
          <w:tcPr>
            <w:tcW w:w="636" w:type="dxa"/>
            <w:vMerge w:val="continue"/>
            <w:tcBorders>
              <w:tl2br w:val="nil"/>
              <w:tr2bl w:val="nil"/>
            </w:tcBorders>
            <w:vAlign w:val="center"/>
          </w:tcPr>
          <w:p w14:paraId="08E87D6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tcBorders>
              <w:tl2br w:val="nil"/>
              <w:tr2bl w:val="nil"/>
            </w:tcBorders>
            <w:vAlign w:val="center"/>
          </w:tcPr>
          <w:p w14:paraId="198BA9F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30</w:t>
            </w:r>
          </w:p>
        </w:tc>
        <w:tc>
          <w:tcPr>
            <w:tcW w:w="852" w:type="dxa"/>
            <w:tcBorders>
              <w:tl2br w:val="nil"/>
              <w:tr2bl w:val="nil"/>
            </w:tcBorders>
            <w:vAlign w:val="center"/>
          </w:tcPr>
          <w:p w14:paraId="31037283">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31.31</w:t>
            </w:r>
          </w:p>
        </w:tc>
        <w:tc>
          <w:tcPr>
            <w:tcW w:w="874" w:type="dxa"/>
            <w:tcBorders>
              <w:tl2br w:val="nil"/>
              <w:tr2bl w:val="nil"/>
            </w:tcBorders>
            <w:vAlign w:val="center"/>
          </w:tcPr>
          <w:p w14:paraId="0B460B4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1.0</w:t>
            </w:r>
          </w:p>
        </w:tc>
      </w:tr>
      <w:tr w14:paraId="4FE91A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29" w:type="dxa"/>
            <w:tcBorders>
              <w:tl2br w:val="nil"/>
              <w:tr2bl w:val="nil"/>
            </w:tcBorders>
            <w:shd w:val="clear" w:color="auto" w:fill="auto"/>
            <w:vAlign w:val="center"/>
          </w:tcPr>
          <w:p w14:paraId="7F7C9FE1">
            <w:pPr>
              <w:pStyle w:val="117"/>
              <w:spacing w:line="360" w:lineRule="exact"/>
              <w:ind w:firstLine="0" w:firstLine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sz w:val="21"/>
                <w:szCs w:val="21"/>
                <w:highlight w:val="none"/>
              </w:rPr>
              <w:t>6</w:t>
            </w:r>
          </w:p>
        </w:tc>
        <w:tc>
          <w:tcPr>
            <w:tcW w:w="542" w:type="dxa"/>
            <w:vMerge w:val="continue"/>
            <w:tcBorders>
              <w:tl2br w:val="nil"/>
              <w:tr2bl w:val="nil"/>
            </w:tcBorders>
            <w:vAlign w:val="center"/>
          </w:tcPr>
          <w:p w14:paraId="220581F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42" w:type="dxa"/>
            <w:tcBorders>
              <w:tl2br w:val="nil"/>
              <w:tr2bl w:val="nil"/>
            </w:tcBorders>
            <w:vAlign w:val="center"/>
          </w:tcPr>
          <w:p w14:paraId="5FF8D7A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输送机</w:t>
            </w:r>
          </w:p>
        </w:tc>
        <w:tc>
          <w:tcPr>
            <w:tcW w:w="586" w:type="dxa"/>
            <w:tcBorders>
              <w:tl2br w:val="nil"/>
              <w:tr2bl w:val="nil"/>
            </w:tcBorders>
            <w:vAlign w:val="center"/>
          </w:tcPr>
          <w:p w14:paraId="7FD33AF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825" w:type="dxa"/>
            <w:tcBorders>
              <w:tl2br w:val="nil"/>
              <w:tr2bl w:val="nil"/>
            </w:tcBorders>
            <w:vAlign w:val="center"/>
          </w:tcPr>
          <w:p w14:paraId="28ABCE4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70</w:t>
            </w:r>
          </w:p>
        </w:tc>
        <w:tc>
          <w:tcPr>
            <w:tcW w:w="690" w:type="dxa"/>
            <w:vMerge w:val="continue"/>
            <w:tcBorders>
              <w:tl2br w:val="nil"/>
              <w:tr2bl w:val="nil"/>
            </w:tcBorders>
            <w:vAlign w:val="center"/>
          </w:tcPr>
          <w:p w14:paraId="29FC22C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7A1C59B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256.3</w:t>
            </w:r>
          </w:p>
        </w:tc>
        <w:tc>
          <w:tcPr>
            <w:tcW w:w="652" w:type="dxa"/>
            <w:tcBorders>
              <w:tl2br w:val="nil"/>
              <w:tr2bl w:val="nil"/>
            </w:tcBorders>
            <w:vAlign w:val="center"/>
          </w:tcPr>
          <w:p w14:paraId="5DD8177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84.4</w:t>
            </w:r>
          </w:p>
        </w:tc>
        <w:tc>
          <w:tcPr>
            <w:tcW w:w="493" w:type="dxa"/>
            <w:tcBorders>
              <w:tl2br w:val="nil"/>
              <w:tr2bl w:val="nil"/>
            </w:tcBorders>
            <w:vAlign w:val="center"/>
          </w:tcPr>
          <w:p w14:paraId="6DE62B91">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1.3</w:t>
            </w:r>
          </w:p>
        </w:tc>
        <w:tc>
          <w:tcPr>
            <w:tcW w:w="800" w:type="dxa"/>
            <w:tcBorders>
              <w:tl2br w:val="nil"/>
              <w:tr2bl w:val="nil"/>
            </w:tcBorders>
            <w:vAlign w:val="center"/>
          </w:tcPr>
          <w:p w14:paraId="3ABD764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17.33</w:t>
            </w:r>
          </w:p>
        </w:tc>
        <w:tc>
          <w:tcPr>
            <w:tcW w:w="852" w:type="dxa"/>
            <w:tcBorders>
              <w:tl2br w:val="nil"/>
              <w:tr2bl w:val="nil"/>
            </w:tcBorders>
            <w:vAlign w:val="center"/>
          </w:tcPr>
          <w:p w14:paraId="5A65330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45.12</w:t>
            </w:r>
          </w:p>
        </w:tc>
        <w:tc>
          <w:tcPr>
            <w:tcW w:w="636" w:type="dxa"/>
            <w:vMerge w:val="continue"/>
            <w:tcBorders>
              <w:tl2br w:val="nil"/>
              <w:tr2bl w:val="nil"/>
            </w:tcBorders>
            <w:vAlign w:val="center"/>
          </w:tcPr>
          <w:p w14:paraId="7B41067C">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tcBorders>
              <w:tl2br w:val="nil"/>
              <w:tr2bl w:val="nil"/>
            </w:tcBorders>
            <w:vAlign w:val="center"/>
          </w:tcPr>
          <w:p w14:paraId="18D3EB7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30</w:t>
            </w:r>
          </w:p>
        </w:tc>
        <w:tc>
          <w:tcPr>
            <w:tcW w:w="852" w:type="dxa"/>
            <w:tcBorders>
              <w:tl2br w:val="nil"/>
              <w:tr2bl w:val="nil"/>
            </w:tcBorders>
            <w:vAlign w:val="center"/>
          </w:tcPr>
          <w:p w14:paraId="673902AD">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31.21</w:t>
            </w:r>
          </w:p>
        </w:tc>
        <w:tc>
          <w:tcPr>
            <w:tcW w:w="874" w:type="dxa"/>
            <w:tcBorders>
              <w:tl2br w:val="nil"/>
              <w:tr2bl w:val="nil"/>
            </w:tcBorders>
            <w:vAlign w:val="center"/>
          </w:tcPr>
          <w:p w14:paraId="65643FF1">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1.0</w:t>
            </w:r>
          </w:p>
        </w:tc>
      </w:tr>
      <w:tr w14:paraId="065EBE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29" w:type="dxa"/>
            <w:tcBorders>
              <w:tl2br w:val="nil"/>
              <w:tr2bl w:val="nil"/>
            </w:tcBorders>
            <w:vAlign w:val="center"/>
          </w:tcPr>
          <w:p w14:paraId="0E523D5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7</w:t>
            </w:r>
          </w:p>
        </w:tc>
        <w:tc>
          <w:tcPr>
            <w:tcW w:w="542" w:type="dxa"/>
            <w:vMerge w:val="continue"/>
            <w:tcBorders>
              <w:tl2br w:val="nil"/>
              <w:tr2bl w:val="nil"/>
            </w:tcBorders>
            <w:vAlign w:val="center"/>
          </w:tcPr>
          <w:p w14:paraId="7A675F2F">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42" w:type="dxa"/>
            <w:tcBorders>
              <w:tl2br w:val="nil"/>
              <w:tr2bl w:val="nil"/>
            </w:tcBorders>
            <w:vAlign w:val="center"/>
          </w:tcPr>
          <w:p w14:paraId="5219673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劈半锯</w:t>
            </w:r>
          </w:p>
        </w:tc>
        <w:tc>
          <w:tcPr>
            <w:tcW w:w="586" w:type="dxa"/>
            <w:tcBorders>
              <w:tl2br w:val="nil"/>
              <w:tr2bl w:val="nil"/>
            </w:tcBorders>
            <w:vAlign w:val="center"/>
          </w:tcPr>
          <w:p w14:paraId="1320138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825" w:type="dxa"/>
            <w:tcBorders>
              <w:tl2br w:val="nil"/>
              <w:tr2bl w:val="nil"/>
            </w:tcBorders>
            <w:vAlign w:val="center"/>
          </w:tcPr>
          <w:p w14:paraId="4BCB75A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70</w:t>
            </w:r>
          </w:p>
        </w:tc>
        <w:tc>
          <w:tcPr>
            <w:tcW w:w="690" w:type="dxa"/>
            <w:vMerge w:val="continue"/>
            <w:tcBorders>
              <w:tl2br w:val="nil"/>
              <w:tr2bl w:val="nil"/>
            </w:tcBorders>
            <w:vAlign w:val="center"/>
          </w:tcPr>
          <w:p w14:paraId="3737372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0C8BC8E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269.9</w:t>
            </w:r>
          </w:p>
        </w:tc>
        <w:tc>
          <w:tcPr>
            <w:tcW w:w="652" w:type="dxa"/>
            <w:tcBorders>
              <w:tl2br w:val="nil"/>
              <w:tr2bl w:val="nil"/>
            </w:tcBorders>
            <w:vAlign w:val="center"/>
          </w:tcPr>
          <w:p w14:paraId="1E8E93DF">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88.4</w:t>
            </w:r>
          </w:p>
        </w:tc>
        <w:tc>
          <w:tcPr>
            <w:tcW w:w="493" w:type="dxa"/>
            <w:tcBorders>
              <w:tl2br w:val="nil"/>
              <w:tr2bl w:val="nil"/>
            </w:tcBorders>
            <w:vAlign w:val="center"/>
          </w:tcPr>
          <w:p w14:paraId="5B1F3FC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1.3</w:t>
            </w:r>
          </w:p>
        </w:tc>
        <w:tc>
          <w:tcPr>
            <w:tcW w:w="800" w:type="dxa"/>
            <w:tcBorders>
              <w:tl2br w:val="nil"/>
              <w:tr2bl w:val="nil"/>
            </w:tcBorders>
            <w:vAlign w:val="center"/>
          </w:tcPr>
          <w:p w14:paraId="61B0CF6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17.13</w:t>
            </w:r>
          </w:p>
        </w:tc>
        <w:tc>
          <w:tcPr>
            <w:tcW w:w="852" w:type="dxa"/>
            <w:tcBorders>
              <w:tl2br w:val="nil"/>
              <w:tr2bl w:val="nil"/>
            </w:tcBorders>
            <w:vAlign w:val="center"/>
          </w:tcPr>
          <w:p w14:paraId="08806E2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45.14</w:t>
            </w:r>
          </w:p>
        </w:tc>
        <w:tc>
          <w:tcPr>
            <w:tcW w:w="636" w:type="dxa"/>
            <w:vMerge w:val="continue"/>
            <w:tcBorders>
              <w:tl2br w:val="nil"/>
              <w:tr2bl w:val="nil"/>
            </w:tcBorders>
            <w:vAlign w:val="center"/>
          </w:tcPr>
          <w:p w14:paraId="4C5C2CE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tcBorders>
              <w:tl2br w:val="nil"/>
              <w:tr2bl w:val="nil"/>
            </w:tcBorders>
            <w:vAlign w:val="center"/>
          </w:tcPr>
          <w:p w14:paraId="45B0B98F">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30</w:t>
            </w:r>
          </w:p>
        </w:tc>
        <w:tc>
          <w:tcPr>
            <w:tcW w:w="852" w:type="dxa"/>
            <w:tcBorders>
              <w:tl2br w:val="nil"/>
              <w:tr2bl w:val="nil"/>
            </w:tcBorders>
            <w:vAlign w:val="center"/>
          </w:tcPr>
          <w:p w14:paraId="1C65D3D9">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31.23</w:t>
            </w:r>
          </w:p>
        </w:tc>
        <w:tc>
          <w:tcPr>
            <w:tcW w:w="874" w:type="dxa"/>
            <w:tcBorders>
              <w:tl2br w:val="nil"/>
              <w:tr2bl w:val="nil"/>
            </w:tcBorders>
            <w:vAlign w:val="center"/>
          </w:tcPr>
          <w:p w14:paraId="0232C06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1.0</w:t>
            </w:r>
          </w:p>
        </w:tc>
      </w:tr>
      <w:tr w14:paraId="2F628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29" w:type="dxa"/>
            <w:tcBorders>
              <w:tl2br w:val="nil"/>
              <w:tr2bl w:val="nil"/>
            </w:tcBorders>
            <w:vAlign w:val="center"/>
          </w:tcPr>
          <w:p w14:paraId="52D5387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8</w:t>
            </w:r>
          </w:p>
        </w:tc>
        <w:tc>
          <w:tcPr>
            <w:tcW w:w="542" w:type="dxa"/>
            <w:vMerge w:val="continue"/>
            <w:tcBorders>
              <w:tl2br w:val="nil"/>
              <w:tr2bl w:val="nil"/>
            </w:tcBorders>
            <w:vAlign w:val="center"/>
          </w:tcPr>
          <w:p w14:paraId="2CD8EFA1">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42" w:type="dxa"/>
            <w:tcBorders>
              <w:tl2br w:val="nil"/>
              <w:tr2bl w:val="nil"/>
            </w:tcBorders>
            <w:vAlign w:val="center"/>
          </w:tcPr>
          <w:p w14:paraId="42E71C4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开胸锯</w:t>
            </w:r>
          </w:p>
        </w:tc>
        <w:tc>
          <w:tcPr>
            <w:tcW w:w="586" w:type="dxa"/>
            <w:tcBorders>
              <w:tl2br w:val="nil"/>
              <w:tr2bl w:val="nil"/>
            </w:tcBorders>
            <w:vAlign w:val="center"/>
          </w:tcPr>
          <w:p w14:paraId="333AC2E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w:t>
            </w:r>
          </w:p>
        </w:tc>
        <w:tc>
          <w:tcPr>
            <w:tcW w:w="825" w:type="dxa"/>
            <w:tcBorders>
              <w:tl2br w:val="nil"/>
              <w:tr2bl w:val="nil"/>
            </w:tcBorders>
            <w:vAlign w:val="center"/>
          </w:tcPr>
          <w:p w14:paraId="7E510B4C">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75</w:t>
            </w:r>
          </w:p>
        </w:tc>
        <w:tc>
          <w:tcPr>
            <w:tcW w:w="690" w:type="dxa"/>
            <w:vMerge w:val="continue"/>
            <w:tcBorders>
              <w:tl2br w:val="nil"/>
              <w:tr2bl w:val="nil"/>
            </w:tcBorders>
            <w:vAlign w:val="center"/>
          </w:tcPr>
          <w:p w14:paraId="5915289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577E7F55">
            <w:pPr>
              <w:pStyle w:val="117"/>
              <w:spacing w:line="360" w:lineRule="exact"/>
              <w:ind w:firstLine="0" w:firstLineChars="0"/>
              <w:jc w:val="center"/>
              <w:rPr>
                <w:rFonts w:hint="eastAsia"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263.4</w:t>
            </w:r>
          </w:p>
        </w:tc>
        <w:tc>
          <w:tcPr>
            <w:tcW w:w="652" w:type="dxa"/>
            <w:tcBorders>
              <w:tl2br w:val="nil"/>
              <w:tr2bl w:val="nil"/>
            </w:tcBorders>
            <w:vAlign w:val="center"/>
          </w:tcPr>
          <w:p w14:paraId="150B455A">
            <w:pPr>
              <w:pStyle w:val="117"/>
              <w:spacing w:line="360" w:lineRule="exact"/>
              <w:ind w:firstLine="0" w:firstLineChars="0"/>
              <w:jc w:val="center"/>
              <w:rPr>
                <w:rFonts w:hint="eastAsia"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86.9</w:t>
            </w:r>
          </w:p>
        </w:tc>
        <w:tc>
          <w:tcPr>
            <w:tcW w:w="493" w:type="dxa"/>
            <w:tcBorders>
              <w:tl2br w:val="nil"/>
              <w:tr2bl w:val="nil"/>
            </w:tcBorders>
            <w:vAlign w:val="center"/>
          </w:tcPr>
          <w:p w14:paraId="1CE08F57">
            <w:pPr>
              <w:pStyle w:val="117"/>
              <w:spacing w:line="360" w:lineRule="exact"/>
              <w:ind w:firstLine="0" w:firstLineChars="0"/>
              <w:jc w:val="center"/>
              <w:rPr>
                <w:rFonts w:hint="eastAsia"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1.5</w:t>
            </w:r>
          </w:p>
        </w:tc>
        <w:tc>
          <w:tcPr>
            <w:tcW w:w="800" w:type="dxa"/>
            <w:tcBorders>
              <w:tl2br w:val="nil"/>
              <w:tr2bl w:val="nil"/>
            </w:tcBorders>
            <w:vAlign w:val="center"/>
          </w:tcPr>
          <w:p w14:paraId="77555F70">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17.33</w:t>
            </w:r>
          </w:p>
        </w:tc>
        <w:tc>
          <w:tcPr>
            <w:tcW w:w="852" w:type="dxa"/>
            <w:tcBorders>
              <w:tl2br w:val="nil"/>
              <w:tr2bl w:val="nil"/>
            </w:tcBorders>
            <w:vAlign w:val="center"/>
          </w:tcPr>
          <w:p w14:paraId="5517B9C5">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50.12</w:t>
            </w:r>
          </w:p>
        </w:tc>
        <w:tc>
          <w:tcPr>
            <w:tcW w:w="636" w:type="dxa"/>
            <w:vMerge w:val="continue"/>
            <w:tcBorders>
              <w:tl2br w:val="nil"/>
              <w:tr2bl w:val="nil"/>
            </w:tcBorders>
            <w:vAlign w:val="center"/>
          </w:tcPr>
          <w:p w14:paraId="504EAB3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tcBorders>
              <w:tl2br w:val="nil"/>
              <w:tr2bl w:val="nil"/>
            </w:tcBorders>
            <w:vAlign w:val="center"/>
          </w:tcPr>
          <w:p w14:paraId="057EE96D">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30</w:t>
            </w:r>
          </w:p>
        </w:tc>
        <w:tc>
          <w:tcPr>
            <w:tcW w:w="852" w:type="dxa"/>
            <w:tcBorders>
              <w:tl2br w:val="nil"/>
              <w:tr2bl w:val="nil"/>
            </w:tcBorders>
            <w:vAlign w:val="center"/>
          </w:tcPr>
          <w:p w14:paraId="4037940A">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36.21</w:t>
            </w:r>
          </w:p>
        </w:tc>
        <w:tc>
          <w:tcPr>
            <w:tcW w:w="874" w:type="dxa"/>
            <w:tcBorders>
              <w:tl2br w:val="nil"/>
              <w:tr2bl w:val="nil"/>
            </w:tcBorders>
            <w:vAlign w:val="center"/>
          </w:tcPr>
          <w:p w14:paraId="744BAF45">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1.0</w:t>
            </w:r>
          </w:p>
        </w:tc>
      </w:tr>
      <w:tr w14:paraId="218E15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29" w:type="dxa"/>
            <w:tcBorders>
              <w:tl2br w:val="nil"/>
              <w:tr2bl w:val="nil"/>
            </w:tcBorders>
            <w:vAlign w:val="center"/>
          </w:tcPr>
          <w:p w14:paraId="45FABDFF">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9</w:t>
            </w:r>
          </w:p>
        </w:tc>
        <w:tc>
          <w:tcPr>
            <w:tcW w:w="542" w:type="dxa"/>
            <w:vMerge w:val="continue"/>
            <w:tcBorders>
              <w:tl2br w:val="nil"/>
              <w:tr2bl w:val="nil"/>
            </w:tcBorders>
            <w:vAlign w:val="center"/>
          </w:tcPr>
          <w:p w14:paraId="443158C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42" w:type="dxa"/>
            <w:tcBorders>
              <w:tl2br w:val="nil"/>
              <w:tr2bl w:val="nil"/>
            </w:tcBorders>
            <w:vAlign w:val="center"/>
          </w:tcPr>
          <w:p w14:paraId="490095DC">
            <w:pPr>
              <w:pStyle w:val="117"/>
              <w:spacing w:line="360" w:lineRule="exact"/>
              <w:ind w:firstLine="0" w:firstLineChars="0"/>
              <w:jc w:val="center"/>
              <w:rPr>
                <w:rFonts w:hint="default"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启动升降台</w:t>
            </w:r>
          </w:p>
        </w:tc>
        <w:tc>
          <w:tcPr>
            <w:tcW w:w="586" w:type="dxa"/>
            <w:tcBorders>
              <w:tl2br w:val="nil"/>
              <w:tr2bl w:val="nil"/>
            </w:tcBorders>
            <w:vAlign w:val="center"/>
          </w:tcPr>
          <w:p w14:paraId="6CD1828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w:t>
            </w:r>
          </w:p>
        </w:tc>
        <w:tc>
          <w:tcPr>
            <w:tcW w:w="825" w:type="dxa"/>
            <w:tcBorders>
              <w:tl2br w:val="nil"/>
              <w:tr2bl w:val="nil"/>
            </w:tcBorders>
            <w:vAlign w:val="center"/>
          </w:tcPr>
          <w:p w14:paraId="12316595">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75</w:t>
            </w:r>
          </w:p>
        </w:tc>
        <w:tc>
          <w:tcPr>
            <w:tcW w:w="690" w:type="dxa"/>
            <w:vMerge w:val="continue"/>
            <w:tcBorders>
              <w:tl2br w:val="nil"/>
              <w:tr2bl w:val="nil"/>
            </w:tcBorders>
            <w:vAlign w:val="center"/>
          </w:tcPr>
          <w:p w14:paraId="601B552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7815DDD5">
            <w:pPr>
              <w:pStyle w:val="117"/>
              <w:spacing w:line="360" w:lineRule="exact"/>
              <w:ind w:firstLine="0" w:firstLineChars="0"/>
              <w:jc w:val="center"/>
              <w:rPr>
                <w:rFonts w:hint="eastAsia"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258.1</w:t>
            </w:r>
          </w:p>
        </w:tc>
        <w:tc>
          <w:tcPr>
            <w:tcW w:w="652" w:type="dxa"/>
            <w:tcBorders>
              <w:tl2br w:val="nil"/>
              <w:tr2bl w:val="nil"/>
            </w:tcBorders>
            <w:vAlign w:val="center"/>
          </w:tcPr>
          <w:p w14:paraId="625F0741">
            <w:pPr>
              <w:pStyle w:val="117"/>
              <w:spacing w:line="360" w:lineRule="exact"/>
              <w:ind w:firstLine="0" w:firstLineChars="0"/>
              <w:jc w:val="center"/>
              <w:rPr>
                <w:rFonts w:hint="eastAsia"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92.1</w:t>
            </w:r>
          </w:p>
        </w:tc>
        <w:tc>
          <w:tcPr>
            <w:tcW w:w="493" w:type="dxa"/>
            <w:tcBorders>
              <w:tl2br w:val="nil"/>
              <w:tr2bl w:val="nil"/>
            </w:tcBorders>
            <w:vAlign w:val="center"/>
          </w:tcPr>
          <w:p w14:paraId="1F73CF01">
            <w:pPr>
              <w:pStyle w:val="117"/>
              <w:spacing w:line="360" w:lineRule="exact"/>
              <w:ind w:firstLine="0" w:firstLineChars="0"/>
              <w:jc w:val="center"/>
              <w:rPr>
                <w:rFonts w:hint="eastAsia"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1.2</w:t>
            </w:r>
          </w:p>
        </w:tc>
        <w:tc>
          <w:tcPr>
            <w:tcW w:w="800" w:type="dxa"/>
            <w:tcBorders>
              <w:tl2br w:val="nil"/>
              <w:tr2bl w:val="nil"/>
            </w:tcBorders>
            <w:vAlign w:val="center"/>
          </w:tcPr>
          <w:p w14:paraId="51E5A339">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10.66</w:t>
            </w:r>
          </w:p>
        </w:tc>
        <w:tc>
          <w:tcPr>
            <w:tcW w:w="852" w:type="dxa"/>
            <w:tcBorders>
              <w:tl2br w:val="nil"/>
              <w:tr2bl w:val="nil"/>
            </w:tcBorders>
            <w:vAlign w:val="center"/>
          </w:tcPr>
          <w:p w14:paraId="2027B5EE">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51.15</w:t>
            </w:r>
          </w:p>
        </w:tc>
        <w:tc>
          <w:tcPr>
            <w:tcW w:w="636" w:type="dxa"/>
            <w:vMerge w:val="continue"/>
            <w:tcBorders>
              <w:tl2br w:val="nil"/>
              <w:tr2bl w:val="nil"/>
            </w:tcBorders>
            <w:vAlign w:val="center"/>
          </w:tcPr>
          <w:p w14:paraId="5A5F9FA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tcBorders>
              <w:tl2br w:val="nil"/>
              <w:tr2bl w:val="nil"/>
            </w:tcBorders>
            <w:vAlign w:val="center"/>
          </w:tcPr>
          <w:p w14:paraId="7637A9F4">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30</w:t>
            </w:r>
          </w:p>
        </w:tc>
        <w:tc>
          <w:tcPr>
            <w:tcW w:w="852" w:type="dxa"/>
            <w:tcBorders>
              <w:tl2br w:val="nil"/>
              <w:tr2bl w:val="nil"/>
            </w:tcBorders>
            <w:vAlign w:val="center"/>
          </w:tcPr>
          <w:p w14:paraId="6CCB73F0">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37.24</w:t>
            </w:r>
          </w:p>
        </w:tc>
        <w:tc>
          <w:tcPr>
            <w:tcW w:w="874" w:type="dxa"/>
            <w:tcBorders>
              <w:tl2br w:val="nil"/>
              <w:tr2bl w:val="nil"/>
            </w:tcBorders>
            <w:vAlign w:val="center"/>
          </w:tcPr>
          <w:p w14:paraId="72480BFF">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1.0</w:t>
            </w:r>
          </w:p>
        </w:tc>
      </w:tr>
      <w:tr w14:paraId="6405D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5" w:hRule="atLeast"/>
          <w:jc w:val="center"/>
        </w:trPr>
        <w:tc>
          <w:tcPr>
            <w:tcW w:w="429" w:type="dxa"/>
            <w:tcBorders>
              <w:tl2br w:val="nil"/>
              <w:tr2bl w:val="nil"/>
            </w:tcBorders>
            <w:vAlign w:val="center"/>
          </w:tcPr>
          <w:p w14:paraId="2A0703E3">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10</w:t>
            </w:r>
          </w:p>
        </w:tc>
        <w:tc>
          <w:tcPr>
            <w:tcW w:w="542" w:type="dxa"/>
            <w:tcBorders>
              <w:tl2br w:val="nil"/>
              <w:tr2bl w:val="nil"/>
            </w:tcBorders>
            <w:vAlign w:val="center"/>
          </w:tcPr>
          <w:p w14:paraId="0C90673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制冷机房</w:t>
            </w:r>
          </w:p>
        </w:tc>
        <w:tc>
          <w:tcPr>
            <w:tcW w:w="842" w:type="dxa"/>
            <w:tcBorders>
              <w:tl2br w:val="nil"/>
              <w:tr2bl w:val="nil"/>
            </w:tcBorders>
            <w:vAlign w:val="center"/>
          </w:tcPr>
          <w:p w14:paraId="50DB65C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压缩机</w:t>
            </w:r>
          </w:p>
        </w:tc>
        <w:tc>
          <w:tcPr>
            <w:tcW w:w="586" w:type="dxa"/>
            <w:tcBorders>
              <w:tl2br w:val="nil"/>
              <w:tr2bl w:val="nil"/>
            </w:tcBorders>
            <w:vAlign w:val="center"/>
          </w:tcPr>
          <w:p w14:paraId="26A1636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825" w:type="dxa"/>
            <w:tcBorders>
              <w:tl2br w:val="nil"/>
              <w:tr2bl w:val="nil"/>
            </w:tcBorders>
            <w:vAlign w:val="center"/>
          </w:tcPr>
          <w:p w14:paraId="18059B9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95</w:t>
            </w:r>
          </w:p>
        </w:tc>
        <w:tc>
          <w:tcPr>
            <w:tcW w:w="690" w:type="dxa"/>
            <w:tcBorders>
              <w:tl2br w:val="nil"/>
              <w:tr2bl w:val="nil"/>
            </w:tcBorders>
            <w:vAlign w:val="center"/>
          </w:tcPr>
          <w:p w14:paraId="3AC7ACC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厂房隔声、基础减震</w:t>
            </w:r>
          </w:p>
        </w:tc>
        <w:tc>
          <w:tcPr>
            <w:tcW w:w="689" w:type="dxa"/>
            <w:tcBorders>
              <w:tl2br w:val="nil"/>
              <w:tr2bl w:val="nil"/>
            </w:tcBorders>
            <w:vAlign w:val="center"/>
          </w:tcPr>
          <w:p w14:paraId="2A4CCFB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303.7</w:t>
            </w:r>
          </w:p>
        </w:tc>
        <w:tc>
          <w:tcPr>
            <w:tcW w:w="652" w:type="dxa"/>
            <w:tcBorders>
              <w:tl2br w:val="nil"/>
              <w:tr2bl w:val="nil"/>
            </w:tcBorders>
            <w:vAlign w:val="center"/>
          </w:tcPr>
          <w:p w14:paraId="7C93537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95.1</w:t>
            </w:r>
          </w:p>
        </w:tc>
        <w:tc>
          <w:tcPr>
            <w:tcW w:w="493" w:type="dxa"/>
            <w:tcBorders>
              <w:tl2br w:val="nil"/>
              <w:tr2bl w:val="nil"/>
            </w:tcBorders>
            <w:vAlign w:val="center"/>
          </w:tcPr>
          <w:p w14:paraId="20BC1E47">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eastAsia="宋体" w:cs="Times New Roman"/>
                <w:snapToGrid w:val="0"/>
                <w:color w:val="auto"/>
                <w:sz w:val="21"/>
                <w:szCs w:val="21"/>
                <w:highlight w:val="none"/>
                <w:lang w:val="en-US" w:eastAsia="zh-CN"/>
              </w:rPr>
              <w:t>1.0</w:t>
            </w:r>
          </w:p>
        </w:tc>
        <w:tc>
          <w:tcPr>
            <w:tcW w:w="800" w:type="dxa"/>
            <w:tcBorders>
              <w:tl2br w:val="nil"/>
              <w:tr2bl w:val="nil"/>
            </w:tcBorders>
            <w:vAlign w:val="center"/>
          </w:tcPr>
          <w:p w14:paraId="2920242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23.13</w:t>
            </w:r>
          </w:p>
        </w:tc>
        <w:tc>
          <w:tcPr>
            <w:tcW w:w="852" w:type="dxa"/>
            <w:tcBorders>
              <w:tl2br w:val="nil"/>
              <w:tr2bl w:val="nil"/>
            </w:tcBorders>
            <w:vAlign w:val="center"/>
          </w:tcPr>
          <w:p w14:paraId="17D86B18">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69.8</w:t>
            </w:r>
          </w:p>
        </w:tc>
        <w:tc>
          <w:tcPr>
            <w:tcW w:w="636" w:type="dxa"/>
            <w:tcBorders>
              <w:tl2br w:val="nil"/>
              <w:tr2bl w:val="nil"/>
            </w:tcBorders>
            <w:vAlign w:val="center"/>
          </w:tcPr>
          <w:p w14:paraId="46C76714">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昼间、夜间</w:t>
            </w:r>
          </w:p>
        </w:tc>
        <w:tc>
          <w:tcPr>
            <w:tcW w:w="791" w:type="dxa"/>
            <w:tcBorders>
              <w:tl2br w:val="nil"/>
              <w:tr2bl w:val="nil"/>
            </w:tcBorders>
            <w:vAlign w:val="center"/>
          </w:tcPr>
          <w:p w14:paraId="7785F6BC">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lang w:eastAsia="zh-CN"/>
              </w:rPr>
            </w:pPr>
            <w:r>
              <w:rPr>
                <w:rFonts w:hint="eastAsia" w:ascii="Times New Roman" w:hAnsi="Times New Roman" w:eastAsia="宋体" w:cs="Times New Roman"/>
                <w:snapToGrid w:val="0"/>
                <w:color w:val="auto"/>
                <w:sz w:val="21"/>
                <w:szCs w:val="21"/>
                <w:highlight w:val="none"/>
              </w:rPr>
              <w:t>3</w:t>
            </w:r>
            <w:r>
              <w:rPr>
                <w:rFonts w:hint="eastAsia" w:ascii="Times New Roman" w:hAnsi="Times New Roman" w:eastAsia="宋体" w:cs="Times New Roman"/>
                <w:snapToGrid w:val="0"/>
                <w:color w:val="auto"/>
                <w:sz w:val="21"/>
                <w:szCs w:val="21"/>
                <w:highlight w:val="none"/>
                <w:lang w:val="en-US" w:eastAsia="zh-CN"/>
              </w:rPr>
              <w:t>0</w:t>
            </w:r>
          </w:p>
        </w:tc>
        <w:tc>
          <w:tcPr>
            <w:tcW w:w="852" w:type="dxa"/>
            <w:tcBorders>
              <w:tl2br w:val="nil"/>
              <w:tr2bl w:val="nil"/>
            </w:tcBorders>
            <w:vAlign w:val="center"/>
          </w:tcPr>
          <w:p w14:paraId="34DE2C3A">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55.89</w:t>
            </w:r>
          </w:p>
        </w:tc>
        <w:tc>
          <w:tcPr>
            <w:tcW w:w="874" w:type="dxa"/>
            <w:tcBorders>
              <w:tl2br w:val="nil"/>
              <w:tr2bl w:val="nil"/>
            </w:tcBorders>
            <w:vAlign w:val="center"/>
          </w:tcPr>
          <w:p w14:paraId="26DD2AE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1.0</w:t>
            </w:r>
          </w:p>
        </w:tc>
      </w:tr>
      <w:tr w14:paraId="3BEE7B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429" w:type="dxa"/>
            <w:tcBorders>
              <w:tl2br w:val="nil"/>
              <w:tr2bl w:val="nil"/>
            </w:tcBorders>
            <w:vAlign w:val="center"/>
          </w:tcPr>
          <w:p w14:paraId="345142D4">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11</w:t>
            </w:r>
          </w:p>
        </w:tc>
        <w:tc>
          <w:tcPr>
            <w:tcW w:w="542" w:type="dxa"/>
            <w:vMerge w:val="restart"/>
            <w:tcBorders>
              <w:tl2br w:val="nil"/>
              <w:tr2bl w:val="nil"/>
            </w:tcBorders>
            <w:vAlign w:val="center"/>
          </w:tcPr>
          <w:p w14:paraId="2A99173C">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污水处理</w:t>
            </w:r>
          </w:p>
        </w:tc>
        <w:tc>
          <w:tcPr>
            <w:tcW w:w="842" w:type="dxa"/>
            <w:tcBorders>
              <w:tl2br w:val="nil"/>
              <w:tr2bl w:val="nil"/>
            </w:tcBorders>
            <w:vAlign w:val="center"/>
          </w:tcPr>
          <w:p w14:paraId="02956E6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风机</w:t>
            </w:r>
          </w:p>
        </w:tc>
        <w:tc>
          <w:tcPr>
            <w:tcW w:w="586" w:type="dxa"/>
            <w:tcBorders>
              <w:tl2br w:val="nil"/>
              <w:tr2bl w:val="nil"/>
            </w:tcBorders>
            <w:vAlign w:val="center"/>
          </w:tcPr>
          <w:p w14:paraId="4CB8816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825" w:type="dxa"/>
            <w:tcBorders>
              <w:tl2br w:val="nil"/>
              <w:tr2bl w:val="nil"/>
            </w:tcBorders>
            <w:vAlign w:val="center"/>
          </w:tcPr>
          <w:p w14:paraId="1BEBCE7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80</w:t>
            </w:r>
          </w:p>
        </w:tc>
        <w:tc>
          <w:tcPr>
            <w:tcW w:w="690" w:type="dxa"/>
            <w:vMerge w:val="restart"/>
            <w:tcBorders>
              <w:tl2br w:val="nil"/>
              <w:tr2bl w:val="nil"/>
            </w:tcBorders>
            <w:vAlign w:val="center"/>
          </w:tcPr>
          <w:p w14:paraId="6079900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厂房隔声、基础减震</w:t>
            </w:r>
          </w:p>
        </w:tc>
        <w:tc>
          <w:tcPr>
            <w:tcW w:w="689" w:type="dxa"/>
            <w:tcBorders>
              <w:tl2br w:val="nil"/>
              <w:tr2bl w:val="nil"/>
            </w:tcBorders>
            <w:vAlign w:val="center"/>
          </w:tcPr>
          <w:p w14:paraId="701CAAB9">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317.1</w:t>
            </w:r>
          </w:p>
        </w:tc>
        <w:tc>
          <w:tcPr>
            <w:tcW w:w="652" w:type="dxa"/>
            <w:tcBorders>
              <w:tl2br w:val="nil"/>
              <w:tr2bl w:val="nil"/>
            </w:tcBorders>
            <w:vAlign w:val="center"/>
          </w:tcPr>
          <w:p w14:paraId="4F1F909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87.5</w:t>
            </w:r>
          </w:p>
        </w:tc>
        <w:tc>
          <w:tcPr>
            <w:tcW w:w="493" w:type="dxa"/>
            <w:tcBorders>
              <w:tl2br w:val="nil"/>
              <w:tr2bl w:val="nil"/>
            </w:tcBorders>
            <w:vAlign w:val="center"/>
          </w:tcPr>
          <w:p w14:paraId="6D5E60E7">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eastAsia="宋体" w:cs="Times New Roman"/>
                <w:snapToGrid w:val="0"/>
                <w:color w:val="auto"/>
                <w:sz w:val="21"/>
                <w:szCs w:val="21"/>
                <w:highlight w:val="none"/>
                <w:lang w:val="en-US" w:eastAsia="zh-CN"/>
              </w:rPr>
              <w:t>1.0</w:t>
            </w:r>
          </w:p>
        </w:tc>
        <w:tc>
          <w:tcPr>
            <w:tcW w:w="800" w:type="dxa"/>
            <w:tcBorders>
              <w:tl2br w:val="nil"/>
              <w:tr2bl w:val="nil"/>
            </w:tcBorders>
            <w:vAlign w:val="center"/>
          </w:tcPr>
          <w:p w14:paraId="1DC5BD1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0.92</w:t>
            </w:r>
          </w:p>
        </w:tc>
        <w:tc>
          <w:tcPr>
            <w:tcW w:w="852" w:type="dxa"/>
            <w:tcBorders>
              <w:tl2br w:val="nil"/>
              <w:tr2bl w:val="nil"/>
            </w:tcBorders>
            <w:vAlign w:val="center"/>
          </w:tcPr>
          <w:p w14:paraId="4654131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73.65</w:t>
            </w:r>
          </w:p>
        </w:tc>
        <w:tc>
          <w:tcPr>
            <w:tcW w:w="636" w:type="dxa"/>
            <w:vMerge w:val="restart"/>
            <w:tcBorders>
              <w:tl2br w:val="nil"/>
              <w:tr2bl w:val="nil"/>
            </w:tcBorders>
            <w:vAlign w:val="center"/>
          </w:tcPr>
          <w:p w14:paraId="18AC4A9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昼间、夜间</w:t>
            </w:r>
          </w:p>
        </w:tc>
        <w:tc>
          <w:tcPr>
            <w:tcW w:w="791" w:type="dxa"/>
            <w:tcBorders>
              <w:tl2br w:val="nil"/>
              <w:tr2bl w:val="nil"/>
            </w:tcBorders>
            <w:vAlign w:val="center"/>
          </w:tcPr>
          <w:p w14:paraId="0069640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25</w:t>
            </w:r>
          </w:p>
        </w:tc>
        <w:tc>
          <w:tcPr>
            <w:tcW w:w="852" w:type="dxa"/>
            <w:tcBorders>
              <w:tl2br w:val="nil"/>
              <w:tr2bl w:val="nil"/>
            </w:tcBorders>
            <w:vAlign w:val="center"/>
          </w:tcPr>
          <w:p w14:paraId="12CD39C1">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55.06</w:t>
            </w:r>
          </w:p>
        </w:tc>
        <w:tc>
          <w:tcPr>
            <w:tcW w:w="874" w:type="dxa"/>
            <w:tcBorders>
              <w:tl2br w:val="nil"/>
              <w:tr2bl w:val="nil"/>
            </w:tcBorders>
            <w:vAlign w:val="center"/>
          </w:tcPr>
          <w:p w14:paraId="27C1533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1.0</w:t>
            </w:r>
          </w:p>
        </w:tc>
      </w:tr>
      <w:tr w14:paraId="5F4E85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6" w:hRule="atLeast"/>
          <w:jc w:val="center"/>
        </w:trPr>
        <w:tc>
          <w:tcPr>
            <w:tcW w:w="429" w:type="dxa"/>
            <w:tcBorders>
              <w:tl2br w:val="nil"/>
              <w:tr2bl w:val="nil"/>
            </w:tcBorders>
            <w:vAlign w:val="center"/>
          </w:tcPr>
          <w:p w14:paraId="219B62D0">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12</w:t>
            </w:r>
          </w:p>
        </w:tc>
        <w:tc>
          <w:tcPr>
            <w:tcW w:w="542" w:type="dxa"/>
            <w:vMerge w:val="continue"/>
            <w:tcBorders>
              <w:tl2br w:val="nil"/>
              <w:tr2bl w:val="nil"/>
            </w:tcBorders>
            <w:vAlign w:val="center"/>
          </w:tcPr>
          <w:p w14:paraId="13858AB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842" w:type="dxa"/>
            <w:tcBorders>
              <w:tl2br w:val="nil"/>
              <w:tr2bl w:val="nil"/>
            </w:tcBorders>
            <w:vAlign w:val="center"/>
          </w:tcPr>
          <w:p w14:paraId="7C4A61DE">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泵类</w:t>
            </w:r>
          </w:p>
        </w:tc>
        <w:tc>
          <w:tcPr>
            <w:tcW w:w="586" w:type="dxa"/>
            <w:tcBorders>
              <w:tl2br w:val="nil"/>
              <w:tr2bl w:val="nil"/>
            </w:tcBorders>
            <w:vAlign w:val="center"/>
          </w:tcPr>
          <w:p w14:paraId="748A20E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825" w:type="dxa"/>
            <w:tcBorders>
              <w:tl2br w:val="nil"/>
              <w:tr2bl w:val="nil"/>
            </w:tcBorders>
            <w:vAlign w:val="center"/>
          </w:tcPr>
          <w:p w14:paraId="65B0F922">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75</w:t>
            </w:r>
          </w:p>
        </w:tc>
        <w:tc>
          <w:tcPr>
            <w:tcW w:w="690" w:type="dxa"/>
            <w:vMerge w:val="continue"/>
            <w:tcBorders>
              <w:tl2br w:val="nil"/>
              <w:tr2bl w:val="nil"/>
            </w:tcBorders>
            <w:vAlign w:val="center"/>
          </w:tcPr>
          <w:p w14:paraId="4D26EBC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689" w:type="dxa"/>
            <w:tcBorders>
              <w:tl2br w:val="nil"/>
              <w:tr2bl w:val="nil"/>
            </w:tcBorders>
            <w:vAlign w:val="center"/>
          </w:tcPr>
          <w:p w14:paraId="42336C9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318.7</w:t>
            </w:r>
          </w:p>
        </w:tc>
        <w:tc>
          <w:tcPr>
            <w:tcW w:w="652" w:type="dxa"/>
            <w:tcBorders>
              <w:tl2br w:val="nil"/>
              <w:tr2bl w:val="nil"/>
            </w:tcBorders>
            <w:vAlign w:val="center"/>
          </w:tcPr>
          <w:p w14:paraId="61A84ED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82.6</w:t>
            </w:r>
          </w:p>
        </w:tc>
        <w:tc>
          <w:tcPr>
            <w:tcW w:w="493" w:type="dxa"/>
            <w:tcBorders>
              <w:tl2br w:val="nil"/>
              <w:tr2bl w:val="nil"/>
            </w:tcBorders>
            <w:vAlign w:val="center"/>
          </w:tcPr>
          <w:p w14:paraId="1B379176">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0.5</w:t>
            </w:r>
          </w:p>
        </w:tc>
        <w:tc>
          <w:tcPr>
            <w:tcW w:w="800" w:type="dxa"/>
            <w:tcBorders>
              <w:tl2br w:val="nil"/>
              <w:tr2bl w:val="nil"/>
            </w:tcBorders>
            <w:vAlign w:val="center"/>
          </w:tcPr>
          <w:p w14:paraId="0A26864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6.02</w:t>
            </w:r>
          </w:p>
        </w:tc>
        <w:tc>
          <w:tcPr>
            <w:tcW w:w="852" w:type="dxa"/>
            <w:tcBorders>
              <w:tl2br w:val="nil"/>
              <w:tr2bl w:val="nil"/>
            </w:tcBorders>
            <w:vAlign w:val="center"/>
          </w:tcPr>
          <w:p w14:paraId="090056F0">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61.7</w:t>
            </w:r>
          </w:p>
        </w:tc>
        <w:tc>
          <w:tcPr>
            <w:tcW w:w="636" w:type="dxa"/>
            <w:vMerge w:val="continue"/>
            <w:tcBorders>
              <w:tl2br w:val="nil"/>
              <w:tr2bl w:val="nil"/>
            </w:tcBorders>
            <w:vAlign w:val="center"/>
          </w:tcPr>
          <w:p w14:paraId="2D2A1EE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c>
          <w:tcPr>
            <w:tcW w:w="791" w:type="dxa"/>
            <w:tcBorders>
              <w:tl2br w:val="nil"/>
              <w:tr2bl w:val="nil"/>
            </w:tcBorders>
            <w:vAlign w:val="center"/>
          </w:tcPr>
          <w:p w14:paraId="7473A1A2">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25</w:t>
            </w:r>
          </w:p>
        </w:tc>
        <w:tc>
          <w:tcPr>
            <w:tcW w:w="852" w:type="dxa"/>
            <w:tcBorders>
              <w:tl2br w:val="nil"/>
              <w:tr2bl w:val="nil"/>
            </w:tcBorders>
            <w:vAlign w:val="center"/>
          </w:tcPr>
          <w:p w14:paraId="5CDD6DC4">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43.11</w:t>
            </w:r>
          </w:p>
        </w:tc>
        <w:tc>
          <w:tcPr>
            <w:tcW w:w="874" w:type="dxa"/>
            <w:tcBorders>
              <w:tl2br w:val="nil"/>
              <w:tr2bl w:val="nil"/>
            </w:tcBorders>
            <w:vAlign w:val="center"/>
          </w:tcPr>
          <w:p w14:paraId="55F206C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1.0</w:t>
            </w:r>
          </w:p>
        </w:tc>
      </w:tr>
    </w:tbl>
    <w:p w14:paraId="631255B8">
      <w:pPr>
        <w:pStyle w:val="3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注：</w:t>
      </w:r>
      <w:r>
        <w:rPr>
          <w:rFonts w:hint="default" w:ascii="Times New Roman" w:hAnsi="Times New Roman" w:eastAsia="宋体" w:cs="Times New Roman"/>
          <w:color w:val="auto"/>
          <w:sz w:val="21"/>
          <w:szCs w:val="21"/>
          <w:highlight w:val="none"/>
          <w:lang w:val="en-US" w:eastAsia="zh-CN"/>
        </w:rPr>
        <w:t>①</w:t>
      </w:r>
      <w:r>
        <w:rPr>
          <w:rFonts w:hint="eastAsia" w:ascii="Times New Roman" w:hAnsi="Times New Roman" w:eastAsia="宋体" w:cs="Times New Roman"/>
          <w:color w:val="auto"/>
          <w:sz w:val="21"/>
          <w:szCs w:val="21"/>
          <w:highlight w:val="none"/>
          <w:lang w:val="en-US" w:eastAsia="zh-CN"/>
        </w:rPr>
        <w:t>生产车间门、窗、墙等围护结构的隔声量为30dB(A)；制冷机房门、窗、墙等围护结构的隔声量为35dB(A)；污水处理间门、窗、墙等围护结构的隔声量为25dB(A)；</w:t>
      </w:r>
    </w:p>
    <w:p w14:paraId="02F19AA9">
      <w:pPr>
        <w:pStyle w:val="38"/>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w:t>
      </w:r>
      <w:r>
        <w:rPr>
          <w:rFonts w:hint="eastAsia" w:ascii="Times New Roman" w:hAnsi="Times New Roman" w:eastAsia="宋体" w:cs="Times New Roman"/>
          <w:color w:val="auto"/>
          <w:sz w:val="21"/>
          <w:szCs w:val="21"/>
          <w:highlight w:val="none"/>
          <w:lang w:val="en-US" w:eastAsia="zh-CN"/>
        </w:rPr>
        <w:t>室内平均吸声系数为0.1468。</w:t>
      </w:r>
    </w:p>
    <w:p w14:paraId="63E72E87">
      <w:pPr>
        <w:spacing w:before="163" w:beforeLines="50" w:line="240" w:lineRule="auto"/>
        <w:ind w:firstLine="0" w:firstLineChars="0"/>
        <w:jc w:val="center"/>
        <w:rPr>
          <w:rFonts w:hint="eastAsia" w:ascii="Times New Roman" w:hAnsi="Times New Roman" w:eastAsia="宋体" w:cs="Times New Roman"/>
          <w:b/>
          <w:color w:val="auto"/>
          <w:szCs w:val="24"/>
          <w:highlight w:val="none"/>
        </w:rPr>
      </w:pPr>
      <w:r>
        <w:rPr>
          <w:rFonts w:hint="eastAsia" w:ascii="Times New Roman" w:hAnsi="Times New Roman" w:eastAsia="宋体" w:cs="Times New Roman"/>
          <w:b/>
          <w:color w:val="auto"/>
          <w:szCs w:val="24"/>
          <w:highlight w:val="none"/>
        </w:rPr>
        <w:t>表</w:t>
      </w:r>
      <w:r>
        <w:rPr>
          <w:rFonts w:hint="eastAsia" w:ascii="Times New Roman" w:hAnsi="Times New Roman" w:eastAsia="宋体" w:cs="Times New Roman"/>
          <w:b/>
          <w:color w:val="auto"/>
          <w:szCs w:val="24"/>
          <w:highlight w:val="none"/>
          <w:lang w:val="en-US" w:eastAsia="zh-CN"/>
        </w:rPr>
        <w:t>3-4-13</w:t>
      </w:r>
      <w:r>
        <w:rPr>
          <w:rFonts w:hint="eastAsia" w:ascii="Times New Roman" w:hAnsi="Times New Roman" w:eastAsia="宋体" w:cs="Times New Roman"/>
          <w:b/>
          <w:color w:val="auto"/>
          <w:szCs w:val="24"/>
          <w:highlight w:val="none"/>
        </w:rPr>
        <w:t xml:space="preserve">  工业企业噪声源强调查清单（室外声源）</w:t>
      </w:r>
    </w:p>
    <w:tbl>
      <w:tblPr>
        <w:tblStyle w:val="47"/>
        <w:tblW w:w="84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896"/>
        <w:gridCol w:w="459"/>
        <w:gridCol w:w="769"/>
        <w:gridCol w:w="853"/>
        <w:gridCol w:w="696"/>
        <w:gridCol w:w="931"/>
        <w:gridCol w:w="795"/>
        <w:gridCol w:w="855"/>
        <w:gridCol w:w="947"/>
        <w:gridCol w:w="650"/>
      </w:tblGrid>
      <w:tr w14:paraId="2AE7B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9" w:type="dxa"/>
            <w:vMerge w:val="restart"/>
            <w:noWrap w:val="0"/>
            <w:vAlign w:val="center"/>
          </w:tcPr>
          <w:p w14:paraId="6E27528A">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序号</w:t>
            </w:r>
          </w:p>
        </w:tc>
        <w:tc>
          <w:tcPr>
            <w:tcW w:w="896" w:type="dxa"/>
            <w:vMerge w:val="restart"/>
            <w:noWrap w:val="0"/>
            <w:vAlign w:val="center"/>
          </w:tcPr>
          <w:p w14:paraId="265F4153">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声源名称</w:t>
            </w:r>
          </w:p>
        </w:tc>
        <w:tc>
          <w:tcPr>
            <w:tcW w:w="459" w:type="dxa"/>
            <w:vMerge w:val="restart"/>
            <w:noWrap w:val="0"/>
            <w:vAlign w:val="center"/>
          </w:tcPr>
          <w:p w14:paraId="4503A99E">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型号</w:t>
            </w:r>
          </w:p>
        </w:tc>
        <w:tc>
          <w:tcPr>
            <w:tcW w:w="2318" w:type="dxa"/>
            <w:gridSpan w:val="3"/>
            <w:noWrap w:val="0"/>
            <w:vAlign w:val="center"/>
          </w:tcPr>
          <w:p w14:paraId="287BCACD">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空间相对位置/m</w:t>
            </w:r>
          </w:p>
        </w:tc>
        <w:tc>
          <w:tcPr>
            <w:tcW w:w="931" w:type="dxa"/>
            <w:noWrap w:val="0"/>
            <w:vAlign w:val="center"/>
          </w:tcPr>
          <w:p w14:paraId="26439196">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产生声源源强</w:t>
            </w:r>
          </w:p>
        </w:tc>
        <w:tc>
          <w:tcPr>
            <w:tcW w:w="795" w:type="dxa"/>
            <w:vMerge w:val="restart"/>
            <w:noWrap w:val="0"/>
            <w:vAlign w:val="center"/>
          </w:tcPr>
          <w:p w14:paraId="4B935AE2">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声源控制措施</w:t>
            </w:r>
          </w:p>
        </w:tc>
        <w:tc>
          <w:tcPr>
            <w:tcW w:w="855" w:type="dxa"/>
            <w:vMerge w:val="restart"/>
            <w:noWrap w:val="0"/>
            <w:vAlign w:val="center"/>
          </w:tcPr>
          <w:p w14:paraId="1389ED25">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降噪后衰减量dB（A）</w:t>
            </w:r>
          </w:p>
        </w:tc>
        <w:tc>
          <w:tcPr>
            <w:tcW w:w="947" w:type="dxa"/>
            <w:noWrap w:val="0"/>
            <w:vAlign w:val="center"/>
          </w:tcPr>
          <w:p w14:paraId="4487293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产生声源源强</w:t>
            </w:r>
          </w:p>
        </w:tc>
        <w:tc>
          <w:tcPr>
            <w:tcW w:w="650" w:type="dxa"/>
            <w:vMerge w:val="restart"/>
            <w:noWrap w:val="0"/>
            <w:vAlign w:val="center"/>
          </w:tcPr>
          <w:p w14:paraId="6C3B518C">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ascii="Times New Roman" w:hAnsi="Times New Roman" w:eastAsia="宋体" w:cs="Times New Roman"/>
                <w:snapToGrid w:val="0"/>
                <w:color w:val="auto"/>
                <w:sz w:val="21"/>
                <w:szCs w:val="21"/>
                <w:highlight w:val="none"/>
              </w:rPr>
              <w:t>持续时间/h</w:t>
            </w:r>
          </w:p>
        </w:tc>
      </w:tr>
      <w:tr w14:paraId="1F5CD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9" w:type="dxa"/>
            <w:vMerge w:val="continue"/>
            <w:noWrap w:val="0"/>
            <w:vAlign w:val="center"/>
          </w:tcPr>
          <w:p w14:paraId="3915B4F3">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p>
        </w:tc>
        <w:tc>
          <w:tcPr>
            <w:tcW w:w="896" w:type="dxa"/>
            <w:vMerge w:val="continue"/>
            <w:noWrap w:val="0"/>
            <w:vAlign w:val="center"/>
          </w:tcPr>
          <w:p w14:paraId="6D9C0254">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p>
        </w:tc>
        <w:tc>
          <w:tcPr>
            <w:tcW w:w="459" w:type="dxa"/>
            <w:vMerge w:val="continue"/>
            <w:noWrap w:val="0"/>
            <w:vAlign w:val="center"/>
          </w:tcPr>
          <w:p w14:paraId="33837430">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p>
        </w:tc>
        <w:tc>
          <w:tcPr>
            <w:tcW w:w="769" w:type="dxa"/>
            <w:noWrap w:val="0"/>
            <w:vAlign w:val="center"/>
          </w:tcPr>
          <w:p w14:paraId="4B7F212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X</w:t>
            </w:r>
          </w:p>
        </w:tc>
        <w:tc>
          <w:tcPr>
            <w:tcW w:w="853" w:type="dxa"/>
            <w:noWrap w:val="0"/>
            <w:vAlign w:val="center"/>
          </w:tcPr>
          <w:p w14:paraId="47CD001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Y</w:t>
            </w:r>
          </w:p>
        </w:tc>
        <w:tc>
          <w:tcPr>
            <w:tcW w:w="696" w:type="dxa"/>
            <w:noWrap w:val="0"/>
            <w:vAlign w:val="center"/>
          </w:tcPr>
          <w:p w14:paraId="573889F5">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Z</w:t>
            </w:r>
          </w:p>
        </w:tc>
        <w:tc>
          <w:tcPr>
            <w:tcW w:w="931" w:type="dxa"/>
            <w:noWrap w:val="0"/>
            <w:vAlign w:val="center"/>
          </w:tcPr>
          <w:p w14:paraId="4C172FC3">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声功率级/dB（A）</w:t>
            </w:r>
          </w:p>
        </w:tc>
        <w:tc>
          <w:tcPr>
            <w:tcW w:w="795" w:type="dxa"/>
            <w:vMerge w:val="continue"/>
            <w:noWrap w:val="0"/>
            <w:vAlign w:val="center"/>
          </w:tcPr>
          <w:p w14:paraId="0505BF0A">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p>
        </w:tc>
        <w:tc>
          <w:tcPr>
            <w:tcW w:w="855" w:type="dxa"/>
            <w:vMerge w:val="continue"/>
            <w:noWrap w:val="0"/>
            <w:vAlign w:val="center"/>
          </w:tcPr>
          <w:p w14:paraId="06631B19">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p>
        </w:tc>
        <w:tc>
          <w:tcPr>
            <w:tcW w:w="947" w:type="dxa"/>
            <w:noWrap w:val="0"/>
            <w:vAlign w:val="center"/>
          </w:tcPr>
          <w:p w14:paraId="2E2A199F">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声功率级/dB（A）</w:t>
            </w:r>
          </w:p>
        </w:tc>
        <w:tc>
          <w:tcPr>
            <w:tcW w:w="650" w:type="dxa"/>
            <w:vMerge w:val="continue"/>
            <w:noWrap w:val="0"/>
            <w:vAlign w:val="center"/>
          </w:tcPr>
          <w:p w14:paraId="58ED258E">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p>
        </w:tc>
      </w:tr>
      <w:tr w14:paraId="5F77F3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549" w:type="dxa"/>
            <w:noWrap w:val="0"/>
            <w:vAlign w:val="center"/>
          </w:tcPr>
          <w:p w14:paraId="7F681CBF">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1</w:t>
            </w:r>
          </w:p>
        </w:tc>
        <w:tc>
          <w:tcPr>
            <w:tcW w:w="896" w:type="dxa"/>
            <w:noWrap w:val="0"/>
            <w:vAlign w:val="center"/>
          </w:tcPr>
          <w:p w14:paraId="12EA9D37">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待宰圈</w:t>
            </w:r>
          </w:p>
        </w:tc>
        <w:tc>
          <w:tcPr>
            <w:tcW w:w="459" w:type="dxa"/>
            <w:noWrap w:val="0"/>
            <w:vAlign w:val="center"/>
          </w:tcPr>
          <w:p w14:paraId="2429CC8B">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769" w:type="dxa"/>
            <w:noWrap w:val="0"/>
            <w:vAlign w:val="center"/>
          </w:tcPr>
          <w:p w14:paraId="7D157CC6">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250.1</w:t>
            </w:r>
          </w:p>
        </w:tc>
        <w:tc>
          <w:tcPr>
            <w:tcW w:w="853" w:type="dxa"/>
            <w:noWrap w:val="0"/>
            <w:vAlign w:val="center"/>
          </w:tcPr>
          <w:p w14:paraId="60FA89E3">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62.7</w:t>
            </w:r>
          </w:p>
        </w:tc>
        <w:tc>
          <w:tcPr>
            <w:tcW w:w="696" w:type="dxa"/>
            <w:noWrap w:val="0"/>
            <w:vAlign w:val="center"/>
          </w:tcPr>
          <w:p w14:paraId="705023B9">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1.2</w:t>
            </w:r>
          </w:p>
        </w:tc>
        <w:tc>
          <w:tcPr>
            <w:tcW w:w="931" w:type="dxa"/>
            <w:noWrap w:val="0"/>
            <w:vAlign w:val="center"/>
          </w:tcPr>
          <w:p w14:paraId="3C4B0282">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75</w:t>
            </w:r>
          </w:p>
        </w:tc>
        <w:tc>
          <w:tcPr>
            <w:tcW w:w="795" w:type="dxa"/>
            <w:vMerge w:val="restart"/>
            <w:noWrap w:val="0"/>
            <w:vAlign w:val="center"/>
          </w:tcPr>
          <w:p w14:paraId="77E7C5D3">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ascii="Times New Roman" w:hAnsi="Times New Roman" w:eastAsia="宋体" w:cs="Times New Roman"/>
                <w:snapToGrid w:val="0"/>
                <w:color w:val="auto"/>
                <w:sz w:val="21"/>
                <w:szCs w:val="21"/>
                <w:highlight w:val="none"/>
              </w:rPr>
              <w:t>低噪设备、</w:t>
            </w:r>
            <w:r>
              <w:rPr>
                <w:rFonts w:hint="eastAsia" w:ascii="Times New Roman" w:hAnsi="Times New Roman" w:eastAsia="宋体" w:cs="Times New Roman"/>
                <w:snapToGrid w:val="0"/>
                <w:color w:val="auto"/>
                <w:sz w:val="21"/>
                <w:szCs w:val="21"/>
                <w:highlight w:val="none"/>
              </w:rPr>
              <w:t>加强维护、减速</w:t>
            </w:r>
          </w:p>
        </w:tc>
        <w:tc>
          <w:tcPr>
            <w:tcW w:w="855" w:type="dxa"/>
            <w:noWrap w:val="0"/>
            <w:vAlign w:val="center"/>
          </w:tcPr>
          <w:p w14:paraId="75B1CD1F">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20</w:t>
            </w:r>
          </w:p>
        </w:tc>
        <w:tc>
          <w:tcPr>
            <w:tcW w:w="947" w:type="dxa"/>
            <w:noWrap w:val="0"/>
            <w:vAlign w:val="center"/>
          </w:tcPr>
          <w:p w14:paraId="20741935">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55</w:t>
            </w:r>
          </w:p>
        </w:tc>
        <w:tc>
          <w:tcPr>
            <w:tcW w:w="650" w:type="dxa"/>
            <w:vMerge w:val="restart"/>
            <w:noWrap w:val="0"/>
            <w:vAlign w:val="center"/>
          </w:tcPr>
          <w:p w14:paraId="438692B1">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7200</w:t>
            </w:r>
          </w:p>
        </w:tc>
      </w:tr>
      <w:tr w14:paraId="2376E0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549" w:type="dxa"/>
            <w:noWrap w:val="0"/>
            <w:vAlign w:val="center"/>
          </w:tcPr>
          <w:p w14:paraId="6787B62A">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2</w:t>
            </w:r>
          </w:p>
        </w:tc>
        <w:tc>
          <w:tcPr>
            <w:tcW w:w="896" w:type="dxa"/>
            <w:noWrap w:val="0"/>
            <w:vAlign w:val="center"/>
          </w:tcPr>
          <w:p w14:paraId="2D165AD7">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固废风机</w:t>
            </w:r>
          </w:p>
        </w:tc>
        <w:tc>
          <w:tcPr>
            <w:tcW w:w="459" w:type="dxa"/>
            <w:noWrap w:val="0"/>
            <w:vAlign w:val="center"/>
          </w:tcPr>
          <w:p w14:paraId="364818FC">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w:t>
            </w:r>
          </w:p>
        </w:tc>
        <w:tc>
          <w:tcPr>
            <w:tcW w:w="769" w:type="dxa"/>
            <w:noWrap w:val="0"/>
            <w:vAlign w:val="center"/>
          </w:tcPr>
          <w:p w14:paraId="1661C2B2">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255</w:t>
            </w:r>
          </w:p>
        </w:tc>
        <w:tc>
          <w:tcPr>
            <w:tcW w:w="853" w:type="dxa"/>
            <w:noWrap w:val="0"/>
            <w:vAlign w:val="center"/>
          </w:tcPr>
          <w:p w14:paraId="3A901881">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63.8</w:t>
            </w:r>
          </w:p>
        </w:tc>
        <w:tc>
          <w:tcPr>
            <w:tcW w:w="696" w:type="dxa"/>
            <w:noWrap w:val="0"/>
            <w:vAlign w:val="center"/>
          </w:tcPr>
          <w:p w14:paraId="245C2D30">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lang w:val="en-US" w:eastAsia="zh-CN"/>
              </w:rPr>
              <w:t>0.5</w:t>
            </w:r>
          </w:p>
        </w:tc>
        <w:tc>
          <w:tcPr>
            <w:tcW w:w="931" w:type="dxa"/>
            <w:noWrap w:val="0"/>
            <w:vAlign w:val="center"/>
          </w:tcPr>
          <w:p w14:paraId="5F993563">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80</w:t>
            </w:r>
          </w:p>
        </w:tc>
        <w:tc>
          <w:tcPr>
            <w:tcW w:w="795" w:type="dxa"/>
            <w:vMerge w:val="continue"/>
            <w:noWrap w:val="0"/>
            <w:vAlign w:val="center"/>
          </w:tcPr>
          <w:p w14:paraId="502501B8">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p>
        </w:tc>
        <w:tc>
          <w:tcPr>
            <w:tcW w:w="855" w:type="dxa"/>
            <w:noWrap w:val="0"/>
            <w:vAlign w:val="center"/>
          </w:tcPr>
          <w:p w14:paraId="4DB96F7B">
            <w:pPr>
              <w:pStyle w:val="117"/>
              <w:spacing w:line="360" w:lineRule="exact"/>
              <w:ind w:firstLine="0" w:firstLineChars="0"/>
              <w:jc w:val="center"/>
              <w:rPr>
                <w:rFonts w:ascii="Times New Roman" w:hAnsi="Times New Roman" w:eastAsia="宋体" w:cs="Times New Roman"/>
                <w:snapToGrid w:val="0"/>
                <w:color w:val="auto"/>
                <w:sz w:val="21"/>
                <w:szCs w:val="21"/>
                <w:highlight w:val="none"/>
              </w:rPr>
            </w:pPr>
            <w:r>
              <w:rPr>
                <w:rFonts w:hint="eastAsia" w:ascii="Times New Roman" w:hAnsi="Times New Roman" w:eastAsia="宋体" w:cs="Times New Roman"/>
                <w:snapToGrid w:val="0"/>
                <w:color w:val="auto"/>
                <w:sz w:val="21"/>
                <w:szCs w:val="21"/>
                <w:highlight w:val="none"/>
              </w:rPr>
              <w:t>20</w:t>
            </w:r>
          </w:p>
        </w:tc>
        <w:tc>
          <w:tcPr>
            <w:tcW w:w="947" w:type="dxa"/>
            <w:noWrap w:val="0"/>
            <w:vAlign w:val="center"/>
          </w:tcPr>
          <w:p w14:paraId="20D919F9">
            <w:pPr>
              <w:pStyle w:val="117"/>
              <w:spacing w:line="360" w:lineRule="exact"/>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60</w:t>
            </w:r>
          </w:p>
        </w:tc>
        <w:tc>
          <w:tcPr>
            <w:tcW w:w="650" w:type="dxa"/>
            <w:vMerge w:val="continue"/>
            <w:noWrap w:val="0"/>
            <w:vAlign w:val="center"/>
          </w:tcPr>
          <w:p w14:paraId="69149DAD">
            <w:pPr>
              <w:pStyle w:val="117"/>
              <w:spacing w:line="360" w:lineRule="exact"/>
              <w:ind w:firstLine="0" w:firstLineChars="0"/>
              <w:jc w:val="center"/>
              <w:rPr>
                <w:rFonts w:hint="eastAsia" w:ascii="Times New Roman" w:hAnsi="Times New Roman" w:eastAsia="宋体" w:cs="Times New Roman"/>
                <w:snapToGrid w:val="0"/>
                <w:color w:val="auto"/>
                <w:sz w:val="21"/>
                <w:szCs w:val="21"/>
                <w:highlight w:val="none"/>
              </w:rPr>
            </w:pPr>
          </w:p>
        </w:tc>
      </w:tr>
    </w:tbl>
    <w:p w14:paraId="548AC4DC">
      <w:pPr>
        <w:pStyle w:val="5"/>
        <w:ind w:firstLine="241" w:firstLineChars="100"/>
        <w:rPr>
          <w:snapToGrid w:val="0"/>
          <w:color w:val="auto"/>
          <w:kern w:val="0"/>
          <w:szCs w:val="24"/>
          <w:highlight w:val="none"/>
        </w:rPr>
      </w:pPr>
      <w:r>
        <w:rPr>
          <w:color w:val="auto"/>
          <w:highlight w:val="none"/>
        </w:rPr>
        <w:t>3.4.2.4固体废物</w:t>
      </w:r>
    </w:p>
    <w:p w14:paraId="12048DD2">
      <w:pPr>
        <w:pStyle w:val="117"/>
        <w:rPr>
          <w:rFonts w:cs="Times New Roman"/>
          <w:color w:val="auto"/>
          <w:highlight w:val="none"/>
        </w:rPr>
      </w:pPr>
      <w:r>
        <w:rPr>
          <w:rFonts w:cs="Times New Roman"/>
          <w:snapToGrid w:val="0"/>
          <w:color w:val="auto"/>
          <w:kern w:val="0"/>
          <w:szCs w:val="24"/>
          <w:highlight w:val="none"/>
        </w:rPr>
        <w:t>本项目运营期产生的固体废物为一般固体废物及危险废物，一般固体废物主要包括检疫不合格品、病死牛羊、粪便、边角料、胃容物及肠内物、</w:t>
      </w:r>
      <w:r>
        <w:rPr>
          <w:rFonts w:hint="eastAsia" w:cs="Times New Roman"/>
          <w:snapToGrid w:val="0"/>
          <w:color w:val="auto"/>
          <w:kern w:val="0"/>
          <w:szCs w:val="24"/>
          <w:highlight w:val="none"/>
          <w:lang w:val="en-US" w:eastAsia="zh-CN"/>
        </w:rPr>
        <w:t>隔油池废油脂、</w:t>
      </w:r>
      <w:r>
        <w:rPr>
          <w:rFonts w:cs="Times New Roman"/>
          <w:snapToGrid w:val="0"/>
          <w:color w:val="auto"/>
          <w:kern w:val="0"/>
          <w:szCs w:val="24"/>
          <w:highlight w:val="none"/>
        </w:rPr>
        <w:t>污泥（含栅渣）、废包装以及生活垃圾；危险废物主要为检疫废物、废活性炭</w:t>
      </w:r>
      <w:r>
        <w:rPr>
          <w:rFonts w:hint="eastAsia" w:cs="Times New Roman"/>
          <w:snapToGrid w:val="0"/>
          <w:color w:val="auto"/>
          <w:kern w:val="0"/>
          <w:szCs w:val="24"/>
          <w:highlight w:val="none"/>
          <w:lang w:eastAsia="zh-CN"/>
        </w:rPr>
        <w:t>、</w:t>
      </w:r>
      <w:r>
        <w:rPr>
          <w:rFonts w:hint="eastAsia" w:cs="Times New Roman"/>
          <w:snapToGrid w:val="0"/>
          <w:color w:val="auto"/>
          <w:kern w:val="0"/>
          <w:szCs w:val="24"/>
          <w:highlight w:val="none"/>
          <w:lang w:val="en-US" w:eastAsia="zh-CN"/>
        </w:rPr>
        <w:t>废润滑油及含油抹布、劳保手套</w:t>
      </w:r>
      <w:r>
        <w:rPr>
          <w:rFonts w:cs="Times New Roman"/>
          <w:snapToGrid w:val="0"/>
          <w:color w:val="auto"/>
          <w:kern w:val="0"/>
          <w:szCs w:val="24"/>
          <w:highlight w:val="none"/>
        </w:rPr>
        <w:t>。</w:t>
      </w:r>
    </w:p>
    <w:p w14:paraId="60A6CCF6">
      <w:pPr>
        <w:spacing w:line="500" w:lineRule="exact"/>
        <w:ind w:firstLine="482"/>
        <w:rPr>
          <w:rFonts w:cs="Times New Roman"/>
          <w:b/>
          <w:bCs/>
          <w:snapToGrid w:val="0"/>
          <w:color w:val="auto"/>
          <w:kern w:val="0"/>
          <w:szCs w:val="24"/>
          <w:highlight w:val="none"/>
        </w:rPr>
      </w:pPr>
      <w:r>
        <w:rPr>
          <w:rFonts w:cs="Times New Roman"/>
          <w:b/>
          <w:bCs/>
          <w:snapToGrid w:val="0"/>
          <w:color w:val="auto"/>
          <w:kern w:val="0"/>
          <w:szCs w:val="24"/>
          <w:highlight w:val="none"/>
        </w:rPr>
        <w:t>1、一般固体废物</w:t>
      </w:r>
    </w:p>
    <w:p w14:paraId="41583D85">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（1）检疫不合格品</w:t>
      </w:r>
    </w:p>
    <w:p w14:paraId="4D3FBB28">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检验检疫过程中会产生不合格品。</w:t>
      </w:r>
      <w:r>
        <w:rPr>
          <w:rFonts w:hint="eastAsia" w:cs="Times New Roman"/>
          <w:snapToGrid w:val="0"/>
          <w:color w:val="auto"/>
          <w:kern w:val="0"/>
          <w:szCs w:val="24"/>
          <w:highlight w:val="none"/>
          <w:lang w:val="en-US" w:eastAsia="zh-CN"/>
        </w:rPr>
        <w:t>如宰前检疫不合格牛羊及宰后检验不可使用产品等，</w:t>
      </w:r>
      <w:r>
        <w:rPr>
          <w:rFonts w:cs="Times New Roman"/>
          <w:snapToGrid w:val="0"/>
          <w:color w:val="auto"/>
          <w:kern w:val="0"/>
          <w:szCs w:val="24"/>
          <w:highlight w:val="none"/>
        </w:rPr>
        <w:t>根据物料平衡可知，本项目运营期检疫不合格品的产生量为</w:t>
      </w:r>
      <w:r>
        <w:rPr>
          <w:rFonts w:hint="eastAsia" w:cs="Times New Roman"/>
          <w:snapToGrid w:val="0"/>
          <w:color w:val="auto"/>
          <w:kern w:val="0"/>
          <w:szCs w:val="24"/>
          <w:highlight w:val="none"/>
          <w:lang w:val="en-US" w:eastAsia="zh-CN"/>
        </w:rPr>
        <w:t>90</w:t>
      </w:r>
      <w:r>
        <w:rPr>
          <w:rFonts w:cs="Times New Roman"/>
          <w:snapToGrid w:val="0"/>
          <w:color w:val="auto"/>
          <w:kern w:val="0"/>
          <w:szCs w:val="24"/>
          <w:highlight w:val="none"/>
        </w:rPr>
        <w:t>t/a，经收集后暂存于废物暂存间，当天</w:t>
      </w:r>
      <w:r>
        <w:rPr>
          <w:rFonts w:hint="eastAsia" w:cs="Times New Roman"/>
          <w:snapToGrid w:val="0"/>
          <w:color w:val="auto"/>
          <w:kern w:val="0"/>
          <w:szCs w:val="24"/>
          <w:highlight w:val="none"/>
          <w:lang w:eastAsia="zh-CN"/>
        </w:rPr>
        <w:t>由双鸭山百奥迈斯生物科技有限公司</w:t>
      </w:r>
      <w:r>
        <w:rPr>
          <w:rFonts w:hint="eastAsia" w:cs="Times New Roman"/>
          <w:snapToGrid w:val="0"/>
          <w:color w:val="auto"/>
          <w:kern w:val="0"/>
          <w:szCs w:val="24"/>
          <w:highlight w:val="none"/>
          <w:lang w:val="en-US" w:eastAsia="zh-CN"/>
        </w:rPr>
        <w:t>拉运处理</w:t>
      </w:r>
      <w:r>
        <w:rPr>
          <w:rFonts w:cs="Times New Roman"/>
          <w:snapToGrid w:val="0"/>
          <w:color w:val="auto"/>
          <w:kern w:val="0"/>
          <w:szCs w:val="24"/>
          <w:highlight w:val="none"/>
        </w:rPr>
        <w:t>。</w:t>
      </w:r>
    </w:p>
    <w:p w14:paraId="3C0C89B6">
      <w:pPr>
        <w:numPr>
          <w:ilvl w:val="0"/>
          <w:numId w:val="10"/>
        </w:numPr>
        <w:spacing w:line="500" w:lineRule="exact"/>
        <w:rPr>
          <w:rFonts w:cs="Times New Roman"/>
          <w:snapToGrid w:val="0"/>
          <w:color w:val="auto"/>
          <w:kern w:val="0"/>
          <w:szCs w:val="24"/>
          <w:highlight w:val="none"/>
        </w:rPr>
      </w:pPr>
      <w:r>
        <w:rPr>
          <w:rFonts w:cs="Times New Roman"/>
          <w:snapToGrid w:val="0"/>
          <w:color w:val="auto"/>
          <w:kern w:val="0"/>
          <w:szCs w:val="24"/>
          <w:highlight w:val="none"/>
        </w:rPr>
        <w:t>病死牛羊</w:t>
      </w:r>
    </w:p>
    <w:p w14:paraId="65662A08">
      <w:pPr>
        <w:spacing w:line="500" w:lineRule="exact"/>
        <w:rPr>
          <w:rFonts w:cs="Times New Roman"/>
          <w:color w:val="auto"/>
          <w:highlight w:val="none"/>
        </w:rPr>
      </w:pPr>
      <w:r>
        <w:rPr>
          <w:rFonts w:cs="Times New Roman"/>
          <w:color w:val="auto"/>
          <w:highlight w:val="none"/>
        </w:rPr>
        <w:t>在运输过程中及待宰圈由于多种原因会产生一些病死牛羊，根据物料平衡可知，病死牛羊的产生量为</w:t>
      </w:r>
      <w:r>
        <w:rPr>
          <w:rFonts w:hint="eastAsia" w:cs="Times New Roman"/>
          <w:color w:val="auto"/>
          <w:highlight w:val="none"/>
          <w:lang w:val="en-US" w:eastAsia="zh-CN"/>
        </w:rPr>
        <w:t>135</w:t>
      </w:r>
      <w:r>
        <w:rPr>
          <w:rFonts w:cs="Times New Roman"/>
          <w:color w:val="auto"/>
          <w:highlight w:val="none"/>
        </w:rPr>
        <w:t>t/a</w:t>
      </w:r>
      <w:r>
        <w:rPr>
          <w:rFonts w:hint="eastAsia" w:cs="Times New Roman"/>
          <w:color w:val="auto"/>
          <w:highlight w:val="none"/>
          <w:lang w:eastAsia="zh-CN"/>
        </w:rPr>
        <w:t>，</w:t>
      </w:r>
      <w:r>
        <w:rPr>
          <w:rFonts w:cs="Times New Roman"/>
          <w:color w:val="auto"/>
          <w:highlight w:val="none"/>
        </w:rPr>
        <w:t>产生后</w:t>
      </w:r>
      <w:r>
        <w:rPr>
          <w:rFonts w:cs="Times New Roman"/>
          <w:snapToGrid w:val="0"/>
          <w:color w:val="auto"/>
          <w:kern w:val="0"/>
          <w:szCs w:val="24"/>
          <w:highlight w:val="none"/>
        </w:rPr>
        <w:t>当天</w:t>
      </w:r>
      <w:r>
        <w:rPr>
          <w:rFonts w:hint="eastAsia" w:cs="Times New Roman"/>
          <w:snapToGrid w:val="0"/>
          <w:color w:val="auto"/>
          <w:kern w:val="0"/>
          <w:szCs w:val="24"/>
          <w:highlight w:val="none"/>
          <w:lang w:eastAsia="zh-CN"/>
        </w:rPr>
        <w:t>由双鸭山百奥迈斯生物科技有限公司</w:t>
      </w:r>
      <w:r>
        <w:rPr>
          <w:rFonts w:hint="eastAsia" w:cs="Times New Roman"/>
          <w:snapToGrid w:val="0"/>
          <w:color w:val="auto"/>
          <w:kern w:val="0"/>
          <w:szCs w:val="24"/>
          <w:highlight w:val="none"/>
          <w:lang w:val="en-US" w:eastAsia="zh-CN"/>
        </w:rPr>
        <w:t>拉运处理，</w:t>
      </w:r>
      <w:r>
        <w:rPr>
          <w:rFonts w:hint="eastAsia" w:cs="Times New Roman"/>
          <w:snapToGrid w:val="0"/>
          <w:color w:val="auto"/>
          <w:kern w:val="0"/>
          <w:szCs w:val="24"/>
          <w:highlight w:val="none"/>
          <w:lang w:val="en-US" w:eastAsia="zh-CN"/>
        </w:rPr>
        <w:t>见附件5</w:t>
      </w:r>
      <w:r>
        <w:rPr>
          <w:rFonts w:cs="Times New Roman"/>
          <w:snapToGrid w:val="0"/>
          <w:color w:val="auto"/>
          <w:kern w:val="0"/>
          <w:szCs w:val="24"/>
          <w:highlight w:val="none"/>
        </w:rPr>
        <w:t>。</w:t>
      </w:r>
    </w:p>
    <w:p w14:paraId="1F11421B">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（3）粪便</w:t>
      </w:r>
    </w:p>
    <w:p w14:paraId="144AB7A9">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牛羊在</w:t>
      </w:r>
      <w:r>
        <w:rPr>
          <w:rFonts w:hint="eastAsia" w:cs="Times New Roman"/>
          <w:snapToGrid w:val="0"/>
          <w:color w:val="auto"/>
          <w:kern w:val="0"/>
          <w:szCs w:val="24"/>
          <w:highlight w:val="none"/>
          <w:lang w:eastAsia="zh-CN"/>
        </w:rPr>
        <w:t>待宰圈</w:t>
      </w:r>
      <w:r>
        <w:rPr>
          <w:rFonts w:cs="Times New Roman"/>
          <w:snapToGrid w:val="0"/>
          <w:color w:val="auto"/>
          <w:kern w:val="0"/>
          <w:szCs w:val="24"/>
          <w:highlight w:val="none"/>
        </w:rPr>
        <w:t>中会产生粪便，根据物料平衡可知，粪便产生量为</w:t>
      </w:r>
      <w:r>
        <w:rPr>
          <w:rFonts w:hint="eastAsia" w:cs="Times New Roman"/>
          <w:snapToGrid w:val="0"/>
          <w:color w:val="auto"/>
          <w:kern w:val="0"/>
          <w:szCs w:val="24"/>
          <w:highlight w:val="none"/>
          <w:lang w:val="en-US" w:eastAsia="zh-CN"/>
        </w:rPr>
        <w:t>495</w:t>
      </w:r>
      <w:r>
        <w:rPr>
          <w:rFonts w:cs="Times New Roman"/>
          <w:snapToGrid w:val="0"/>
          <w:color w:val="auto"/>
          <w:kern w:val="0"/>
          <w:szCs w:val="24"/>
          <w:highlight w:val="none"/>
        </w:rPr>
        <w:t>t/a，牛、羊粪在</w:t>
      </w:r>
      <w:r>
        <w:rPr>
          <w:rFonts w:hint="eastAsia" w:cs="Times New Roman"/>
          <w:snapToGrid w:val="0"/>
          <w:color w:val="auto"/>
          <w:kern w:val="0"/>
          <w:szCs w:val="24"/>
          <w:highlight w:val="none"/>
          <w:lang w:eastAsia="zh-CN"/>
        </w:rPr>
        <w:t>待宰圈</w:t>
      </w:r>
      <w:r>
        <w:rPr>
          <w:rFonts w:cs="Times New Roman"/>
          <w:snapToGrid w:val="0"/>
          <w:color w:val="auto"/>
          <w:kern w:val="0"/>
          <w:szCs w:val="24"/>
          <w:highlight w:val="none"/>
        </w:rPr>
        <w:t>牛、羊粪暂存池内收集后，每</w:t>
      </w:r>
      <w:r>
        <w:rPr>
          <w:rFonts w:hint="eastAsia" w:cs="Times New Roman"/>
          <w:snapToGrid w:val="0"/>
          <w:color w:val="auto"/>
          <w:kern w:val="0"/>
          <w:szCs w:val="24"/>
          <w:highlight w:val="none"/>
          <w:lang w:val="en-US" w:eastAsia="zh-CN"/>
        </w:rPr>
        <w:t>2</w:t>
      </w:r>
      <w:r>
        <w:rPr>
          <w:rFonts w:cs="Times New Roman"/>
          <w:snapToGrid w:val="0"/>
          <w:color w:val="auto"/>
          <w:kern w:val="0"/>
          <w:szCs w:val="24"/>
          <w:highlight w:val="none"/>
        </w:rPr>
        <w:t>天清运一次，</w:t>
      </w:r>
      <w:r>
        <w:rPr>
          <w:rFonts w:hint="eastAsia" w:cs="Times New Roman"/>
          <w:snapToGrid w:val="0"/>
          <w:color w:val="auto"/>
          <w:kern w:val="0"/>
          <w:szCs w:val="24"/>
          <w:highlight w:val="none"/>
          <w:lang w:eastAsia="zh-CN"/>
        </w:rPr>
        <w:t>作为有机肥原料外售，用于有机肥生产</w:t>
      </w:r>
      <w:r>
        <w:rPr>
          <w:rFonts w:cs="Times New Roman"/>
          <w:snapToGrid w:val="0"/>
          <w:color w:val="auto"/>
          <w:kern w:val="0"/>
          <w:szCs w:val="24"/>
          <w:highlight w:val="none"/>
        </w:rPr>
        <w:t>。</w:t>
      </w:r>
    </w:p>
    <w:p w14:paraId="09020DDE">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（4）边角料、胃容物及肠内物</w:t>
      </w:r>
    </w:p>
    <w:p w14:paraId="6C2C1DFF">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根据物料平衡可知，本项目运营期边角料产生量为</w:t>
      </w:r>
      <w:r>
        <w:rPr>
          <w:rFonts w:hint="eastAsia" w:cs="Times New Roman"/>
          <w:snapToGrid w:val="0"/>
          <w:color w:val="auto"/>
          <w:kern w:val="0"/>
          <w:szCs w:val="24"/>
          <w:highlight w:val="none"/>
          <w:lang w:val="en-US" w:eastAsia="zh-CN"/>
        </w:rPr>
        <w:t>90</w:t>
      </w:r>
      <w:r>
        <w:rPr>
          <w:rFonts w:cs="Times New Roman"/>
          <w:snapToGrid w:val="0"/>
          <w:color w:val="auto"/>
          <w:kern w:val="0"/>
          <w:szCs w:val="24"/>
          <w:highlight w:val="none"/>
        </w:rPr>
        <w:t>t/a，胃容物及肠内物产生量为</w:t>
      </w:r>
      <w:r>
        <w:rPr>
          <w:rFonts w:hint="eastAsia" w:cs="Times New Roman"/>
          <w:snapToGrid w:val="0"/>
          <w:color w:val="auto"/>
          <w:kern w:val="0"/>
          <w:szCs w:val="24"/>
          <w:highlight w:val="none"/>
          <w:lang w:val="en-US" w:eastAsia="zh-CN"/>
        </w:rPr>
        <w:t>585</w:t>
      </w:r>
      <w:r>
        <w:rPr>
          <w:rFonts w:cs="Times New Roman"/>
          <w:snapToGrid w:val="0"/>
          <w:color w:val="auto"/>
          <w:kern w:val="0"/>
          <w:szCs w:val="24"/>
          <w:highlight w:val="none"/>
        </w:rPr>
        <w:t>t/a。分别储存在固体废物暂存间加盖的暂存池内，边角料、胃容物及肠内物，</w:t>
      </w:r>
      <w:r>
        <w:rPr>
          <w:rFonts w:hint="eastAsia" w:cs="Times New Roman"/>
          <w:snapToGrid w:val="0"/>
          <w:color w:val="auto"/>
          <w:kern w:val="0"/>
          <w:szCs w:val="24"/>
          <w:highlight w:val="none"/>
          <w:lang w:eastAsia="zh-CN"/>
        </w:rPr>
        <w:t>作为有机肥原料外售，用于有机肥生产</w:t>
      </w:r>
      <w:r>
        <w:rPr>
          <w:rFonts w:cs="Times New Roman"/>
          <w:snapToGrid w:val="0"/>
          <w:color w:val="auto"/>
          <w:kern w:val="0"/>
          <w:szCs w:val="24"/>
          <w:highlight w:val="none"/>
        </w:rPr>
        <w:t>。</w:t>
      </w:r>
    </w:p>
    <w:p w14:paraId="01D11B0B">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（5）污泥（含栅渣）</w:t>
      </w:r>
    </w:p>
    <w:p w14:paraId="75BEF014">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本项目运营期生产废水经污水处理站处理过程会产生一定的污泥。根据物料平衡，排入污水处理站SS浓度为1000mg/L，处理后SS浓度为</w:t>
      </w:r>
      <w:r>
        <w:rPr>
          <w:rFonts w:hint="eastAsia" w:cs="Times New Roman"/>
          <w:snapToGrid w:val="0"/>
          <w:color w:val="auto"/>
          <w:kern w:val="0"/>
          <w:szCs w:val="24"/>
          <w:highlight w:val="none"/>
          <w:lang w:val="en-US" w:eastAsia="zh-CN"/>
        </w:rPr>
        <w:t>289</w:t>
      </w:r>
      <w:r>
        <w:rPr>
          <w:rFonts w:cs="Times New Roman"/>
          <w:snapToGrid w:val="0"/>
          <w:color w:val="auto"/>
          <w:kern w:val="0"/>
          <w:szCs w:val="24"/>
          <w:highlight w:val="none"/>
        </w:rPr>
        <w:t>mg/L，SS浓度降低了</w:t>
      </w:r>
      <w:r>
        <w:rPr>
          <w:rFonts w:hint="eastAsia" w:cs="Times New Roman"/>
          <w:snapToGrid w:val="0"/>
          <w:color w:val="auto"/>
          <w:kern w:val="0"/>
          <w:szCs w:val="24"/>
          <w:highlight w:val="none"/>
          <w:lang w:val="en-US" w:eastAsia="zh-CN"/>
        </w:rPr>
        <w:t>711</w:t>
      </w:r>
      <w:r>
        <w:rPr>
          <w:rFonts w:cs="Times New Roman"/>
          <w:snapToGrid w:val="0"/>
          <w:color w:val="auto"/>
          <w:kern w:val="0"/>
          <w:szCs w:val="24"/>
          <w:highlight w:val="none"/>
        </w:rPr>
        <w:t>mg/L，根据质量守恒原理，悬浮物减少的质量几乎为污泥（含栅渣）增加的质量，本项目总污水处理量为</w:t>
      </w:r>
      <w:r>
        <w:rPr>
          <w:rFonts w:hint="eastAsia" w:cs="Times New Roman"/>
          <w:snapToGrid w:val="0"/>
          <w:color w:val="auto"/>
          <w:kern w:val="0"/>
          <w:szCs w:val="24"/>
          <w:highlight w:val="none"/>
          <w:lang w:val="en-US" w:eastAsia="zh-CN"/>
        </w:rPr>
        <w:t>72208.5</w:t>
      </w:r>
      <w:r>
        <w:rPr>
          <w:rFonts w:cs="Times New Roman"/>
          <w:snapToGrid w:val="0"/>
          <w:color w:val="auto"/>
          <w:kern w:val="0"/>
          <w:szCs w:val="24"/>
          <w:highlight w:val="none"/>
        </w:rPr>
        <w:t>t/a，则SS产生量为</w:t>
      </w:r>
      <w:r>
        <w:rPr>
          <w:rFonts w:hint="eastAsia" w:cs="Times New Roman"/>
          <w:snapToGrid w:val="0"/>
          <w:color w:val="auto"/>
          <w:kern w:val="0"/>
          <w:szCs w:val="24"/>
          <w:highlight w:val="none"/>
          <w:lang w:val="en-US" w:eastAsia="zh-CN"/>
        </w:rPr>
        <w:t>51.34</w:t>
      </w:r>
      <w:r>
        <w:rPr>
          <w:rFonts w:cs="Times New Roman"/>
          <w:snapToGrid w:val="0"/>
          <w:color w:val="auto"/>
          <w:kern w:val="0"/>
          <w:szCs w:val="24"/>
          <w:highlight w:val="none"/>
        </w:rPr>
        <w:t>t/a。污泥含水率为90%。</w:t>
      </w:r>
    </w:p>
    <w:p w14:paraId="675774B6">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污水处理站的污泥（含栅渣）=（SS产生量）/（1-含水率）=</w:t>
      </w:r>
      <w:r>
        <w:rPr>
          <w:rFonts w:hint="eastAsia" w:cs="Times New Roman"/>
          <w:snapToGrid w:val="0"/>
          <w:color w:val="auto"/>
          <w:kern w:val="0"/>
          <w:szCs w:val="24"/>
          <w:highlight w:val="none"/>
          <w:lang w:val="en-US" w:eastAsia="zh-CN"/>
        </w:rPr>
        <w:t>513.4</w:t>
      </w:r>
      <w:r>
        <w:rPr>
          <w:rFonts w:cs="Times New Roman"/>
          <w:snapToGrid w:val="0"/>
          <w:color w:val="auto"/>
          <w:kern w:val="0"/>
          <w:szCs w:val="24"/>
          <w:highlight w:val="none"/>
        </w:rPr>
        <w:t>t/a。统一收集后由污泥处置单位进行转运处理。</w:t>
      </w:r>
    </w:p>
    <w:p w14:paraId="25D0B966">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污泥（含栅渣）经高压板框机压滤后，含水率低于60%，脱水污泥产生量约为</w:t>
      </w:r>
      <w:r>
        <w:rPr>
          <w:rFonts w:hint="eastAsia" w:cs="Times New Roman"/>
          <w:snapToGrid w:val="0"/>
          <w:color w:val="auto"/>
          <w:kern w:val="0"/>
          <w:szCs w:val="24"/>
          <w:highlight w:val="none"/>
          <w:lang w:val="en-US" w:eastAsia="zh-CN"/>
        </w:rPr>
        <w:t>128.35</w:t>
      </w:r>
      <w:r>
        <w:rPr>
          <w:rFonts w:cs="Times New Roman"/>
          <w:snapToGrid w:val="0"/>
          <w:color w:val="auto"/>
          <w:kern w:val="0"/>
          <w:szCs w:val="24"/>
          <w:highlight w:val="none"/>
        </w:rPr>
        <w:t>t/a，送至生活垃圾填埋场卫生填埋。</w:t>
      </w:r>
    </w:p>
    <w:p w14:paraId="4767A032">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w:t>
      </w:r>
      <w:r>
        <w:rPr>
          <w:rFonts w:hint="eastAsia" w:cs="Times New Roman"/>
          <w:snapToGrid w:val="0"/>
          <w:color w:val="auto"/>
          <w:kern w:val="0"/>
          <w:szCs w:val="24"/>
          <w:highlight w:val="none"/>
          <w:lang w:val="en-US" w:eastAsia="zh-CN"/>
        </w:rPr>
        <w:t>6</w:t>
      </w:r>
      <w:r>
        <w:rPr>
          <w:rFonts w:cs="Times New Roman"/>
          <w:snapToGrid w:val="0"/>
          <w:color w:val="auto"/>
          <w:kern w:val="0"/>
          <w:szCs w:val="24"/>
          <w:highlight w:val="none"/>
        </w:rPr>
        <w:t>）废包装</w:t>
      </w:r>
    </w:p>
    <w:p w14:paraId="782333B5">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本项目包装过程中和辅料消耗过程中会产生废包装，废包装的产生量为</w:t>
      </w:r>
      <w:r>
        <w:rPr>
          <w:rFonts w:hint="eastAsia" w:cs="Times New Roman"/>
          <w:snapToGrid w:val="0"/>
          <w:color w:val="auto"/>
          <w:kern w:val="0"/>
          <w:szCs w:val="24"/>
          <w:highlight w:val="none"/>
          <w:lang w:val="en-US" w:eastAsia="zh-CN"/>
        </w:rPr>
        <w:t>1.6</w:t>
      </w:r>
      <w:r>
        <w:rPr>
          <w:rFonts w:cs="Times New Roman"/>
          <w:snapToGrid w:val="0"/>
          <w:color w:val="auto"/>
          <w:kern w:val="0"/>
          <w:szCs w:val="24"/>
          <w:highlight w:val="none"/>
        </w:rPr>
        <w:t>t/a，集中收集，定期外售综合利用。</w:t>
      </w:r>
    </w:p>
    <w:p w14:paraId="627385D1">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w:t>
      </w:r>
      <w:r>
        <w:rPr>
          <w:rFonts w:hint="eastAsia" w:cs="Times New Roman"/>
          <w:snapToGrid w:val="0"/>
          <w:color w:val="auto"/>
          <w:kern w:val="0"/>
          <w:szCs w:val="24"/>
          <w:highlight w:val="none"/>
          <w:lang w:val="en-US" w:eastAsia="zh-CN"/>
        </w:rPr>
        <w:t>7</w:t>
      </w:r>
      <w:r>
        <w:rPr>
          <w:rFonts w:cs="Times New Roman"/>
          <w:snapToGrid w:val="0"/>
          <w:color w:val="auto"/>
          <w:kern w:val="0"/>
          <w:szCs w:val="24"/>
          <w:highlight w:val="none"/>
        </w:rPr>
        <w:t>）生活垃圾</w:t>
      </w:r>
    </w:p>
    <w:p w14:paraId="4D322267">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本项目运营期职工人数为</w:t>
      </w:r>
      <w:r>
        <w:rPr>
          <w:rFonts w:hint="eastAsia" w:cs="Times New Roman"/>
          <w:snapToGrid w:val="0"/>
          <w:color w:val="auto"/>
          <w:kern w:val="0"/>
          <w:szCs w:val="24"/>
          <w:highlight w:val="none"/>
          <w:lang w:val="en-US" w:eastAsia="zh-CN"/>
        </w:rPr>
        <w:t>3</w:t>
      </w:r>
      <w:r>
        <w:rPr>
          <w:rFonts w:cs="Times New Roman"/>
          <w:snapToGrid w:val="0"/>
          <w:color w:val="auto"/>
          <w:kern w:val="0"/>
          <w:szCs w:val="24"/>
          <w:highlight w:val="none"/>
        </w:rPr>
        <w:t>0人，运行时间为3</w:t>
      </w:r>
      <w:r>
        <w:rPr>
          <w:rFonts w:hint="eastAsia" w:cs="Times New Roman"/>
          <w:snapToGrid w:val="0"/>
          <w:color w:val="auto"/>
          <w:kern w:val="0"/>
          <w:szCs w:val="24"/>
          <w:highlight w:val="none"/>
          <w:lang w:val="en-US" w:eastAsia="zh-CN"/>
        </w:rPr>
        <w:t>0</w:t>
      </w:r>
      <w:r>
        <w:rPr>
          <w:rFonts w:cs="Times New Roman"/>
          <w:snapToGrid w:val="0"/>
          <w:color w:val="auto"/>
          <w:kern w:val="0"/>
          <w:szCs w:val="24"/>
          <w:highlight w:val="none"/>
        </w:rPr>
        <w:t>0d/a，员工生活垃圾产生量按0.5kg/（人·d）计，则本项目生活垃圾产生量约为</w:t>
      </w:r>
      <w:r>
        <w:rPr>
          <w:rFonts w:hint="eastAsia" w:cs="Times New Roman"/>
          <w:snapToGrid w:val="0"/>
          <w:color w:val="auto"/>
          <w:kern w:val="0"/>
          <w:szCs w:val="24"/>
          <w:highlight w:val="none"/>
          <w:lang w:val="en-US" w:eastAsia="zh-CN"/>
        </w:rPr>
        <w:t>4.5</w:t>
      </w:r>
      <w:r>
        <w:rPr>
          <w:rFonts w:cs="Times New Roman"/>
          <w:snapToGrid w:val="0"/>
          <w:color w:val="auto"/>
          <w:kern w:val="0"/>
          <w:szCs w:val="24"/>
          <w:highlight w:val="none"/>
        </w:rPr>
        <w:t>t/a，收集于专用垃圾桶后，</w:t>
      </w:r>
      <w:r>
        <w:rPr>
          <w:rFonts w:hint="eastAsia" w:cs="Times New Roman"/>
          <w:snapToGrid w:val="0"/>
          <w:color w:val="auto"/>
          <w:kern w:val="0"/>
          <w:szCs w:val="24"/>
          <w:highlight w:val="none"/>
          <w:lang w:eastAsia="zh-CN"/>
        </w:rPr>
        <w:t>由市政环卫部门统一清运</w:t>
      </w:r>
      <w:r>
        <w:rPr>
          <w:rFonts w:cs="Times New Roman"/>
          <w:snapToGrid w:val="0"/>
          <w:color w:val="auto"/>
          <w:kern w:val="0"/>
          <w:szCs w:val="24"/>
          <w:highlight w:val="none"/>
        </w:rPr>
        <w:t>。</w:t>
      </w:r>
    </w:p>
    <w:p w14:paraId="281D9955">
      <w:pPr>
        <w:numPr>
          <w:ilvl w:val="0"/>
          <w:numId w:val="11"/>
        </w:numPr>
        <w:spacing w:line="500" w:lineRule="exact"/>
        <w:rPr>
          <w:rFonts w:hint="eastAsia" w:cs="Times New Roman"/>
          <w:snapToGrid w:val="0"/>
          <w:color w:val="auto"/>
          <w:kern w:val="0"/>
          <w:szCs w:val="24"/>
          <w:highlight w:val="none"/>
          <w:lang w:val="en-US" w:eastAsia="zh-CN"/>
        </w:rPr>
      </w:pPr>
      <w:r>
        <w:rPr>
          <w:rFonts w:hint="eastAsia" w:cs="Times New Roman"/>
          <w:snapToGrid w:val="0"/>
          <w:color w:val="auto"/>
          <w:kern w:val="0"/>
          <w:szCs w:val="24"/>
          <w:highlight w:val="none"/>
          <w:lang w:val="en-US" w:eastAsia="zh-CN"/>
        </w:rPr>
        <w:t>废油脂</w:t>
      </w:r>
    </w:p>
    <w:p w14:paraId="60CE27F1">
      <w:pPr>
        <w:numPr>
          <w:ilvl w:val="0"/>
          <w:numId w:val="0"/>
        </w:numPr>
        <w:spacing w:line="500" w:lineRule="exact"/>
        <w:rPr>
          <w:rFonts w:hint="default" w:cs="Times New Roman"/>
          <w:snapToGrid w:val="0"/>
          <w:color w:val="auto"/>
          <w:kern w:val="0"/>
          <w:szCs w:val="24"/>
          <w:highlight w:val="none"/>
          <w:lang w:val="en-US" w:eastAsia="zh-CN"/>
        </w:rPr>
      </w:pPr>
      <w:r>
        <w:rPr>
          <w:rFonts w:hint="eastAsia" w:cs="Times New Roman"/>
          <w:snapToGrid w:val="0"/>
          <w:color w:val="auto"/>
          <w:kern w:val="0"/>
          <w:szCs w:val="24"/>
          <w:highlight w:val="none"/>
          <w:lang w:val="en-US" w:eastAsia="zh-CN"/>
        </w:rPr>
        <w:t xml:space="preserve">    </w:t>
      </w:r>
      <w:r>
        <w:rPr>
          <w:rFonts w:hint="eastAsia" w:cs="Times New Roman"/>
          <w:snapToGrid w:val="0"/>
          <w:color w:val="auto"/>
          <w:kern w:val="0"/>
          <w:szCs w:val="24"/>
          <w:highlight w:val="none"/>
          <w:lang w:val="en-US" w:eastAsia="zh-CN"/>
        </w:rPr>
        <w:t>本项目污水处理站隔油池废油脂产生量约0.8t/a，</w:t>
      </w:r>
      <w:r>
        <w:rPr>
          <w:rFonts w:hint="eastAsia" w:cs="Times New Roman"/>
          <w:color w:val="auto"/>
          <w:szCs w:val="24"/>
          <w:highlight w:val="none"/>
          <w:lang w:val="en-US" w:eastAsia="zh-CN"/>
        </w:rPr>
        <w:t>收集后交由有能力处置单位运输处置。</w:t>
      </w:r>
    </w:p>
    <w:p w14:paraId="05015EDF">
      <w:pPr>
        <w:spacing w:line="500" w:lineRule="exact"/>
        <w:ind w:firstLine="482"/>
        <w:rPr>
          <w:rFonts w:cs="Times New Roman"/>
          <w:b/>
          <w:bCs/>
          <w:snapToGrid w:val="0"/>
          <w:color w:val="auto"/>
          <w:kern w:val="0"/>
          <w:szCs w:val="24"/>
          <w:highlight w:val="none"/>
        </w:rPr>
      </w:pPr>
      <w:bookmarkStart w:id="136" w:name="_Toc61529200"/>
      <w:bookmarkStart w:id="137" w:name="_Toc6196"/>
      <w:r>
        <w:rPr>
          <w:rFonts w:cs="Times New Roman"/>
          <w:b/>
          <w:bCs/>
          <w:snapToGrid w:val="0"/>
          <w:color w:val="auto"/>
          <w:kern w:val="0"/>
          <w:szCs w:val="24"/>
          <w:highlight w:val="none"/>
        </w:rPr>
        <w:t>2、危险废物</w:t>
      </w:r>
    </w:p>
    <w:p w14:paraId="2BDC3036">
      <w:pPr>
        <w:spacing w:line="500" w:lineRule="exact"/>
        <w:rPr>
          <w:rFonts w:hint="eastAsia" w:cs="Times New Roman"/>
          <w:color w:val="auto"/>
          <w:szCs w:val="24"/>
          <w:highlight w:val="none"/>
          <w:lang w:eastAsia="zh-CN"/>
        </w:rPr>
      </w:pPr>
      <w:r>
        <w:rPr>
          <w:rFonts w:cs="Times New Roman"/>
          <w:color w:val="auto"/>
          <w:szCs w:val="24"/>
          <w:highlight w:val="none"/>
        </w:rPr>
        <w:t>本项目产生的</w:t>
      </w:r>
      <w:r>
        <w:rPr>
          <w:rFonts w:hint="eastAsia" w:cs="Times New Roman"/>
          <w:color w:val="auto"/>
          <w:szCs w:val="24"/>
          <w:highlight w:val="none"/>
          <w:lang w:eastAsia="zh-CN"/>
        </w:rPr>
        <w:t>危险废物主要为检疫废物、废润滑油及含油抹布、劳保手套。</w:t>
      </w:r>
    </w:p>
    <w:p w14:paraId="3CF5FDCE">
      <w:pPr>
        <w:spacing w:line="500" w:lineRule="exact"/>
        <w:rPr>
          <w:rFonts w:hint="default" w:cs="Times New Roman"/>
          <w:color w:val="auto"/>
          <w:szCs w:val="24"/>
          <w:highlight w:val="none"/>
          <w:lang w:val="en-US" w:eastAsia="zh-CN"/>
        </w:rPr>
      </w:pPr>
      <w:r>
        <w:rPr>
          <w:rFonts w:hint="eastAsia" w:cs="Times New Roman"/>
          <w:color w:val="auto"/>
          <w:szCs w:val="24"/>
          <w:highlight w:val="none"/>
          <w:lang w:val="en-US" w:eastAsia="zh-CN"/>
        </w:rPr>
        <w:t>（1）检疫废物</w:t>
      </w:r>
    </w:p>
    <w:p w14:paraId="09AC4D30">
      <w:pPr>
        <w:spacing w:line="500" w:lineRule="exact"/>
        <w:rPr>
          <w:rFonts w:cs="Times New Roman"/>
          <w:b/>
          <w:color w:val="auto"/>
          <w:highlight w:val="none"/>
        </w:rPr>
      </w:pPr>
      <w:r>
        <w:rPr>
          <w:rFonts w:cs="Times New Roman"/>
          <w:color w:val="auto"/>
          <w:szCs w:val="24"/>
          <w:highlight w:val="none"/>
        </w:rPr>
        <w:t>检疫废物</w:t>
      </w:r>
      <w:r>
        <w:rPr>
          <w:rFonts w:hint="eastAsia" w:cs="Times New Roman"/>
          <w:color w:val="auto"/>
          <w:szCs w:val="24"/>
          <w:highlight w:val="none"/>
          <w:lang w:val="en-US" w:eastAsia="zh-CN"/>
        </w:rPr>
        <w:t>主要为废弃载玻片</w:t>
      </w:r>
      <w:r>
        <w:rPr>
          <w:rFonts w:cs="Times New Roman"/>
          <w:color w:val="auto"/>
          <w:szCs w:val="24"/>
          <w:highlight w:val="none"/>
        </w:rPr>
        <w:t>，产生量约0.</w:t>
      </w:r>
      <w:r>
        <w:rPr>
          <w:rFonts w:hint="eastAsia" w:cs="Times New Roman"/>
          <w:color w:val="auto"/>
          <w:szCs w:val="24"/>
          <w:highlight w:val="none"/>
          <w:lang w:val="en-US" w:eastAsia="zh-CN"/>
        </w:rPr>
        <w:t>3</w:t>
      </w:r>
      <w:r>
        <w:rPr>
          <w:rFonts w:cs="Times New Roman"/>
          <w:color w:val="auto"/>
          <w:szCs w:val="24"/>
          <w:highlight w:val="none"/>
        </w:rPr>
        <w:t>t/a。主要在检疫检测实验室产生，桶装收集，</w:t>
      </w:r>
      <w:r>
        <w:rPr>
          <w:rFonts w:hint="eastAsia" w:cs="Times New Roman"/>
          <w:color w:val="auto"/>
          <w:szCs w:val="24"/>
          <w:highlight w:val="none"/>
          <w:lang w:eastAsia="zh-CN"/>
        </w:rPr>
        <w:t>含有感染性危险废物的容器</w:t>
      </w:r>
      <w:r>
        <w:rPr>
          <w:rFonts w:cs="Times New Roman"/>
          <w:color w:val="auto"/>
          <w:szCs w:val="24"/>
          <w:highlight w:val="none"/>
        </w:rPr>
        <w:t>，根据《国家危险废物名录（2021版》，属于HW49其他废物，代码</w:t>
      </w:r>
      <w:r>
        <w:rPr>
          <w:rFonts w:hint="eastAsia" w:cs="Times New Roman"/>
          <w:color w:val="auto"/>
          <w:szCs w:val="24"/>
          <w:highlight w:val="none"/>
          <w:lang w:eastAsia="zh-CN"/>
        </w:rPr>
        <w:t>900-041-49</w:t>
      </w:r>
      <w:r>
        <w:rPr>
          <w:rFonts w:cs="Times New Roman"/>
          <w:color w:val="auto"/>
          <w:szCs w:val="24"/>
          <w:highlight w:val="none"/>
        </w:rPr>
        <w:t>，在危险废物暂存</w:t>
      </w:r>
      <w:r>
        <w:rPr>
          <w:rFonts w:hint="eastAsia" w:cs="Times New Roman"/>
          <w:color w:val="auto"/>
          <w:szCs w:val="24"/>
          <w:highlight w:val="none"/>
          <w:lang w:val="en-US" w:eastAsia="zh-CN"/>
        </w:rPr>
        <w:t>点</w:t>
      </w:r>
      <w:r>
        <w:rPr>
          <w:rFonts w:cs="Times New Roman"/>
          <w:color w:val="auto"/>
          <w:szCs w:val="24"/>
          <w:highlight w:val="none"/>
        </w:rPr>
        <w:t>内暂存，定期交由有资质单位处理。</w:t>
      </w:r>
    </w:p>
    <w:p w14:paraId="4A9DB712">
      <w:pPr>
        <w:spacing w:line="500" w:lineRule="exact"/>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（2）废润滑油</w:t>
      </w:r>
    </w:p>
    <w:p w14:paraId="7A4E5E26">
      <w:pPr>
        <w:spacing w:line="500" w:lineRule="exact"/>
        <w:rPr>
          <w:rFonts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val="en-US" w:eastAsia="zh-CN"/>
        </w:rPr>
        <w:t>项目设备检修时会产生废润滑油，废润滑油产生量约为0.0</w:t>
      </w:r>
      <w:r>
        <w:rPr>
          <w:rFonts w:hint="eastAsia" w:cs="Times New Roman"/>
          <w:color w:val="auto"/>
          <w:szCs w:val="24"/>
          <w:highlight w:val="none"/>
          <w:lang w:val="en-US" w:eastAsia="zh-CN"/>
        </w:rPr>
        <w:t>8</w:t>
      </w:r>
      <w:r>
        <w:rPr>
          <w:rFonts w:hint="eastAsia" w:ascii="Times New Roman" w:hAnsi="Times New Roman" w:eastAsia="宋体" w:cs="Times New Roman"/>
          <w:color w:val="auto"/>
          <w:szCs w:val="24"/>
          <w:highlight w:val="none"/>
          <w:lang w:val="en-US" w:eastAsia="zh-CN"/>
        </w:rPr>
        <w:t>t/a，桶装收集，</w:t>
      </w:r>
      <w:r>
        <w:rPr>
          <w:rFonts w:ascii="Times New Roman" w:hAnsi="Times New Roman" w:eastAsia="宋体" w:cs="Times New Roman"/>
          <w:color w:val="auto"/>
          <w:szCs w:val="24"/>
          <w:highlight w:val="none"/>
        </w:rPr>
        <w:t>根据《国家危险废物名录（2021版》，属于HW49其他废物，代码</w:t>
      </w:r>
      <w:r>
        <w:rPr>
          <w:rFonts w:hint="eastAsia" w:ascii="Times New Roman" w:hAnsi="Times New Roman" w:eastAsia="宋体" w:cs="Times New Roman"/>
          <w:color w:val="auto"/>
          <w:szCs w:val="24"/>
          <w:highlight w:val="none"/>
          <w:lang w:eastAsia="zh-CN"/>
        </w:rPr>
        <w:t>900-041-49</w:t>
      </w:r>
      <w:r>
        <w:rPr>
          <w:rFonts w:ascii="Times New Roman" w:hAnsi="Times New Roman" w:eastAsia="宋体" w:cs="Times New Roman"/>
          <w:color w:val="auto"/>
          <w:szCs w:val="24"/>
          <w:highlight w:val="none"/>
        </w:rPr>
        <w:t>，在危险废物暂存</w:t>
      </w:r>
      <w:r>
        <w:rPr>
          <w:rFonts w:hint="eastAsia" w:cs="Times New Roman"/>
          <w:color w:val="auto"/>
          <w:szCs w:val="24"/>
          <w:highlight w:val="none"/>
          <w:lang w:val="en-US" w:eastAsia="zh-CN"/>
        </w:rPr>
        <w:t>点</w:t>
      </w:r>
      <w:r>
        <w:rPr>
          <w:rFonts w:ascii="Times New Roman" w:hAnsi="Times New Roman" w:eastAsia="宋体" w:cs="Times New Roman"/>
          <w:color w:val="auto"/>
          <w:szCs w:val="24"/>
          <w:highlight w:val="none"/>
        </w:rPr>
        <w:t>内暂存，定期交由有资质单位处理。</w:t>
      </w:r>
    </w:p>
    <w:p w14:paraId="416981D9">
      <w:pPr>
        <w:spacing w:line="500" w:lineRule="exact"/>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（3）含油抹布、劳保手套</w:t>
      </w:r>
    </w:p>
    <w:p w14:paraId="3A9B0DA5">
      <w:pPr>
        <w:spacing w:line="500" w:lineRule="exact"/>
        <w:rPr>
          <w:rFonts w:hint="eastAsia" w:cs="Times New Roman"/>
          <w:snapToGrid w:val="0"/>
          <w:color w:val="auto"/>
          <w:highlight w:val="none"/>
          <w:lang w:val="en-US" w:eastAsia="zh-CN"/>
        </w:rPr>
      </w:pPr>
      <w:r>
        <w:rPr>
          <w:rFonts w:hint="eastAsia" w:ascii="Times New Roman" w:hAnsi="Times New Roman" w:eastAsia="宋体" w:cs="Times New Roman"/>
          <w:color w:val="auto"/>
          <w:szCs w:val="24"/>
          <w:highlight w:val="none"/>
          <w:lang w:val="en-US" w:eastAsia="zh-CN"/>
        </w:rPr>
        <w:t>项目设备检修时会产生含油抹布、劳保手套，产生量为0.</w:t>
      </w:r>
      <w:r>
        <w:rPr>
          <w:rFonts w:hint="eastAsia" w:cs="Times New Roman"/>
          <w:color w:val="auto"/>
          <w:szCs w:val="24"/>
          <w:highlight w:val="none"/>
          <w:lang w:val="en-US" w:eastAsia="zh-CN"/>
        </w:rPr>
        <w:t>15</w:t>
      </w:r>
      <w:r>
        <w:rPr>
          <w:rFonts w:hint="eastAsia" w:ascii="Times New Roman" w:hAnsi="Times New Roman" w:eastAsia="宋体" w:cs="Times New Roman"/>
          <w:color w:val="auto"/>
          <w:szCs w:val="24"/>
          <w:highlight w:val="none"/>
          <w:lang w:val="en-US" w:eastAsia="zh-CN"/>
        </w:rPr>
        <w:t>t/a，</w:t>
      </w:r>
      <w:r>
        <w:rPr>
          <w:rFonts w:ascii="Times New Roman" w:hAnsi="Times New Roman" w:eastAsia="宋体" w:cs="Times New Roman"/>
          <w:color w:val="auto"/>
          <w:szCs w:val="24"/>
          <w:highlight w:val="none"/>
        </w:rPr>
        <w:t>《国家危险废物名录（2021版》，属于HW49其他废物，代码</w:t>
      </w:r>
      <w:r>
        <w:rPr>
          <w:rFonts w:hint="eastAsia" w:ascii="Times New Roman" w:hAnsi="Times New Roman" w:eastAsia="宋体" w:cs="Times New Roman"/>
          <w:color w:val="auto"/>
          <w:szCs w:val="24"/>
          <w:highlight w:val="none"/>
          <w:lang w:eastAsia="zh-CN"/>
        </w:rPr>
        <w:t>900-041-49</w:t>
      </w:r>
      <w:r>
        <w:rPr>
          <w:rFonts w:ascii="Times New Roman" w:hAnsi="Times New Roman" w:eastAsia="宋体" w:cs="Times New Roman"/>
          <w:color w:val="auto"/>
          <w:szCs w:val="24"/>
          <w:highlight w:val="none"/>
        </w:rPr>
        <w:t>，</w:t>
      </w:r>
      <w:r>
        <w:rPr>
          <w:rFonts w:hint="eastAsia" w:cs="Times New Roman"/>
          <w:snapToGrid w:val="0"/>
          <w:color w:val="auto"/>
          <w:highlight w:val="none"/>
          <w:lang w:val="en-US" w:eastAsia="zh-CN"/>
        </w:rPr>
        <w:t>集中收集，暂存于</w:t>
      </w:r>
      <w:r>
        <w:rPr>
          <w:rFonts w:hint="eastAsia" w:cs="Times New Roman"/>
          <w:snapToGrid w:val="0"/>
          <w:color w:val="auto"/>
          <w:kern w:val="0"/>
          <w:szCs w:val="21"/>
          <w:highlight w:val="none"/>
          <w:lang w:val="en-US" w:eastAsia="zh-CN"/>
        </w:rPr>
        <w:t>危险废物暂存点</w:t>
      </w:r>
      <w:r>
        <w:rPr>
          <w:rFonts w:hint="eastAsia" w:cs="Times New Roman"/>
          <w:snapToGrid w:val="0"/>
          <w:color w:val="auto"/>
          <w:highlight w:val="none"/>
          <w:lang w:val="en-US" w:eastAsia="zh-CN"/>
        </w:rPr>
        <w:t>内，定期由有资质的单位处置。</w:t>
      </w:r>
    </w:p>
    <w:p w14:paraId="1C156E6A">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w:t>
      </w:r>
      <w:r>
        <w:rPr>
          <w:rFonts w:hint="eastAsia" w:cs="Times New Roman"/>
          <w:snapToGrid w:val="0"/>
          <w:color w:val="auto"/>
          <w:kern w:val="0"/>
          <w:szCs w:val="24"/>
          <w:highlight w:val="none"/>
          <w:lang w:val="en-US" w:eastAsia="zh-CN"/>
        </w:rPr>
        <w:t>4</w:t>
      </w:r>
      <w:r>
        <w:rPr>
          <w:rFonts w:cs="Times New Roman"/>
          <w:snapToGrid w:val="0"/>
          <w:color w:val="auto"/>
          <w:kern w:val="0"/>
          <w:szCs w:val="24"/>
          <w:highlight w:val="none"/>
        </w:rPr>
        <w:t>）废活性炭</w:t>
      </w:r>
    </w:p>
    <w:p w14:paraId="0124AEDA">
      <w:pPr>
        <w:spacing w:line="500" w:lineRule="exact"/>
        <w:rPr>
          <w:rFonts w:hint="default" w:ascii="Times New Roman" w:hAnsi="Times New Roman" w:eastAsia="宋体" w:cs="Times New Roman"/>
          <w:color w:val="auto"/>
          <w:szCs w:val="24"/>
          <w:highlight w:val="none"/>
          <w:lang w:val="en-US" w:eastAsia="zh-CN"/>
        </w:rPr>
      </w:pPr>
      <w:r>
        <w:rPr>
          <w:rFonts w:ascii="Times New Roman" w:hAnsi="Times New Roman" w:eastAsia="宋体" w:cs="Times New Roman"/>
          <w:color w:val="auto"/>
          <w:szCs w:val="24"/>
          <w:highlight w:val="none"/>
        </w:rPr>
        <w:t>本项目运营期产生的恶臭废气，采用活性炭进行处理，本项目</w:t>
      </w:r>
      <w:r>
        <w:rPr>
          <w:rFonts w:hint="eastAsia" w:ascii="Times New Roman" w:hAnsi="Times New Roman" w:eastAsia="宋体" w:cs="Times New Roman"/>
          <w:color w:val="auto"/>
          <w:szCs w:val="24"/>
          <w:highlight w:val="none"/>
          <w:lang w:val="en-US" w:eastAsia="zh-CN"/>
        </w:rPr>
        <w:t>共2个活性炭吸附装置，每个</w:t>
      </w:r>
      <w:r>
        <w:rPr>
          <w:rFonts w:ascii="Times New Roman" w:hAnsi="Times New Roman" w:eastAsia="宋体" w:cs="Times New Roman"/>
          <w:color w:val="auto"/>
          <w:szCs w:val="24"/>
          <w:highlight w:val="none"/>
        </w:rPr>
        <w:t>活性炭的使用量为</w:t>
      </w:r>
      <w:r>
        <w:rPr>
          <w:rFonts w:hint="eastAsia" w:ascii="Times New Roman" w:hAnsi="Times New Roman" w:eastAsia="宋体" w:cs="Times New Roman"/>
          <w:color w:val="auto"/>
          <w:szCs w:val="24"/>
          <w:highlight w:val="none"/>
          <w:lang w:val="en-US" w:eastAsia="zh-CN"/>
        </w:rPr>
        <w:t>0.25</w:t>
      </w:r>
      <w:r>
        <w:rPr>
          <w:rFonts w:ascii="Times New Roman" w:hAnsi="Times New Roman" w:eastAsia="宋体" w:cs="Times New Roman"/>
          <w:color w:val="auto"/>
          <w:szCs w:val="24"/>
          <w:highlight w:val="none"/>
        </w:rPr>
        <w:t>t/a，</w:t>
      </w:r>
      <w:r>
        <w:rPr>
          <w:rFonts w:hint="eastAsia" w:ascii="Times New Roman" w:hAnsi="Times New Roman" w:eastAsia="宋体" w:cs="Times New Roman"/>
          <w:color w:val="auto"/>
          <w:szCs w:val="24"/>
          <w:highlight w:val="none"/>
          <w:lang w:val="en-US" w:eastAsia="zh-CN"/>
        </w:rPr>
        <w:t>每个季度更换一次，则废活性炭的产生量为2t/a，</w:t>
      </w:r>
      <w:r>
        <w:rPr>
          <w:rFonts w:ascii="Times New Roman" w:hAnsi="Times New Roman" w:eastAsia="宋体" w:cs="Times New Roman"/>
          <w:color w:val="auto"/>
          <w:szCs w:val="24"/>
          <w:highlight w:val="none"/>
        </w:rPr>
        <w:t>收集于专用垃圾桶（加盖）后，</w:t>
      </w:r>
      <w:r>
        <w:rPr>
          <w:rFonts w:hint="eastAsia" w:cs="Times New Roman"/>
          <w:snapToGrid w:val="0"/>
          <w:color w:val="auto"/>
          <w:highlight w:val="none"/>
          <w:lang w:val="en-US" w:eastAsia="zh-CN"/>
        </w:rPr>
        <w:t>定期由有资质的单位处置。</w:t>
      </w:r>
    </w:p>
    <w:p w14:paraId="3AA04A28">
      <w:pPr>
        <w:topLinePunct/>
        <w:spacing w:before="163" w:beforeLines="50" w:line="240" w:lineRule="auto"/>
        <w:ind w:firstLine="482"/>
        <w:jc w:val="center"/>
        <w:rPr>
          <w:rFonts w:cs="Times New Roman"/>
          <w:b/>
          <w:color w:val="auto"/>
          <w:highlight w:val="none"/>
        </w:rPr>
      </w:pPr>
    </w:p>
    <w:p w14:paraId="7E83C6A9">
      <w:pPr>
        <w:topLinePunct/>
        <w:spacing w:before="163" w:beforeLines="50" w:line="240" w:lineRule="auto"/>
        <w:ind w:firstLine="482"/>
        <w:jc w:val="center"/>
        <w:rPr>
          <w:rFonts w:cs="Times New Roman"/>
          <w:b/>
          <w:color w:val="auto"/>
          <w:highlight w:val="none"/>
        </w:rPr>
      </w:pPr>
      <w:r>
        <w:rPr>
          <w:rFonts w:cs="Times New Roman"/>
          <w:b/>
          <w:color w:val="auto"/>
          <w:highlight w:val="none"/>
        </w:rPr>
        <w:t>表3-4-13项目危险废物一览表</w:t>
      </w:r>
    </w:p>
    <w:tbl>
      <w:tblPr>
        <w:tblStyle w:val="47"/>
        <w:tblW w:w="94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
        <w:gridCol w:w="800"/>
        <w:gridCol w:w="900"/>
        <w:gridCol w:w="850"/>
        <w:gridCol w:w="862"/>
        <w:gridCol w:w="975"/>
        <w:gridCol w:w="500"/>
        <w:gridCol w:w="813"/>
        <w:gridCol w:w="802"/>
        <w:gridCol w:w="693"/>
        <w:gridCol w:w="690"/>
        <w:gridCol w:w="1122"/>
      </w:tblGrid>
      <w:tr w14:paraId="2DEF30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436" w:type="dxa"/>
            <w:tcBorders>
              <w:tl2br w:val="nil"/>
              <w:tr2bl w:val="nil"/>
            </w:tcBorders>
            <w:vAlign w:val="center"/>
          </w:tcPr>
          <w:p w14:paraId="6731AF56">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序号</w:t>
            </w:r>
          </w:p>
        </w:tc>
        <w:tc>
          <w:tcPr>
            <w:tcW w:w="800" w:type="dxa"/>
            <w:tcBorders>
              <w:tl2br w:val="nil"/>
              <w:tr2bl w:val="nil"/>
            </w:tcBorders>
            <w:vAlign w:val="center"/>
          </w:tcPr>
          <w:p w14:paraId="2EE81121">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危险废物名称</w:t>
            </w:r>
          </w:p>
        </w:tc>
        <w:tc>
          <w:tcPr>
            <w:tcW w:w="900" w:type="dxa"/>
            <w:tcBorders>
              <w:tl2br w:val="nil"/>
              <w:tr2bl w:val="nil"/>
            </w:tcBorders>
            <w:vAlign w:val="center"/>
          </w:tcPr>
          <w:p w14:paraId="153142AA">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危险废物类别</w:t>
            </w:r>
          </w:p>
        </w:tc>
        <w:tc>
          <w:tcPr>
            <w:tcW w:w="850" w:type="dxa"/>
            <w:tcBorders>
              <w:tl2br w:val="nil"/>
              <w:tr2bl w:val="nil"/>
            </w:tcBorders>
            <w:vAlign w:val="center"/>
          </w:tcPr>
          <w:p w14:paraId="5089DB73">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危险废物代码</w:t>
            </w:r>
          </w:p>
        </w:tc>
        <w:tc>
          <w:tcPr>
            <w:tcW w:w="862" w:type="dxa"/>
            <w:tcBorders>
              <w:tl2br w:val="nil"/>
              <w:tr2bl w:val="nil"/>
            </w:tcBorders>
            <w:vAlign w:val="center"/>
          </w:tcPr>
          <w:p w14:paraId="329948D4">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产生量（t/a）</w:t>
            </w:r>
          </w:p>
        </w:tc>
        <w:tc>
          <w:tcPr>
            <w:tcW w:w="975" w:type="dxa"/>
            <w:tcBorders>
              <w:tl2br w:val="nil"/>
              <w:tr2bl w:val="nil"/>
            </w:tcBorders>
            <w:vAlign w:val="center"/>
          </w:tcPr>
          <w:p w14:paraId="381CA90B">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产生工序/装置</w:t>
            </w:r>
          </w:p>
        </w:tc>
        <w:tc>
          <w:tcPr>
            <w:tcW w:w="500" w:type="dxa"/>
            <w:tcBorders>
              <w:tl2br w:val="nil"/>
              <w:tr2bl w:val="nil"/>
            </w:tcBorders>
            <w:vAlign w:val="center"/>
          </w:tcPr>
          <w:p w14:paraId="33DBBE45">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形态</w:t>
            </w:r>
          </w:p>
        </w:tc>
        <w:tc>
          <w:tcPr>
            <w:tcW w:w="813" w:type="dxa"/>
            <w:tcBorders>
              <w:tl2br w:val="nil"/>
              <w:tr2bl w:val="nil"/>
            </w:tcBorders>
            <w:vAlign w:val="center"/>
          </w:tcPr>
          <w:p w14:paraId="446CC114">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主要成分</w:t>
            </w:r>
          </w:p>
        </w:tc>
        <w:tc>
          <w:tcPr>
            <w:tcW w:w="802" w:type="dxa"/>
            <w:tcBorders>
              <w:tl2br w:val="nil"/>
              <w:tr2bl w:val="nil"/>
            </w:tcBorders>
            <w:vAlign w:val="center"/>
          </w:tcPr>
          <w:p w14:paraId="544C1857">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有害成分</w:t>
            </w:r>
          </w:p>
        </w:tc>
        <w:tc>
          <w:tcPr>
            <w:tcW w:w="693" w:type="dxa"/>
            <w:tcBorders>
              <w:tl2br w:val="nil"/>
              <w:tr2bl w:val="nil"/>
            </w:tcBorders>
            <w:vAlign w:val="center"/>
          </w:tcPr>
          <w:p w14:paraId="624F2CCB">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产废周期</w:t>
            </w:r>
          </w:p>
        </w:tc>
        <w:tc>
          <w:tcPr>
            <w:tcW w:w="690" w:type="dxa"/>
            <w:tcBorders>
              <w:tl2br w:val="nil"/>
              <w:tr2bl w:val="nil"/>
            </w:tcBorders>
            <w:vAlign w:val="center"/>
          </w:tcPr>
          <w:p w14:paraId="6DE70F58">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危险</w:t>
            </w:r>
          </w:p>
          <w:p w14:paraId="54E1EA79">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特性</w:t>
            </w:r>
          </w:p>
        </w:tc>
        <w:tc>
          <w:tcPr>
            <w:tcW w:w="1122" w:type="dxa"/>
            <w:tcBorders>
              <w:tl2br w:val="nil"/>
              <w:tr2bl w:val="nil"/>
            </w:tcBorders>
            <w:vAlign w:val="center"/>
          </w:tcPr>
          <w:p w14:paraId="570E2A8C">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污染防治措施</w:t>
            </w:r>
          </w:p>
        </w:tc>
      </w:tr>
      <w:tr w14:paraId="0392F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4" w:hRule="atLeast"/>
          <w:jc w:val="center"/>
        </w:trPr>
        <w:tc>
          <w:tcPr>
            <w:tcW w:w="436" w:type="dxa"/>
            <w:tcBorders>
              <w:tl2br w:val="nil"/>
              <w:tr2bl w:val="nil"/>
            </w:tcBorders>
            <w:vAlign w:val="center"/>
          </w:tcPr>
          <w:p w14:paraId="2072DEFA">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1</w:t>
            </w:r>
          </w:p>
        </w:tc>
        <w:tc>
          <w:tcPr>
            <w:tcW w:w="800" w:type="dxa"/>
            <w:tcBorders>
              <w:tl2br w:val="nil"/>
              <w:tr2bl w:val="nil"/>
            </w:tcBorders>
            <w:vAlign w:val="center"/>
          </w:tcPr>
          <w:p w14:paraId="6A3655E6">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检疫废物</w:t>
            </w:r>
          </w:p>
        </w:tc>
        <w:tc>
          <w:tcPr>
            <w:tcW w:w="900" w:type="dxa"/>
            <w:tcBorders>
              <w:tl2br w:val="nil"/>
              <w:tr2bl w:val="nil"/>
            </w:tcBorders>
            <w:vAlign w:val="center"/>
          </w:tcPr>
          <w:p w14:paraId="13A88FDB">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HW49其他废物</w:t>
            </w:r>
          </w:p>
        </w:tc>
        <w:tc>
          <w:tcPr>
            <w:tcW w:w="850" w:type="dxa"/>
            <w:tcBorders>
              <w:tl2br w:val="nil"/>
              <w:tr2bl w:val="nil"/>
            </w:tcBorders>
            <w:vAlign w:val="center"/>
          </w:tcPr>
          <w:p w14:paraId="523D8DCC">
            <w:pPr>
              <w:topLinePunct/>
              <w:spacing w:line="360" w:lineRule="exact"/>
              <w:ind w:firstLine="0" w:firstLineChars="0"/>
              <w:jc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900-041-49</w:t>
            </w:r>
          </w:p>
        </w:tc>
        <w:tc>
          <w:tcPr>
            <w:tcW w:w="862" w:type="dxa"/>
            <w:tcBorders>
              <w:tl2br w:val="nil"/>
              <w:tr2bl w:val="nil"/>
            </w:tcBorders>
            <w:vAlign w:val="center"/>
          </w:tcPr>
          <w:p w14:paraId="7E8E0FF6">
            <w:pPr>
              <w:topLinePunct/>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0.3</w:t>
            </w:r>
          </w:p>
        </w:tc>
        <w:tc>
          <w:tcPr>
            <w:tcW w:w="975" w:type="dxa"/>
            <w:tcBorders>
              <w:tl2br w:val="nil"/>
              <w:tr2bl w:val="nil"/>
            </w:tcBorders>
            <w:vAlign w:val="center"/>
          </w:tcPr>
          <w:p w14:paraId="584497AE">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化验室</w:t>
            </w:r>
          </w:p>
        </w:tc>
        <w:tc>
          <w:tcPr>
            <w:tcW w:w="500" w:type="dxa"/>
            <w:tcBorders>
              <w:tl2br w:val="nil"/>
              <w:tr2bl w:val="nil"/>
            </w:tcBorders>
            <w:vAlign w:val="center"/>
          </w:tcPr>
          <w:p w14:paraId="2FEF04A2">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固态</w:t>
            </w:r>
          </w:p>
        </w:tc>
        <w:tc>
          <w:tcPr>
            <w:tcW w:w="813" w:type="dxa"/>
            <w:tcBorders>
              <w:tl2br w:val="nil"/>
              <w:tr2bl w:val="nil"/>
            </w:tcBorders>
            <w:vAlign w:val="center"/>
          </w:tcPr>
          <w:p w14:paraId="4392E6A5">
            <w:pPr>
              <w:topLinePunct/>
              <w:spacing w:line="360" w:lineRule="exact"/>
              <w:ind w:firstLine="0" w:firstLineChars="0"/>
              <w:jc w:val="center"/>
              <w:rPr>
                <w:rFonts w:cs="Times New Roman"/>
                <w:color w:val="auto"/>
                <w:kern w:val="0"/>
                <w:sz w:val="21"/>
                <w:szCs w:val="21"/>
                <w:highlight w:val="none"/>
              </w:rPr>
            </w:pPr>
            <w:r>
              <w:rPr>
                <w:rFonts w:hint="eastAsia" w:cs="Times New Roman"/>
                <w:color w:val="auto"/>
                <w:sz w:val="21"/>
                <w:szCs w:val="21"/>
                <w:highlight w:val="none"/>
                <w:lang w:eastAsia="zh-CN"/>
              </w:rPr>
              <w:t>感染性危险废物</w:t>
            </w:r>
          </w:p>
        </w:tc>
        <w:tc>
          <w:tcPr>
            <w:tcW w:w="802" w:type="dxa"/>
            <w:tcBorders>
              <w:tl2br w:val="nil"/>
              <w:tr2bl w:val="nil"/>
            </w:tcBorders>
            <w:vAlign w:val="center"/>
          </w:tcPr>
          <w:p w14:paraId="201C1269">
            <w:pPr>
              <w:topLinePunct/>
              <w:spacing w:line="360" w:lineRule="exact"/>
              <w:ind w:firstLine="0" w:firstLineChars="0"/>
              <w:jc w:val="center"/>
              <w:rPr>
                <w:rFonts w:cs="Times New Roman"/>
                <w:color w:val="auto"/>
                <w:kern w:val="0"/>
                <w:sz w:val="21"/>
                <w:szCs w:val="21"/>
                <w:highlight w:val="none"/>
              </w:rPr>
            </w:pPr>
            <w:r>
              <w:rPr>
                <w:rFonts w:hint="eastAsia" w:cs="Times New Roman"/>
                <w:color w:val="auto"/>
                <w:sz w:val="21"/>
                <w:szCs w:val="21"/>
                <w:highlight w:val="none"/>
                <w:lang w:eastAsia="zh-CN"/>
              </w:rPr>
              <w:t>感染性危险废物</w:t>
            </w:r>
          </w:p>
        </w:tc>
        <w:tc>
          <w:tcPr>
            <w:tcW w:w="693" w:type="dxa"/>
            <w:tcBorders>
              <w:tl2br w:val="nil"/>
              <w:tr2bl w:val="nil"/>
            </w:tcBorders>
            <w:vAlign w:val="center"/>
          </w:tcPr>
          <w:p w14:paraId="6BB38E7E">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1d</w:t>
            </w:r>
          </w:p>
        </w:tc>
        <w:tc>
          <w:tcPr>
            <w:tcW w:w="690" w:type="dxa"/>
            <w:tcBorders>
              <w:tl2br w:val="nil"/>
              <w:tr2bl w:val="nil"/>
            </w:tcBorders>
            <w:vAlign w:val="center"/>
          </w:tcPr>
          <w:p w14:paraId="3219010C">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T</w:t>
            </w:r>
            <w:r>
              <w:rPr>
                <w:rFonts w:hint="eastAsia" w:cs="Times New Roman"/>
                <w:color w:val="auto"/>
                <w:kern w:val="0"/>
                <w:sz w:val="21"/>
                <w:szCs w:val="21"/>
                <w:highlight w:val="none"/>
                <w:lang w:eastAsia="zh-CN"/>
              </w:rPr>
              <w:t>，</w:t>
            </w:r>
            <w:r>
              <w:rPr>
                <w:rFonts w:cs="Times New Roman"/>
                <w:color w:val="auto"/>
                <w:kern w:val="0"/>
                <w:sz w:val="21"/>
                <w:szCs w:val="21"/>
                <w:highlight w:val="none"/>
              </w:rPr>
              <w:t>I</w:t>
            </w:r>
          </w:p>
        </w:tc>
        <w:tc>
          <w:tcPr>
            <w:tcW w:w="1122" w:type="dxa"/>
            <w:tcBorders>
              <w:tl2br w:val="nil"/>
              <w:tr2bl w:val="nil"/>
            </w:tcBorders>
            <w:vAlign w:val="center"/>
          </w:tcPr>
          <w:p w14:paraId="4EC23529">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危险废物暂存</w:t>
            </w:r>
            <w:r>
              <w:rPr>
                <w:rFonts w:hint="eastAsia" w:cs="Times New Roman"/>
                <w:color w:val="auto"/>
                <w:kern w:val="0"/>
                <w:sz w:val="21"/>
                <w:szCs w:val="21"/>
                <w:highlight w:val="none"/>
                <w:lang w:val="en-US" w:eastAsia="zh-CN"/>
              </w:rPr>
              <w:t>点</w:t>
            </w:r>
            <w:r>
              <w:rPr>
                <w:rFonts w:cs="Times New Roman"/>
                <w:color w:val="auto"/>
                <w:kern w:val="0"/>
                <w:sz w:val="21"/>
                <w:szCs w:val="21"/>
                <w:highlight w:val="none"/>
              </w:rPr>
              <w:t>内暂存</w:t>
            </w:r>
          </w:p>
        </w:tc>
      </w:tr>
      <w:tr w14:paraId="6567A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4" w:hRule="atLeast"/>
          <w:jc w:val="center"/>
        </w:trPr>
        <w:tc>
          <w:tcPr>
            <w:tcW w:w="436" w:type="dxa"/>
            <w:tcBorders>
              <w:tl2br w:val="nil"/>
              <w:tr2bl w:val="nil"/>
            </w:tcBorders>
            <w:vAlign w:val="center"/>
          </w:tcPr>
          <w:p w14:paraId="708CBC55">
            <w:pPr>
              <w:topLinePunct/>
              <w:spacing w:line="360" w:lineRule="exact"/>
              <w:ind w:firstLine="0" w:firstLineChars="0"/>
              <w:jc w:val="center"/>
              <w:rPr>
                <w:rFonts w:hint="eastAsia"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800" w:type="dxa"/>
            <w:tcBorders>
              <w:tl2br w:val="nil"/>
              <w:tr2bl w:val="nil"/>
            </w:tcBorders>
            <w:vAlign w:val="center"/>
          </w:tcPr>
          <w:p w14:paraId="6F251E2A">
            <w:pPr>
              <w:topLinePunct/>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废润滑油</w:t>
            </w:r>
          </w:p>
        </w:tc>
        <w:tc>
          <w:tcPr>
            <w:tcW w:w="900" w:type="dxa"/>
            <w:tcBorders>
              <w:tl2br w:val="nil"/>
              <w:tr2bl w:val="nil"/>
            </w:tcBorders>
            <w:vAlign w:val="center"/>
          </w:tcPr>
          <w:p w14:paraId="37545D17">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HW08</w:t>
            </w:r>
          </w:p>
          <w:p w14:paraId="55EDBDFF">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废矿物油与含矿物油废物</w:t>
            </w:r>
          </w:p>
        </w:tc>
        <w:tc>
          <w:tcPr>
            <w:tcW w:w="850" w:type="dxa"/>
            <w:tcBorders>
              <w:tl2br w:val="nil"/>
              <w:tr2bl w:val="nil"/>
            </w:tcBorders>
            <w:vAlign w:val="center"/>
          </w:tcPr>
          <w:p w14:paraId="0C275F94">
            <w:pPr>
              <w:topLinePunct/>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900-</w:t>
            </w:r>
            <w:r>
              <w:rPr>
                <w:rFonts w:hint="eastAsia" w:ascii="Times New Roman" w:hAnsi="Times New Roman" w:eastAsia="宋体" w:cs="Times New Roman"/>
                <w:color w:val="auto"/>
                <w:sz w:val="21"/>
                <w:szCs w:val="21"/>
                <w:highlight w:val="none"/>
                <w:lang w:val="en-US" w:eastAsia="zh-CN"/>
              </w:rPr>
              <w:t>214</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08</w:t>
            </w:r>
          </w:p>
        </w:tc>
        <w:tc>
          <w:tcPr>
            <w:tcW w:w="862" w:type="dxa"/>
            <w:tcBorders>
              <w:tl2br w:val="nil"/>
              <w:tr2bl w:val="nil"/>
            </w:tcBorders>
            <w:vAlign w:val="center"/>
          </w:tcPr>
          <w:p w14:paraId="24831632">
            <w:pPr>
              <w:topLinePunct/>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8</w:t>
            </w:r>
          </w:p>
        </w:tc>
        <w:tc>
          <w:tcPr>
            <w:tcW w:w="975" w:type="dxa"/>
            <w:tcBorders>
              <w:tl2br w:val="nil"/>
              <w:tr2bl w:val="nil"/>
            </w:tcBorders>
            <w:vAlign w:val="center"/>
          </w:tcPr>
          <w:p w14:paraId="5616FA2A">
            <w:pPr>
              <w:topLinePunct/>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生产车间</w:t>
            </w:r>
          </w:p>
        </w:tc>
        <w:tc>
          <w:tcPr>
            <w:tcW w:w="500" w:type="dxa"/>
            <w:tcBorders>
              <w:tl2br w:val="nil"/>
              <w:tr2bl w:val="nil"/>
            </w:tcBorders>
            <w:vAlign w:val="center"/>
          </w:tcPr>
          <w:p w14:paraId="58EDF600">
            <w:pPr>
              <w:topLinePunct/>
              <w:spacing w:line="360" w:lineRule="exact"/>
              <w:ind w:firstLine="0" w:firstLineChars="0"/>
              <w:jc w:val="center"/>
              <w:rPr>
                <w:rFonts w:hint="eastAsia"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液态</w:t>
            </w:r>
          </w:p>
        </w:tc>
        <w:tc>
          <w:tcPr>
            <w:tcW w:w="813" w:type="dxa"/>
            <w:tcBorders>
              <w:tl2br w:val="nil"/>
              <w:tr2bl w:val="nil"/>
            </w:tcBorders>
            <w:vAlign w:val="center"/>
          </w:tcPr>
          <w:p w14:paraId="4DB939BC">
            <w:pPr>
              <w:topLinePunct/>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矿物油</w:t>
            </w:r>
          </w:p>
        </w:tc>
        <w:tc>
          <w:tcPr>
            <w:tcW w:w="802" w:type="dxa"/>
            <w:tcBorders>
              <w:tl2br w:val="nil"/>
              <w:tr2bl w:val="nil"/>
            </w:tcBorders>
            <w:vAlign w:val="center"/>
          </w:tcPr>
          <w:p w14:paraId="42F79D6D">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矿物油</w:t>
            </w:r>
          </w:p>
        </w:tc>
        <w:tc>
          <w:tcPr>
            <w:tcW w:w="693" w:type="dxa"/>
            <w:tcBorders>
              <w:tl2br w:val="nil"/>
              <w:tr2bl w:val="nil"/>
            </w:tcBorders>
            <w:vAlign w:val="center"/>
          </w:tcPr>
          <w:p w14:paraId="61B6547E">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1d</w:t>
            </w:r>
          </w:p>
        </w:tc>
        <w:tc>
          <w:tcPr>
            <w:tcW w:w="690" w:type="dxa"/>
            <w:tcBorders>
              <w:tl2br w:val="nil"/>
              <w:tr2bl w:val="nil"/>
            </w:tcBorders>
            <w:vAlign w:val="center"/>
          </w:tcPr>
          <w:p w14:paraId="21F168A1">
            <w:pPr>
              <w:topLinePunct/>
              <w:spacing w:line="360" w:lineRule="exact"/>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rPr>
              <w:t>T，I</w:t>
            </w:r>
          </w:p>
        </w:tc>
        <w:tc>
          <w:tcPr>
            <w:tcW w:w="1122" w:type="dxa"/>
            <w:tcBorders>
              <w:tl2br w:val="nil"/>
              <w:tr2bl w:val="nil"/>
            </w:tcBorders>
            <w:vAlign w:val="center"/>
          </w:tcPr>
          <w:p w14:paraId="790BEACE">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危险废物暂存</w:t>
            </w:r>
            <w:r>
              <w:rPr>
                <w:rFonts w:hint="eastAsia" w:cs="Times New Roman"/>
                <w:color w:val="auto"/>
                <w:kern w:val="0"/>
                <w:sz w:val="21"/>
                <w:szCs w:val="21"/>
                <w:highlight w:val="none"/>
                <w:lang w:val="en-US" w:eastAsia="zh-CN"/>
              </w:rPr>
              <w:t>点</w:t>
            </w:r>
            <w:r>
              <w:rPr>
                <w:rFonts w:cs="Times New Roman"/>
                <w:color w:val="auto"/>
                <w:kern w:val="0"/>
                <w:sz w:val="21"/>
                <w:szCs w:val="21"/>
                <w:highlight w:val="none"/>
              </w:rPr>
              <w:t>内暂存</w:t>
            </w:r>
          </w:p>
        </w:tc>
      </w:tr>
      <w:tr w14:paraId="372241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4" w:hRule="atLeast"/>
          <w:jc w:val="center"/>
        </w:trPr>
        <w:tc>
          <w:tcPr>
            <w:tcW w:w="436" w:type="dxa"/>
            <w:tcBorders>
              <w:tl2br w:val="nil"/>
              <w:tr2bl w:val="nil"/>
            </w:tcBorders>
            <w:vAlign w:val="center"/>
          </w:tcPr>
          <w:p w14:paraId="632B58CF">
            <w:pPr>
              <w:topLinePunct/>
              <w:spacing w:line="360" w:lineRule="exact"/>
              <w:ind w:firstLine="0" w:firstLineChars="0"/>
              <w:jc w:val="center"/>
              <w:rPr>
                <w:rFonts w:hint="eastAsia"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w:t>
            </w:r>
          </w:p>
        </w:tc>
        <w:tc>
          <w:tcPr>
            <w:tcW w:w="800" w:type="dxa"/>
            <w:tcBorders>
              <w:tl2br w:val="nil"/>
              <w:tr2bl w:val="nil"/>
            </w:tcBorders>
            <w:vAlign w:val="center"/>
          </w:tcPr>
          <w:p w14:paraId="7F525DFA">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含油抹布、劳保手套</w:t>
            </w:r>
          </w:p>
        </w:tc>
        <w:tc>
          <w:tcPr>
            <w:tcW w:w="900" w:type="dxa"/>
            <w:tcBorders>
              <w:tl2br w:val="nil"/>
              <w:tr2bl w:val="nil"/>
            </w:tcBorders>
            <w:vAlign w:val="center"/>
          </w:tcPr>
          <w:p w14:paraId="1BA9F3A1">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HW49其他废物</w:t>
            </w:r>
          </w:p>
        </w:tc>
        <w:tc>
          <w:tcPr>
            <w:tcW w:w="850" w:type="dxa"/>
            <w:tcBorders>
              <w:tl2br w:val="nil"/>
              <w:tr2bl w:val="nil"/>
            </w:tcBorders>
            <w:vAlign w:val="center"/>
          </w:tcPr>
          <w:p w14:paraId="57E85D98">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900-041-49</w:t>
            </w:r>
          </w:p>
        </w:tc>
        <w:tc>
          <w:tcPr>
            <w:tcW w:w="862" w:type="dxa"/>
            <w:tcBorders>
              <w:tl2br w:val="nil"/>
              <w:tr2bl w:val="nil"/>
            </w:tcBorders>
            <w:vAlign w:val="center"/>
          </w:tcPr>
          <w:p w14:paraId="14BD9B28">
            <w:pPr>
              <w:topLinePunct/>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5</w:t>
            </w:r>
          </w:p>
        </w:tc>
        <w:tc>
          <w:tcPr>
            <w:tcW w:w="975" w:type="dxa"/>
            <w:tcBorders>
              <w:tl2br w:val="nil"/>
              <w:tr2bl w:val="nil"/>
            </w:tcBorders>
            <w:vAlign w:val="center"/>
          </w:tcPr>
          <w:p w14:paraId="4151AF72">
            <w:pPr>
              <w:topLinePunct/>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生产车间</w:t>
            </w:r>
          </w:p>
        </w:tc>
        <w:tc>
          <w:tcPr>
            <w:tcW w:w="500" w:type="dxa"/>
            <w:tcBorders>
              <w:tl2br w:val="nil"/>
              <w:tr2bl w:val="nil"/>
            </w:tcBorders>
            <w:vAlign w:val="center"/>
          </w:tcPr>
          <w:p w14:paraId="5C377EAD">
            <w:pPr>
              <w:topLinePunct/>
              <w:spacing w:line="360" w:lineRule="exact"/>
              <w:ind w:firstLine="0" w:firstLineChars="0"/>
              <w:jc w:val="center"/>
              <w:rPr>
                <w:rFonts w:hint="eastAsia"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固态</w:t>
            </w:r>
          </w:p>
        </w:tc>
        <w:tc>
          <w:tcPr>
            <w:tcW w:w="813" w:type="dxa"/>
            <w:tcBorders>
              <w:tl2br w:val="nil"/>
              <w:tr2bl w:val="nil"/>
            </w:tcBorders>
            <w:vAlign w:val="center"/>
          </w:tcPr>
          <w:p w14:paraId="69D9D177">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矿物油</w:t>
            </w:r>
          </w:p>
        </w:tc>
        <w:tc>
          <w:tcPr>
            <w:tcW w:w="802" w:type="dxa"/>
            <w:tcBorders>
              <w:tl2br w:val="nil"/>
              <w:tr2bl w:val="nil"/>
            </w:tcBorders>
            <w:vAlign w:val="center"/>
          </w:tcPr>
          <w:p w14:paraId="62090074">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矿物油</w:t>
            </w:r>
          </w:p>
        </w:tc>
        <w:tc>
          <w:tcPr>
            <w:tcW w:w="693" w:type="dxa"/>
            <w:tcBorders>
              <w:tl2br w:val="nil"/>
              <w:tr2bl w:val="nil"/>
            </w:tcBorders>
            <w:vAlign w:val="center"/>
          </w:tcPr>
          <w:p w14:paraId="4BB9A0FE">
            <w:pPr>
              <w:topLinePunct/>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1d</w:t>
            </w:r>
          </w:p>
        </w:tc>
        <w:tc>
          <w:tcPr>
            <w:tcW w:w="690" w:type="dxa"/>
            <w:tcBorders>
              <w:tl2br w:val="nil"/>
              <w:tr2bl w:val="nil"/>
            </w:tcBorders>
            <w:vAlign w:val="center"/>
          </w:tcPr>
          <w:p w14:paraId="4321C99C">
            <w:pPr>
              <w:topLinePunct/>
              <w:spacing w:line="360" w:lineRule="exact"/>
              <w:ind w:firstLine="0" w:firstLineChars="0"/>
              <w:jc w:val="center"/>
              <w:rPr>
                <w:rFonts w:cs="Times New Roman"/>
                <w:color w:val="auto"/>
                <w:kern w:val="0"/>
                <w:sz w:val="21"/>
                <w:szCs w:val="21"/>
                <w:highlight w:val="none"/>
              </w:rPr>
            </w:pPr>
            <w:r>
              <w:rPr>
                <w:rFonts w:hint="eastAsia" w:cs="Times New Roman"/>
                <w:color w:val="auto"/>
                <w:kern w:val="0"/>
                <w:sz w:val="21"/>
                <w:szCs w:val="21"/>
                <w:highlight w:val="none"/>
              </w:rPr>
              <w:t>T，I</w:t>
            </w:r>
          </w:p>
        </w:tc>
        <w:tc>
          <w:tcPr>
            <w:tcW w:w="1122" w:type="dxa"/>
            <w:tcBorders>
              <w:tl2br w:val="nil"/>
              <w:tr2bl w:val="nil"/>
            </w:tcBorders>
            <w:vAlign w:val="center"/>
          </w:tcPr>
          <w:p w14:paraId="44382EF1">
            <w:pPr>
              <w:topLinePunct/>
              <w:spacing w:line="360" w:lineRule="exact"/>
              <w:ind w:firstLine="0" w:firstLineChars="0"/>
              <w:jc w:val="center"/>
              <w:rPr>
                <w:rFonts w:hint="default" w:eastAsia="宋体" w:cs="Times New Roman"/>
                <w:color w:val="auto"/>
                <w:kern w:val="0"/>
                <w:sz w:val="21"/>
                <w:szCs w:val="21"/>
                <w:highlight w:val="none"/>
                <w:lang w:val="en-US" w:eastAsia="zh-CN"/>
              </w:rPr>
            </w:pPr>
            <w:r>
              <w:rPr>
                <w:rFonts w:cs="Times New Roman"/>
                <w:color w:val="auto"/>
                <w:kern w:val="0"/>
                <w:sz w:val="21"/>
                <w:szCs w:val="21"/>
                <w:highlight w:val="none"/>
              </w:rPr>
              <w:t>危险废物暂存</w:t>
            </w:r>
            <w:r>
              <w:rPr>
                <w:rFonts w:hint="eastAsia" w:cs="Times New Roman"/>
                <w:color w:val="auto"/>
                <w:kern w:val="0"/>
                <w:sz w:val="21"/>
                <w:szCs w:val="21"/>
                <w:highlight w:val="none"/>
                <w:lang w:val="en-US" w:eastAsia="zh-CN"/>
              </w:rPr>
              <w:t>点</w:t>
            </w:r>
            <w:r>
              <w:rPr>
                <w:rFonts w:cs="Times New Roman"/>
                <w:color w:val="auto"/>
                <w:kern w:val="0"/>
                <w:sz w:val="21"/>
                <w:szCs w:val="21"/>
                <w:highlight w:val="none"/>
              </w:rPr>
              <w:t>内暂存</w:t>
            </w:r>
          </w:p>
        </w:tc>
      </w:tr>
      <w:tr w14:paraId="44F42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4" w:hRule="atLeast"/>
          <w:jc w:val="center"/>
        </w:trPr>
        <w:tc>
          <w:tcPr>
            <w:tcW w:w="436" w:type="dxa"/>
            <w:tcBorders>
              <w:tl2br w:val="nil"/>
              <w:tr2bl w:val="nil"/>
            </w:tcBorders>
            <w:vAlign w:val="center"/>
          </w:tcPr>
          <w:p w14:paraId="1140FCFA">
            <w:pPr>
              <w:topLinePunct/>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w:t>
            </w:r>
          </w:p>
        </w:tc>
        <w:tc>
          <w:tcPr>
            <w:tcW w:w="800" w:type="dxa"/>
            <w:tcBorders>
              <w:tl2br w:val="nil"/>
              <w:tr2bl w:val="nil"/>
            </w:tcBorders>
            <w:vAlign w:val="center"/>
          </w:tcPr>
          <w:p w14:paraId="2AD9992C">
            <w:pPr>
              <w:topLinePunct/>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废活性炭</w:t>
            </w:r>
          </w:p>
        </w:tc>
        <w:tc>
          <w:tcPr>
            <w:tcW w:w="900" w:type="dxa"/>
            <w:tcBorders>
              <w:tl2br w:val="nil"/>
              <w:tr2bl w:val="nil"/>
            </w:tcBorders>
            <w:vAlign w:val="center"/>
          </w:tcPr>
          <w:p w14:paraId="2A81C88F">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HW49其他废物</w:t>
            </w:r>
          </w:p>
        </w:tc>
        <w:tc>
          <w:tcPr>
            <w:tcW w:w="850" w:type="dxa"/>
            <w:tcBorders>
              <w:tl2br w:val="nil"/>
              <w:tr2bl w:val="nil"/>
            </w:tcBorders>
            <w:vAlign w:val="center"/>
          </w:tcPr>
          <w:p w14:paraId="08A27344">
            <w:pPr>
              <w:topLinePunct/>
              <w:spacing w:line="36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900</w:t>
            </w:r>
            <w:r>
              <w:rPr>
                <w:rFonts w:hint="default" w:ascii="Times New Roman" w:hAnsi="Times New Roman" w:eastAsia="宋体" w:cs="Times New Roman"/>
                <w:color w:val="auto"/>
                <w:sz w:val="21"/>
                <w:szCs w:val="21"/>
                <w:highlight w:val="none"/>
                <w:lang w:eastAsia="zh-CN"/>
              </w:rPr>
              <w:t>-039-49</w:t>
            </w:r>
          </w:p>
        </w:tc>
        <w:tc>
          <w:tcPr>
            <w:tcW w:w="862" w:type="dxa"/>
            <w:tcBorders>
              <w:tl2br w:val="nil"/>
              <w:tr2bl w:val="nil"/>
            </w:tcBorders>
            <w:vAlign w:val="center"/>
          </w:tcPr>
          <w:p w14:paraId="65D57A47">
            <w:pPr>
              <w:topLinePunct/>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975" w:type="dxa"/>
            <w:tcBorders>
              <w:tl2br w:val="nil"/>
              <w:tr2bl w:val="nil"/>
            </w:tcBorders>
            <w:vAlign w:val="center"/>
          </w:tcPr>
          <w:p w14:paraId="363D7B22">
            <w:pPr>
              <w:topLinePunct/>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生产车间、污水处理站</w:t>
            </w:r>
          </w:p>
        </w:tc>
        <w:tc>
          <w:tcPr>
            <w:tcW w:w="500" w:type="dxa"/>
            <w:tcBorders>
              <w:tl2br w:val="nil"/>
              <w:tr2bl w:val="nil"/>
            </w:tcBorders>
            <w:vAlign w:val="center"/>
          </w:tcPr>
          <w:p w14:paraId="63683886">
            <w:pPr>
              <w:topLinePunct/>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固态</w:t>
            </w:r>
          </w:p>
        </w:tc>
        <w:tc>
          <w:tcPr>
            <w:tcW w:w="813" w:type="dxa"/>
            <w:tcBorders>
              <w:tl2br w:val="nil"/>
              <w:tr2bl w:val="nil"/>
            </w:tcBorders>
            <w:vAlign w:val="center"/>
          </w:tcPr>
          <w:p w14:paraId="2FC3192C">
            <w:pPr>
              <w:topLinePunct/>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挥发性有机化合物</w:t>
            </w:r>
          </w:p>
        </w:tc>
        <w:tc>
          <w:tcPr>
            <w:tcW w:w="802" w:type="dxa"/>
            <w:tcBorders>
              <w:tl2br w:val="nil"/>
              <w:tr2bl w:val="nil"/>
            </w:tcBorders>
            <w:vAlign w:val="center"/>
          </w:tcPr>
          <w:p w14:paraId="6CE98CCC">
            <w:pPr>
              <w:topLinePunct/>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挥发性有机化合物</w:t>
            </w:r>
          </w:p>
        </w:tc>
        <w:tc>
          <w:tcPr>
            <w:tcW w:w="693" w:type="dxa"/>
            <w:tcBorders>
              <w:tl2br w:val="nil"/>
              <w:tr2bl w:val="nil"/>
            </w:tcBorders>
            <w:shd w:val="clear" w:color="auto" w:fill="auto"/>
            <w:vAlign w:val="center"/>
          </w:tcPr>
          <w:p w14:paraId="071D51FD">
            <w:pPr>
              <w:topLinePunct/>
              <w:spacing w:line="360" w:lineRule="exact"/>
              <w:ind w:firstLine="0" w:firstLineChars="0"/>
              <w:jc w:val="center"/>
              <w:rPr>
                <w:rFonts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10</w:t>
            </w:r>
            <w:r>
              <w:rPr>
                <w:rFonts w:cs="Times New Roman"/>
                <w:color w:val="auto"/>
                <w:kern w:val="0"/>
                <w:sz w:val="21"/>
                <w:szCs w:val="21"/>
                <w:highlight w:val="none"/>
              </w:rPr>
              <w:t>d</w:t>
            </w:r>
          </w:p>
        </w:tc>
        <w:tc>
          <w:tcPr>
            <w:tcW w:w="690" w:type="dxa"/>
            <w:tcBorders>
              <w:tl2br w:val="nil"/>
              <w:tr2bl w:val="nil"/>
            </w:tcBorders>
            <w:shd w:val="clear" w:color="auto" w:fill="auto"/>
            <w:vAlign w:val="center"/>
          </w:tcPr>
          <w:p w14:paraId="4B554350">
            <w:pPr>
              <w:topLinePunct/>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rPr>
              <w:t>T，I</w:t>
            </w:r>
          </w:p>
        </w:tc>
        <w:tc>
          <w:tcPr>
            <w:tcW w:w="1122" w:type="dxa"/>
            <w:tcBorders>
              <w:tl2br w:val="nil"/>
              <w:tr2bl w:val="nil"/>
            </w:tcBorders>
            <w:shd w:val="clear" w:color="auto" w:fill="auto"/>
            <w:vAlign w:val="center"/>
          </w:tcPr>
          <w:p w14:paraId="7E269FB6">
            <w:pPr>
              <w:topLinePunct/>
              <w:spacing w:line="360" w:lineRule="exact"/>
              <w:ind w:firstLine="0" w:firstLineChars="0"/>
              <w:jc w:val="center"/>
              <w:rPr>
                <w:rFonts w:ascii="Times New Roman" w:hAnsi="Times New Roman" w:eastAsia="宋体" w:cs="Times New Roman"/>
                <w:color w:val="auto"/>
                <w:kern w:val="0"/>
                <w:sz w:val="21"/>
                <w:szCs w:val="21"/>
                <w:highlight w:val="none"/>
                <w:lang w:val="en-US" w:eastAsia="zh-CN" w:bidi="ar-SA"/>
              </w:rPr>
            </w:pPr>
            <w:r>
              <w:rPr>
                <w:rFonts w:cs="Times New Roman"/>
                <w:color w:val="auto"/>
                <w:kern w:val="0"/>
                <w:sz w:val="21"/>
                <w:szCs w:val="21"/>
                <w:highlight w:val="none"/>
              </w:rPr>
              <w:t>危险废物暂存</w:t>
            </w:r>
            <w:r>
              <w:rPr>
                <w:rFonts w:hint="eastAsia" w:cs="Times New Roman"/>
                <w:color w:val="auto"/>
                <w:kern w:val="0"/>
                <w:sz w:val="21"/>
                <w:szCs w:val="21"/>
                <w:highlight w:val="none"/>
                <w:lang w:val="en-US" w:eastAsia="zh-CN"/>
              </w:rPr>
              <w:t>点</w:t>
            </w:r>
            <w:r>
              <w:rPr>
                <w:rFonts w:cs="Times New Roman"/>
                <w:color w:val="auto"/>
                <w:kern w:val="0"/>
                <w:sz w:val="21"/>
                <w:szCs w:val="21"/>
                <w:highlight w:val="none"/>
              </w:rPr>
              <w:t>内暂存</w:t>
            </w:r>
          </w:p>
        </w:tc>
      </w:tr>
    </w:tbl>
    <w:p w14:paraId="2D1B51D0">
      <w:pPr>
        <w:pStyle w:val="5"/>
        <w:rPr>
          <w:color w:val="auto"/>
          <w:highlight w:val="none"/>
          <w:lang w:val="en-US"/>
        </w:rPr>
        <w:sectPr>
          <w:pgSz w:w="11906" w:h="16838"/>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41F65F69">
      <w:pPr>
        <w:pStyle w:val="474"/>
        <w:spacing w:line="466" w:lineRule="exact"/>
        <w:ind w:firstLine="480"/>
        <w:jc w:val="left"/>
        <w:rPr>
          <w:rFonts w:ascii="Times New Roman" w:hAnsi="Times New Roman" w:cs="Times New Roman"/>
          <w:color w:val="auto"/>
          <w:sz w:val="24"/>
          <w:szCs w:val="24"/>
          <w:highlight w:val="none"/>
          <w:lang w:val="en-US" w:eastAsia="zh-CN"/>
        </w:rPr>
      </w:pPr>
      <w:r>
        <w:rPr>
          <w:rFonts w:ascii="Times New Roman" w:hAnsi="Times New Roman" w:cs="Times New Roman"/>
          <w:color w:val="auto"/>
          <w:sz w:val="24"/>
          <w:szCs w:val="24"/>
          <w:highlight w:val="none"/>
          <w:lang w:val="en-US" w:eastAsia="zh-CN"/>
        </w:rPr>
        <w:t>本项目一般固体废物根据《一般固体废物分类与代码（GB/T 39198-2020）》要求进行编码。</w:t>
      </w:r>
    </w:p>
    <w:p w14:paraId="683C6998">
      <w:pPr>
        <w:spacing w:line="1" w:lineRule="exact"/>
        <w:rPr>
          <w:rFonts w:cs="Times New Roman"/>
          <w:color w:val="auto"/>
          <w:highlight w:val="none"/>
        </w:rPr>
      </w:pPr>
    </w:p>
    <w:p w14:paraId="5CA7E9CD">
      <w:pPr>
        <w:pStyle w:val="68"/>
        <w:spacing w:line="440" w:lineRule="exact"/>
        <w:jc w:val="left"/>
        <w:rPr>
          <w:color w:val="auto"/>
          <w:kern w:val="2"/>
          <w:sz w:val="24"/>
          <w:highlight w:val="none"/>
        </w:rPr>
      </w:pPr>
      <w:r>
        <w:rPr>
          <w:color w:val="auto"/>
          <w:kern w:val="2"/>
          <w:sz w:val="24"/>
          <w:highlight w:val="none"/>
        </w:rPr>
        <w:t>固废废物源强核算见下表。</w:t>
      </w:r>
    </w:p>
    <w:p w14:paraId="50F5398E">
      <w:pPr>
        <w:rPr>
          <w:rFonts w:cs="Times New Roman"/>
          <w:color w:val="auto"/>
          <w:highlight w:val="none"/>
        </w:rPr>
        <w:sectPr>
          <w:type w:val="continuous"/>
          <w:pgSz w:w="11906" w:h="16838"/>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3BF00225">
      <w:pPr>
        <w:spacing w:before="163" w:beforeLines="50" w:line="240" w:lineRule="auto"/>
        <w:ind w:firstLine="0" w:firstLineChars="0"/>
        <w:jc w:val="center"/>
        <w:rPr>
          <w:rFonts w:cs="Times New Roman"/>
          <w:b/>
          <w:color w:val="auto"/>
          <w:szCs w:val="24"/>
          <w:highlight w:val="none"/>
        </w:rPr>
      </w:pPr>
      <w:r>
        <w:rPr>
          <w:rFonts w:cs="Times New Roman"/>
          <w:b/>
          <w:color w:val="auto"/>
          <w:szCs w:val="24"/>
          <w:highlight w:val="none"/>
        </w:rPr>
        <w:t>表3-4-13  本项目固废产生及处置情况一览表</w:t>
      </w:r>
    </w:p>
    <w:tbl>
      <w:tblPr>
        <w:tblStyle w:val="47"/>
        <w:tblW w:w="5030" w:type="pct"/>
        <w:jc w:val="center"/>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58"/>
        <w:gridCol w:w="769"/>
        <w:gridCol w:w="919"/>
        <w:gridCol w:w="1764"/>
        <w:gridCol w:w="1282"/>
        <w:gridCol w:w="1068"/>
        <w:gridCol w:w="713"/>
        <w:gridCol w:w="1079"/>
        <w:gridCol w:w="1130"/>
        <w:gridCol w:w="1097"/>
        <w:gridCol w:w="2956"/>
      </w:tblGrid>
      <w:tr w14:paraId="00AA5BD9">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8" w:hRule="atLeast"/>
          <w:jc w:val="center"/>
        </w:trPr>
        <w:tc>
          <w:tcPr>
            <w:tcW w:w="280" w:type="pct"/>
            <w:vMerge w:val="restart"/>
            <w:tcBorders>
              <w:tl2br w:val="nil"/>
              <w:tr2bl w:val="nil"/>
            </w:tcBorders>
            <w:vAlign w:val="center"/>
          </w:tcPr>
          <w:p w14:paraId="5044A07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污染物类别</w:t>
            </w:r>
          </w:p>
        </w:tc>
        <w:tc>
          <w:tcPr>
            <w:tcW w:w="284" w:type="pct"/>
            <w:vMerge w:val="restart"/>
            <w:tcBorders>
              <w:tl2br w:val="nil"/>
              <w:tr2bl w:val="nil"/>
            </w:tcBorders>
            <w:vAlign w:val="center"/>
          </w:tcPr>
          <w:p w14:paraId="77BA78F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工序/生产线</w:t>
            </w:r>
          </w:p>
        </w:tc>
        <w:tc>
          <w:tcPr>
            <w:tcW w:w="339" w:type="pct"/>
            <w:vMerge w:val="restart"/>
            <w:tcBorders>
              <w:tl2br w:val="nil"/>
              <w:tr2bl w:val="nil"/>
            </w:tcBorders>
            <w:vAlign w:val="center"/>
          </w:tcPr>
          <w:p w14:paraId="51A4F06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装置</w:t>
            </w:r>
          </w:p>
        </w:tc>
        <w:tc>
          <w:tcPr>
            <w:tcW w:w="651" w:type="pct"/>
            <w:vMerge w:val="restart"/>
            <w:tcBorders>
              <w:tl2br w:val="nil"/>
              <w:tr2bl w:val="nil"/>
            </w:tcBorders>
            <w:vAlign w:val="center"/>
          </w:tcPr>
          <w:p w14:paraId="541B1BF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固体废物名称</w:t>
            </w:r>
          </w:p>
        </w:tc>
        <w:tc>
          <w:tcPr>
            <w:tcW w:w="473" w:type="pct"/>
            <w:vMerge w:val="restart"/>
            <w:tcBorders>
              <w:tl2br w:val="nil"/>
              <w:tr2bl w:val="nil"/>
            </w:tcBorders>
            <w:vAlign w:val="center"/>
          </w:tcPr>
          <w:p w14:paraId="1B47FFE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代码</w:t>
            </w:r>
          </w:p>
        </w:tc>
        <w:tc>
          <w:tcPr>
            <w:tcW w:w="394" w:type="pct"/>
            <w:vMerge w:val="restart"/>
            <w:tcBorders>
              <w:tl2br w:val="nil"/>
              <w:tr2bl w:val="nil"/>
            </w:tcBorders>
            <w:vAlign w:val="center"/>
          </w:tcPr>
          <w:p w14:paraId="6458F6F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固废属性</w:t>
            </w:r>
          </w:p>
        </w:tc>
        <w:tc>
          <w:tcPr>
            <w:tcW w:w="661" w:type="pct"/>
            <w:gridSpan w:val="2"/>
            <w:tcBorders>
              <w:tl2br w:val="nil"/>
              <w:tr2bl w:val="nil"/>
            </w:tcBorders>
            <w:vAlign w:val="center"/>
          </w:tcPr>
          <w:p w14:paraId="793E1B6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产生情况</w:t>
            </w:r>
          </w:p>
        </w:tc>
        <w:tc>
          <w:tcPr>
            <w:tcW w:w="822" w:type="pct"/>
            <w:gridSpan w:val="2"/>
            <w:tcBorders>
              <w:tl2br w:val="nil"/>
              <w:tr2bl w:val="nil"/>
            </w:tcBorders>
            <w:vAlign w:val="center"/>
          </w:tcPr>
          <w:p w14:paraId="3B6A657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处置措施</w:t>
            </w:r>
          </w:p>
        </w:tc>
        <w:tc>
          <w:tcPr>
            <w:tcW w:w="1091" w:type="pct"/>
            <w:vMerge w:val="restart"/>
            <w:tcBorders>
              <w:tl2br w:val="nil"/>
              <w:tr2bl w:val="nil"/>
            </w:tcBorders>
            <w:vAlign w:val="center"/>
          </w:tcPr>
          <w:p w14:paraId="28F3E2D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最终去向</w:t>
            </w:r>
          </w:p>
        </w:tc>
      </w:tr>
      <w:tr w14:paraId="4361767D">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93" w:hRule="atLeast"/>
          <w:jc w:val="center"/>
        </w:trPr>
        <w:tc>
          <w:tcPr>
            <w:tcW w:w="280" w:type="pct"/>
            <w:vMerge w:val="continue"/>
            <w:tcBorders>
              <w:tl2br w:val="nil"/>
              <w:tr2bl w:val="nil"/>
            </w:tcBorders>
            <w:vAlign w:val="center"/>
          </w:tcPr>
          <w:p w14:paraId="0A5474B6">
            <w:pPr>
              <w:spacing w:line="360" w:lineRule="exact"/>
              <w:ind w:firstLine="0" w:firstLineChars="0"/>
              <w:jc w:val="center"/>
              <w:rPr>
                <w:rFonts w:cs="Times New Roman"/>
                <w:color w:val="auto"/>
                <w:sz w:val="21"/>
                <w:szCs w:val="21"/>
                <w:highlight w:val="none"/>
              </w:rPr>
            </w:pPr>
          </w:p>
        </w:tc>
        <w:tc>
          <w:tcPr>
            <w:tcW w:w="284" w:type="pct"/>
            <w:vMerge w:val="continue"/>
            <w:tcBorders>
              <w:tl2br w:val="nil"/>
              <w:tr2bl w:val="nil"/>
            </w:tcBorders>
            <w:vAlign w:val="center"/>
          </w:tcPr>
          <w:p w14:paraId="6DC20C73">
            <w:pPr>
              <w:spacing w:line="360" w:lineRule="exact"/>
              <w:ind w:firstLine="0" w:firstLineChars="0"/>
              <w:jc w:val="center"/>
              <w:rPr>
                <w:rFonts w:cs="Times New Roman"/>
                <w:color w:val="auto"/>
                <w:sz w:val="21"/>
                <w:szCs w:val="21"/>
                <w:highlight w:val="none"/>
              </w:rPr>
            </w:pPr>
          </w:p>
        </w:tc>
        <w:tc>
          <w:tcPr>
            <w:tcW w:w="339" w:type="pct"/>
            <w:vMerge w:val="continue"/>
            <w:tcBorders>
              <w:tl2br w:val="nil"/>
              <w:tr2bl w:val="nil"/>
            </w:tcBorders>
            <w:vAlign w:val="center"/>
          </w:tcPr>
          <w:p w14:paraId="6400D571">
            <w:pPr>
              <w:spacing w:line="360" w:lineRule="exact"/>
              <w:ind w:firstLine="0" w:firstLineChars="0"/>
              <w:jc w:val="center"/>
              <w:rPr>
                <w:rFonts w:cs="Times New Roman"/>
                <w:color w:val="auto"/>
                <w:sz w:val="21"/>
                <w:szCs w:val="21"/>
                <w:highlight w:val="none"/>
              </w:rPr>
            </w:pPr>
          </w:p>
        </w:tc>
        <w:tc>
          <w:tcPr>
            <w:tcW w:w="651" w:type="pct"/>
            <w:vMerge w:val="continue"/>
            <w:tcBorders>
              <w:tl2br w:val="nil"/>
              <w:tr2bl w:val="nil"/>
            </w:tcBorders>
            <w:vAlign w:val="center"/>
          </w:tcPr>
          <w:p w14:paraId="1A415AC1">
            <w:pPr>
              <w:spacing w:line="360" w:lineRule="exact"/>
              <w:ind w:firstLine="0" w:firstLineChars="0"/>
              <w:jc w:val="center"/>
              <w:rPr>
                <w:rFonts w:cs="Times New Roman"/>
                <w:color w:val="auto"/>
                <w:sz w:val="21"/>
                <w:szCs w:val="21"/>
                <w:highlight w:val="none"/>
              </w:rPr>
            </w:pPr>
          </w:p>
        </w:tc>
        <w:tc>
          <w:tcPr>
            <w:tcW w:w="473" w:type="pct"/>
            <w:vMerge w:val="continue"/>
            <w:tcBorders>
              <w:tl2br w:val="nil"/>
              <w:tr2bl w:val="nil"/>
            </w:tcBorders>
            <w:vAlign w:val="center"/>
          </w:tcPr>
          <w:p w14:paraId="0A8060E3">
            <w:pPr>
              <w:spacing w:line="360" w:lineRule="exact"/>
              <w:ind w:firstLine="0" w:firstLineChars="0"/>
              <w:jc w:val="center"/>
              <w:rPr>
                <w:rFonts w:cs="Times New Roman"/>
                <w:color w:val="auto"/>
                <w:sz w:val="21"/>
                <w:szCs w:val="21"/>
                <w:highlight w:val="none"/>
              </w:rPr>
            </w:pPr>
          </w:p>
        </w:tc>
        <w:tc>
          <w:tcPr>
            <w:tcW w:w="394" w:type="pct"/>
            <w:vMerge w:val="continue"/>
            <w:tcBorders>
              <w:tl2br w:val="nil"/>
              <w:tr2bl w:val="nil"/>
            </w:tcBorders>
            <w:vAlign w:val="center"/>
          </w:tcPr>
          <w:p w14:paraId="11577E33">
            <w:pPr>
              <w:spacing w:line="360" w:lineRule="exact"/>
              <w:ind w:firstLine="0" w:firstLineChars="0"/>
              <w:jc w:val="center"/>
              <w:rPr>
                <w:rFonts w:cs="Times New Roman"/>
                <w:color w:val="auto"/>
                <w:sz w:val="21"/>
                <w:szCs w:val="21"/>
                <w:highlight w:val="none"/>
              </w:rPr>
            </w:pPr>
          </w:p>
        </w:tc>
        <w:tc>
          <w:tcPr>
            <w:tcW w:w="263" w:type="pct"/>
            <w:tcBorders>
              <w:tl2br w:val="nil"/>
              <w:tr2bl w:val="nil"/>
            </w:tcBorders>
            <w:vAlign w:val="center"/>
          </w:tcPr>
          <w:p w14:paraId="65B2B3F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核算方法</w:t>
            </w:r>
          </w:p>
        </w:tc>
        <w:tc>
          <w:tcPr>
            <w:tcW w:w="398" w:type="pct"/>
            <w:tcBorders>
              <w:tl2br w:val="nil"/>
              <w:tr2bl w:val="nil"/>
            </w:tcBorders>
            <w:vAlign w:val="center"/>
          </w:tcPr>
          <w:p w14:paraId="1251BCB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产生量（t/a）</w:t>
            </w:r>
          </w:p>
        </w:tc>
        <w:tc>
          <w:tcPr>
            <w:tcW w:w="417" w:type="pct"/>
            <w:tcBorders>
              <w:tl2br w:val="nil"/>
              <w:tr2bl w:val="nil"/>
            </w:tcBorders>
            <w:vAlign w:val="center"/>
          </w:tcPr>
          <w:p w14:paraId="323C2F0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工艺</w:t>
            </w:r>
          </w:p>
        </w:tc>
        <w:tc>
          <w:tcPr>
            <w:tcW w:w="405" w:type="pct"/>
            <w:tcBorders>
              <w:tl2br w:val="nil"/>
              <w:tr2bl w:val="nil"/>
            </w:tcBorders>
            <w:vAlign w:val="center"/>
          </w:tcPr>
          <w:p w14:paraId="336E307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处置量（t/a）</w:t>
            </w:r>
          </w:p>
        </w:tc>
        <w:tc>
          <w:tcPr>
            <w:tcW w:w="1091" w:type="pct"/>
            <w:vMerge w:val="continue"/>
            <w:tcBorders>
              <w:tl2br w:val="nil"/>
              <w:tr2bl w:val="nil"/>
            </w:tcBorders>
            <w:vAlign w:val="center"/>
          </w:tcPr>
          <w:p w14:paraId="45DB3CC9">
            <w:pPr>
              <w:spacing w:line="360" w:lineRule="exact"/>
              <w:ind w:firstLine="0" w:firstLineChars="0"/>
              <w:jc w:val="center"/>
              <w:rPr>
                <w:rFonts w:cs="Times New Roman"/>
                <w:color w:val="auto"/>
                <w:sz w:val="21"/>
                <w:szCs w:val="21"/>
                <w:highlight w:val="none"/>
              </w:rPr>
            </w:pPr>
          </w:p>
        </w:tc>
      </w:tr>
      <w:tr w14:paraId="6FE75DCE">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9" w:hRule="atLeast"/>
          <w:jc w:val="center"/>
        </w:trPr>
        <w:tc>
          <w:tcPr>
            <w:tcW w:w="280" w:type="pct"/>
            <w:vMerge w:val="restart"/>
            <w:tcBorders>
              <w:tl2br w:val="nil"/>
              <w:tr2bl w:val="nil"/>
            </w:tcBorders>
            <w:vAlign w:val="center"/>
          </w:tcPr>
          <w:p w14:paraId="45F69B7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一般固废</w:t>
            </w:r>
          </w:p>
        </w:tc>
        <w:tc>
          <w:tcPr>
            <w:tcW w:w="284" w:type="pct"/>
            <w:tcBorders>
              <w:tl2br w:val="nil"/>
              <w:tr2bl w:val="nil"/>
            </w:tcBorders>
            <w:vAlign w:val="center"/>
          </w:tcPr>
          <w:p w14:paraId="12D426F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w:t>
            </w:r>
          </w:p>
        </w:tc>
        <w:tc>
          <w:tcPr>
            <w:tcW w:w="339" w:type="pct"/>
            <w:tcBorders>
              <w:tl2br w:val="nil"/>
              <w:tr2bl w:val="nil"/>
            </w:tcBorders>
            <w:vAlign w:val="center"/>
          </w:tcPr>
          <w:p w14:paraId="595FDCC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651" w:type="pct"/>
            <w:tcBorders>
              <w:tl2br w:val="nil"/>
              <w:tr2bl w:val="nil"/>
            </w:tcBorders>
            <w:vAlign w:val="center"/>
          </w:tcPr>
          <w:p w14:paraId="773CEFE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生活垃圾</w:t>
            </w:r>
          </w:p>
        </w:tc>
        <w:tc>
          <w:tcPr>
            <w:tcW w:w="473" w:type="pct"/>
            <w:tcBorders>
              <w:tl2br w:val="nil"/>
              <w:tr2bl w:val="nil"/>
            </w:tcBorders>
            <w:vAlign w:val="center"/>
          </w:tcPr>
          <w:p w14:paraId="55C36C15">
            <w:pPr>
              <w:spacing w:line="360" w:lineRule="exact"/>
              <w:ind w:firstLine="0" w:firstLineChars="0"/>
              <w:jc w:val="center"/>
              <w:rPr>
                <w:rFonts w:cs="Times New Roman"/>
                <w:color w:val="auto"/>
                <w:sz w:val="21"/>
                <w:szCs w:val="21"/>
                <w:highlight w:val="none"/>
              </w:rPr>
            </w:pPr>
            <w:r>
              <w:rPr>
                <w:rFonts w:ascii="Times New Roman" w:hAnsi="Times New Roman" w:eastAsia="宋体" w:cs="Times New Roman"/>
                <w:color w:val="auto"/>
                <w:sz w:val="21"/>
                <w:szCs w:val="21"/>
                <w:highlight w:val="none"/>
              </w:rPr>
              <w:t>151-003-99</w:t>
            </w:r>
          </w:p>
        </w:tc>
        <w:tc>
          <w:tcPr>
            <w:tcW w:w="394" w:type="pct"/>
            <w:tcBorders>
              <w:tl2br w:val="nil"/>
              <w:tr2bl w:val="nil"/>
            </w:tcBorders>
            <w:vAlign w:val="center"/>
          </w:tcPr>
          <w:p w14:paraId="6BDFB23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生活垃圾</w:t>
            </w:r>
          </w:p>
        </w:tc>
        <w:tc>
          <w:tcPr>
            <w:tcW w:w="263" w:type="pct"/>
            <w:tcBorders>
              <w:tl2br w:val="nil"/>
              <w:tr2bl w:val="nil"/>
            </w:tcBorders>
            <w:vAlign w:val="center"/>
          </w:tcPr>
          <w:p w14:paraId="38792BB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系数</w:t>
            </w:r>
          </w:p>
        </w:tc>
        <w:tc>
          <w:tcPr>
            <w:tcW w:w="398" w:type="pct"/>
            <w:tcBorders>
              <w:tl2br w:val="nil"/>
              <w:tr2bl w:val="nil"/>
            </w:tcBorders>
            <w:vAlign w:val="center"/>
          </w:tcPr>
          <w:p w14:paraId="1E42E1EE">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c>
          <w:tcPr>
            <w:tcW w:w="417" w:type="pct"/>
            <w:tcBorders>
              <w:tl2br w:val="nil"/>
              <w:tr2bl w:val="nil"/>
            </w:tcBorders>
            <w:vAlign w:val="center"/>
          </w:tcPr>
          <w:p w14:paraId="3F370E6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集中收集</w:t>
            </w:r>
          </w:p>
        </w:tc>
        <w:tc>
          <w:tcPr>
            <w:tcW w:w="405" w:type="pct"/>
            <w:tcBorders>
              <w:tl2br w:val="nil"/>
              <w:tr2bl w:val="nil"/>
            </w:tcBorders>
            <w:vAlign w:val="center"/>
          </w:tcPr>
          <w:p w14:paraId="6861DF6E">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c>
          <w:tcPr>
            <w:tcW w:w="1091" w:type="pct"/>
            <w:tcBorders>
              <w:tl2br w:val="nil"/>
              <w:tr2bl w:val="nil"/>
            </w:tcBorders>
            <w:vAlign w:val="center"/>
          </w:tcPr>
          <w:p w14:paraId="20A55EF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由市政环卫部门统一清运</w:t>
            </w:r>
          </w:p>
        </w:tc>
      </w:tr>
      <w:tr w14:paraId="4603BAEF">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65" w:hRule="atLeast"/>
          <w:jc w:val="center"/>
        </w:trPr>
        <w:tc>
          <w:tcPr>
            <w:tcW w:w="280" w:type="pct"/>
            <w:vMerge w:val="continue"/>
            <w:tcBorders>
              <w:tl2br w:val="nil"/>
              <w:tr2bl w:val="nil"/>
            </w:tcBorders>
            <w:vAlign w:val="center"/>
          </w:tcPr>
          <w:p w14:paraId="08AB61E6">
            <w:pPr>
              <w:spacing w:line="360" w:lineRule="exact"/>
              <w:ind w:firstLine="0" w:firstLineChars="0"/>
              <w:jc w:val="center"/>
              <w:rPr>
                <w:rFonts w:cs="Times New Roman"/>
                <w:color w:val="auto"/>
                <w:sz w:val="21"/>
                <w:szCs w:val="21"/>
                <w:highlight w:val="none"/>
              </w:rPr>
            </w:pPr>
          </w:p>
        </w:tc>
        <w:tc>
          <w:tcPr>
            <w:tcW w:w="284" w:type="pct"/>
            <w:vMerge w:val="restart"/>
            <w:tcBorders>
              <w:tl2br w:val="nil"/>
              <w:tr2bl w:val="nil"/>
            </w:tcBorders>
            <w:vAlign w:val="center"/>
          </w:tcPr>
          <w:p w14:paraId="5CABC6F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生产</w:t>
            </w:r>
          </w:p>
        </w:tc>
        <w:tc>
          <w:tcPr>
            <w:tcW w:w="339" w:type="pct"/>
            <w:vMerge w:val="restart"/>
            <w:tcBorders>
              <w:tl2br w:val="nil"/>
              <w:tr2bl w:val="nil"/>
            </w:tcBorders>
            <w:vAlign w:val="center"/>
          </w:tcPr>
          <w:p w14:paraId="7EAB4E1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生产车间</w:t>
            </w:r>
          </w:p>
        </w:tc>
        <w:tc>
          <w:tcPr>
            <w:tcW w:w="651" w:type="pct"/>
            <w:tcBorders>
              <w:tl2br w:val="nil"/>
              <w:tr2bl w:val="nil"/>
            </w:tcBorders>
            <w:vAlign w:val="center"/>
          </w:tcPr>
          <w:p w14:paraId="278F1D4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检疫不合</w:t>
            </w:r>
          </w:p>
          <w:p w14:paraId="5F0992B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格品</w:t>
            </w:r>
          </w:p>
        </w:tc>
        <w:tc>
          <w:tcPr>
            <w:tcW w:w="473" w:type="pct"/>
            <w:tcBorders>
              <w:tl2br w:val="nil"/>
              <w:tr2bl w:val="nil"/>
            </w:tcBorders>
            <w:vAlign w:val="center"/>
          </w:tcPr>
          <w:p w14:paraId="5264D9E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130-001-32</w:t>
            </w:r>
          </w:p>
        </w:tc>
        <w:tc>
          <w:tcPr>
            <w:tcW w:w="394" w:type="pct"/>
            <w:vMerge w:val="restart"/>
            <w:tcBorders>
              <w:tl2br w:val="nil"/>
              <w:tr2bl w:val="nil"/>
            </w:tcBorders>
            <w:vAlign w:val="center"/>
          </w:tcPr>
          <w:p w14:paraId="452F8C7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一般工业</w:t>
            </w:r>
          </w:p>
          <w:p w14:paraId="7F35BCE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固废</w:t>
            </w:r>
          </w:p>
        </w:tc>
        <w:tc>
          <w:tcPr>
            <w:tcW w:w="263" w:type="pct"/>
            <w:vMerge w:val="restart"/>
            <w:tcBorders>
              <w:tl2br w:val="nil"/>
              <w:tr2bl w:val="nil"/>
            </w:tcBorders>
            <w:vAlign w:val="center"/>
          </w:tcPr>
          <w:p w14:paraId="1A58A45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物料衡算</w:t>
            </w:r>
          </w:p>
        </w:tc>
        <w:tc>
          <w:tcPr>
            <w:tcW w:w="398" w:type="pct"/>
            <w:tcBorders>
              <w:tl2br w:val="nil"/>
              <w:tr2bl w:val="nil"/>
            </w:tcBorders>
            <w:vAlign w:val="center"/>
          </w:tcPr>
          <w:p w14:paraId="5D75EBCE">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w:t>
            </w:r>
          </w:p>
        </w:tc>
        <w:tc>
          <w:tcPr>
            <w:tcW w:w="417" w:type="pct"/>
            <w:vMerge w:val="restart"/>
            <w:tcBorders>
              <w:tl2br w:val="nil"/>
              <w:tr2bl w:val="nil"/>
            </w:tcBorders>
            <w:vAlign w:val="center"/>
          </w:tcPr>
          <w:p w14:paraId="0FB7DA1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集中收集</w:t>
            </w:r>
          </w:p>
        </w:tc>
        <w:tc>
          <w:tcPr>
            <w:tcW w:w="405" w:type="pct"/>
            <w:tcBorders>
              <w:tl2br w:val="nil"/>
              <w:tr2bl w:val="nil"/>
            </w:tcBorders>
            <w:vAlign w:val="center"/>
          </w:tcPr>
          <w:p w14:paraId="6EA6A3FD">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w:t>
            </w:r>
          </w:p>
        </w:tc>
        <w:tc>
          <w:tcPr>
            <w:tcW w:w="1091" w:type="pct"/>
            <w:vMerge w:val="restart"/>
            <w:tcBorders>
              <w:tl2br w:val="nil"/>
              <w:tr2bl w:val="nil"/>
            </w:tcBorders>
            <w:vAlign w:val="center"/>
          </w:tcPr>
          <w:p w14:paraId="0CDDFCF1">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eastAsia="zh-CN"/>
              </w:rPr>
              <w:t>由双鸭山百奥迈斯生物科技有限公司</w:t>
            </w:r>
          </w:p>
        </w:tc>
      </w:tr>
      <w:tr w14:paraId="2F53EE35">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32" w:hRule="atLeast"/>
          <w:jc w:val="center"/>
        </w:trPr>
        <w:tc>
          <w:tcPr>
            <w:tcW w:w="280" w:type="pct"/>
            <w:vMerge w:val="continue"/>
            <w:tcBorders>
              <w:tl2br w:val="nil"/>
              <w:tr2bl w:val="nil"/>
            </w:tcBorders>
            <w:vAlign w:val="center"/>
          </w:tcPr>
          <w:p w14:paraId="588BEEF6">
            <w:pPr>
              <w:spacing w:line="360" w:lineRule="exact"/>
              <w:ind w:firstLine="0" w:firstLineChars="0"/>
              <w:jc w:val="center"/>
              <w:rPr>
                <w:rFonts w:cs="Times New Roman"/>
                <w:color w:val="auto"/>
                <w:sz w:val="21"/>
                <w:szCs w:val="21"/>
                <w:highlight w:val="none"/>
              </w:rPr>
            </w:pPr>
          </w:p>
        </w:tc>
        <w:tc>
          <w:tcPr>
            <w:tcW w:w="284" w:type="pct"/>
            <w:vMerge w:val="continue"/>
            <w:tcBorders>
              <w:tl2br w:val="nil"/>
              <w:tr2bl w:val="nil"/>
            </w:tcBorders>
            <w:vAlign w:val="center"/>
          </w:tcPr>
          <w:p w14:paraId="1115D214">
            <w:pPr>
              <w:spacing w:line="360" w:lineRule="exact"/>
              <w:ind w:firstLine="0" w:firstLineChars="0"/>
              <w:jc w:val="center"/>
              <w:rPr>
                <w:rFonts w:cs="Times New Roman"/>
                <w:color w:val="auto"/>
                <w:sz w:val="21"/>
                <w:szCs w:val="21"/>
                <w:highlight w:val="none"/>
              </w:rPr>
            </w:pPr>
          </w:p>
        </w:tc>
        <w:tc>
          <w:tcPr>
            <w:tcW w:w="339" w:type="pct"/>
            <w:vMerge w:val="continue"/>
            <w:tcBorders>
              <w:tl2br w:val="nil"/>
              <w:tr2bl w:val="nil"/>
            </w:tcBorders>
            <w:vAlign w:val="center"/>
          </w:tcPr>
          <w:p w14:paraId="19299A2F">
            <w:pPr>
              <w:spacing w:line="360" w:lineRule="exact"/>
              <w:ind w:firstLine="0" w:firstLineChars="0"/>
              <w:jc w:val="center"/>
              <w:rPr>
                <w:rFonts w:cs="Times New Roman"/>
                <w:color w:val="auto"/>
                <w:sz w:val="21"/>
                <w:szCs w:val="21"/>
                <w:highlight w:val="none"/>
              </w:rPr>
            </w:pPr>
          </w:p>
        </w:tc>
        <w:tc>
          <w:tcPr>
            <w:tcW w:w="651" w:type="pct"/>
            <w:tcBorders>
              <w:tl2br w:val="nil"/>
              <w:tr2bl w:val="nil"/>
            </w:tcBorders>
            <w:vAlign w:val="center"/>
          </w:tcPr>
          <w:p w14:paraId="7FE9F22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病死牛羊</w:t>
            </w:r>
          </w:p>
        </w:tc>
        <w:tc>
          <w:tcPr>
            <w:tcW w:w="473" w:type="pct"/>
            <w:tcBorders>
              <w:tl2br w:val="nil"/>
              <w:tr2bl w:val="nil"/>
            </w:tcBorders>
            <w:vAlign w:val="center"/>
          </w:tcPr>
          <w:p w14:paraId="165B6AA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130-001-32</w:t>
            </w:r>
          </w:p>
        </w:tc>
        <w:tc>
          <w:tcPr>
            <w:tcW w:w="394" w:type="pct"/>
            <w:vMerge w:val="continue"/>
            <w:tcBorders>
              <w:tl2br w:val="nil"/>
              <w:tr2bl w:val="nil"/>
            </w:tcBorders>
            <w:vAlign w:val="center"/>
          </w:tcPr>
          <w:p w14:paraId="42719D9A">
            <w:pPr>
              <w:spacing w:line="360" w:lineRule="exact"/>
              <w:ind w:firstLine="0" w:firstLineChars="0"/>
              <w:jc w:val="center"/>
              <w:rPr>
                <w:rFonts w:cs="Times New Roman"/>
                <w:color w:val="auto"/>
                <w:sz w:val="21"/>
                <w:szCs w:val="21"/>
                <w:highlight w:val="none"/>
              </w:rPr>
            </w:pPr>
          </w:p>
        </w:tc>
        <w:tc>
          <w:tcPr>
            <w:tcW w:w="263" w:type="pct"/>
            <w:vMerge w:val="continue"/>
            <w:tcBorders>
              <w:tl2br w:val="nil"/>
              <w:tr2bl w:val="nil"/>
            </w:tcBorders>
            <w:vAlign w:val="center"/>
          </w:tcPr>
          <w:p w14:paraId="2E6FF75B">
            <w:pPr>
              <w:spacing w:line="360" w:lineRule="exact"/>
              <w:ind w:firstLine="0" w:firstLineChars="0"/>
              <w:jc w:val="center"/>
              <w:rPr>
                <w:rFonts w:cs="Times New Roman"/>
                <w:color w:val="auto"/>
                <w:sz w:val="21"/>
                <w:szCs w:val="21"/>
                <w:highlight w:val="none"/>
              </w:rPr>
            </w:pPr>
          </w:p>
        </w:tc>
        <w:tc>
          <w:tcPr>
            <w:tcW w:w="398" w:type="pct"/>
            <w:tcBorders>
              <w:tl2br w:val="nil"/>
              <w:tr2bl w:val="nil"/>
            </w:tcBorders>
            <w:vAlign w:val="center"/>
          </w:tcPr>
          <w:p w14:paraId="5F06E0EB">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135</w:t>
            </w:r>
          </w:p>
        </w:tc>
        <w:tc>
          <w:tcPr>
            <w:tcW w:w="417" w:type="pct"/>
            <w:vMerge w:val="continue"/>
            <w:tcBorders>
              <w:tl2br w:val="nil"/>
              <w:tr2bl w:val="nil"/>
            </w:tcBorders>
            <w:vAlign w:val="center"/>
          </w:tcPr>
          <w:p w14:paraId="099C8656">
            <w:pPr>
              <w:spacing w:line="360" w:lineRule="exact"/>
              <w:ind w:firstLine="0" w:firstLineChars="0"/>
              <w:jc w:val="center"/>
              <w:rPr>
                <w:rFonts w:cs="Times New Roman"/>
                <w:color w:val="auto"/>
                <w:sz w:val="21"/>
                <w:szCs w:val="21"/>
                <w:highlight w:val="none"/>
              </w:rPr>
            </w:pPr>
          </w:p>
        </w:tc>
        <w:tc>
          <w:tcPr>
            <w:tcW w:w="405" w:type="pct"/>
            <w:tcBorders>
              <w:tl2br w:val="nil"/>
              <w:tr2bl w:val="nil"/>
            </w:tcBorders>
            <w:vAlign w:val="center"/>
          </w:tcPr>
          <w:p w14:paraId="67C55F3F">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135</w:t>
            </w:r>
          </w:p>
        </w:tc>
        <w:tc>
          <w:tcPr>
            <w:tcW w:w="1091" w:type="pct"/>
            <w:vMerge w:val="continue"/>
            <w:tcBorders>
              <w:tl2br w:val="nil"/>
              <w:tr2bl w:val="nil"/>
            </w:tcBorders>
            <w:vAlign w:val="center"/>
          </w:tcPr>
          <w:p w14:paraId="56CED1F6">
            <w:pPr>
              <w:spacing w:line="360" w:lineRule="exact"/>
              <w:ind w:firstLine="0" w:firstLineChars="0"/>
              <w:jc w:val="center"/>
              <w:rPr>
                <w:rFonts w:cs="Times New Roman"/>
                <w:color w:val="auto"/>
                <w:sz w:val="21"/>
                <w:szCs w:val="21"/>
                <w:highlight w:val="none"/>
              </w:rPr>
            </w:pPr>
          </w:p>
        </w:tc>
      </w:tr>
      <w:tr w14:paraId="2AB63A4B">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58" w:hRule="atLeast"/>
          <w:jc w:val="center"/>
        </w:trPr>
        <w:tc>
          <w:tcPr>
            <w:tcW w:w="280" w:type="pct"/>
            <w:vMerge w:val="continue"/>
            <w:tcBorders>
              <w:tl2br w:val="nil"/>
              <w:tr2bl w:val="nil"/>
            </w:tcBorders>
            <w:vAlign w:val="center"/>
          </w:tcPr>
          <w:p w14:paraId="352CC826">
            <w:pPr>
              <w:spacing w:line="360" w:lineRule="exact"/>
              <w:ind w:firstLine="0" w:firstLineChars="0"/>
              <w:jc w:val="center"/>
              <w:rPr>
                <w:rFonts w:cs="Times New Roman"/>
                <w:color w:val="auto"/>
                <w:sz w:val="21"/>
                <w:szCs w:val="21"/>
                <w:highlight w:val="none"/>
              </w:rPr>
            </w:pPr>
          </w:p>
        </w:tc>
        <w:tc>
          <w:tcPr>
            <w:tcW w:w="284" w:type="pct"/>
            <w:vMerge w:val="continue"/>
            <w:tcBorders>
              <w:tl2br w:val="nil"/>
              <w:tr2bl w:val="nil"/>
            </w:tcBorders>
            <w:vAlign w:val="center"/>
          </w:tcPr>
          <w:p w14:paraId="32334535">
            <w:pPr>
              <w:spacing w:line="360" w:lineRule="exact"/>
              <w:ind w:firstLine="0" w:firstLineChars="0"/>
              <w:jc w:val="center"/>
              <w:rPr>
                <w:rFonts w:cs="Times New Roman"/>
                <w:color w:val="auto"/>
                <w:sz w:val="21"/>
                <w:szCs w:val="21"/>
                <w:highlight w:val="none"/>
              </w:rPr>
            </w:pPr>
          </w:p>
        </w:tc>
        <w:tc>
          <w:tcPr>
            <w:tcW w:w="339" w:type="pct"/>
            <w:vMerge w:val="continue"/>
            <w:tcBorders>
              <w:tl2br w:val="nil"/>
              <w:tr2bl w:val="nil"/>
            </w:tcBorders>
            <w:vAlign w:val="center"/>
          </w:tcPr>
          <w:p w14:paraId="37682C69">
            <w:pPr>
              <w:spacing w:line="360" w:lineRule="exact"/>
              <w:ind w:firstLine="0" w:firstLineChars="0"/>
              <w:jc w:val="center"/>
              <w:rPr>
                <w:rFonts w:cs="Times New Roman"/>
                <w:color w:val="auto"/>
                <w:sz w:val="21"/>
                <w:szCs w:val="21"/>
                <w:highlight w:val="none"/>
              </w:rPr>
            </w:pPr>
          </w:p>
        </w:tc>
        <w:tc>
          <w:tcPr>
            <w:tcW w:w="651" w:type="pct"/>
            <w:tcBorders>
              <w:tl2br w:val="nil"/>
              <w:tr2bl w:val="nil"/>
            </w:tcBorders>
            <w:vAlign w:val="center"/>
          </w:tcPr>
          <w:p w14:paraId="60CE5BA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边角料</w:t>
            </w:r>
          </w:p>
        </w:tc>
        <w:tc>
          <w:tcPr>
            <w:tcW w:w="473" w:type="pct"/>
            <w:tcBorders>
              <w:tl2br w:val="nil"/>
              <w:tr2bl w:val="nil"/>
            </w:tcBorders>
            <w:vAlign w:val="center"/>
          </w:tcPr>
          <w:p w14:paraId="0D9546A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130-001-32</w:t>
            </w:r>
          </w:p>
        </w:tc>
        <w:tc>
          <w:tcPr>
            <w:tcW w:w="394" w:type="pct"/>
            <w:vMerge w:val="continue"/>
            <w:tcBorders>
              <w:tl2br w:val="nil"/>
              <w:tr2bl w:val="nil"/>
            </w:tcBorders>
            <w:vAlign w:val="center"/>
          </w:tcPr>
          <w:p w14:paraId="20157A20">
            <w:pPr>
              <w:spacing w:line="360" w:lineRule="exact"/>
              <w:ind w:firstLine="0" w:firstLineChars="0"/>
              <w:jc w:val="center"/>
              <w:rPr>
                <w:rFonts w:cs="Times New Roman"/>
                <w:color w:val="auto"/>
                <w:sz w:val="21"/>
                <w:szCs w:val="21"/>
                <w:highlight w:val="none"/>
              </w:rPr>
            </w:pPr>
          </w:p>
        </w:tc>
        <w:tc>
          <w:tcPr>
            <w:tcW w:w="263" w:type="pct"/>
            <w:vMerge w:val="continue"/>
            <w:tcBorders>
              <w:tl2br w:val="nil"/>
              <w:tr2bl w:val="nil"/>
            </w:tcBorders>
            <w:vAlign w:val="center"/>
          </w:tcPr>
          <w:p w14:paraId="16BBFC30">
            <w:pPr>
              <w:spacing w:line="360" w:lineRule="exact"/>
              <w:ind w:firstLine="0" w:firstLineChars="0"/>
              <w:jc w:val="center"/>
              <w:rPr>
                <w:rFonts w:cs="Times New Roman"/>
                <w:color w:val="auto"/>
                <w:sz w:val="21"/>
                <w:szCs w:val="21"/>
                <w:highlight w:val="none"/>
              </w:rPr>
            </w:pPr>
          </w:p>
        </w:tc>
        <w:tc>
          <w:tcPr>
            <w:tcW w:w="398" w:type="pct"/>
            <w:tcBorders>
              <w:tl2br w:val="nil"/>
              <w:tr2bl w:val="nil"/>
            </w:tcBorders>
            <w:vAlign w:val="center"/>
          </w:tcPr>
          <w:p w14:paraId="1C060582">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w:t>
            </w:r>
          </w:p>
        </w:tc>
        <w:tc>
          <w:tcPr>
            <w:tcW w:w="417" w:type="pct"/>
            <w:vMerge w:val="continue"/>
            <w:tcBorders>
              <w:tl2br w:val="nil"/>
              <w:tr2bl w:val="nil"/>
            </w:tcBorders>
            <w:vAlign w:val="center"/>
          </w:tcPr>
          <w:p w14:paraId="1B58996F">
            <w:pPr>
              <w:spacing w:line="360" w:lineRule="exact"/>
              <w:ind w:firstLine="0" w:firstLineChars="0"/>
              <w:jc w:val="center"/>
              <w:rPr>
                <w:rFonts w:cs="Times New Roman"/>
                <w:color w:val="auto"/>
                <w:sz w:val="21"/>
                <w:szCs w:val="21"/>
                <w:highlight w:val="none"/>
              </w:rPr>
            </w:pPr>
          </w:p>
        </w:tc>
        <w:tc>
          <w:tcPr>
            <w:tcW w:w="405" w:type="pct"/>
            <w:tcBorders>
              <w:tl2br w:val="nil"/>
              <w:tr2bl w:val="nil"/>
            </w:tcBorders>
            <w:vAlign w:val="center"/>
          </w:tcPr>
          <w:p w14:paraId="0914C35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30</w:t>
            </w:r>
          </w:p>
        </w:tc>
        <w:tc>
          <w:tcPr>
            <w:tcW w:w="1091" w:type="pct"/>
            <w:vMerge w:val="restart"/>
            <w:tcBorders>
              <w:tl2br w:val="nil"/>
              <w:tr2bl w:val="nil"/>
            </w:tcBorders>
            <w:vAlign w:val="center"/>
          </w:tcPr>
          <w:p w14:paraId="1EB236E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作为有机肥原料外售</w:t>
            </w:r>
          </w:p>
        </w:tc>
      </w:tr>
      <w:tr w14:paraId="78813949">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06" w:hRule="atLeast"/>
          <w:jc w:val="center"/>
        </w:trPr>
        <w:tc>
          <w:tcPr>
            <w:tcW w:w="280" w:type="pct"/>
            <w:vMerge w:val="continue"/>
            <w:tcBorders>
              <w:tl2br w:val="nil"/>
              <w:tr2bl w:val="nil"/>
            </w:tcBorders>
            <w:vAlign w:val="center"/>
          </w:tcPr>
          <w:p w14:paraId="11A51253">
            <w:pPr>
              <w:spacing w:line="360" w:lineRule="exact"/>
              <w:ind w:firstLine="0" w:firstLineChars="0"/>
              <w:jc w:val="center"/>
              <w:rPr>
                <w:rFonts w:cs="Times New Roman"/>
                <w:color w:val="auto"/>
                <w:sz w:val="21"/>
                <w:szCs w:val="21"/>
                <w:highlight w:val="none"/>
              </w:rPr>
            </w:pPr>
          </w:p>
        </w:tc>
        <w:tc>
          <w:tcPr>
            <w:tcW w:w="284" w:type="pct"/>
            <w:vMerge w:val="continue"/>
            <w:tcBorders>
              <w:tl2br w:val="nil"/>
              <w:tr2bl w:val="nil"/>
            </w:tcBorders>
            <w:vAlign w:val="center"/>
          </w:tcPr>
          <w:p w14:paraId="76615CDB">
            <w:pPr>
              <w:spacing w:line="360" w:lineRule="exact"/>
              <w:ind w:firstLine="0" w:firstLineChars="0"/>
              <w:jc w:val="center"/>
              <w:rPr>
                <w:rFonts w:cs="Times New Roman"/>
                <w:color w:val="auto"/>
                <w:sz w:val="21"/>
                <w:szCs w:val="21"/>
                <w:highlight w:val="none"/>
              </w:rPr>
            </w:pPr>
          </w:p>
        </w:tc>
        <w:tc>
          <w:tcPr>
            <w:tcW w:w="339" w:type="pct"/>
            <w:vMerge w:val="continue"/>
            <w:tcBorders>
              <w:tl2br w:val="nil"/>
              <w:tr2bl w:val="nil"/>
            </w:tcBorders>
            <w:vAlign w:val="center"/>
          </w:tcPr>
          <w:p w14:paraId="4126D55A">
            <w:pPr>
              <w:spacing w:line="360" w:lineRule="exact"/>
              <w:ind w:firstLine="0" w:firstLineChars="0"/>
              <w:jc w:val="center"/>
              <w:rPr>
                <w:rFonts w:cs="Times New Roman"/>
                <w:color w:val="auto"/>
                <w:sz w:val="21"/>
                <w:szCs w:val="21"/>
                <w:highlight w:val="none"/>
              </w:rPr>
            </w:pPr>
          </w:p>
        </w:tc>
        <w:tc>
          <w:tcPr>
            <w:tcW w:w="651" w:type="pct"/>
            <w:tcBorders>
              <w:tl2br w:val="nil"/>
              <w:tr2bl w:val="nil"/>
            </w:tcBorders>
            <w:vAlign w:val="center"/>
          </w:tcPr>
          <w:p w14:paraId="313E002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胃容物及肠内物</w:t>
            </w:r>
          </w:p>
        </w:tc>
        <w:tc>
          <w:tcPr>
            <w:tcW w:w="473" w:type="pct"/>
            <w:tcBorders>
              <w:tl2br w:val="nil"/>
              <w:tr2bl w:val="nil"/>
            </w:tcBorders>
            <w:vAlign w:val="center"/>
          </w:tcPr>
          <w:p w14:paraId="16DEAB9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130-001-32</w:t>
            </w:r>
          </w:p>
        </w:tc>
        <w:tc>
          <w:tcPr>
            <w:tcW w:w="394" w:type="pct"/>
            <w:vMerge w:val="continue"/>
            <w:tcBorders>
              <w:tl2br w:val="nil"/>
              <w:tr2bl w:val="nil"/>
            </w:tcBorders>
            <w:vAlign w:val="center"/>
          </w:tcPr>
          <w:p w14:paraId="5563EA97">
            <w:pPr>
              <w:spacing w:line="360" w:lineRule="exact"/>
              <w:ind w:firstLine="0" w:firstLineChars="0"/>
              <w:jc w:val="center"/>
              <w:rPr>
                <w:rFonts w:cs="Times New Roman"/>
                <w:color w:val="auto"/>
                <w:sz w:val="21"/>
                <w:szCs w:val="21"/>
                <w:highlight w:val="none"/>
              </w:rPr>
            </w:pPr>
          </w:p>
        </w:tc>
        <w:tc>
          <w:tcPr>
            <w:tcW w:w="263" w:type="pct"/>
            <w:vMerge w:val="continue"/>
            <w:tcBorders>
              <w:tl2br w:val="nil"/>
              <w:tr2bl w:val="nil"/>
            </w:tcBorders>
            <w:vAlign w:val="center"/>
          </w:tcPr>
          <w:p w14:paraId="1ABCD8CF">
            <w:pPr>
              <w:spacing w:line="360" w:lineRule="exact"/>
              <w:ind w:firstLine="0" w:firstLineChars="0"/>
              <w:jc w:val="center"/>
              <w:rPr>
                <w:rFonts w:cs="Times New Roman"/>
                <w:color w:val="auto"/>
                <w:sz w:val="21"/>
                <w:szCs w:val="21"/>
                <w:highlight w:val="none"/>
              </w:rPr>
            </w:pPr>
          </w:p>
        </w:tc>
        <w:tc>
          <w:tcPr>
            <w:tcW w:w="398" w:type="pct"/>
            <w:tcBorders>
              <w:tl2br w:val="nil"/>
              <w:tr2bl w:val="nil"/>
            </w:tcBorders>
            <w:vAlign w:val="center"/>
          </w:tcPr>
          <w:p w14:paraId="21F72C20">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585</w:t>
            </w:r>
          </w:p>
        </w:tc>
        <w:tc>
          <w:tcPr>
            <w:tcW w:w="417" w:type="pct"/>
            <w:vMerge w:val="continue"/>
            <w:tcBorders>
              <w:tl2br w:val="nil"/>
              <w:tr2bl w:val="nil"/>
            </w:tcBorders>
            <w:vAlign w:val="center"/>
          </w:tcPr>
          <w:p w14:paraId="24F1A012">
            <w:pPr>
              <w:spacing w:line="360" w:lineRule="exact"/>
              <w:ind w:firstLine="0" w:firstLineChars="0"/>
              <w:jc w:val="center"/>
              <w:rPr>
                <w:rFonts w:cs="Times New Roman"/>
                <w:color w:val="auto"/>
                <w:sz w:val="21"/>
                <w:szCs w:val="21"/>
                <w:highlight w:val="none"/>
              </w:rPr>
            </w:pPr>
          </w:p>
        </w:tc>
        <w:tc>
          <w:tcPr>
            <w:tcW w:w="405" w:type="pct"/>
            <w:tcBorders>
              <w:tl2br w:val="nil"/>
              <w:tr2bl w:val="nil"/>
            </w:tcBorders>
            <w:vAlign w:val="center"/>
          </w:tcPr>
          <w:p w14:paraId="72B10FC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240</w:t>
            </w:r>
          </w:p>
        </w:tc>
        <w:tc>
          <w:tcPr>
            <w:tcW w:w="1091" w:type="pct"/>
            <w:vMerge w:val="continue"/>
            <w:tcBorders>
              <w:tl2br w:val="nil"/>
              <w:tr2bl w:val="nil"/>
            </w:tcBorders>
            <w:vAlign w:val="center"/>
          </w:tcPr>
          <w:p w14:paraId="5E24AE9E">
            <w:pPr>
              <w:spacing w:line="360" w:lineRule="exact"/>
              <w:ind w:firstLine="0" w:firstLineChars="0"/>
              <w:jc w:val="center"/>
              <w:rPr>
                <w:rFonts w:cs="Times New Roman"/>
                <w:color w:val="auto"/>
                <w:sz w:val="21"/>
                <w:szCs w:val="21"/>
                <w:highlight w:val="none"/>
              </w:rPr>
            </w:pPr>
          </w:p>
        </w:tc>
      </w:tr>
      <w:tr w14:paraId="4F3DA51B">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34" w:hRule="atLeast"/>
          <w:jc w:val="center"/>
        </w:trPr>
        <w:tc>
          <w:tcPr>
            <w:tcW w:w="280" w:type="pct"/>
            <w:vMerge w:val="continue"/>
            <w:tcBorders>
              <w:tl2br w:val="nil"/>
              <w:tr2bl w:val="nil"/>
            </w:tcBorders>
            <w:vAlign w:val="center"/>
          </w:tcPr>
          <w:p w14:paraId="0AEE4DA9">
            <w:pPr>
              <w:spacing w:line="360" w:lineRule="exact"/>
              <w:ind w:firstLine="0" w:firstLineChars="0"/>
              <w:jc w:val="center"/>
              <w:rPr>
                <w:rFonts w:cs="Times New Roman"/>
                <w:color w:val="auto"/>
                <w:sz w:val="21"/>
                <w:szCs w:val="21"/>
                <w:highlight w:val="none"/>
              </w:rPr>
            </w:pPr>
          </w:p>
        </w:tc>
        <w:tc>
          <w:tcPr>
            <w:tcW w:w="284" w:type="pct"/>
            <w:vMerge w:val="continue"/>
            <w:tcBorders>
              <w:tl2br w:val="nil"/>
              <w:tr2bl w:val="nil"/>
            </w:tcBorders>
            <w:vAlign w:val="center"/>
          </w:tcPr>
          <w:p w14:paraId="305ABAEA">
            <w:pPr>
              <w:spacing w:line="360" w:lineRule="exact"/>
              <w:ind w:firstLine="0" w:firstLineChars="0"/>
              <w:jc w:val="center"/>
              <w:rPr>
                <w:rFonts w:cs="Times New Roman"/>
                <w:color w:val="auto"/>
                <w:sz w:val="21"/>
                <w:szCs w:val="21"/>
                <w:highlight w:val="none"/>
              </w:rPr>
            </w:pPr>
          </w:p>
        </w:tc>
        <w:tc>
          <w:tcPr>
            <w:tcW w:w="339" w:type="pct"/>
            <w:vMerge w:val="continue"/>
            <w:tcBorders>
              <w:tl2br w:val="nil"/>
              <w:tr2bl w:val="nil"/>
            </w:tcBorders>
            <w:vAlign w:val="center"/>
          </w:tcPr>
          <w:p w14:paraId="0DCE5233">
            <w:pPr>
              <w:spacing w:line="360" w:lineRule="exact"/>
              <w:ind w:firstLine="0" w:firstLineChars="0"/>
              <w:jc w:val="center"/>
              <w:rPr>
                <w:rFonts w:cs="Times New Roman"/>
                <w:color w:val="auto"/>
                <w:sz w:val="21"/>
                <w:szCs w:val="21"/>
                <w:highlight w:val="none"/>
              </w:rPr>
            </w:pPr>
          </w:p>
        </w:tc>
        <w:tc>
          <w:tcPr>
            <w:tcW w:w="651" w:type="pct"/>
            <w:tcBorders>
              <w:tl2br w:val="nil"/>
              <w:tr2bl w:val="nil"/>
            </w:tcBorders>
            <w:vAlign w:val="center"/>
          </w:tcPr>
          <w:p w14:paraId="20D06CD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粪便</w:t>
            </w:r>
          </w:p>
        </w:tc>
        <w:tc>
          <w:tcPr>
            <w:tcW w:w="473" w:type="pct"/>
            <w:tcBorders>
              <w:tl2br w:val="nil"/>
              <w:tr2bl w:val="nil"/>
            </w:tcBorders>
            <w:vAlign w:val="center"/>
          </w:tcPr>
          <w:p w14:paraId="1D03E6F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030-001-33</w:t>
            </w:r>
          </w:p>
        </w:tc>
        <w:tc>
          <w:tcPr>
            <w:tcW w:w="394" w:type="pct"/>
            <w:vMerge w:val="continue"/>
            <w:tcBorders>
              <w:tl2br w:val="nil"/>
              <w:tr2bl w:val="nil"/>
            </w:tcBorders>
            <w:vAlign w:val="center"/>
          </w:tcPr>
          <w:p w14:paraId="48C2AD0D">
            <w:pPr>
              <w:spacing w:line="360" w:lineRule="exact"/>
              <w:ind w:firstLine="0" w:firstLineChars="0"/>
              <w:jc w:val="center"/>
              <w:rPr>
                <w:rFonts w:cs="Times New Roman"/>
                <w:color w:val="auto"/>
                <w:sz w:val="21"/>
                <w:szCs w:val="21"/>
                <w:highlight w:val="none"/>
              </w:rPr>
            </w:pPr>
          </w:p>
        </w:tc>
        <w:tc>
          <w:tcPr>
            <w:tcW w:w="263" w:type="pct"/>
            <w:vMerge w:val="continue"/>
            <w:tcBorders>
              <w:tl2br w:val="nil"/>
              <w:tr2bl w:val="nil"/>
            </w:tcBorders>
            <w:vAlign w:val="center"/>
          </w:tcPr>
          <w:p w14:paraId="5231311A">
            <w:pPr>
              <w:spacing w:line="360" w:lineRule="exact"/>
              <w:ind w:firstLine="0" w:firstLineChars="0"/>
              <w:jc w:val="center"/>
              <w:rPr>
                <w:rFonts w:cs="Times New Roman"/>
                <w:color w:val="auto"/>
                <w:sz w:val="21"/>
                <w:szCs w:val="21"/>
                <w:highlight w:val="none"/>
              </w:rPr>
            </w:pPr>
          </w:p>
        </w:tc>
        <w:tc>
          <w:tcPr>
            <w:tcW w:w="398" w:type="pct"/>
            <w:tcBorders>
              <w:tl2br w:val="nil"/>
              <w:tr2bl w:val="nil"/>
            </w:tcBorders>
            <w:vAlign w:val="center"/>
          </w:tcPr>
          <w:p w14:paraId="045FC493">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495</w:t>
            </w:r>
          </w:p>
        </w:tc>
        <w:tc>
          <w:tcPr>
            <w:tcW w:w="417" w:type="pct"/>
            <w:vMerge w:val="continue"/>
            <w:tcBorders>
              <w:tl2br w:val="nil"/>
              <w:tr2bl w:val="nil"/>
            </w:tcBorders>
            <w:vAlign w:val="center"/>
          </w:tcPr>
          <w:p w14:paraId="78D3ED75">
            <w:pPr>
              <w:spacing w:line="360" w:lineRule="exact"/>
              <w:ind w:firstLine="0" w:firstLineChars="0"/>
              <w:jc w:val="center"/>
              <w:rPr>
                <w:rFonts w:cs="Times New Roman"/>
                <w:color w:val="auto"/>
                <w:sz w:val="21"/>
                <w:szCs w:val="21"/>
                <w:highlight w:val="none"/>
              </w:rPr>
            </w:pPr>
          </w:p>
        </w:tc>
        <w:tc>
          <w:tcPr>
            <w:tcW w:w="405" w:type="pct"/>
            <w:tcBorders>
              <w:tl2br w:val="nil"/>
              <w:tr2bl w:val="nil"/>
            </w:tcBorders>
            <w:vAlign w:val="center"/>
          </w:tcPr>
          <w:p w14:paraId="09E18FD3">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495</w:t>
            </w:r>
          </w:p>
        </w:tc>
        <w:tc>
          <w:tcPr>
            <w:tcW w:w="1091" w:type="pct"/>
            <w:vMerge w:val="continue"/>
            <w:tcBorders>
              <w:tl2br w:val="nil"/>
              <w:tr2bl w:val="nil"/>
            </w:tcBorders>
            <w:vAlign w:val="center"/>
          </w:tcPr>
          <w:p w14:paraId="2AD45FCE">
            <w:pPr>
              <w:spacing w:line="360" w:lineRule="exact"/>
              <w:ind w:firstLine="0" w:firstLineChars="0"/>
              <w:jc w:val="center"/>
              <w:rPr>
                <w:rFonts w:cs="Times New Roman"/>
                <w:color w:val="auto"/>
                <w:sz w:val="21"/>
                <w:szCs w:val="21"/>
                <w:highlight w:val="none"/>
              </w:rPr>
            </w:pPr>
          </w:p>
        </w:tc>
      </w:tr>
      <w:tr w14:paraId="73807A32">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61" w:hRule="atLeast"/>
          <w:jc w:val="center"/>
        </w:trPr>
        <w:tc>
          <w:tcPr>
            <w:tcW w:w="280" w:type="pct"/>
            <w:vMerge w:val="continue"/>
            <w:tcBorders>
              <w:tl2br w:val="nil"/>
              <w:tr2bl w:val="nil"/>
            </w:tcBorders>
            <w:vAlign w:val="center"/>
          </w:tcPr>
          <w:p w14:paraId="5EC1A937">
            <w:pPr>
              <w:spacing w:line="360" w:lineRule="exact"/>
              <w:ind w:firstLine="0" w:firstLineChars="0"/>
              <w:jc w:val="center"/>
              <w:rPr>
                <w:rFonts w:cs="Times New Roman"/>
                <w:color w:val="auto"/>
                <w:sz w:val="21"/>
                <w:szCs w:val="21"/>
                <w:highlight w:val="none"/>
              </w:rPr>
            </w:pPr>
          </w:p>
        </w:tc>
        <w:tc>
          <w:tcPr>
            <w:tcW w:w="284" w:type="pct"/>
            <w:vMerge w:val="continue"/>
            <w:tcBorders>
              <w:tl2br w:val="nil"/>
              <w:tr2bl w:val="nil"/>
            </w:tcBorders>
            <w:vAlign w:val="center"/>
          </w:tcPr>
          <w:p w14:paraId="07D6D8AF">
            <w:pPr>
              <w:spacing w:line="360" w:lineRule="exact"/>
              <w:ind w:firstLine="0" w:firstLineChars="0"/>
              <w:jc w:val="center"/>
              <w:rPr>
                <w:rFonts w:cs="Times New Roman"/>
                <w:color w:val="auto"/>
                <w:sz w:val="21"/>
                <w:szCs w:val="21"/>
                <w:highlight w:val="none"/>
              </w:rPr>
            </w:pPr>
          </w:p>
        </w:tc>
        <w:tc>
          <w:tcPr>
            <w:tcW w:w="339" w:type="pct"/>
            <w:vMerge w:val="continue"/>
            <w:tcBorders>
              <w:tl2br w:val="nil"/>
              <w:tr2bl w:val="nil"/>
            </w:tcBorders>
            <w:vAlign w:val="center"/>
          </w:tcPr>
          <w:p w14:paraId="1FC1325F">
            <w:pPr>
              <w:spacing w:line="360" w:lineRule="exact"/>
              <w:ind w:firstLine="0" w:firstLineChars="0"/>
              <w:jc w:val="center"/>
              <w:rPr>
                <w:rFonts w:cs="Times New Roman"/>
                <w:color w:val="auto"/>
                <w:sz w:val="21"/>
                <w:szCs w:val="21"/>
                <w:highlight w:val="none"/>
              </w:rPr>
            </w:pPr>
          </w:p>
        </w:tc>
        <w:tc>
          <w:tcPr>
            <w:tcW w:w="651" w:type="pct"/>
            <w:tcBorders>
              <w:tl2br w:val="nil"/>
              <w:tr2bl w:val="nil"/>
            </w:tcBorders>
            <w:vAlign w:val="center"/>
          </w:tcPr>
          <w:p w14:paraId="6F19115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废包装</w:t>
            </w:r>
          </w:p>
        </w:tc>
        <w:tc>
          <w:tcPr>
            <w:tcW w:w="473" w:type="pct"/>
            <w:tcBorders>
              <w:tl2br w:val="nil"/>
              <w:tr2bl w:val="nil"/>
            </w:tcBorders>
            <w:vAlign w:val="center"/>
          </w:tcPr>
          <w:p w14:paraId="3E484EF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900-999-99</w:t>
            </w:r>
          </w:p>
        </w:tc>
        <w:tc>
          <w:tcPr>
            <w:tcW w:w="394" w:type="pct"/>
            <w:vMerge w:val="continue"/>
            <w:tcBorders>
              <w:tl2br w:val="nil"/>
              <w:tr2bl w:val="nil"/>
            </w:tcBorders>
            <w:vAlign w:val="center"/>
          </w:tcPr>
          <w:p w14:paraId="08D9900E">
            <w:pPr>
              <w:spacing w:line="360" w:lineRule="exact"/>
              <w:ind w:firstLine="0" w:firstLineChars="0"/>
              <w:jc w:val="center"/>
              <w:rPr>
                <w:rFonts w:cs="Times New Roman"/>
                <w:color w:val="auto"/>
                <w:sz w:val="21"/>
                <w:szCs w:val="21"/>
                <w:highlight w:val="none"/>
              </w:rPr>
            </w:pPr>
          </w:p>
        </w:tc>
        <w:tc>
          <w:tcPr>
            <w:tcW w:w="263" w:type="pct"/>
            <w:tcBorders>
              <w:tl2br w:val="nil"/>
              <w:tr2bl w:val="nil"/>
            </w:tcBorders>
            <w:vAlign w:val="center"/>
          </w:tcPr>
          <w:p w14:paraId="00E900F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类比</w:t>
            </w:r>
          </w:p>
        </w:tc>
        <w:tc>
          <w:tcPr>
            <w:tcW w:w="398" w:type="pct"/>
            <w:tcBorders>
              <w:tl2br w:val="nil"/>
              <w:tr2bl w:val="nil"/>
            </w:tcBorders>
            <w:vAlign w:val="center"/>
          </w:tcPr>
          <w:p w14:paraId="05B3094B">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w:t>
            </w:r>
          </w:p>
        </w:tc>
        <w:tc>
          <w:tcPr>
            <w:tcW w:w="417" w:type="pct"/>
            <w:vMerge w:val="continue"/>
            <w:tcBorders>
              <w:tl2br w:val="nil"/>
              <w:tr2bl w:val="nil"/>
            </w:tcBorders>
            <w:vAlign w:val="center"/>
          </w:tcPr>
          <w:p w14:paraId="02D1294A">
            <w:pPr>
              <w:spacing w:line="360" w:lineRule="exact"/>
              <w:ind w:firstLine="0" w:firstLineChars="0"/>
              <w:jc w:val="center"/>
              <w:rPr>
                <w:rFonts w:cs="Times New Roman"/>
                <w:color w:val="auto"/>
                <w:sz w:val="21"/>
                <w:szCs w:val="21"/>
                <w:highlight w:val="none"/>
              </w:rPr>
            </w:pPr>
          </w:p>
        </w:tc>
        <w:tc>
          <w:tcPr>
            <w:tcW w:w="405" w:type="pct"/>
            <w:tcBorders>
              <w:tl2br w:val="nil"/>
              <w:tr2bl w:val="nil"/>
            </w:tcBorders>
            <w:vAlign w:val="center"/>
          </w:tcPr>
          <w:p w14:paraId="3243D19B">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w:t>
            </w:r>
          </w:p>
        </w:tc>
        <w:tc>
          <w:tcPr>
            <w:tcW w:w="1091" w:type="pct"/>
            <w:tcBorders>
              <w:tl2br w:val="nil"/>
              <w:tr2bl w:val="nil"/>
            </w:tcBorders>
            <w:vAlign w:val="center"/>
          </w:tcPr>
          <w:p w14:paraId="7A508DA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定期外售综合利用</w:t>
            </w:r>
          </w:p>
        </w:tc>
      </w:tr>
      <w:tr w14:paraId="2C8630A7">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06" w:hRule="atLeast"/>
          <w:jc w:val="center"/>
        </w:trPr>
        <w:tc>
          <w:tcPr>
            <w:tcW w:w="280" w:type="pct"/>
            <w:vMerge w:val="continue"/>
            <w:tcBorders>
              <w:tl2br w:val="nil"/>
              <w:tr2bl w:val="nil"/>
            </w:tcBorders>
            <w:vAlign w:val="center"/>
          </w:tcPr>
          <w:p w14:paraId="08D8F35F">
            <w:pPr>
              <w:spacing w:line="360" w:lineRule="exact"/>
              <w:ind w:firstLine="0" w:firstLineChars="0"/>
              <w:jc w:val="center"/>
              <w:rPr>
                <w:rFonts w:cs="Times New Roman"/>
                <w:color w:val="auto"/>
                <w:sz w:val="21"/>
                <w:szCs w:val="21"/>
                <w:highlight w:val="none"/>
              </w:rPr>
            </w:pPr>
          </w:p>
        </w:tc>
        <w:tc>
          <w:tcPr>
            <w:tcW w:w="284" w:type="pct"/>
            <w:vMerge w:val="restart"/>
            <w:tcBorders>
              <w:tl2br w:val="nil"/>
              <w:tr2bl w:val="nil"/>
            </w:tcBorders>
            <w:vAlign w:val="center"/>
          </w:tcPr>
          <w:p w14:paraId="6E2A884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污水处理站</w:t>
            </w:r>
          </w:p>
        </w:tc>
        <w:tc>
          <w:tcPr>
            <w:tcW w:w="339" w:type="pct"/>
            <w:vMerge w:val="restart"/>
            <w:tcBorders>
              <w:tl2br w:val="nil"/>
              <w:tr2bl w:val="nil"/>
            </w:tcBorders>
            <w:vAlign w:val="center"/>
          </w:tcPr>
          <w:p w14:paraId="5F3F0C9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污水处理站</w:t>
            </w:r>
          </w:p>
        </w:tc>
        <w:tc>
          <w:tcPr>
            <w:tcW w:w="651" w:type="pct"/>
            <w:tcBorders>
              <w:tl2br w:val="nil"/>
              <w:tr2bl w:val="nil"/>
            </w:tcBorders>
            <w:vAlign w:val="center"/>
          </w:tcPr>
          <w:p w14:paraId="423BAA6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脱水污泥（含栅渣）</w:t>
            </w:r>
          </w:p>
        </w:tc>
        <w:tc>
          <w:tcPr>
            <w:tcW w:w="473" w:type="pct"/>
            <w:tcBorders>
              <w:tl2br w:val="nil"/>
              <w:tr2bl w:val="nil"/>
            </w:tcBorders>
            <w:vAlign w:val="center"/>
          </w:tcPr>
          <w:p w14:paraId="2D708F7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462-001-62</w:t>
            </w:r>
          </w:p>
        </w:tc>
        <w:tc>
          <w:tcPr>
            <w:tcW w:w="394" w:type="pct"/>
            <w:vMerge w:val="continue"/>
            <w:tcBorders>
              <w:tl2br w:val="nil"/>
              <w:tr2bl w:val="nil"/>
            </w:tcBorders>
            <w:vAlign w:val="center"/>
          </w:tcPr>
          <w:p w14:paraId="1DDBCC0F">
            <w:pPr>
              <w:spacing w:line="360" w:lineRule="exact"/>
              <w:ind w:firstLine="0" w:firstLineChars="0"/>
              <w:jc w:val="center"/>
              <w:rPr>
                <w:rFonts w:cs="Times New Roman"/>
                <w:color w:val="auto"/>
                <w:sz w:val="21"/>
                <w:szCs w:val="21"/>
                <w:highlight w:val="none"/>
              </w:rPr>
            </w:pPr>
          </w:p>
        </w:tc>
        <w:tc>
          <w:tcPr>
            <w:tcW w:w="263" w:type="pct"/>
            <w:tcBorders>
              <w:tl2br w:val="nil"/>
              <w:tr2bl w:val="nil"/>
            </w:tcBorders>
            <w:vAlign w:val="center"/>
          </w:tcPr>
          <w:p w14:paraId="77EDA16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物料衡算</w:t>
            </w:r>
          </w:p>
        </w:tc>
        <w:tc>
          <w:tcPr>
            <w:tcW w:w="398" w:type="pct"/>
            <w:tcBorders>
              <w:tl2br w:val="nil"/>
              <w:tr2bl w:val="nil"/>
            </w:tcBorders>
            <w:vAlign w:val="center"/>
          </w:tcPr>
          <w:p w14:paraId="59E7C579">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128.35</w:t>
            </w:r>
          </w:p>
        </w:tc>
        <w:tc>
          <w:tcPr>
            <w:tcW w:w="417" w:type="pct"/>
            <w:vMerge w:val="continue"/>
            <w:tcBorders>
              <w:tl2br w:val="nil"/>
              <w:tr2bl w:val="nil"/>
            </w:tcBorders>
            <w:vAlign w:val="center"/>
          </w:tcPr>
          <w:p w14:paraId="5CD5DEA9">
            <w:pPr>
              <w:spacing w:line="360" w:lineRule="exact"/>
              <w:ind w:firstLine="0" w:firstLineChars="0"/>
              <w:jc w:val="center"/>
              <w:rPr>
                <w:rFonts w:cs="Times New Roman"/>
                <w:color w:val="auto"/>
                <w:sz w:val="21"/>
                <w:szCs w:val="21"/>
                <w:highlight w:val="none"/>
              </w:rPr>
            </w:pPr>
          </w:p>
        </w:tc>
        <w:tc>
          <w:tcPr>
            <w:tcW w:w="405" w:type="pct"/>
            <w:tcBorders>
              <w:tl2br w:val="nil"/>
              <w:tr2bl w:val="nil"/>
            </w:tcBorders>
            <w:vAlign w:val="center"/>
          </w:tcPr>
          <w:p w14:paraId="31ABE48E">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128.35</w:t>
            </w:r>
          </w:p>
        </w:tc>
        <w:tc>
          <w:tcPr>
            <w:tcW w:w="1091" w:type="pct"/>
            <w:tcBorders>
              <w:tl2br w:val="nil"/>
              <w:tr2bl w:val="nil"/>
            </w:tcBorders>
            <w:vAlign w:val="center"/>
          </w:tcPr>
          <w:p w14:paraId="29702C7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送生活垃圾填埋场填埋</w:t>
            </w:r>
          </w:p>
        </w:tc>
      </w:tr>
      <w:tr w14:paraId="27786F80">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06" w:hRule="atLeast"/>
          <w:jc w:val="center"/>
        </w:trPr>
        <w:tc>
          <w:tcPr>
            <w:tcW w:w="280" w:type="pct"/>
            <w:vMerge w:val="continue"/>
            <w:tcBorders>
              <w:tl2br w:val="nil"/>
              <w:tr2bl w:val="nil"/>
            </w:tcBorders>
            <w:vAlign w:val="center"/>
          </w:tcPr>
          <w:p w14:paraId="2A3BEF84">
            <w:pPr>
              <w:spacing w:line="360" w:lineRule="exact"/>
              <w:ind w:firstLine="0" w:firstLineChars="0"/>
              <w:jc w:val="center"/>
              <w:rPr>
                <w:rFonts w:cs="Times New Roman"/>
                <w:color w:val="auto"/>
                <w:sz w:val="21"/>
                <w:szCs w:val="21"/>
                <w:highlight w:val="none"/>
              </w:rPr>
            </w:pPr>
          </w:p>
        </w:tc>
        <w:tc>
          <w:tcPr>
            <w:tcW w:w="284" w:type="pct"/>
            <w:vMerge w:val="continue"/>
            <w:tcBorders>
              <w:tl2br w:val="nil"/>
              <w:tr2bl w:val="nil"/>
            </w:tcBorders>
            <w:vAlign w:val="center"/>
          </w:tcPr>
          <w:p w14:paraId="7A8C542F">
            <w:pPr>
              <w:spacing w:line="360" w:lineRule="exact"/>
              <w:ind w:firstLine="0" w:firstLineChars="0"/>
              <w:jc w:val="center"/>
              <w:rPr>
                <w:rFonts w:cs="Times New Roman"/>
                <w:color w:val="auto"/>
                <w:sz w:val="21"/>
                <w:szCs w:val="21"/>
                <w:highlight w:val="none"/>
              </w:rPr>
            </w:pPr>
          </w:p>
        </w:tc>
        <w:tc>
          <w:tcPr>
            <w:tcW w:w="339" w:type="pct"/>
            <w:vMerge w:val="continue"/>
            <w:tcBorders>
              <w:tl2br w:val="nil"/>
              <w:tr2bl w:val="nil"/>
            </w:tcBorders>
            <w:vAlign w:val="center"/>
          </w:tcPr>
          <w:p w14:paraId="2C83DBDA">
            <w:pPr>
              <w:spacing w:line="360" w:lineRule="exact"/>
              <w:ind w:firstLine="0" w:firstLineChars="0"/>
              <w:jc w:val="center"/>
              <w:rPr>
                <w:rFonts w:cs="Times New Roman"/>
                <w:color w:val="auto"/>
                <w:sz w:val="21"/>
                <w:szCs w:val="21"/>
                <w:highlight w:val="none"/>
              </w:rPr>
            </w:pPr>
          </w:p>
        </w:tc>
        <w:tc>
          <w:tcPr>
            <w:tcW w:w="651" w:type="pct"/>
            <w:tcBorders>
              <w:tl2br w:val="nil"/>
              <w:tr2bl w:val="nil"/>
            </w:tcBorders>
            <w:vAlign w:val="center"/>
          </w:tcPr>
          <w:p w14:paraId="6F79D91F">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废油脂</w:t>
            </w:r>
          </w:p>
        </w:tc>
        <w:tc>
          <w:tcPr>
            <w:tcW w:w="473" w:type="pct"/>
            <w:tcBorders>
              <w:tl2br w:val="nil"/>
              <w:tr2bl w:val="nil"/>
            </w:tcBorders>
            <w:vAlign w:val="center"/>
          </w:tcPr>
          <w:p w14:paraId="39C2AF10">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rPr>
              <w:t>-002-S61</w:t>
            </w:r>
          </w:p>
        </w:tc>
        <w:tc>
          <w:tcPr>
            <w:tcW w:w="394" w:type="pct"/>
            <w:vMerge w:val="continue"/>
            <w:tcBorders>
              <w:tl2br w:val="nil"/>
              <w:tr2bl w:val="nil"/>
            </w:tcBorders>
            <w:vAlign w:val="center"/>
          </w:tcPr>
          <w:p w14:paraId="47BAD127">
            <w:pPr>
              <w:spacing w:line="360" w:lineRule="exact"/>
              <w:ind w:firstLine="0" w:firstLineChars="0"/>
              <w:jc w:val="center"/>
              <w:rPr>
                <w:rFonts w:cs="Times New Roman"/>
                <w:color w:val="auto"/>
                <w:sz w:val="21"/>
                <w:szCs w:val="21"/>
                <w:highlight w:val="none"/>
              </w:rPr>
            </w:pPr>
          </w:p>
        </w:tc>
        <w:tc>
          <w:tcPr>
            <w:tcW w:w="263" w:type="pct"/>
            <w:tcBorders>
              <w:tl2br w:val="nil"/>
              <w:tr2bl w:val="nil"/>
            </w:tcBorders>
            <w:vAlign w:val="center"/>
          </w:tcPr>
          <w:p w14:paraId="5DDB15F6">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类比</w:t>
            </w:r>
          </w:p>
        </w:tc>
        <w:tc>
          <w:tcPr>
            <w:tcW w:w="398" w:type="pct"/>
            <w:tcBorders>
              <w:tl2br w:val="nil"/>
              <w:tr2bl w:val="nil"/>
            </w:tcBorders>
            <w:vAlign w:val="center"/>
          </w:tcPr>
          <w:p w14:paraId="637F2BB3">
            <w:pPr>
              <w:spacing w:line="36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0.8</w:t>
            </w:r>
          </w:p>
        </w:tc>
        <w:tc>
          <w:tcPr>
            <w:tcW w:w="417" w:type="pct"/>
            <w:vMerge w:val="continue"/>
            <w:tcBorders>
              <w:tl2br w:val="nil"/>
              <w:tr2bl w:val="nil"/>
            </w:tcBorders>
            <w:vAlign w:val="center"/>
          </w:tcPr>
          <w:p w14:paraId="23291D59">
            <w:pPr>
              <w:spacing w:line="360" w:lineRule="exact"/>
              <w:ind w:firstLine="0" w:firstLineChars="0"/>
              <w:jc w:val="center"/>
              <w:rPr>
                <w:rFonts w:cs="Times New Roman"/>
                <w:color w:val="auto"/>
                <w:sz w:val="21"/>
                <w:szCs w:val="21"/>
                <w:highlight w:val="none"/>
              </w:rPr>
            </w:pPr>
          </w:p>
        </w:tc>
        <w:tc>
          <w:tcPr>
            <w:tcW w:w="405" w:type="pct"/>
            <w:tcBorders>
              <w:tl2br w:val="nil"/>
              <w:tr2bl w:val="nil"/>
            </w:tcBorders>
            <w:vAlign w:val="center"/>
          </w:tcPr>
          <w:p w14:paraId="57E28DFC">
            <w:pPr>
              <w:spacing w:line="36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0.8</w:t>
            </w:r>
          </w:p>
        </w:tc>
        <w:tc>
          <w:tcPr>
            <w:tcW w:w="1091" w:type="pct"/>
            <w:tcBorders>
              <w:tl2br w:val="nil"/>
              <w:tr2bl w:val="nil"/>
            </w:tcBorders>
            <w:vAlign w:val="center"/>
          </w:tcPr>
          <w:p w14:paraId="7BDF9417">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交由有能力运输处置单位进行处理</w:t>
            </w:r>
          </w:p>
        </w:tc>
      </w:tr>
      <w:tr w14:paraId="46E3AD12">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73" w:hRule="atLeast"/>
          <w:jc w:val="center"/>
        </w:trPr>
        <w:tc>
          <w:tcPr>
            <w:tcW w:w="280" w:type="pct"/>
            <w:vMerge w:val="restart"/>
            <w:tcBorders>
              <w:tl2br w:val="nil"/>
              <w:tr2bl w:val="nil"/>
            </w:tcBorders>
            <w:vAlign w:val="center"/>
          </w:tcPr>
          <w:p w14:paraId="0DB39096">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284" w:type="pct"/>
            <w:tcBorders>
              <w:tl2br w:val="nil"/>
              <w:tr2bl w:val="nil"/>
            </w:tcBorders>
            <w:vAlign w:val="center"/>
          </w:tcPr>
          <w:p w14:paraId="373448DF">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检疫</w:t>
            </w:r>
          </w:p>
        </w:tc>
        <w:tc>
          <w:tcPr>
            <w:tcW w:w="339" w:type="pct"/>
            <w:tcBorders>
              <w:tl2br w:val="nil"/>
              <w:tr2bl w:val="nil"/>
            </w:tcBorders>
            <w:vAlign w:val="center"/>
          </w:tcPr>
          <w:p w14:paraId="2CD515EC">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实验室</w:t>
            </w:r>
          </w:p>
        </w:tc>
        <w:tc>
          <w:tcPr>
            <w:tcW w:w="651" w:type="pct"/>
            <w:tcBorders>
              <w:tl2br w:val="nil"/>
              <w:tr2bl w:val="nil"/>
            </w:tcBorders>
            <w:vAlign w:val="center"/>
          </w:tcPr>
          <w:p w14:paraId="29F522CC">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检疫废物</w:t>
            </w:r>
          </w:p>
        </w:tc>
        <w:tc>
          <w:tcPr>
            <w:tcW w:w="473" w:type="pct"/>
            <w:tcBorders>
              <w:tl2br w:val="nil"/>
              <w:tr2bl w:val="nil"/>
            </w:tcBorders>
            <w:vAlign w:val="center"/>
          </w:tcPr>
          <w:p w14:paraId="519768D8">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HW49 900-041-49</w:t>
            </w:r>
          </w:p>
        </w:tc>
        <w:tc>
          <w:tcPr>
            <w:tcW w:w="394" w:type="pct"/>
            <w:vMerge w:val="restart"/>
            <w:tcBorders>
              <w:tl2br w:val="nil"/>
              <w:tr2bl w:val="nil"/>
            </w:tcBorders>
            <w:vAlign w:val="center"/>
          </w:tcPr>
          <w:p w14:paraId="05EC2DB0">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263" w:type="pct"/>
            <w:tcBorders>
              <w:tl2br w:val="nil"/>
              <w:tr2bl w:val="nil"/>
            </w:tcBorders>
            <w:vAlign w:val="center"/>
          </w:tcPr>
          <w:p w14:paraId="7C0CD67D">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w:t>
            </w:r>
          </w:p>
        </w:tc>
        <w:tc>
          <w:tcPr>
            <w:tcW w:w="398" w:type="pct"/>
            <w:tcBorders>
              <w:tl2br w:val="nil"/>
              <w:tr2bl w:val="nil"/>
            </w:tcBorders>
            <w:vAlign w:val="center"/>
          </w:tcPr>
          <w:p w14:paraId="2384A20A">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3</w:t>
            </w:r>
          </w:p>
        </w:tc>
        <w:tc>
          <w:tcPr>
            <w:tcW w:w="417" w:type="pct"/>
            <w:tcBorders>
              <w:tl2br w:val="nil"/>
              <w:tr2bl w:val="nil"/>
            </w:tcBorders>
            <w:vAlign w:val="center"/>
          </w:tcPr>
          <w:p w14:paraId="6886B7C6">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集中收集</w:t>
            </w:r>
          </w:p>
        </w:tc>
        <w:tc>
          <w:tcPr>
            <w:tcW w:w="405" w:type="pct"/>
            <w:tcBorders>
              <w:tl2br w:val="nil"/>
              <w:tr2bl w:val="nil"/>
            </w:tcBorders>
            <w:vAlign w:val="center"/>
          </w:tcPr>
          <w:p w14:paraId="72CF98D5">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3</w:t>
            </w:r>
          </w:p>
        </w:tc>
        <w:tc>
          <w:tcPr>
            <w:tcW w:w="1091" w:type="pct"/>
            <w:tcBorders>
              <w:tl2br w:val="nil"/>
              <w:tr2bl w:val="nil"/>
            </w:tcBorders>
            <w:vAlign w:val="center"/>
          </w:tcPr>
          <w:p w14:paraId="7034FF9B">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定期由有资质的单位处置</w:t>
            </w:r>
          </w:p>
        </w:tc>
      </w:tr>
      <w:tr w14:paraId="05793AE6">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6" w:hRule="atLeast"/>
          <w:jc w:val="center"/>
        </w:trPr>
        <w:tc>
          <w:tcPr>
            <w:tcW w:w="280" w:type="pct"/>
            <w:vMerge w:val="continue"/>
            <w:tcBorders>
              <w:tl2br w:val="nil"/>
              <w:tr2bl w:val="nil"/>
            </w:tcBorders>
            <w:vAlign w:val="center"/>
          </w:tcPr>
          <w:p w14:paraId="2FA00775">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84" w:type="pct"/>
            <w:vMerge w:val="restart"/>
            <w:tcBorders>
              <w:tl2br w:val="nil"/>
              <w:tr2bl w:val="nil"/>
            </w:tcBorders>
            <w:vAlign w:val="center"/>
          </w:tcPr>
          <w:p w14:paraId="16963619">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检修</w:t>
            </w:r>
          </w:p>
        </w:tc>
        <w:tc>
          <w:tcPr>
            <w:tcW w:w="339" w:type="pct"/>
            <w:vMerge w:val="restart"/>
            <w:tcBorders>
              <w:tl2br w:val="nil"/>
              <w:tr2bl w:val="nil"/>
            </w:tcBorders>
            <w:vAlign w:val="center"/>
          </w:tcPr>
          <w:p w14:paraId="6050FADD">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生产车间</w:t>
            </w:r>
          </w:p>
        </w:tc>
        <w:tc>
          <w:tcPr>
            <w:tcW w:w="651" w:type="pct"/>
            <w:tcBorders>
              <w:tl2br w:val="nil"/>
              <w:tr2bl w:val="nil"/>
            </w:tcBorders>
            <w:vAlign w:val="center"/>
          </w:tcPr>
          <w:p w14:paraId="4B8A5467">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废润滑油</w:t>
            </w:r>
          </w:p>
        </w:tc>
        <w:tc>
          <w:tcPr>
            <w:tcW w:w="473" w:type="pct"/>
            <w:tcBorders>
              <w:tl2br w:val="nil"/>
              <w:tr2bl w:val="nil"/>
            </w:tcBorders>
            <w:vAlign w:val="center"/>
          </w:tcPr>
          <w:p w14:paraId="56D4D08D">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HW08 900-214-08</w:t>
            </w:r>
          </w:p>
        </w:tc>
        <w:tc>
          <w:tcPr>
            <w:tcW w:w="394" w:type="pct"/>
            <w:vMerge w:val="continue"/>
            <w:tcBorders>
              <w:tl2br w:val="nil"/>
              <w:tr2bl w:val="nil"/>
            </w:tcBorders>
            <w:vAlign w:val="center"/>
          </w:tcPr>
          <w:p w14:paraId="0B7AC2BE">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63" w:type="pct"/>
            <w:tcBorders>
              <w:tl2br w:val="nil"/>
              <w:tr2bl w:val="nil"/>
            </w:tcBorders>
            <w:vAlign w:val="center"/>
          </w:tcPr>
          <w:p w14:paraId="25903C41">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w:t>
            </w:r>
          </w:p>
        </w:tc>
        <w:tc>
          <w:tcPr>
            <w:tcW w:w="398" w:type="pct"/>
            <w:tcBorders>
              <w:tl2br w:val="nil"/>
              <w:tr2bl w:val="nil"/>
            </w:tcBorders>
            <w:vAlign w:val="center"/>
          </w:tcPr>
          <w:p w14:paraId="4ED449E4">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8</w:t>
            </w:r>
          </w:p>
        </w:tc>
        <w:tc>
          <w:tcPr>
            <w:tcW w:w="417" w:type="pct"/>
            <w:tcBorders>
              <w:tl2br w:val="nil"/>
              <w:tr2bl w:val="nil"/>
            </w:tcBorders>
            <w:vAlign w:val="center"/>
          </w:tcPr>
          <w:p w14:paraId="17AC7453">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集中收集</w:t>
            </w:r>
          </w:p>
        </w:tc>
        <w:tc>
          <w:tcPr>
            <w:tcW w:w="405" w:type="pct"/>
            <w:tcBorders>
              <w:tl2br w:val="nil"/>
              <w:tr2bl w:val="nil"/>
            </w:tcBorders>
            <w:vAlign w:val="center"/>
          </w:tcPr>
          <w:p w14:paraId="29915D73">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8</w:t>
            </w:r>
          </w:p>
        </w:tc>
        <w:tc>
          <w:tcPr>
            <w:tcW w:w="1091" w:type="pct"/>
            <w:tcBorders>
              <w:tl2br w:val="nil"/>
              <w:tr2bl w:val="nil"/>
            </w:tcBorders>
            <w:vAlign w:val="center"/>
          </w:tcPr>
          <w:p w14:paraId="7B432C09">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定期由有资质的单位处置</w:t>
            </w:r>
          </w:p>
        </w:tc>
      </w:tr>
      <w:tr w14:paraId="414A2987">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6" w:hRule="atLeast"/>
          <w:jc w:val="center"/>
        </w:trPr>
        <w:tc>
          <w:tcPr>
            <w:tcW w:w="280" w:type="pct"/>
            <w:vMerge w:val="continue"/>
            <w:tcBorders>
              <w:tl2br w:val="nil"/>
              <w:tr2bl w:val="nil"/>
            </w:tcBorders>
            <w:vAlign w:val="center"/>
          </w:tcPr>
          <w:p w14:paraId="7355686D">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84" w:type="pct"/>
            <w:vMerge w:val="continue"/>
            <w:tcBorders>
              <w:tl2br w:val="nil"/>
              <w:tr2bl w:val="nil"/>
            </w:tcBorders>
            <w:vAlign w:val="center"/>
          </w:tcPr>
          <w:p w14:paraId="57A2E1E3">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339" w:type="pct"/>
            <w:vMerge w:val="continue"/>
            <w:tcBorders>
              <w:tl2br w:val="nil"/>
              <w:tr2bl w:val="nil"/>
            </w:tcBorders>
            <w:vAlign w:val="center"/>
          </w:tcPr>
          <w:p w14:paraId="3E8EB4DE">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651" w:type="pct"/>
            <w:tcBorders>
              <w:tl2br w:val="nil"/>
              <w:tr2bl w:val="nil"/>
            </w:tcBorders>
            <w:vAlign w:val="center"/>
          </w:tcPr>
          <w:p w14:paraId="51062AAD">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含油抹布、劳保手套</w:t>
            </w:r>
          </w:p>
        </w:tc>
        <w:tc>
          <w:tcPr>
            <w:tcW w:w="473" w:type="pct"/>
            <w:tcBorders>
              <w:tl2br w:val="nil"/>
              <w:tr2bl w:val="nil"/>
            </w:tcBorders>
            <w:vAlign w:val="center"/>
          </w:tcPr>
          <w:p w14:paraId="4B39F5C4">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HW49 900-041-49</w:t>
            </w:r>
          </w:p>
        </w:tc>
        <w:tc>
          <w:tcPr>
            <w:tcW w:w="394" w:type="pct"/>
            <w:vMerge w:val="continue"/>
            <w:tcBorders>
              <w:tl2br w:val="nil"/>
              <w:tr2bl w:val="nil"/>
            </w:tcBorders>
            <w:vAlign w:val="center"/>
          </w:tcPr>
          <w:p w14:paraId="74981D01">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63" w:type="pct"/>
            <w:tcBorders>
              <w:tl2br w:val="nil"/>
              <w:tr2bl w:val="nil"/>
            </w:tcBorders>
            <w:vAlign w:val="center"/>
          </w:tcPr>
          <w:p w14:paraId="5E57EA57">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类比</w:t>
            </w:r>
          </w:p>
        </w:tc>
        <w:tc>
          <w:tcPr>
            <w:tcW w:w="398" w:type="pct"/>
            <w:tcBorders>
              <w:tl2br w:val="nil"/>
              <w:tr2bl w:val="nil"/>
            </w:tcBorders>
            <w:vAlign w:val="center"/>
          </w:tcPr>
          <w:p w14:paraId="70D1D1DD">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15</w:t>
            </w:r>
          </w:p>
        </w:tc>
        <w:tc>
          <w:tcPr>
            <w:tcW w:w="417" w:type="pct"/>
            <w:tcBorders>
              <w:tl2br w:val="nil"/>
              <w:tr2bl w:val="nil"/>
            </w:tcBorders>
            <w:vAlign w:val="center"/>
          </w:tcPr>
          <w:p w14:paraId="480C511A">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集中收集</w:t>
            </w:r>
          </w:p>
        </w:tc>
        <w:tc>
          <w:tcPr>
            <w:tcW w:w="405" w:type="pct"/>
            <w:tcBorders>
              <w:tl2br w:val="nil"/>
              <w:tr2bl w:val="nil"/>
            </w:tcBorders>
            <w:vAlign w:val="center"/>
          </w:tcPr>
          <w:p w14:paraId="184FDC28">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15</w:t>
            </w:r>
          </w:p>
        </w:tc>
        <w:tc>
          <w:tcPr>
            <w:tcW w:w="1091" w:type="pct"/>
            <w:tcBorders>
              <w:tl2br w:val="nil"/>
              <w:tr2bl w:val="nil"/>
            </w:tcBorders>
            <w:vAlign w:val="center"/>
          </w:tcPr>
          <w:p w14:paraId="03DF746E">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定期由有资质的单位处置</w:t>
            </w:r>
          </w:p>
        </w:tc>
      </w:tr>
      <w:tr w14:paraId="42BB8627">
        <w:tblPrEx>
          <w:tblBorders>
            <w:top w:val="single" w:color="000000"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6" w:hRule="atLeast"/>
          <w:jc w:val="center"/>
        </w:trPr>
        <w:tc>
          <w:tcPr>
            <w:tcW w:w="280" w:type="pct"/>
            <w:vMerge w:val="continue"/>
            <w:tcBorders>
              <w:tl2br w:val="nil"/>
              <w:tr2bl w:val="nil"/>
            </w:tcBorders>
            <w:vAlign w:val="center"/>
          </w:tcPr>
          <w:p w14:paraId="17287C3D">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84" w:type="pct"/>
            <w:tcBorders>
              <w:tl2br w:val="nil"/>
              <w:tr2bl w:val="nil"/>
            </w:tcBorders>
            <w:vAlign w:val="center"/>
          </w:tcPr>
          <w:p w14:paraId="7D18374C">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生产</w:t>
            </w:r>
          </w:p>
        </w:tc>
        <w:tc>
          <w:tcPr>
            <w:tcW w:w="339" w:type="pct"/>
            <w:tcBorders>
              <w:tl2br w:val="nil"/>
              <w:tr2bl w:val="nil"/>
            </w:tcBorders>
            <w:vAlign w:val="center"/>
          </w:tcPr>
          <w:p w14:paraId="21DA5202">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废气处置</w:t>
            </w:r>
          </w:p>
        </w:tc>
        <w:tc>
          <w:tcPr>
            <w:tcW w:w="651" w:type="pct"/>
            <w:tcBorders>
              <w:tl2br w:val="nil"/>
              <w:tr2bl w:val="nil"/>
            </w:tcBorders>
            <w:vAlign w:val="center"/>
          </w:tcPr>
          <w:p w14:paraId="6DA6A1D4">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废活性炭</w:t>
            </w:r>
          </w:p>
        </w:tc>
        <w:tc>
          <w:tcPr>
            <w:tcW w:w="473" w:type="pct"/>
            <w:tcBorders>
              <w:tl2br w:val="nil"/>
              <w:tr2bl w:val="nil"/>
            </w:tcBorders>
            <w:vAlign w:val="center"/>
          </w:tcPr>
          <w:p w14:paraId="683DC9A4">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HW49</w:t>
            </w:r>
            <w:r>
              <w:rPr>
                <w:rFonts w:hint="eastAsia"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val="en-US" w:eastAsia="zh-CN"/>
              </w:rPr>
              <w:t>900</w:t>
            </w:r>
            <w:r>
              <w:rPr>
                <w:rFonts w:hint="default" w:ascii="Times New Roman" w:hAnsi="Times New Roman" w:eastAsia="宋体" w:cs="Times New Roman"/>
                <w:color w:val="auto"/>
                <w:sz w:val="21"/>
                <w:szCs w:val="21"/>
                <w:highlight w:val="none"/>
                <w:lang w:val="en-US" w:eastAsia="zh-CN"/>
              </w:rPr>
              <w:t>-039-49</w:t>
            </w:r>
          </w:p>
        </w:tc>
        <w:tc>
          <w:tcPr>
            <w:tcW w:w="394" w:type="pct"/>
            <w:vMerge w:val="continue"/>
            <w:tcBorders>
              <w:tl2br w:val="nil"/>
              <w:tr2bl w:val="nil"/>
            </w:tcBorders>
            <w:vAlign w:val="center"/>
          </w:tcPr>
          <w:p w14:paraId="62FB1C55">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63" w:type="pct"/>
            <w:tcBorders>
              <w:tl2br w:val="nil"/>
              <w:tr2bl w:val="nil"/>
            </w:tcBorders>
            <w:vAlign w:val="center"/>
          </w:tcPr>
          <w:p w14:paraId="06D73197">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类比</w:t>
            </w:r>
          </w:p>
        </w:tc>
        <w:tc>
          <w:tcPr>
            <w:tcW w:w="398" w:type="pct"/>
            <w:tcBorders>
              <w:tl2br w:val="nil"/>
              <w:tr2bl w:val="nil"/>
            </w:tcBorders>
            <w:vAlign w:val="center"/>
          </w:tcPr>
          <w:p w14:paraId="0291BE34">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417" w:type="pct"/>
            <w:tcBorders>
              <w:tl2br w:val="nil"/>
              <w:tr2bl w:val="nil"/>
            </w:tcBorders>
            <w:vAlign w:val="center"/>
          </w:tcPr>
          <w:p w14:paraId="40888390">
            <w:pPr>
              <w:spacing w:line="36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集中收集</w:t>
            </w:r>
          </w:p>
        </w:tc>
        <w:tc>
          <w:tcPr>
            <w:tcW w:w="405" w:type="pct"/>
            <w:tcBorders>
              <w:tl2br w:val="nil"/>
              <w:tr2bl w:val="nil"/>
            </w:tcBorders>
            <w:vAlign w:val="center"/>
          </w:tcPr>
          <w:p w14:paraId="604B7E42">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1091" w:type="pct"/>
            <w:tcBorders>
              <w:tl2br w:val="nil"/>
              <w:tr2bl w:val="nil"/>
            </w:tcBorders>
            <w:vAlign w:val="center"/>
          </w:tcPr>
          <w:p w14:paraId="1AA75CB3">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定期由有资质的单位处置</w:t>
            </w:r>
          </w:p>
        </w:tc>
      </w:tr>
    </w:tbl>
    <w:p w14:paraId="4121357E">
      <w:pPr>
        <w:pStyle w:val="36"/>
        <w:rPr>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5E35AE11">
      <w:pPr>
        <w:pStyle w:val="5"/>
        <w:rPr>
          <w:color w:val="auto"/>
          <w:highlight w:val="none"/>
        </w:rPr>
      </w:pPr>
      <w:r>
        <w:rPr>
          <w:color w:val="auto"/>
          <w:highlight w:val="none"/>
          <w:lang w:val="en-US"/>
        </w:rPr>
        <w:t>3.4.2.5</w:t>
      </w:r>
      <w:r>
        <w:rPr>
          <w:color w:val="auto"/>
          <w:highlight w:val="none"/>
        </w:rPr>
        <w:t>地下水</w:t>
      </w:r>
    </w:p>
    <w:p w14:paraId="0FE085B3">
      <w:pPr>
        <w:spacing w:line="500" w:lineRule="exact"/>
        <w:rPr>
          <w:rFonts w:cs="Times New Roman"/>
          <w:color w:val="auto"/>
          <w:szCs w:val="24"/>
          <w:highlight w:val="none"/>
        </w:rPr>
      </w:pPr>
      <w:r>
        <w:rPr>
          <w:rFonts w:cs="Times New Roman"/>
          <w:color w:val="auto"/>
          <w:szCs w:val="24"/>
          <w:highlight w:val="none"/>
        </w:rPr>
        <w:t>在正常工况状态下，本项目不会有污水泄漏，不会对地下水造成污染。</w:t>
      </w:r>
    </w:p>
    <w:p w14:paraId="78120A45">
      <w:pPr>
        <w:spacing w:line="500" w:lineRule="exact"/>
        <w:rPr>
          <w:rFonts w:cs="Times New Roman"/>
          <w:color w:val="auto"/>
          <w:szCs w:val="24"/>
          <w:highlight w:val="none"/>
        </w:rPr>
      </w:pPr>
      <w:r>
        <w:rPr>
          <w:rFonts w:cs="Times New Roman"/>
          <w:color w:val="auto"/>
          <w:szCs w:val="24"/>
          <w:highlight w:val="none"/>
        </w:rPr>
        <w:t>非正常工况下，因地址塌陷、防渗膜破裂等突发情况和事故状态下可能造成污水泄漏，从而对地下水造成污染。可产生污染的构筑物主要为污水处理站内各池体。其中</w:t>
      </w:r>
      <w:r>
        <w:rPr>
          <w:rFonts w:hint="eastAsia" w:cs="Times New Roman"/>
          <w:color w:val="auto"/>
          <w:szCs w:val="24"/>
          <w:highlight w:val="none"/>
          <w:lang w:val="en-US" w:eastAsia="zh-CN"/>
        </w:rPr>
        <w:t>调节池</w:t>
      </w:r>
      <w:r>
        <w:rPr>
          <w:rFonts w:cs="Times New Roman"/>
          <w:color w:val="auto"/>
          <w:szCs w:val="24"/>
          <w:highlight w:val="none"/>
        </w:rPr>
        <w:t>仅在事故情况下</w:t>
      </w:r>
      <w:r>
        <w:rPr>
          <w:rStyle w:val="220"/>
          <w:rFonts w:hint="eastAsia" w:eastAsia="宋体" w:cs="Times New Roman"/>
          <w:color w:val="auto"/>
          <w:sz w:val="24"/>
          <w:szCs w:val="24"/>
          <w:highlight w:val="none"/>
          <w:lang w:val="en-US" w:eastAsia="zh-CN"/>
        </w:rPr>
        <w:t>用作</w:t>
      </w:r>
      <w:r>
        <w:rPr>
          <w:rFonts w:hint="eastAsia" w:cs="Times New Roman"/>
          <w:color w:val="auto"/>
          <w:szCs w:val="24"/>
          <w:highlight w:val="none"/>
          <w:lang w:val="en-US" w:eastAsia="zh-CN"/>
        </w:rPr>
        <w:t>事故池</w:t>
      </w:r>
      <w:r>
        <w:rPr>
          <w:rFonts w:cs="Times New Roman"/>
          <w:color w:val="auto"/>
          <w:szCs w:val="24"/>
          <w:highlight w:val="none"/>
        </w:rPr>
        <w:t>，</w:t>
      </w:r>
      <w:r>
        <w:rPr>
          <w:rFonts w:cs="Times New Roman"/>
          <w:snapToGrid w:val="0"/>
          <w:color w:val="auto"/>
          <w:highlight w:val="none"/>
        </w:rPr>
        <w:t>池容积大，存水量大，污染物浓度较高，</w:t>
      </w:r>
      <w:r>
        <w:rPr>
          <w:rFonts w:cs="Times New Roman"/>
          <w:color w:val="auto"/>
          <w:szCs w:val="24"/>
          <w:highlight w:val="none"/>
        </w:rPr>
        <w:t>如泄漏对地下水影响最大，从最大风险原则考虑，非正常状况下为</w:t>
      </w:r>
      <w:r>
        <w:rPr>
          <w:rFonts w:cs="Times New Roman"/>
          <w:snapToGrid w:val="0"/>
          <w:color w:val="auto"/>
          <w:highlight w:val="none"/>
        </w:rPr>
        <w:t>调节池</w:t>
      </w:r>
      <w:r>
        <w:rPr>
          <w:rFonts w:cs="Times New Roman"/>
          <w:color w:val="auto"/>
          <w:szCs w:val="24"/>
          <w:highlight w:val="none"/>
        </w:rPr>
        <w:t>体破裂和防渗层同时破裂时污水泄漏对地下水水质造成影响。根据《给排水构筑物工程施工及验收规范》，水池允许最大渗水量按池壁和池底浸湿面积计算，钢筋混凝土结构水池渗漏量不得超过2L/（m</w:t>
      </w:r>
      <w:r>
        <w:rPr>
          <w:rFonts w:cs="Times New Roman"/>
          <w:color w:val="auto"/>
          <w:szCs w:val="24"/>
          <w:highlight w:val="none"/>
          <w:vertAlign w:val="superscript"/>
        </w:rPr>
        <w:t>2</w:t>
      </w:r>
      <w:r>
        <w:rPr>
          <w:rFonts w:cs="Times New Roman"/>
          <w:color w:val="auto"/>
          <w:szCs w:val="24"/>
          <w:highlight w:val="none"/>
        </w:rPr>
        <w:t>·d）。</w:t>
      </w:r>
    </w:p>
    <w:p w14:paraId="632C4941">
      <w:pPr>
        <w:spacing w:line="500" w:lineRule="exact"/>
        <w:rPr>
          <w:rFonts w:cs="Times New Roman"/>
          <w:color w:val="auto"/>
          <w:kern w:val="0"/>
          <w:szCs w:val="24"/>
          <w:highlight w:val="none"/>
          <w:lang w:bidi="ar"/>
        </w:rPr>
      </w:pPr>
      <w:r>
        <w:rPr>
          <w:rFonts w:cs="Times New Roman"/>
          <w:color w:val="auto"/>
          <w:kern w:val="0"/>
          <w:szCs w:val="24"/>
          <w:highlight w:val="none"/>
          <w:lang w:bidi="ar"/>
        </w:rPr>
        <w:t>本项目</w:t>
      </w:r>
      <w:r>
        <w:rPr>
          <w:rFonts w:cs="Times New Roman"/>
          <w:snapToGrid w:val="0"/>
          <w:color w:val="auto"/>
          <w:highlight w:val="none"/>
        </w:rPr>
        <w:t>调节池</w:t>
      </w:r>
      <w:r>
        <w:rPr>
          <w:rFonts w:cs="Times New Roman"/>
          <w:color w:val="auto"/>
          <w:kern w:val="0"/>
          <w:szCs w:val="24"/>
          <w:highlight w:val="none"/>
          <w:lang w:bidi="ar"/>
        </w:rPr>
        <w:t>设计规格为</w:t>
      </w:r>
      <w:r>
        <w:rPr>
          <w:rFonts w:hint="eastAsia" w:cs="Times New Roman"/>
          <w:snapToGrid w:val="0"/>
          <w:color w:val="auto"/>
          <w:highlight w:val="none"/>
          <w:lang w:val="en-US" w:eastAsia="zh-CN"/>
        </w:rPr>
        <w:t>10</w:t>
      </w:r>
      <w:r>
        <w:rPr>
          <w:rFonts w:cs="Times New Roman"/>
          <w:snapToGrid w:val="0"/>
          <w:color w:val="auto"/>
          <w:highlight w:val="none"/>
        </w:rPr>
        <w:t>m×</w:t>
      </w:r>
      <w:r>
        <w:rPr>
          <w:rFonts w:hint="eastAsia" w:cs="Times New Roman"/>
          <w:snapToGrid w:val="0"/>
          <w:color w:val="auto"/>
          <w:highlight w:val="none"/>
          <w:lang w:val="en-US" w:eastAsia="zh-CN"/>
        </w:rPr>
        <w:t>7.5</w:t>
      </w:r>
      <w:r>
        <w:rPr>
          <w:rFonts w:cs="Times New Roman"/>
          <w:snapToGrid w:val="0"/>
          <w:color w:val="auto"/>
          <w:highlight w:val="none"/>
        </w:rPr>
        <w:t>m×4m，</w:t>
      </w:r>
      <w:r>
        <w:rPr>
          <w:rFonts w:cs="Times New Roman"/>
          <w:color w:val="auto"/>
          <w:kern w:val="0"/>
          <w:szCs w:val="24"/>
          <w:highlight w:val="none"/>
          <w:lang w:bidi="ar"/>
        </w:rPr>
        <w:t>在正常状况下，</w:t>
      </w:r>
      <w:r>
        <w:rPr>
          <w:rFonts w:cs="Times New Roman"/>
          <w:snapToGrid w:val="0"/>
          <w:color w:val="auto"/>
          <w:highlight w:val="none"/>
        </w:rPr>
        <w:t>调节池</w:t>
      </w:r>
      <w:r>
        <w:rPr>
          <w:rFonts w:cs="Times New Roman"/>
          <w:color w:val="auto"/>
          <w:kern w:val="0"/>
          <w:szCs w:val="24"/>
          <w:highlight w:val="none"/>
          <w:lang w:bidi="ar"/>
        </w:rPr>
        <w:t>渗漏面积为：池底面积+池壁面积=L×B+2×L×H+2×B×H=</w:t>
      </w:r>
      <w:r>
        <w:rPr>
          <w:rFonts w:hint="eastAsia" w:cs="Times New Roman"/>
          <w:color w:val="auto"/>
          <w:kern w:val="0"/>
          <w:szCs w:val="24"/>
          <w:highlight w:val="none"/>
          <w:lang w:val="en-US" w:eastAsia="zh-CN" w:bidi="ar"/>
        </w:rPr>
        <w:t>10</w:t>
      </w:r>
      <w:r>
        <w:rPr>
          <w:rFonts w:cs="Times New Roman"/>
          <w:color w:val="auto"/>
          <w:kern w:val="0"/>
          <w:szCs w:val="24"/>
          <w:highlight w:val="none"/>
          <w:lang w:bidi="ar"/>
        </w:rPr>
        <w:t>×</w:t>
      </w:r>
      <w:r>
        <w:rPr>
          <w:rFonts w:hint="eastAsia" w:cs="Times New Roman"/>
          <w:color w:val="auto"/>
          <w:kern w:val="0"/>
          <w:szCs w:val="24"/>
          <w:highlight w:val="none"/>
          <w:lang w:val="en-US" w:eastAsia="zh-CN" w:bidi="ar"/>
        </w:rPr>
        <w:t>7.5</w:t>
      </w:r>
      <w:r>
        <w:rPr>
          <w:rFonts w:cs="Times New Roman"/>
          <w:color w:val="auto"/>
          <w:kern w:val="0"/>
          <w:szCs w:val="24"/>
          <w:highlight w:val="none"/>
          <w:lang w:bidi="ar"/>
        </w:rPr>
        <w:t>+2×</w:t>
      </w:r>
      <w:r>
        <w:rPr>
          <w:rFonts w:hint="eastAsia" w:cs="Times New Roman"/>
          <w:color w:val="auto"/>
          <w:kern w:val="0"/>
          <w:szCs w:val="24"/>
          <w:highlight w:val="none"/>
          <w:lang w:val="en-US" w:eastAsia="zh-CN" w:bidi="ar"/>
        </w:rPr>
        <w:t>10</w:t>
      </w:r>
      <w:r>
        <w:rPr>
          <w:rFonts w:cs="Times New Roman"/>
          <w:color w:val="auto"/>
          <w:kern w:val="0"/>
          <w:szCs w:val="24"/>
          <w:highlight w:val="none"/>
          <w:lang w:bidi="ar"/>
        </w:rPr>
        <w:t>×4+2×</w:t>
      </w:r>
      <w:r>
        <w:rPr>
          <w:rFonts w:hint="eastAsia" w:cs="Times New Roman"/>
          <w:color w:val="auto"/>
          <w:kern w:val="0"/>
          <w:szCs w:val="24"/>
          <w:highlight w:val="none"/>
          <w:lang w:val="en-US" w:eastAsia="zh-CN" w:bidi="ar"/>
        </w:rPr>
        <w:t>7.5</w:t>
      </w:r>
      <w:r>
        <w:rPr>
          <w:rFonts w:cs="Times New Roman"/>
          <w:color w:val="auto"/>
          <w:kern w:val="0"/>
          <w:szCs w:val="24"/>
          <w:highlight w:val="none"/>
          <w:lang w:bidi="ar"/>
        </w:rPr>
        <w:t>×4=</w:t>
      </w:r>
      <w:r>
        <w:rPr>
          <w:rFonts w:hint="eastAsia" w:cs="Times New Roman"/>
          <w:color w:val="auto"/>
          <w:kern w:val="0"/>
          <w:szCs w:val="24"/>
          <w:highlight w:val="none"/>
          <w:lang w:val="en-US" w:eastAsia="zh-CN" w:bidi="ar"/>
        </w:rPr>
        <w:t>215</w:t>
      </w:r>
      <w:r>
        <w:rPr>
          <w:rFonts w:cs="Times New Roman"/>
          <w:color w:val="auto"/>
          <w:kern w:val="0"/>
          <w:szCs w:val="24"/>
          <w:highlight w:val="none"/>
          <w:lang w:bidi="ar"/>
        </w:rPr>
        <w:t>m</w:t>
      </w:r>
      <w:r>
        <w:rPr>
          <w:rFonts w:cs="Times New Roman"/>
          <w:color w:val="auto"/>
          <w:kern w:val="0"/>
          <w:szCs w:val="24"/>
          <w:highlight w:val="none"/>
          <w:vertAlign w:val="superscript"/>
          <w:lang w:bidi="ar"/>
        </w:rPr>
        <w:t>2</w:t>
      </w:r>
      <w:r>
        <w:rPr>
          <w:rFonts w:cs="Times New Roman"/>
          <w:color w:val="auto"/>
          <w:kern w:val="0"/>
          <w:szCs w:val="24"/>
          <w:highlight w:val="none"/>
          <w:lang w:bidi="ar"/>
        </w:rPr>
        <w:t>，</w:t>
      </w:r>
      <w:r>
        <w:rPr>
          <w:rFonts w:cs="Times New Roman"/>
          <w:snapToGrid w:val="0"/>
          <w:color w:val="auto"/>
          <w:highlight w:val="none"/>
        </w:rPr>
        <w:t>调节池</w:t>
      </w:r>
      <w:r>
        <w:rPr>
          <w:rFonts w:cs="Times New Roman"/>
          <w:color w:val="auto"/>
          <w:kern w:val="0"/>
          <w:szCs w:val="24"/>
          <w:highlight w:val="none"/>
          <w:lang w:bidi="ar"/>
        </w:rPr>
        <w:t>正常情况下每日的最大允许污水渗透量Q计算如下：渗漏量=渗漏面积×渗漏强度=2L/（m</w:t>
      </w:r>
      <w:r>
        <w:rPr>
          <w:rFonts w:cs="Times New Roman"/>
          <w:color w:val="auto"/>
          <w:kern w:val="0"/>
          <w:szCs w:val="24"/>
          <w:highlight w:val="none"/>
          <w:vertAlign w:val="superscript"/>
          <w:lang w:bidi="ar"/>
        </w:rPr>
        <w:t>2</w:t>
      </w:r>
      <w:r>
        <w:rPr>
          <w:rFonts w:cs="Times New Roman"/>
          <w:color w:val="auto"/>
          <w:kern w:val="0"/>
          <w:szCs w:val="24"/>
          <w:highlight w:val="none"/>
          <w:lang w:bidi="ar"/>
        </w:rPr>
        <w:t>·d）×</w:t>
      </w:r>
      <w:r>
        <w:rPr>
          <w:rFonts w:hint="eastAsia" w:cs="Times New Roman"/>
          <w:color w:val="auto"/>
          <w:kern w:val="0"/>
          <w:szCs w:val="24"/>
          <w:highlight w:val="none"/>
          <w:lang w:val="en-US" w:eastAsia="zh-CN" w:bidi="ar"/>
        </w:rPr>
        <w:t>215</w:t>
      </w:r>
      <w:r>
        <w:rPr>
          <w:rFonts w:cs="Times New Roman"/>
          <w:color w:val="auto"/>
          <w:kern w:val="0"/>
          <w:szCs w:val="24"/>
          <w:highlight w:val="none"/>
          <w:lang w:bidi="ar"/>
        </w:rPr>
        <w:t>m</w:t>
      </w:r>
      <w:r>
        <w:rPr>
          <w:rFonts w:cs="Times New Roman"/>
          <w:color w:val="auto"/>
          <w:kern w:val="0"/>
          <w:szCs w:val="24"/>
          <w:highlight w:val="none"/>
          <w:vertAlign w:val="superscript"/>
          <w:lang w:bidi="ar"/>
        </w:rPr>
        <w:t>2</w:t>
      </w:r>
      <w:r>
        <w:rPr>
          <w:rFonts w:cs="Times New Roman"/>
          <w:color w:val="auto"/>
          <w:kern w:val="0"/>
          <w:szCs w:val="24"/>
          <w:highlight w:val="none"/>
          <w:lang w:bidi="ar"/>
        </w:rPr>
        <w:t>=</w:t>
      </w:r>
      <w:r>
        <w:rPr>
          <w:rFonts w:hint="eastAsia" w:cs="Times New Roman"/>
          <w:color w:val="auto"/>
          <w:kern w:val="0"/>
          <w:szCs w:val="24"/>
          <w:highlight w:val="none"/>
          <w:lang w:val="en-US" w:eastAsia="zh-CN" w:bidi="ar"/>
        </w:rPr>
        <w:t>430</w:t>
      </w:r>
      <w:r>
        <w:rPr>
          <w:rFonts w:cs="Times New Roman"/>
          <w:color w:val="auto"/>
          <w:kern w:val="0"/>
          <w:szCs w:val="24"/>
          <w:highlight w:val="none"/>
          <w:lang w:bidi="ar"/>
        </w:rPr>
        <w:t>L/d。</w:t>
      </w:r>
    </w:p>
    <w:p w14:paraId="35DD1408">
      <w:pPr>
        <w:spacing w:line="500" w:lineRule="exact"/>
        <w:rPr>
          <w:rFonts w:cs="Times New Roman"/>
          <w:color w:val="auto"/>
          <w:kern w:val="0"/>
          <w:szCs w:val="24"/>
          <w:highlight w:val="none"/>
          <w:lang w:bidi="ar"/>
        </w:rPr>
      </w:pPr>
      <w:r>
        <w:rPr>
          <w:rFonts w:cs="Times New Roman"/>
          <w:color w:val="auto"/>
          <w:kern w:val="0"/>
          <w:szCs w:val="24"/>
          <w:highlight w:val="none"/>
          <w:lang w:bidi="ar"/>
        </w:rPr>
        <w:t>本次事故工况下的污染源强按</w:t>
      </w:r>
      <w:r>
        <w:rPr>
          <w:rFonts w:hint="eastAsia" w:cs="Times New Roman"/>
          <w:color w:val="auto"/>
          <w:kern w:val="0"/>
          <w:szCs w:val="24"/>
          <w:highlight w:val="none"/>
          <w:lang w:val="en-US" w:eastAsia="zh-CN" w:bidi="ar"/>
        </w:rPr>
        <w:t>直接排放未处理水质浓度</w:t>
      </w:r>
      <w:r>
        <w:rPr>
          <w:rFonts w:cs="Times New Roman"/>
          <w:color w:val="auto"/>
          <w:kern w:val="0"/>
          <w:szCs w:val="24"/>
          <w:highlight w:val="none"/>
          <w:lang w:bidi="ar"/>
        </w:rPr>
        <w:t xml:space="preserve">计算，污染浓度为COD </w:t>
      </w:r>
      <w:r>
        <w:rPr>
          <w:rFonts w:hint="eastAsia" w:cs="Times New Roman"/>
          <w:color w:val="auto"/>
          <w:kern w:val="0"/>
          <w:szCs w:val="24"/>
          <w:highlight w:val="none"/>
          <w:lang w:val="en-US" w:eastAsia="zh-CN" w:bidi="ar"/>
        </w:rPr>
        <w:t>2717</w:t>
      </w:r>
      <w:r>
        <w:rPr>
          <w:rFonts w:cs="Times New Roman"/>
          <w:color w:val="auto"/>
          <w:kern w:val="0"/>
          <w:szCs w:val="24"/>
          <w:highlight w:val="none"/>
          <w:lang w:bidi="ar"/>
        </w:rPr>
        <w:t>mg/L、氨氮</w:t>
      </w:r>
      <w:r>
        <w:rPr>
          <w:rFonts w:hint="eastAsia" w:cs="Times New Roman"/>
          <w:color w:val="auto"/>
          <w:kern w:val="0"/>
          <w:szCs w:val="24"/>
          <w:highlight w:val="none"/>
          <w:lang w:val="en-US" w:eastAsia="zh-CN" w:bidi="ar"/>
        </w:rPr>
        <w:t>86</w:t>
      </w:r>
      <w:r>
        <w:rPr>
          <w:rFonts w:cs="Times New Roman"/>
          <w:color w:val="auto"/>
          <w:kern w:val="0"/>
          <w:szCs w:val="24"/>
          <w:highlight w:val="none"/>
          <w:lang w:bidi="ar"/>
        </w:rPr>
        <w:t>mg/L，则事故工况下源强如下表所示。</w:t>
      </w:r>
    </w:p>
    <w:p w14:paraId="1742EEBD">
      <w:pPr>
        <w:widowControl/>
        <w:spacing w:before="163" w:beforeLines="50" w:line="240" w:lineRule="auto"/>
        <w:ind w:firstLine="0" w:firstLineChars="0"/>
        <w:jc w:val="center"/>
        <w:rPr>
          <w:rFonts w:cs="Times New Roman"/>
          <w:b/>
          <w:color w:val="auto"/>
          <w:szCs w:val="24"/>
          <w:highlight w:val="none"/>
        </w:rPr>
      </w:pPr>
      <w:r>
        <w:rPr>
          <w:rFonts w:cs="Times New Roman"/>
          <w:b/>
          <w:color w:val="auto"/>
          <w:szCs w:val="24"/>
          <w:highlight w:val="none"/>
        </w:rPr>
        <w:t>表3-4-11  调节池泄漏源强</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1"/>
        <w:gridCol w:w="1962"/>
        <w:gridCol w:w="1478"/>
        <w:gridCol w:w="1019"/>
        <w:gridCol w:w="1444"/>
        <w:gridCol w:w="1738"/>
      </w:tblGrid>
      <w:tr w14:paraId="4677A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89" w:hRule="atLeast"/>
          <w:jc w:val="center"/>
        </w:trPr>
        <w:tc>
          <w:tcPr>
            <w:tcW w:w="0" w:type="auto"/>
            <w:tcBorders>
              <w:tl2br w:val="nil"/>
              <w:tr2bl w:val="nil"/>
            </w:tcBorders>
            <w:vAlign w:val="center"/>
          </w:tcPr>
          <w:p w14:paraId="16F7B7D5">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渗漏面积（m</w:t>
            </w:r>
            <w:r>
              <w:rPr>
                <w:rFonts w:cs="Times New Roman"/>
                <w:color w:val="auto"/>
                <w:kern w:val="0"/>
                <w:sz w:val="21"/>
                <w:szCs w:val="21"/>
                <w:highlight w:val="none"/>
                <w:vertAlign w:val="superscript"/>
                <w:lang w:bidi="ar"/>
              </w:rPr>
              <w:t>2</w:t>
            </w:r>
            <w:r>
              <w:rPr>
                <w:rFonts w:cs="Times New Roman"/>
                <w:color w:val="auto"/>
                <w:kern w:val="0"/>
                <w:sz w:val="21"/>
                <w:szCs w:val="21"/>
                <w:highlight w:val="none"/>
                <w:lang w:bidi="ar"/>
              </w:rPr>
              <w:t>）</w:t>
            </w:r>
          </w:p>
        </w:tc>
        <w:tc>
          <w:tcPr>
            <w:tcW w:w="0" w:type="auto"/>
            <w:tcBorders>
              <w:tl2br w:val="nil"/>
              <w:tr2bl w:val="nil"/>
            </w:tcBorders>
            <w:vAlign w:val="center"/>
          </w:tcPr>
          <w:p w14:paraId="4F1942CA">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渗漏强度（L/m</w:t>
            </w:r>
            <w:r>
              <w:rPr>
                <w:rFonts w:cs="Times New Roman"/>
                <w:color w:val="auto"/>
                <w:kern w:val="0"/>
                <w:sz w:val="21"/>
                <w:szCs w:val="21"/>
                <w:highlight w:val="none"/>
                <w:vertAlign w:val="superscript"/>
                <w:lang w:bidi="ar"/>
              </w:rPr>
              <w:t>2</w:t>
            </w:r>
            <w:r>
              <w:rPr>
                <w:rFonts w:cs="Times New Roman"/>
                <w:color w:val="auto"/>
                <w:kern w:val="0"/>
                <w:sz w:val="21"/>
                <w:szCs w:val="21"/>
                <w:highlight w:val="none"/>
                <w:lang w:bidi="ar"/>
              </w:rPr>
              <w:t>·d）</w:t>
            </w:r>
          </w:p>
        </w:tc>
        <w:tc>
          <w:tcPr>
            <w:tcW w:w="0" w:type="auto"/>
            <w:tcBorders>
              <w:tl2br w:val="nil"/>
              <w:tr2bl w:val="nil"/>
            </w:tcBorders>
            <w:vAlign w:val="center"/>
          </w:tcPr>
          <w:p w14:paraId="14B19EF0">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渗漏量（L/d）</w:t>
            </w:r>
          </w:p>
        </w:tc>
        <w:tc>
          <w:tcPr>
            <w:tcW w:w="1019" w:type="dxa"/>
            <w:tcBorders>
              <w:tl2br w:val="nil"/>
              <w:tr2bl w:val="nil"/>
            </w:tcBorders>
            <w:vAlign w:val="center"/>
          </w:tcPr>
          <w:p w14:paraId="19CB152A">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污染物</w:t>
            </w:r>
          </w:p>
        </w:tc>
        <w:tc>
          <w:tcPr>
            <w:tcW w:w="1444" w:type="dxa"/>
            <w:tcBorders>
              <w:tl2br w:val="nil"/>
              <w:tr2bl w:val="nil"/>
            </w:tcBorders>
            <w:vAlign w:val="center"/>
          </w:tcPr>
          <w:p w14:paraId="463FD0AB">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浓度（mg/L）</w:t>
            </w:r>
          </w:p>
        </w:tc>
        <w:tc>
          <w:tcPr>
            <w:tcW w:w="1738" w:type="dxa"/>
            <w:tcBorders>
              <w:tl2br w:val="nil"/>
              <w:tr2bl w:val="nil"/>
            </w:tcBorders>
            <w:vAlign w:val="center"/>
          </w:tcPr>
          <w:p w14:paraId="425321D4">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污染物质量（kg/d）</w:t>
            </w:r>
          </w:p>
        </w:tc>
      </w:tr>
      <w:tr w14:paraId="7F6E6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0" w:type="auto"/>
            <w:vMerge w:val="restart"/>
            <w:tcBorders>
              <w:tl2br w:val="nil"/>
              <w:tr2bl w:val="nil"/>
            </w:tcBorders>
            <w:vAlign w:val="center"/>
          </w:tcPr>
          <w:p w14:paraId="603BEA90">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215</w:t>
            </w:r>
          </w:p>
        </w:tc>
        <w:tc>
          <w:tcPr>
            <w:tcW w:w="0" w:type="auto"/>
            <w:vMerge w:val="restart"/>
            <w:tcBorders>
              <w:tl2br w:val="nil"/>
              <w:tr2bl w:val="nil"/>
            </w:tcBorders>
            <w:vAlign w:val="center"/>
          </w:tcPr>
          <w:p w14:paraId="0FCD2E68">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2</w:t>
            </w:r>
          </w:p>
        </w:tc>
        <w:tc>
          <w:tcPr>
            <w:tcW w:w="0" w:type="auto"/>
            <w:vMerge w:val="restart"/>
            <w:tcBorders>
              <w:tl2br w:val="nil"/>
              <w:tr2bl w:val="nil"/>
            </w:tcBorders>
            <w:vAlign w:val="center"/>
          </w:tcPr>
          <w:p w14:paraId="6CEBB040">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430</w:t>
            </w:r>
          </w:p>
        </w:tc>
        <w:tc>
          <w:tcPr>
            <w:tcW w:w="1019" w:type="dxa"/>
            <w:tcBorders>
              <w:tl2br w:val="nil"/>
              <w:tr2bl w:val="nil"/>
            </w:tcBorders>
            <w:vAlign w:val="center"/>
          </w:tcPr>
          <w:p w14:paraId="7E5EB850">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COD</w:t>
            </w:r>
          </w:p>
        </w:tc>
        <w:tc>
          <w:tcPr>
            <w:tcW w:w="1444" w:type="dxa"/>
            <w:tcBorders>
              <w:tl2br w:val="nil"/>
              <w:tr2bl w:val="nil"/>
            </w:tcBorders>
            <w:vAlign w:val="center"/>
          </w:tcPr>
          <w:p w14:paraId="75363089">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2717</w:t>
            </w:r>
          </w:p>
        </w:tc>
        <w:tc>
          <w:tcPr>
            <w:tcW w:w="1738" w:type="dxa"/>
            <w:tcBorders>
              <w:tl2br w:val="nil"/>
              <w:tr2bl w:val="nil"/>
            </w:tcBorders>
            <w:vAlign w:val="center"/>
          </w:tcPr>
          <w:p w14:paraId="4817160D">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1.168</w:t>
            </w:r>
          </w:p>
        </w:tc>
      </w:tr>
      <w:tr w14:paraId="5CB44A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0" w:type="auto"/>
            <w:vMerge w:val="continue"/>
            <w:tcBorders>
              <w:tl2br w:val="nil"/>
              <w:tr2bl w:val="nil"/>
            </w:tcBorders>
            <w:vAlign w:val="center"/>
          </w:tcPr>
          <w:p w14:paraId="7E728F3E">
            <w:pPr>
              <w:widowControl/>
              <w:spacing w:line="360" w:lineRule="exact"/>
              <w:ind w:firstLine="0" w:firstLineChars="0"/>
              <w:jc w:val="center"/>
              <w:rPr>
                <w:rFonts w:cs="Times New Roman"/>
                <w:color w:val="auto"/>
                <w:kern w:val="0"/>
                <w:sz w:val="21"/>
                <w:szCs w:val="21"/>
                <w:highlight w:val="none"/>
                <w:lang w:bidi="ar"/>
              </w:rPr>
            </w:pPr>
          </w:p>
        </w:tc>
        <w:tc>
          <w:tcPr>
            <w:tcW w:w="0" w:type="auto"/>
            <w:vMerge w:val="continue"/>
            <w:tcBorders>
              <w:tl2br w:val="nil"/>
              <w:tr2bl w:val="nil"/>
            </w:tcBorders>
            <w:vAlign w:val="center"/>
          </w:tcPr>
          <w:p w14:paraId="34EACB08">
            <w:pPr>
              <w:widowControl/>
              <w:spacing w:line="360" w:lineRule="exact"/>
              <w:ind w:firstLine="0" w:firstLineChars="0"/>
              <w:jc w:val="center"/>
              <w:rPr>
                <w:rFonts w:cs="Times New Roman"/>
                <w:color w:val="auto"/>
                <w:kern w:val="0"/>
                <w:sz w:val="21"/>
                <w:szCs w:val="21"/>
                <w:highlight w:val="none"/>
                <w:lang w:bidi="ar"/>
              </w:rPr>
            </w:pPr>
          </w:p>
        </w:tc>
        <w:tc>
          <w:tcPr>
            <w:tcW w:w="0" w:type="auto"/>
            <w:vMerge w:val="continue"/>
            <w:tcBorders>
              <w:tl2br w:val="nil"/>
              <w:tr2bl w:val="nil"/>
            </w:tcBorders>
            <w:vAlign w:val="center"/>
          </w:tcPr>
          <w:p w14:paraId="324A8766">
            <w:pPr>
              <w:widowControl/>
              <w:spacing w:line="360" w:lineRule="exact"/>
              <w:ind w:firstLine="0" w:firstLineChars="0"/>
              <w:jc w:val="center"/>
              <w:rPr>
                <w:rFonts w:cs="Times New Roman"/>
                <w:color w:val="auto"/>
                <w:kern w:val="0"/>
                <w:sz w:val="21"/>
                <w:szCs w:val="21"/>
                <w:highlight w:val="none"/>
                <w:lang w:bidi="ar"/>
              </w:rPr>
            </w:pPr>
          </w:p>
        </w:tc>
        <w:tc>
          <w:tcPr>
            <w:tcW w:w="1019" w:type="dxa"/>
            <w:tcBorders>
              <w:tl2br w:val="nil"/>
              <w:tr2bl w:val="nil"/>
            </w:tcBorders>
            <w:vAlign w:val="center"/>
          </w:tcPr>
          <w:p w14:paraId="1A6F1398">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氨氮</w:t>
            </w:r>
          </w:p>
        </w:tc>
        <w:tc>
          <w:tcPr>
            <w:tcW w:w="1444" w:type="dxa"/>
            <w:tcBorders>
              <w:tl2br w:val="nil"/>
              <w:tr2bl w:val="nil"/>
            </w:tcBorders>
            <w:vAlign w:val="center"/>
          </w:tcPr>
          <w:p w14:paraId="1FE0C7F4">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86</w:t>
            </w:r>
          </w:p>
        </w:tc>
        <w:tc>
          <w:tcPr>
            <w:tcW w:w="1738" w:type="dxa"/>
            <w:tcBorders>
              <w:tl2br w:val="nil"/>
              <w:tr2bl w:val="nil"/>
            </w:tcBorders>
            <w:vAlign w:val="center"/>
          </w:tcPr>
          <w:p w14:paraId="6206F3E4">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0.037</w:t>
            </w:r>
          </w:p>
        </w:tc>
      </w:tr>
    </w:tbl>
    <w:p w14:paraId="6A9AD85E">
      <w:pPr>
        <w:pStyle w:val="3"/>
        <w:spacing w:before="163" w:after="163"/>
        <w:rPr>
          <w:rFonts w:hint="default" w:eastAsia="黑体" w:cs="Times New Roman"/>
          <w:color w:val="auto"/>
          <w:highlight w:val="none"/>
          <w:lang w:val="en-US" w:eastAsia="zh-CN"/>
        </w:rPr>
      </w:pPr>
      <w:r>
        <w:rPr>
          <w:rFonts w:cs="Times New Roman"/>
          <w:color w:val="auto"/>
          <w:highlight w:val="none"/>
        </w:rPr>
        <w:t xml:space="preserve">3.5 </w:t>
      </w:r>
      <w:bookmarkEnd w:id="136"/>
      <w:bookmarkStart w:id="138" w:name="_Toc61529201"/>
      <w:r>
        <w:rPr>
          <w:rFonts w:hint="eastAsia" w:cs="Times New Roman"/>
          <w:color w:val="auto"/>
          <w:highlight w:val="none"/>
          <w:lang w:val="en-US" w:eastAsia="zh-CN"/>
        </w:rPr>
        <w:t>非正常工况（急宰）</w:t>
      </w:r>
    </w:p>
    <w:p w14:paraId="5C8890E9">
      <w:pPr>
        <w:spacing w:line="480" w:lineRule="exact"/>
        <w:ind w:firstLine="544"/>
        <w:rPr>
          <w:rFonts w:cs="Times New Roman"/>
          <w:b/>
          <w:bCs/>
          <w:color w:val="auto"/>
          <w:spacing w:val="16"/>
          <w:szCs w:val="24"/>
          <w:highlight w:val="none"/>
        </w:rPr>
      </w:pPr>
      <w:r>
        <w:rPr>
          <w:rFonts w:hint="eastAsia" w:ascii="Times New Roman" w:hAnsi="Times New Roman" w:eastAsia="宋体" w:cs="Times New Roman"/>
          <w:color w:val="auto"/>
          <w:kern w:val="0"/>
          <w:szCs w:val="24"/>
          <w:highlight w:val="none"/>
          <w:lang w:val="en-US" w:eastAsia="zh-CN" w:bidi="ar"/>
        </w:rPr>
        <w:t>本项目单独设置1条病体线，独立于</w:t>
      </w:r>
      <w:r>
        <w:rPr>
          <w:rFonts w:cs="Times New Roman"/>
          <w:snapToGrid w:val="0"/>
          <w:color w:val="auto"/>
          <w:highlight w:val="none"/>
        </w:rPr>
        <w:t>牛、羊屠宰生产线</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用于</w:t>
      </w:r>
      <w:r>
        <w:rPr>
          <w:rFonts w:cs="Times New Roman"/>
          <w:color w:val="auto"/>
          <w:spacing w:val="16"/>
          <w:szCs w:val="24"/>
          <w:highlight w:val="none"/>
        </w:rPr>
        <w:t>患一般传染病和普通疾病的生牲畜送急宰间迅速宰杀</w:t>
      </w:r>
      <w:r>
        <w:rPr>
          <w:rFonts w:hint="eastAsia" w:cs="Times New Roman"/>
          <w:color w:val="auto"/>
          <w:spacing w:val="16"/>
          <w:szCs w:val="24"/>
          <w:highlight w:val="none"/>
          <w:lang w:eastAsia="zh-CN"/>
        </w:rPr>
        <w:t>，</w:t>
      </w:r>
      <w:r>
        <w:rPr>
          <w:rFonts w:cs="Times New Roman"/>
          <w:color w:val="auto"/>
          <w:spacing w:val="16"/>
          <w:szCs w:val="24"/>
          <w:highlight w:val="none"/>
        </w:rPr>
        <w:t>急宰间生牲畜宰杀后按规定可食用的送屠宰车间处理，不可食用的</w:t>
      </w:r>
      <w:r>
        <w:rPr>
          <w:rFonts w:hint="eastAsia" w:cs="Times New Roman"/>
          <w:color w:val="auto"/>
          <w:spacing w:val="16"/>
          <w:szCs w:val="24"/>
          <w:highlight w:val="none"/>
          <w:lang w:eastAsia="zh-CN"/>
        </w:rPr>
        <w:t>由双鸭山百奥迈斯生物科技有限公司</w:t>
      </w:r>
      <w:r>
        <w:rPr>
          <w:rFonts w:hint="eastAsia" w:cs="Times New Roman"/>
          <w:color w:val="auto"/>
          <w:spacing w:val="16"/>
          <w:szCs w:val="24"/>
          <w:highlight w:val="none"/>
          <w:lang w:val="en-US" w:eastAsia="zh-CN"/>
        </w:rPr>
        <w:t>拉运处置</w:t>
      </w:r>
      <w:r>
        <w:rPr>
          <w:rFonts w:cs="Times New Roman"/>
          <w:color w:val="auto"/>
          <w:spacing w:val="16"/>
          <w:szCs w:val="24"/>
          <w:highlight w:val="none"/>
        </w:rPr>
        <w:t>。</w:t>
      </w:r>
    </w:p>
    <w:p w14:paraId="1D195024">
      <w:pPr>
        <w:widowControl/>
        <w:spacing w:line="500" w:lineRule="exact"/>
        <w:rPr>
          <w:rFonts w:hint="eastAsia" w:ascii="Times New Roman" w:hAnsi="Times New Roman" w:eastAsia="宋体" w:cs="Times New Roman"/>
          <w:color w:val="auto"/>
          <w:kern w:val="0"/>
          <w:szCs w:val="24"/>
          <w:highlight w:val="none"/>
          <w:lang w:val="en-US" w:eastAsia="zh-CN" w:bidi="ar"/>
        </w:rPr>
      </w:pPr>
      <w:r>
        <w:rPr>
          <w:rFonts w:hint="eastAsia" w:ascii="Times New Roman" w:hAnsi="Times New Roman" w:cs="Times New Roman"/>
          <w:color w:val="auto"/>
          <w:kern w:val="0"/>
          <w:szCs w:val="24"/>
          <w:highlight w:val="none"/>
          <w:lang w:val="en-US" w:eastAsia="zh-CN" w:bidi="ar"/>
        </w:rPr>
        <w:t>项目进行急宰后，对急宰车间设备、用具及人员全面进行消毒杀菌，确保病症不会传播。若发现并</w:t>
      </w:r>
      <w:r>
        <w:rPr>
          <w:rFonts w:cs="Times New Roman"/>
          <w:color w:val="auto"/>
          <w:spacing w:val="16"/>
          <w:szCs w:val="24"/>
          <w:highlight w:val="none"/>
        </w:rPr>
        <w:t>确认患有国家规定病害的活牲畜、病死牲畜和死因不明的牲畜</w:t>
      </w:r>
      <w:r>
        <w:rPr>
          <w:rFonts w:hint="eastAsia" w:cs="Times New Roman"/>
          <w:color w:val="auto"/>
          <w:spacing w:val="16"/>
          <w:szCs w:val="24"/>
          <w:highlight w:val="none"/>
          <w:lang w:eastAsia="zh-CN"/>
        </w:rPr>
        <w:t>由双鸭山百奥迈斯生物科技有限公司</w:t>
      </w:r>
      <w:r>
        <w:rPr>
          <w:rFonts w:hint="eastAsia" w:cs="Times New Roman"/>
          <w:color w:val="auto"/>
          <w:spacing w:val="16"/>
          <w:szCs w:val="24"/>
          <w:highlight w:val="none"/>
          <w:lang w:val="en-US" w:eastAsia="zh-CN"/>
        </w:rPr>
        <w:t>拉运处置</w:t>
      </w:r>
      <w:r>
        <w:rPr>
          <w:rFonts w:cs="Times New Roman"/>
          <w:color w:val="auto"/>
          <w:spacing w:val="16"/>
          <w:szCs w:val="24"/>
          <w:highlight w:val="none"/>
        </w:rPr>
        <w:t>。</w:t>
      </w:r>
      <w:r>
        <w:rPr>
          <w:i w:val="0"/>
          <w:iCs w:val="0"/>
          <w:color w:val="auto"/>
          <w:sz w:val="24"/>
          <w:highlight w:val="none"/>
        </w:rPr>
        <w:t>当确诊疫病时，及时封锁，上报疫情。同时立即采取措施，就地扑灭，确保人畜的安全。</w:t>
      </w:r>
    </w:p>
    <w:p w14:paraId="1C403B10">
      <w:pPr>
        <w:pStyle w:val="3"/>
        <w:spacing w:before="163" w:after="163"/>
        <w:rPr>
          <w:rFonts w:cs="Times New Roman"/>
          <w:color w:val="auto"/>
          <w:highlight w:val="none"/>
        </w:rPr>
      </w:pPr>
      <w:r>
        <w:rPr>
          <w:rFonts w:hint="eastAsia" w:cs="Times New Roman"/>
          <w:color w:val="auto"/>
          <w:highlight w:val="none"/>
          <w:lang w:val="en-US" w:eastAsia="zh-CN"/>
        </w:rPr>
        <w:t>3.6</w:t>
      </w:r>
      <w:r>
        <w:rPr>
          <w:rFonts w:cs="Times New Roman"/>
          <w:color w:val="auto"/>
          <w:highlight w:val="none"/>
        </w:rPr>
        <w:t>清洁生产分析</w:t>
      </w:r>
      <w:bookmarkEnd w:id="137"/>
      <w:bookmarkEnd w:id="138"/>
    </w:p>
    <w:p w14:paraId="7668BC9A">
      <w:pPr>
        <w:widowControl/>
        <w:spacing w:line="500" w:lineRule="exact"/>
        <w:rPr>
          <w:rFonts w:cs="Times New Roman"/>
          <w:color w:val="auto"/>
          <w:highlight w:val="none"/>
        </w:rPr>
      </w:pPr>
      <w:r>
        <w:rPr>
          <w:rFonts w:cs="Times New Roman"/>
          <w:color w:val="auto"/>
          <w:kern w:val="0"/>
          <w:szCs w:val="24"/>
          <w:highlight w:val="none"/>
          <w:lang w:bidi="ar"/>
        </w:rPr>
        <w:t>根据《中华人民共和国清洁生产促进法》，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清洁生产提倡把污染防治从末端治理向生产全过程转变，通过节能、降耗、低投入和高产出，利用清洁的能源、原辅材料，经过清洁的生产过程产出清洁的产品。清洁生产往往通过提高利用效率来实现，可以帮助企业降低生产成本，从源头削减污染物排放，使污染物产生量最小化，减轻末端处理负担，降低建设项目的环境风险。</w:t>
      </w:r>
    </w:p>
    <w:p w14:paraId="5BD52A78">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根据《建设项目环境影响评价清洁生产分析程序》，清洁生产评价指标可分为六大类：生产工艺与装备要求、资源能源利用指标、产品指标、污染物产生指标、废物回收利用指标和环境管理要求。目前尚未发布屠宰行业清洁生产标准及相应的指标体系，因此，本次评价采用定量、定性相结合的方法，对原辅材料和产品的清洁性、生产工艺技术、综合能耗指标、污染物排放量的清洁生产水平进行分析评述。</w:t>
      </w:r>
    </w:p>
    <w:p w14:paraId="5E42A434">
      <w:pPr>
        <w:widowControl/>
        <w:spacing w:line="500" w:lineRule="exact"/>
        <w:ind w:firstLine="482"/>
        <w:rPr>
          <w:rFonts w:cs="Times New Roman"/>
          <w:b/>
          <w:bCs/>
          <w:color w:val="auto"/>
          <w:kern w:val="0"/>
          <w:szCs w:val="24"/>
          <w:highlight w:val="none"/>
          <w:lang w:bidi="ar"/>
        </w:rPr>
      </w:pPr>
      <w:r>
        <w:rPr>
          <w:rFonts w:cs="Times New Roman"/>
          <w:b/>
          <w:bCs/>
          <w:color w:val="auto"/>
          <w:kern w:val="0"/>
          <w:szCs w:val="24"/>
          <w:highlight w:val="none"/>
          <w:lang w:bidi="ar"/>
        </w:rPr>
        <w:t>1、原料及产品的清洁性分析</w:t>
      </w:r>
    </w:p>
    <w:p w14:paraId="673ED765">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本项目的屠宰牛、羊来自周边养殖场，饲养规范，其所饲养的牛、羊都是按照农业部有关“无公害食品—牛、羊肉”的饲养标准饲养，并经当地动物防疫监督机构检验合格，符合清洁生产要求。本项目的主要产品为牛羊肉，其产品卫生、营养价值高，均不会直接对环境造成污染，属清洁无害产品。严格按照生产工艺规程进行操作，提高产品的质量。</w:t>
      </w:r>
    </w:p>
    <w:p w14:paraId="2D2883D1">
      <w:pPr>
        <w:widowControl/>
        <w:spacing w:line="500" w:lineRule="exact"/>
        <w:ind w:firstLine="482"/>
        <w:rPr>
          <w:rFonts w:cs="Times New Roman"/>
          <w:b/>
          <w:bCs/>
          <w:color w:val="auto"/>
          <w:kern w:val="0"/>
          <w:szCs w:val="24"/>
          <w:highlight w:val="none"/>
          <w:lang w:bidi="ar"/>
        </w:rPr>
      </w:pPr>
      <w:r>
        <w:rPr>
          <w:rFonts w:cs="Times New Roman"/>
          <w:b/>
          <w:bCs/>
          <w:color w:val="auto"/>
          <w:kern w:val="0"/>
          <w:szCs w:val="24"/>
          <w:highlight w:val="none"/>
          <w:lang w:bidi="ar"/>
        </w:rPr>
        <w:t>2、生产工艺及装备要求</w:t>
      </w:r>
    </w:p>
    <w:p w14:paraId="6A63F23B">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屠宰加工技术的先进程度主要依赖于采用的生产工艺、技术设备水平、机械化程度和人员的操作技能等，本项目关键生产工序引进了具有国内先进水平的生产装置及辅助设备相配套（详见表3-1-2），以保证达到预期的生产规模和目的。</w:t>
      </w:r>
    </w:p>
    <w:p w14:paraId="137D5808">
      <w:pPr>
        <w:widowControl/>
        <w:spacing w:line="500" w:lineRule="exact"/>
        <w:ind w:firstLine="482"/>
        <w:rPr>
          <w:rFonts w:cs="Times New Roman"/>
          <w:b/>
          <w:bCs/>
          <w:color w:val="auto"/>
          <w:kern w:val="0"/>
          <w:szCs w:val="24"/>
          <w:highlight w:val="none"/>
          <w:lang w:bidi="ar"/>
        </w:rPr>
      </w:pPr>
      <w:r>
        <w:rPr>
          <w:rFonts w:cs="Times New Roman"/>
          <w:b/>
          <w:bCs/>
          <w:color w:val="auto"/>
          <w:kern w:val="0"/>
          <w:szCs w:val="24"/>
          <w:highlight w:val="none"/>
          <w:lang w:bidi="ar"/>
        </w:rPr>
        <w:t>3、资源能源利用指标</w:t>
      </w:r>
    </w:p>
    <w:p w14:paraId="424C3521">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（1）节约水资源措施分析</w:t>
      </w:r>
    </w:p>
    <w:p w14:paraId="590FB836">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本工程为牛、羊屠宰，牛、羊屠宰阶段可以分为屠宰及清洗工段。本项目待宰圈牛、羊粪便先采用干清粪工艺，可减少用水量；屠宰工段采用流水线作业宰杀技术，可减少废水的产生量；清洗工段采用节水工艺，并把牛、羊内脏分类收集，分类清洗，减少反复冲洗用水。</w:t>
      </w:r>
    </w:p>
    <w:p w14:paraId="64D0DCB8">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（2）资源能源利用综合分析</w:t>
      </w:r>
    </w:p>
    <w:p w14:paraId="09185D80">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工程资源能源合理利用及废物回收主要体现在选用节能设备，对设备及管道进行保温处理，减少热冷损失；资源能源指标定量使用，并建立奖惩制度；厂区总平面布置顺畅合理，节约资源能源消耗；建筑工程设计中，如门、窗、墙板、屋顶材料等选用节能产品；加强管理措施。</w:t>
      </w:r>
    </w:p>
    <w:p w14:paraId="65AF5CBE">
      <w:pPr>
        <w:widowControl/>
        <w:spacing w:line="500" w:lineRule="exact"/>
        <w:ind w:firstLine="482"/>
        <w:rPr>
          <w:rFonts w:cs="Times New Roman"/>
          <w:b/>
          <w:bCs/>
          <w:color w:val="auto"/>
          <w:kern w:val="0"/>
          <w:szCs w:val="24"/>
          <w:highlight w:val="none"/>
          <w:lang w:bidi="ar"/>
        </w:rPr>
      </w:pPr>
      <w:r>
        <w:rPr>
          <w:rFonts w:cs="Times New Roman"/>
          <w:b/>
          <w:bCs/>
          <w:color w:val="auto"/>
          <w:kern w:val="0"/>
          <w:szCs w:val="24"/>
          <w:highlight w:val="none"/>
          <w:lang w:bidi="ar"/>
        </w:rPr>
        <w:t>4、污染物产排指标</w:t>
      </w:r>
    </w:p>
    <w:p w14:paraId="40549D5C">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（1）本项目屠宰废水经自建污水处理站处理后</w:t>
      </w:r>
      <w:r>
        <w:rPr>
          <w:rFonts w:cs="Times New Roman"/>
          <w:snapToGrid w:val="0"/>
          <w:color w:val="auto"/>
          <w:highlight w:val="none"/>
          <w:lang w:val="en-GB"/>
        </w:rPr>
        <w:t>达到《肉类加工工业水污染物排放标准》（GB13457-92）中畜类屠宰加工三级标准</w:t>
      </w:r>
      <w:r>
        <w:rPr>
          <w:rFonts w:cs="Times New Roman"/>
          <w:snapToGrid w:val="0"/>
          <w:color w:val="auto"/>
          <w:highlight w:val="none"/>
        </w:rPr>
        <w:t>和</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进水水质要求后，</w:t>
      </w:r>
      <w:r>
        <w:rPr>
          <w:rFonts w:cs="Times New Roman"/>
          <w:snapToGrid w:val="0"/>
          <w:color w:val="auto"/>
          <w:highlight w:val="none"/>
        </w:rPr>
        <w:t>同生活污水</w:t>
      </w:r>
      <w:r>
        <w:rPr>
          <w:rFonts w:cs="Times New Roman"/>
          <w:snapToGrid w:val="0"/>
          <w:color w:val="auto"/>
          <w:highlight w:val="none"/>
          <w:lang w:val="en-GB"/>
        </w:rPr>
        <w:t>经污水管网排入</w:t>
      </w:r>
      <w:r>
        <w:rPr>
          <w:rFonts w:hint="eastAsia" w:cs="Times New Roman"/>
          <w:snapToGrid w:val="0"/>
          <w:color w:val="auto"/>
          <w:highlight w:val="none"/>
          <w:lang w:eastAsia="zh-CN"/>
        </w:rPr>
        <w:t>双鸭山市畅源排水有限公司</w:t>
      </w:r>
      <w:r>
        <w:rPr>
          <w:rFonts w:cs="Times New Roman"/>
          <w:snapToGrid w:val="0"/>
          <w:color w:val="auto"/>
          <w:highlight w:val="none"/>
        </w:rPr>
        <w:t>处理，处理</w:t>
      </w:r>
      <w:r>
        <w:rPr>
          <w:rFonts w:cs="Times New Roman"/>
          <w:snapToGrid w:val="0"/>
          <w:color w:val="auto"/>
          <w:highlight w:val="none"/>
          <w:lang w:val="en-GB"/>
        </w:rPr>
        <w:t>达标后排入</w:t>
      </w:r>
      <w:r>
        <w:rPr>
          <w:rFonts w:hint="eastAsia" w:cs="Times New Roman"/>
          <w:snapToGrid w:val="0"/>
          <w:color w:val="auto"/>
          <w:highlight w:val="none"/>
          <w:lang w:val="en-GB" w:eastAsia="zh-CN"/>
        </w:rPr>
        <w:t>安邦河</w:t>
      </w:r>
      <w:r>
        <w:rPr>
          <w:rFonts w:cs="Times New Roman"/>
          <w:snapToGrid w:val="0"/>
          <w:color w:val="auto"/>
          <w:highlight w:val="none"/>
          <w:lang w:val="en-GB"/>
        </w:rPr>
        <w:t>。</w:t>
      </w:r>
    </w:p>
    <w:p w14:paraId="05737ADE">
      <w:pPr>
        <w:widowControl/>
        <w:spacing w:line="500" w:lineRule="exact"/>
        <w:rPr>
          <w:rFonts w:cs="Times New Roman"/>
          <w:snapToGrid w:val="0"/>
          <w:color w:val="auto"/>
          <w:highlight w:val="none"/>
        </w:rPr>
      </w:pPr>
      <w:r>
        <w:rPr>
          <w:rFonts w:cs="Times New Roman"/>
          <w:color w:val="auto"/>
          <w:kern w:val="0"/>
          <w:szCs w:val="24"/>
          <w:highlight w:val="none"/>
          <w:lang w:bidi="ar"/>
        </w:rPr>
        <w:t>（2）</w:t>
      </w:r>
      <w:r>
        <w:rPr>
          <w:rFonts w:hint="eastAsia" w:cs="Times New Roman"/>
          <w:color w:val="auto"/>
          <w:kern w:val="0"/>
          <w:szCs w:val="24"/>
          <w:highlight w:val="none"/>
          <w:lang w:val="en-US" w:eastAsia="zh-CN" w:bidi="ar"/>
        </w:rPr>
        <w:t>急宰间、隔离间、固体废物暂存间</w:t>
      </w:r>
      <w:r>
        <w:rPr>
          <w:rFonts w:cs="Times New Roman"/>
          <w:snapToGrid w:val="0"/>
          <w:color w:val="auto"/>
          <w:highlight w:val="none"/>
        </w:rPr>
        <w:t>产生的恶臭</w:t>
      </w:r>
      <w:r>
        <w:rPr>
          <w:rFonts w:hint="eastAsia" w:cs="Times New Roman"/>
          <w:snapToGrid w:val="0"/>
          <w:color w:val="auto"/>
          <w:highlight w:val="none"/>
          <w:lang w:eastAsia="zh-CN"/>
        </w:rPr>
        <w:t>采用微负压集中收集后</w:t>
      </w:r>
      <w:r>
        <w:rPr>
          <w:rFonts w:cs="Times New Roman"/>
          <w:snapToGrid w:val="0"/>
          <w:color w:val="auto"/>
          <w:highlight w:val="none"/>
        </w:rPr>
        <w:t>，通过活性炭净化装置处理，处理后经15m高的排气筒</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DA001</w:t>
      </w:r>
      <w:r>
        <w:rPr>
          <w:rFonts w:hint="eastAsia" w:cs="Times New Roman"/>
          <w:snapToGrid w:val="0"/>
          <w:color w:val="auto"/>
          <w:highlight w:val="none"/>
          <w:lang w:eastAsia="zh-CN"/>
        </w:rPr>
        <w:t>）</w:t>
      </w:r>
      <w:r>
        <w:rPr>
          <w:rFonts w:cs="Times New Roman"/>
          <w:snapToGrid w:val="0"/>
          <w:color w:val="auto"/>
          <w:highlight w:val="none"/>
        </w:rPr>
        <w:t>排放</w:t>
      </w:r>
      <w:r>
        <w:rPr>
          <w:rFonts w:hint="eastAsia" w:cs="Times New Roman"/>
          <w:snapToGrid w:val="0"/>
          <w:color w:val="auto"/>
          <w:highlight w:val="none"/>
        </w:rPr>
        <w:t>；</w:t>
      </w:r>
      <w:r>
        <w:rPr>
          <w:rFonts w:cs="Times New Roman"/>
          <w:snapToGrid w:val="0"/>
          <w:color w:val="auto"/>
          <w:highlight w:val="none"/>
        </w:rPr>
        <w:t>屠宰车间产生的恶臭</w:t>
      </w:r>
      <w:r>
        <w:rPr>
          <w:rFonts w:hint="eastAsia" w:cs="Times New Roman"/>
          <w:snapToGrid w:val="0"/>
          <w:color w:val="auto"/>
          <w:highlight w:val="none"/>
          <w:lang w:eastAsia="zh-CN"/>
        </w:rPr>
        <w:t>采用微负压集中收集后</w:t>
      </w:r>
      <w:r>
        <w:rPr>
          <w:rFonts w:cs="Times New Roman"/>
          <w:snapToGrid w:val="0"/>
          <w:color w:val="auto"/>
          <w:highlight w:val="none"/>
        </w:rPr>
        <w:t>，通过活性炭净化装置处理，处理后经15m高的排气筒</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DA001</w:t>
      </w:r>
      <w:r>
        <w:rPr>
          <w:rFonts w:hint="eastAsia" w:cs="Times New Roman"/>
          <w:snapToGrid w:val="0"/>
          <w:color w:val="auto"/>
          <w:highlight w:val="none"/>
          <w:lang w:eastAsia="zh-CN"/>
        </w:rPr>
        <w:t>）</w:t>
      </w:r>
      <w:r>
        <w:rPr>
          <w:rFonts w:cs="Times New Roman"/>
          <w:snapToGrid w:val="0"/>
          <w:color w:val="auto"/>
          <w:highlight w:val="none"/>
        </w:rPr>
        <w:t>排放</w:t>
      </w:r>
      <w:r>
        <w:rPr>
          <w:rFonts w:eastAsia="新宋体" w:cs="Times New Roman"/>
          <w:bCs/>
          <w:snapToGrid w:val="0"/>
          <w:color w:val="auto"/>
          <w:szCs w:val="21"/>
          <w:highlight w:val="none"/>
        </w:rPr>
        <w:t>；</w:t>
      </w:r>
      <w:r>
        <w:rPr>
          <w:rFonts w:cs="Times New Roman"/>
          <w:snapToGrid w:val="0"/>
          <w:color w:val="auto"/>
          <w:highlight w:val="none"/>
        </w:rPr>
        <w:t>污水处理站产生的恶臭</w:t>
      </w:r>
      <w:r>
        <w:rPr>
          <w:rFonts w:hint="eastAsia" w:cs="Times New Roman"/>
          <w:snapToGrid w:val="0"/>
          <w:color w:val="auto"/>
          <w:highlight w:val="none"/>
          <w:lang w:eastAsia="zh-CN"/>
        </w:rPr>
        <w:t>采用微负压集中收集后</w:t>
      </w:r>
      <w:r>
        <w:rPr>
          <w:rFonts w:cs="Times New Roman"/>
          <w:snapToGrid w:val="0"/>
          <w:color w:val="auto"/>
          <w:highlight w:val="none"/>
        </w:rPr>
        <w:t>，通过活性炭净化装置处理，处理后经15m高的排气筒</w:t>
      </w:r>
      <w:r>
        <w:rPr>
          <w:rFonts w:hint="eastAsia" w:cs="Times New Roman"/>
          <w:snapToGrid w:val="0"/>
          <w:color w:val="auto"/>
          <w:highlight w:val="none"/>
          <w:lang w:eastAsia="zh-CN"/>
        </w:rPr>
        <w:t>（</w:t>
      </w:r>
      <w:r>
        <w:rPr>
          <w:rFonts w:hint="eastAsia" w:cs="Times New Roman"/>
          <w:snapToGrid w:val="0"/>
          <w:color w:val="auto"/>
          <w:highlight w:val="none"/>
          <w:lang w:val="en-US" w:eastAsia="zh-CN"/>
        </w:rPr>
        <w:t>DA002</w:t>
      </w:r>
      <w:r>
        <w:rPr>
          <w:rFonts w:hint="eastAsia" w:cs="Times New Roman"/>
          <w:snapToGrid w:val="0"/>
          <w:color w:val="auto"/>
          <w:highlight w:val="none"/>
          <w:lang w:eastAsia="zh-CN"/>
        </w:rPr>
        <w:t>）</w:t>
      </w:r>
      <w:r>
        <w:rPr>
          <w:rFonts w:cs="Times New Roman"/>
          <w:snapToGrid w:val="0"/>
          <w:color w:val="auto"/>
          <w:highlight w:val="none"/>
        </w:rPr>
        <w:t>排放。</w:t>
      </w:r>
    </w:p>
    <w:p w14:paraId="317F40D7">
      <w:pPr>
        <w:widowControl/>
        <w:spacing w:line="500" w:lineRule="exact"/>
        <w:rPr>
          <w:rFonts w:eastAsia="新宋体" w:cs="Times New Roman"/>
          <w:color w:val="auto"/>
          <w:kern w:val="0"/>
          <w:szCs w:val="24"/>
          <w:highlight w:val="none"/>
          <w:lang w:bidi="ar"/>
        </w:rPr>
      </w:pPr>
      <w:r>
        <w:rPr>
          <w:rFonts w:hint="eastAsia" w:cs="Times New Roman"/>
          <w:snapToGrid w:val="0"/>
          <w:color w:val="auto"/>
          <w:highlight w:val="none"/>
          <w:lang w:eastAsia="zh-CN"/>
        </w:rPr>
        <w:t>待宰圈</w:t>
      </w:r>
      <w:r>
        <w:rPr>
          <w:rFonts w:hint="eastAsia" w:cs="Times New Roman"/>
          <w:snapToGrid w:val="0"/>
          <w:color w:val="auto"/>
          <w:highlight w:val="none"/>
        </w:rPr>
        <w:t>、隔离圈</w:t>
      </w:r>
      <w:r>
        <w:rPr>
          <w:rFonts w:cs="Times New Roman"/>
          <w:snapToGrid w:val="0"/>
          <w:color w:val="auto"/>
          <w:highlight w:val="none"/>
        </w:rPr>
        <w:t>及时清理</w:t>
      </w:r>
      <w:r>
        <w:rPr>
          <w:rFonts w:eastAsia="新宋体" w:cs="Times New Roman"/>
          <w:bCs/>
          <w:snapToGrid w:val="0"/>
          <w:color w:val="auto"/>
          <w:szCs w:val="21"/>
          <w:highlight w:val="none"/>
        </w:rPr>
        <w:t>粪便及尿液，</w:t>
      </w:r>
      <w:r>
        <w:rPr>
          <w:rFonts w:hint="eastAsia" w:eastAsia="新宋体" w:cs="Times New Roman"/>
          <w:bCs/>
          <w:snapToGrid w:val="0"/>
          <w:color w:val="auto"/>
          <w:szCs w:val="21"/>
          <w:highlight w:val="none"/>
        </w:rPr>
        <w:t>定期冲洗待地面</w:t>
      </w:r>
      <w:r>
        <w:rPr>
          <w:rFonts w:eastAsia="新宋体" w:cs="Times New Roman"/>
          <w:bCs/>
          <w:snapToGrid w:val="0"/>
          <w:color w:val="auto"/>
          <w:szCs w:val="21"/>
          <w:highlight w:val="none"/>
        </w:rPr>
        <w:t>，日产日清并定期喷洒除臭剂</w:t>
      </w:r>
      <w:r>
        <w:rPr>
          <w:rFonts w:hint="eastAsia" w:cs="Times New Roman"/>
          <w:snapToGrid w:val="0"/>
          <w:color w:val="auto"/>
          <w:highlight w:val="none"/>
        </w:rPr>
        <w:t>；屠宰车间及时清运屠宰废物，</w:t>
      </w:r>
      <w:r>
        <w:rPr>
          <w:rFonts w:cs="Times New Roman"/>
          <w:snapToGrid w:val="0"/>
          <w:color w:val="auto"/>
          <w:highlight w:val="none"/>
        </w:rPr>
        <w:t>增加清洗车间地面频次</w:t>
      </w:r>
      <w:r>
        <w:rPr>
          <w:rFonts w:hint="eastAsia" w:cs="Times New Roman"/>
          <w:snapToGrid w:val="0"/>
          <w:color w:val="auto"/>
          <w:highlight w:val="none"/>
        </w:rPr>
        <w:t>；</w:t>
      </w:r>
      <w:r>
        <w:rPr>
          <w:rFonts w:cs="Times New Roman"/>
          <w:snapToGrid w:val="0"/>
          <w:color w:val="auto"/>
          <w:highlight w:val="none"/>
        </w:rPr>
        <w:t>污水处理站产生恶臭区域加盖，</w:t>
      </w:r>
      <w:r>
        <w:rPr>
          <w:rFonts w:eastAsia="新宋体" w:cs="Times New Roman"/>
          <w:snapToGrid w:val="0"/>
          <w:color w:val="auto"/>
          <w:szCs w:val="21"/>
          <w:highlight w:val="none"/>
        </w:rPr>
        <w:t>定期喷洒除臭剂</w:t>
      </w:r>
      <w:r>
        <w:rPr>
          <w:rFonts w:eastAsia="新宋体" w:cs="Times New Roman"/>
          <w:bCs/>
          <w:snapToGrid w:val="0"/>
          <w:color w:val="auto"/>
          <w:szCs w:val="21"/>
          <w:highlight w:val="none"/>
        </w:rPr>
        <w:t>，</w:t>
      </w:r>
      <w:r>
        <w:rPr>
          <w:rFonts w:eastAsia="新宋体" w:cs="Times New Roman"/>
          <w:snapToGrid w:val="0"/>
          <w:color w:val="auto"/>
          <w:szCs w:val="21"/>
          <w:highlight w:val="none"/>
        </w:rPr>
        <w:t>减少恶臭源的散发；</w:t>
      </w:r>
      <w:r>
        <w:rPr>
          <w:rFonts w:cs="Times New Roman"/>
          <w:snapToGrid w:val="0"/>
          <w:color w:val="auto"/>
          <w:highlight w:val="none"/>
        </w:rPr>
        <w:t>固废暂存间内废物暂存于加盖的</w:t>
      </w:r>
      <w:r>
        <w:rPr>
          <w:rFonts w:hint="eastAsia" w:cs="Times New Roman"/>
          <w:snapToGrid w:val="0"/>
          <w:color w:val="auto"/>
          <w:highlight w:val="none"/>
          <w:lang w:val="en-US" w:eastAsia="zh-CN"/>
        </w:rPr>
        <w:t>转运桶</w:t>
      </w:r>
      <w:r>
        <w:rPr>
          <w:rFonts w:cs="Times New Roman"/>
          <w:snapToGrid w:val="0"/>
          <w:color w:val="auto"/>
          <w:highlight w:val="none"/>
        </w:rPr>
        <w:t>，正常情况下为密封，仅输送生产废物时，将</w:t>
      </w:r>
      <w:r>
        <w:rPr>
          <w:rFonts w:hint="eastAsia" w:cs="Times New Roman"/>
          <w:snapToGrid w:val="0"/>
          <w:color w:val="auto"/>
          <w:highlight w:val="none"/>
          <w:lang w:val="en-US" w:eastAsia="zh-CN"/>
        </w:rPr>
        <w:t>转运桶</w:t>
      </w:r>
      <w:r>
        <w:rPr>
          <w:rFonts w:cs="Times New Roman"/>
          <w:snapToGrid w:val="0"/>
          <w:color w:val="auto"/>
          <w:highlight w:val="none"/>
        </w:rPr>
        <w:t>送至运输车上，</w:t>
      </w:r>
      <w:r>
        <w:rPr>
          <w:rFonts w:hint="eastAsia" w:cs="Times New Roman"/>
          <w:snapToGrid w:val="0"/>
          <w:color w:val="auto"/>
          <w:highlight w:val="none"/>
          <w:lang w:val="en-US" w:eastAsia="zh-CN"/>
        </w:rPr>
        <w:t>并置换清理干净的转运桶，</w:t>
      </w:r>
      <w:r>
        <w:rPr>
          <w:rFonts w:cs="Times New Roman"/>
          <w:snapToGrid w:val="0"/>
          <w:color w:val="auto"/>
          <w:highlight w:val="none"/>
        </w:rPr>
        <w:t>产生的恶臭较小。</w:t>
      </w:r>
      <w:r>
        <w:rPr>
          <w:rFonts w:eastAsia="新宋体" w:cs="Times New Roman"/>
          <w:snapToGrid w:val="0"/>
          <w:color w:val="auto"/>
          <w:szCs w:val="21"/>
          <w:highlight w:val="none"/>
        </w:rPr>
        <w:t>采取以上措施后厂区恶臭气体可达标排放；</w:t>
      </w:r>
    </w:p>
    <w:p w14:paraId="01883391">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（3）本项目生产过程产生固废均得到合理处置，达到零排放。</w:t>
      </w:r>
    </w:p>
    <w:p w14:paraId="5940E368">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本项目最大限度削减了污染物的产生量，清洁生产水平与国内同行业先进水平相当。</w:t>
      </w:r>
    </w:p>
    <w:p w14:paraId="22F695B1">
      <w:pPr>
        <w:widowControl/>
        <w:numPr>
          <w:ilvl w:val="0"/>
          <w:numId w:val="12"/>
        </w:numPr>
        <w:spacing w:line="500" w:lineRule="exact"/>
        <w:ind w:firstLine="482"/>
        <w:rPr>
          <w:rFonts w:cs="Times New Roman"/>
          <w:b/>
          <w:bCs/>
          <w:color w:val="auto"/>
          <w:kern w:val="0"/>
          <w:szCs w:val="24"/>
          <w:highlight w:val="none"/>
          <w:lang w:bidi="ar"/>
        </w:rPr>
      </w:pPr>
      <w:r>
        <w:rPr>
          <w:rFonts w:cs="Times New Roman"/>
          <w:b/>
          <w:bCs/>
          <w:color w:val="auto"/>
          <w:kern w:val="0"/>
          <w:szCs w:val="24"/>
          <w:highlight w:val="none"/>
          <w:lang w:bidi="ar"/>
        </w:rPr>
        <w:t>废物回收利用</w:t>
      </w:r>
    </w:p>
    <w:p w14:paraId="2CA97295">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 xml:space="preserve">项目的废物主要有废水、废气和固体废弃物。根据废物的性质尽可能采用综合利用措施，经分析本次可以采取的废物综合利用措施如下： </w:t>
      </w:r>
    </w:p>
    <w:p w14:paraId="62453C02">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①牛、羊粪在</w:t>
      </w:r>
      <w:r>
        <w:rPr>
          <w:rFonts w:hint="eastAsia" w:cs="Times New Roman"/>
          <w:color w:val="auto"/>
          <w:kern w:val="0"/>
          <w:szCs w:val="24"/>
          <w:highlight w:val="none"/>
          <w:lang w:eastAsia="zh-CN" w:bidi="ar"/>
        </w:rPr>
        <w:t>待宰圈</w:t>
      </w:r>
      <w:r>
        <w:rPr>
          <w:rFonts w:cs="Times New Roman"/>
          <w:color w:val="auto"/>
          <w:kern w:val="0"/>
          <w:szCs w:val="24"/>
          <w:highlight w:val="none"/>
          <w:lang w:bidi="ar"/>
        </w:rPr>
        <w:t>牛、羊粪暂存池内收集后作为有机肥原料外售；</w:t>
      </w:r>
    </w:p>
    <w:p w14:paraId="4EE79E7F">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fldChar w:fldCharType="begin"/>
      </w:r>
      <w:r>
        <w:rPr>
          <w:rFonts w:cs="Times New Roman"/>
          <w:color w:val="auto"/>
          <w:kern w:val="0"/>
          <w:szCs w:val="24"/>
          <w:highlight w:val="none"/>
          <w:lang w:bidi="ar"/>
        </w:rPr>
        <w:instrText xml:space="preserve"> = 2 \* GB3 </w:instrText>
      </w:r>
      <w:r>
        <w:rPr>
          <w:rFonts w:cs="Times New Roman"/>
          <w:color w:val="auto"/>
          <w:kern w:val="0"/>
          <w:szCs w:val="24"/>
          <w:highlight w:val="none"/>
          <w:lang w:bidi="ar"/>
        </w:rPr>
        <w:fldChar w:fldCharType="separate"/>
      </w:r>
      <w:r>
        <w:rPr>
          <w:rFonts w:cs="Times New Roman"/>
          <w:color w:val="auto"/>
          <w:kern w:val="0"/>
          <w:szCs w:val="24"/>
          <w:highlight w:val="none"/>
          <w:lang w:bidi="ar"/>
        </w:rPr>
        <w:t>②</w:t>
      </w:r>
      <w:r>
        <w:rPr>
          <w:rFonts w:cs="Times New Roman"/>
          <w:color w:val="auto"/>
          <w:kern w:val="0"/>
          <w:szCs w:val="24"/>
          <w:highlight w:val="none"/>
          <w:lang w:bidi="ar"/>
        </w:rPr>
        <w:fldChar w:fldCharType="end"/>
      </w:r>
      <w:r>
        <w:rPr>
          <w:rFonts w:cs="Times New Roman"/>
          <w:color w:val="auto"/>
          <w:kern w:val="0"/>
          <w:szCs w:val="24"/>
          <w:highlight w:val="none"/>
          <w:lang w:bidi="ar"/>
        </w:rPr>
        <w:t>胃容物及肠内物储存在加盖的暂存池内，作为有机肥原料外售；</w:t>
      </w:r>
    </w:p>
    <w:p w14:paraId="29A8DFCD">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fldChar w:fldCharType="begin"/>
      </w:r>
      <w:r>
        <w:rPr>
          <w:rFonts w:cs="Times New Roman"/>
          <w:color w:val="auto"/>
          <w:kern w:val="0"/>
          <w:szCs w:val="24"/>
          <w:highlight w:val="none"/>
          <w:lang w:bidi="ar"/>
        </w:rPr>
        <w:instrText xml:space="preserve"> = 3 \* GB3 </w:instrText>
      </w:r>
      <w:r>
        <w:rPr>
          <w:rFonts w:cs="Times New Roman"/>
          <w:color w:val="auto"/>
          <w:kern w:val="0"/>
          <w:szCs w:val="24"/>
          <w:highlight w:val="none"/>
          <w:lang w:bidi="ar"/>
        </w:rPr>
        <w:fldChar w:fldCharType="separate"/>
      </w:r>
      <w:r>
        <w:rPr>
          <w:rFonts w:cs="Times New Roman"/>
          <w:color w:val="auto"/>
          <w:kern w:val="0"/>
          <w:szCs w:val="24"/>
          <w:highlight w:val="none"/>
          <w:lang w:bidi="ar"/>
        </w:rPr>
        <w:t>③</w:t>
      </w:r>
      <w:r>
        <w:rPr>
          <w:rFonts w:cs="Times New Roman"/>
          <w:color w:val="auto"/>
          <w:kern w:val="0"/>
          <w:szCs w:val="24"/>
          <w:highlight w:val="none"/>
          <w:lang w:bidi="ar"/>
        </w:rPr>
        <w:fldChar w:fldCharType="end"/>
      </w:r>
      <w:r>
        <w:rPr>
          <w:rFonts w:cs="Times New Roman"/>
          <w:color w:val="auto"/>
          <w:kern w:val="0"/>
          <w:szCs w:val="24"/>
          <w:highlight w:val="none"/>
          <w:lang w:bidi="ar"/>
        </w:rPr>
        <w:t>边角料储存在加盖的暂存池内，作为有机肥原料外售；</w:t>
      </w:r>
    </w:p>
    <w:p w14:paraId="2E976F41">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fldChar w:fldCharType="begin"/>
      </w:r>
      <w:r>
        <w:rPr>
          <w:rFonts w:cs="Times New Roman"/>
          <w:color w:val="auto"/>
          <w:kern w:val="0"/>
          <w:szCs w:val="24"/>
          <w:highlight w:val="none"/>
          <w:lang w:bidi="ar"/>
        </w:rPr>
        <w:instrText xml:space="preserve"> = 4 \* GB3 \* MERGEFORMAT </w:instrText>
      </w:r>
      <w:r>
        <w:rPr>
          <w:rFonts w:cs="Times New Roman"/>
          <w:color w:val="auto"/>
          <w:kern w:val="0"/>
          <w:szCs w:val="24"/>
          <w:highlight w:val="none"/>
          <w:lang w:bidi="ar"/>
        </w:rPr>
        <w:fldChar w:fldCharType="separate"/>
      </w:r>
      <w:r>
        <w:rPr>
          <w:rFonts w:cs="Times New Roman"/>
          <w:color w:val="auto"/>
          <w:kern w:val="0"/>
          <w:szCs w:val="24"/>
          <w:highlight w:val="none"/>
          <w:lang w:bidi="ar"/>
        </w:rPr>
        <w:t>④</w:t>
      </w:r>
      <w:r>
        <w:rPr>
          <w:rFonts w:cs="Times New Roman"/>
          <w:color w:val="auto"/>
          <w:kern w:val="0"/>
          <w:szCs w:val="24"/>
          <w:highlight w:val="none"/>
          <w:lang w:bidi="ar"/>
        </w:rPr>
        <w:fldChar w:fldCharType="end"/>
      </w:r>
      <w:r>
        <w:rPr>
          <w:rFonts w:cs="Times New Roman"/>
          <w:color w:val="auto"/>
          <w:kern w:val="0"/>
          <w:szCs w:val="24"/>
          <w:highlight w:val="none"/>
          <w:lang w:bidi="ar"/>
        </w:rPr>
        <w:t>废包装</w:t>
      </w:r>
      <w:r>
        <w:rPr>
          <w:rFonts w:hint="eastAsia" w:cs="Times New Roman"/>
          <w:color w:val="auto"/>
          <w:kern w:val="0"/>
          <w:szCs w:val="24"/>
          <w:highlight w:val="none"/>
          <w:lang w:bidi="ar"/>
        </w:rPr>
        <w:t>集中收集，</w:t>
      </w:r>
      <w:r>
        <w:rPr>
          <w:rFonts w:cs="Times New Roman"/>
          <w:color w:val="auto"/>
          <w:kern w:val="0"/>
          <w:szCs w:val="24"/>
          <w:highlight w:val="none"/>
          <w:lang w:bidi="ar"/>
        </w:rPr>
        <w:t>外售综合利用。</w:t>
      </w:r>
    </w:p>
    <w:p w14:paraId="69EB898C">
      <w:pPr>
        <w:widowControl/>
        <w:spacing w:line="500" w:lineRule="exact"/>
        <w:ind w:firstLine="482"/>
        <w:rPr>
          <w:rFonts w:cs="Times New Roman"/>
          <w:b/>
          <w:bCs/>
          <w:color w:val="auto"/>
          <w:kern w:val="0"/>
          <w:szCs w:val="24"/>
          <w:highlight w:val="none"/>
          <w:lang w:bidi="ar"/>
        </w:rPr>
      </w:pPr>
      <w:r>
        <w:rPr>
          <w:rFonts w:cs="Times New Roman"/>
          <w:b/>
          <w:bCs/>
          <w:color w:val="auto"/>
          <w:kern w:val="0"/>
          <w:szCs w:val="24"/>
          <w:highlight w:val="none"/>
          <w:lang w:bidi="ar"/>
        </w:rPr>
        <w:t>6、清洁生产管理措施</w:t>
      </w:r>
    </w:p>
    <w:p w14:paraId="2ADE08CB">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①制定利于清洁生产的管理制度和岗位操作章程。</w:t>
      </w:r>
    </w:p>
    <w:p w14:paraId="03A05029">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②制定专门管理制度好可持续清洁生产计划。</w:t>
      </w:r>
    </w:p>
    <w:p w14:paraId="07ECC837">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③对员工进行严格岗前培训，树立其清洁生产意识。</w:t>
      </w:r>
    </w:p>
    <w:p w14:paraId="3C58C590">
      <w:pPr>
        <w:widowControl/>
        <w:spacing w:line="500" w:lineRule="exact"/>
        <w:ind w:firstLine="482"/>
        <w:rPr>
          <w:rFonts w:cs="Times New Roman"/>
          <w:b/>
          <w:bCs/>
          <w:color w:val="auto"/>
          <w:kern w:val="0"/>
          <w:szCs w:val="24"/>
          <w:highlight w:val="none"/>
          <w:lang w:bidi="ar"/>
        </w:rPr>
      </w:pPr>
      <w:r>
        <w:rPr>
          <w:rFonts w:cs="Times New Roman"/>
          <w:b/>
          <w:bCs/>
          <w:color w:val="auto"/>
          <w:kern w:val="0"/>
          <w:szCs w:val="24"/>
          <w:highlight w:val="none"/>
          <w:lang w:bidi="ar"/>
        </w:rPr>
        <w:t>7、清洁生产结论</w:t>
      </w:r>
    </w:p>
    <w:p w14:paraId="7956B9DF">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综上所述，拟建项目符合当前相关产业清洁生产的要求，项目生产工艺与装备水平、资源能源利用指标、产品指标、污染物产生指标、废物处理与综合利用指标和环境管理要求等方面均可达到国内先进水平，满足清洁生产要求。</w:t>
      </w:r>
    </w:p>
    <w:p w14:paraId="23CA6547">
      <w:pPr>
        <w:widowControl/>
        <w:rPr>
          <w:rFonts w:cs="Times New Roman"/>
          <w:color w:val="auto"/>
          <w:kern w:val="0"/>
          <w:szCs w:val="24"/>
          <w:highlight w:val="none"/>
          <w:lang w:bidi="ar"/>
        </w:rPr>
      </w:pPr>
    </w:p>
    <w:p w14:paraId="1FE7F1EC">
      <w:pPr>
        <w:widowControl/>
        <w:rPr>
          <w:rFonts w:cs="Times New Roman"/>
          <w:color w:val="auto"/>
          <w:kern w:val="0"/>
          <w:szCs w:val="24"/>
          <w:highlight w:val="none"/>
          <w:lang w:bidi="ar"/>
        </w:rPr>
      </w:pPr>
    </w:p>
    <w:p w14:paraId="2C99B418">
      <w:pPr>
        <w:widowControl/>
        <w:rPr>
          <w:rFonts w:cs="Times New Roman"/>
          <w:color w:val="auto"/>
          <w:kern w:val="0"/>
          <w:szCs w:val="24"/>
          <w:highlight w:val="none"/>
          <w:lang w:bidi="ar"/>
        </w:rPr>
      </w:pPr>
    </w:p>
    <w:p w14:paraId="34E7899A">
      <w:pPr>
        <w:ind w:firstLine="0" w:firstLineChars="0"/>
        <w:rPr>
          <w:rFonts w:cs="Times New Roman"/>
          <w:color w:val="auto"/>
          <w:highlight w:val="none"/>
        </w:rPr>
      </w:pPr>
    </w:p>
    <w:p w14:paraId="6887A793">
      <w:pPr>
        <w:pStyle w:val="117"/>
        <w:rPr>
          <w:rFonts w:cs="Times New Roman"/>
          <w:snapToGrid w:val="0"/>
          <w:color w:val="auto"/>
          <w:highlight w:val="none"/>
        </w:rPr>
        <w:sectPr>
          <w:pgSz w:w="11906" w:h="16838"/>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18D5BABC">
      <w:pPr>
        <w:pStyle w:val="2"/>
        <w:rPr>
          <w:rFonts w:cs="Times New Roman"/>
          <w:color w:val="auto"/>
          <w:highlight w:val="none"/>
        </w:rPr>
      </w:pPr>
      <w:bookmarkStart w:id="139" w:name="_Toc10566"/>
      <w:r>
        <w:rPr>
          <w:rFonts w:cs="Times New Roman"/>
          <w:color w:val="auto"/>
          <w:highlight w:val="none"/>
        </w:rPr>
        <w:t>4环境现状调查与评价</w:t>
      </w:r>
      <w:bookmarkEnd w:id="5"/>
      <w:bookmarkEnd w:id="139"/>
    </w:p>
    <w:p w14:paraId="1CA786B7">
      <w:pPr>
        <w:pStyle w:val="3"/>
        <w:spacing w:before="163" w:after="163"/>
        <w:rPr>
          <w:rFonts w:cs="Times New Roman"/>
          <w:color w:val="auto"/>
          <w:highlight w:val="none"/>
          <w:lang w:val="zh-CN"/>
        </w:rPr>
      </w:pPr>
      <w:bookmarkStart w:id="140" w:name="_Toc3121136"/>
      <w:bookmarkStart w:id="141" w:name="_Toc3072"/>
      <w:bookmarkStart w:id="142" w:name="_Toc57412930"/>
      <w:bookmarkStart w:id="143" w:name="_Toc244330360"/>
      <w:bookmarkStart w:id="144" w:name="_Toc244329286"/>
      <w:bookmarkStart w:id="145" w:name="_Toc402352943"/>
      <w:bookmarkStart w:id="146" w:name="_Toc244330526"/>
      <w:bookmarkStart w:id="147" w:name="_Toc422224741"/>
      <w:r>
        <w:rPr>
          <w:rFonts w:cs="Times New Roman"/>
          <w:color w:val="auto"/>
          <w:highlight w:val="none"/>
          <w:lang w:val="zh-CN"/>
        </w:rPr>
        <w:t>4.1 自然环境现状调查与评价</w:t>
      </w:r>
      <w:bookmarkEnd w:id="140"/>
      <w:bookmarkEnd w:id="141"/>
      <w:bookmarkEnd w:id="142"/>
    </w:p>
    <w:p w14:paraId="2FFF79F6">
      <w:pPr>
        <w:pStyle w:val="4"/>
        <w:spacing w:after="163"/>
        <w:rPr>
          <w:rFonts w:cs="Times New Roman"/>
          <w:color w:val="auto"/>
          <w:highlight w:val="none"/>
          <w:lang w:val="zh-CN"/>
        </w:rPr>
      </w:pPr>
      <w:bookmarkStart w:id="148" w:name="_Toc21104"/>
      <w:r>
        <w:rPr>
          <w:rFonts w:cs="Times New Roman"/>
          <w:color w:val="auto"/>
          <w:highlight w:val="none"/>
          <w:lang w:val="zh-CN"/>
        </w:rPr>
        <w:t>4.1.1 地理位置</w:t>
      </w:r>
      <w:bookmarkEnd w:id="148"/>
    </w:p>
    <w:bookmarkEnd w:id="143"/>
    <w:bookmarkEnd w:id="144"/>
    <w:bookmarkEnd w:id="145"/>
    <w:bookmarkEnd w:id="146"/>
    <w:bookmarkEnd w:id="147"/>
    <w:p w14:paraId="61D88B4E">
      <w:pPr>
        <w:rPr>
          <w:rFonts w:cs="Times New Roman"/>
          <w:color w:val="auto"/>
          <w:highlight w:val="none"/>
        </w:rPr>
      </w:pPr>
      <w:bookmarkStart w:id="149" w:name="_Toc244330362"/>
      <w:bookmarkStart w:id="150" w:name="_Toc402352946"/>
      <w:bookmarkStart w:id="151" w:name="_Toc422224744"/>
      <w:bookmarkStart w:id="152" w:name="_Toc244329288"/>
      <w:bookmarkStart w:id="153" w:name="_Toc244330528"/>
      <w:r>
        <w:rPr>
          <w:rFonts w:cs="Times New Roman"/>
          <w:color w:val="auto"/>
          <w:highlight w:val="none"/>
        </w:rPr>
        <w:t>双鸭山市位于中国黑龙江省东北部，地处完达山北麓、三江平原南缘，东隔乌苏里江与俄罗斯相望，介于东经130°38′57″～134°20′20″，北纬45°47′08″～47°34′28″，境内平原宽广，丘陵起伏，群山绵延，</w:t>
      </w:r>
      <w:r>
        <w:rPr>
          <w:rFonts w:hint="default" w:cs="Times New Roman"/>
          <w:color w:val="auto"/>
          <w:highlight w:val="none"/>
        </w:rPr>
        <w:t> 是黑龙江省重要的煤炭、电力、化工、钢铁和粮食生产基地，被誉为“黑土湿地之都、绿色生态之城”。</w:t>
      </w:r>
    </w:p>
    <w:p w14:paraId="74C81DCC">
      <w:pPr>
        <w:rPr>
          <w:rFonts w:cs="Times New Roman"/>
          <w:snapToGrid w:val="0"/>
          <w:color w:val="auto"/>
          <w:kern w:val="0"/>
          <w:highlight w:val="none"/>
        </w:rPr>
      </w:pPr>
      <w:r>
        <w:rPr>
          <w:rFonts w:cs="Times New Roman"/>
          <w:snapToGrid w:val="0"/>
          <w:color w:val="auto"/>
          <w:kern w:val="0"/>
          <w:highlight w:val="none"/>
        </w:rPr>
        <w:t>本项目位于</w:t>
      </w:r>
      <w:r>
        <w:rPr>
          <w:rFonts w:hint="eastAsia" w:ascii="Times New Roman" w:hAnsi="Times New Roman" w:cs="Times New Roman"/>
          <w:snapToGrid w:val="0"/>
          <w:color w:val="auto"/>
          <w:kern w:val="0"/>
          <w:szCs w:val="24"/>
          <w:highlight w:val="none"/>
          <w:lang w:val="en-US" w:eastAsia="zh-CN"/>
        </w:rPr>
        <w:t>双鸭山市岭东区长胜乡东兴村</w:t>
      </w:r>
      <w:r>
        <w:rPr>
          <w:rFonts w:cs="Times New Roman"/>
          <w:color w:val="auto"/>
          <w:highlight w:val="none"/>
        </w:rPr>
        <w:t>，</w:t>
      </w:r>
      <w:r>
        <w:rPr>
          <w:rFonts w:cs="Times New Roman"/>
          <w:snapToGrid w:val="0"/>
          <w:color w:val="auto"/>
          <w:kern w:val="0"/>
          <w:highlight w:val="none"/>
        </w:rPr>
        <w:t>项目地理位置图见附图1。</w:t>
      </w:r>
    </w:p>
    <w:bookmarkEnd w:id="149"/>
    <w:bookmarkEnd w:id="150"/>
    <w:bookmarkEnd w:id="151"/>
    <w:bookmarkEnd w:id="152"/>
    <w:bookmarkEnd w:id="153"/>
    <w:p w14:paraId="40150F0D">
      <w:pPr>
        <w:pStyle w:val="4"/>
        <w:spacing w:after="163"/>
        <w:rPr>
          <w:rFonts w:cs="Times New Roman"/>
          <w:color w:val="auto"/>
          <w:highlight w:val="none"/>
          <w:lang w:val="zh-CN"/>
        </w:rPr>
      </w:pPr>
      <w:bookmarkStart w:id="154" w:name="_Toc25083"/>
      <w:r>
        <w:rPr>
          <w:rFonts w:cs="Times New Roman"/>
          <w:color w:val="auto"/>
          <w:highlight w:val="none"/>
          <w:lang w:val="zh-CN"/>
        </w:rPr>
        <w:t>4.1.2 地形地貌</w:t>
      </w:r>
      <w:bookmarkEnd w:id="154"/>
    </w:p>
    <w:p w14:paraId="609B530F">
      <w:pPr>
        <w:rPr>
          <w:rFonts w:hint="eastAsia" w:ascii="Times New Roman" w:hAnsi="Times New Roman" w:cs="Times New Roman"/>
          <w:snapToGrid w:val="0"/>
          <w:color w:val="auto"/>
          <w:kern w:val="0"/>
          <w:szCs w:val="24"/>
          <w:highlight w:val="none"/>
          <w:lang w:val="en-US" w:eastAsia="zh-CN"/>
        </w:rPr>
      </w:pPr>
      <w:bookmarkStart w:id="155" w:name="_Toc16052"/>
      <w:r>
        <w:rPr>
          <w:rFonts w:hint="eastAsia" w:ascii="Times New Roman" w:hAnsi="Times New Roman" w:cs="Times New Roman"/>
          <w:snapToGrid w:val="0"/>
          <w:color w:val="auto"/>
          <w:kern w:val="0"/>
          <w:szCs w:val="24"/>
          <w:highlight w:val="none"/>
          <w:lang w:val="en-US" w:eastAsia="zh-CN"/>
        </w:rPr>
        <w:t>双鸭山市地处完达山脉北麓的低山丘陵区，属古老山地，坡度平缓、山头低矮，山上泥土肥厚，生长着阔叶和针阙叶混交林。境内地势西南高、东北低，平均海拔450米。市境南部为山地，西南部海拔高度在500至600米左右，只有七星砬子和十二道坝南山分别高达852米和755米，切割深度在200至400米之间，属低山区。随山地走向成西东、南北山谷共45条，较大的山谷4条。市区的北部为丘陵地带，地面波状起伏，独立小山较多，海拔高度除双鸭山406米、大山426米外，其它均在200至300米左右，切割深度多在数十米至百米不等，北部最低海拔高度108米，成东西长形地带。山脉主要分布在市区南部，全市共有大小山头101个，主要展布在北、南、东北和西北方向，均属完达山脉分水岗南北延伸的支脉。有5条河流蜿蜒其间，大体为八山半水、一丹半田。</w:t>
      </w:r>
    </w:p>
    <w:p w14:paraId="12970CE4">
      <w:pPr>
        <w:pStyle w:val="4"/>
        <w:spacing w:after="163"/>
        <w:rPr>
          <w:rFonts w:cs="Times New Roman"/>
          <w:color w:val="auto"/>
          <w:highlight w:val="none"/>
          <w:lang w:val="zh-CN"/>
        </w:rPr>
      </w:pPr>
      <w:r>
        <w:rPr>
          <w:rFonts w:cs="Times New Roman"/>
          <w:color w:val="auto"/>
          <w:highlight w:val="none"/>
          <w:lang w:val="zh-CN"/>
        </w:rPr>
        <w:t>4.1.3 气候、气象</w:t>
      </w:r>
      <w:bookmarkEnd w:id="155"/>
    </w:p>
    <w:p w14:paraId="586436E4">
      <w:pPr>
        <w:spacing w:line="500" w:lineRule="exact"/>
        <w:rPr>
          <w:rFonts w:cs="Times New Roman"/>
          <w:color w:val="auto"/>
          <w:highlight w:val="none"/>
        </w:rPr>
      </w:pPr>
      <w:bookmarkStart w:id="156" w:name="_Toc10921"/>
      <w:r>
        <w:rPr>
          <w:rFonts w:cs="Times New Roman"/>
          <w:color w:val="auto"/>
          <w:highlight w:val="none"/>
        </w:rPr>
        <w:t>双鸭山市地处中温带湿润气候区，除饶河县受鄂霍次克海及日本海影响属半陆地、半海洋气候外、其它各市县均属大陆性季风气候。冬季在极地大陆气团控制下，气候严寒、干燥并漫长；夏季受副热带海洋气候的影响，气候温热多雨，降水集中，春秋两季气候多变，春季短、回暖快、多风；秋季短促，降温急剧，霜冻较早。</w:t>
      </w:r>
    </w:p>
    <w:p w14:paraId="5FB4DF4F">
      <w:pPr>
        <w:pStyle w:val="4"/>
        <w:spacing w:after="163"/>
        <w:rPr>
          <w:rFonts w:cs="Times New Roman"/>
          <w:color w:val="auto"/>
          <w:highlight w:val="none"/>
          <w:lang w:val="zh-CN"/>
        </w:rPr>
      </w:pPr>
      <w:r>
        <w:rPr>
          <w:rFonts w:cs="Times New Roman"/>
          <w:color w:val="auto"/>
          <w:highlight w:val="none"/>
          <w:lang w:val="zh-CN"/>
        </w:rPr>
        <w:t>4.1.4 水文地质</w:t>
      </w:r>
      <w:bookmarkEnd w:id="156"/>
    </w:p>
    <w:p w14:paraId="30040C35">
      <w:pPr>
        <w:spacing w:line="500" w:lineRule="exact"/>
        <w:rPr>
          <w:rFonts w:cs="Times New Roman"/>
          <w:color w:val="auto"/>
          <w:highlight w:val="none"/>
          <w:lang w:val="zh-CN"/>
        </w:rPr>
      </w:pPr>
      <w:r>
        <w:rPr>
          <w:rFonts w:cs="Times New Roman"/>
          <w:color w:val="auto"/>
          <w:highlight w:val="none"/>
          <w:lang w:val="zh-CN"/>
        </w:rPr>
        <w:t>双鸭山市境内江河纵横，河网密布，有大小河流60条，分属松花江、乌苏里江水系。现有流域面积50平方千米以上的河流44条，50平方千米以下的河流16条。主要河流有乌苏里江、挠力河、七星河、安邦河、柳树河、哈达密河等河流。</w:t>
      </w:r>
      <w:r>
        <w:rPr>
          <w:rFonts w:hint="default" w:cs="Times New Roman"/>
          <w:color w:val="auto"/>
          <w:highlight w:val="none"/>
          <w:lang w:val="zh-CN"/>
        </w:rPr>
        <w:t> 市境内的河流都是老年期河道，河床窄小，无自然湖泊。</w:t>
      </w:r>
    </w:p>
    <w:p w14:paraId="34A0054F">
      <w:pPr>
        <w:pStyle w:val="4"/>
        <w:spacing w:after="163"/>
        <w:rPr>
          <w:rFonts w:cs="Times New Roman"/>
          <w:color w:val="auto"/>
          <w:highlight w:val="none"/>
        </w:rPr>
      </w:pPr>
      <w:r>
        <w:rPr>
          <w:rFonts w:cs="Times New Roman"/>
          <w:color w:val="auto"/>
          <w:highlight w:val="none"/>
        </w:rPr>
        <w:t>4.1.6土壤</w:t>
      </w:r>
    </w:p>
    <w:p w14:paraId="2CE21D84">
      <w:pPr>
        <w:spacing w:line="500" w:lineRule="exact"/>
        <w:rPr>
          <w:rFonts w:cs="Times New Roman"/>
          <w:color w:val="auto"/>
          <w:highlight w:val="none"/>
          <w:lang w:val="zh-CN"/>
        </w:rPr>
      </w:pPr>
      <w:r>
        <w:rPr>
          <w:rFonts w:cs="Times New Roman"/>
          <w:color w:val="auto"/>
          <w:highlight w:val="none"/>
          <w:lang w:val="zh-CN"/>
        </w:rPr>
        <w:t>评价区域内的土壤主要以暗棕壤为主，暗棕壤是在温带湿润季风气候和针阔混交林下发育形成的，剖面构型为O-AB-Bt-C，表层腐殖质积聚，全剖面呈中至微酸性反应，盐基饱和度60~80%，剖面中部粘粒和铁锰含量均高于其上下两层的淋溶土。草甸暗棕壤主要分布与平缓的地形上，多为坡脚或河谷阶地。植被多为次生阔叶林或疏林草甸植被。表层为富含腐殖质的暗灰色粘壤土，略有团粒结构。表层以下为AB层，呈灰棕或灰色，团块结构，在向下为棕黄色的B层，在此层中常出现有铁锈、铁锰结核或灰色条纹，具有草甸过程的特征。腐殖质层较厚，有机质含量较高，呈微酸性反应，盐基饱和度较高，铁的还原淋溶较强，但粘粒移动弱，粘粒在剖面中分化不明显。</w:t>
      </w:r>
    </w:p>
    <w:p w14:paraId="5B025A97">
      <w:pPr>
        <w:spacing w:line="500" w:lineRule="exact"/>
        <w:rPr>
          <w:rFonts w:cs="Times New Roman"/>
          <w:color w:val="auto"/>
          <w:highlight w:val="none"/>
          <w:lang w:val="zh-CN"/>
        </w:rPr>
      </w:pPr>
      <w:r>
        <w:rPr>
          <w:rFonts w:cs="Times New Roman"/>
          <w:color w:val="auto"/>
          <w:highlight w:val="none"/>
          <w:lang w:val="zh-CN"/>
        </w:rPr>
        <w:t>温带湿润气候条件下树木郁闭，湿润，降水量大，集中于夏季，土壤中产生了强烈的淋溶过程，致使暗棕色森林土成弱酸性反应，并含有一定量的活性铝。季节性冻层的存在削弱了暗棕色森林土的淋溶过程，因被淋洗灰分元素受到冻层的阻留。由于冻结，土壤溶液中的硅酸脱水析出，淀附于全土层内，致使整个土壤剖面均有硅酸粉末附着于土壤结构表面，于后成为灰棕色。</w:t>
      </w:r>
    </w:p>
    <w:p w14:paraId="741F5F68">
      <w:pPr>
        <w:spacing w:line="500" w:lineRule="exact"/>
        <w:rPr>
          <w:rFonts w:cs="Times New Roman"/>
          <w:color w:val="auto"/>
          <w:highlight w:val="none"/>
        </w:rPr>
      </w:pPr>
      <w:r>
        <w:rPr>
          <w:rFonts w:cs="Times New Roman"/>
          <w:color w:val="auto"/>
          <w:highlight w:val="none"/>
          <w:lang w:val="zh-CN"/>
        </w:rPr>
        <w:t>暗棕壤具有良好的土壤物理性状，为林木或作物的生长奠定了优越的土壤环境条件。暗棕壤的腐殖质层因土壤生物积累作用强，有机质含量高，具有良好的团粒结构，其容重值一般小于1g/cm</w:t>
      </w:r>
      <w:r>
        <w:rPr>
          <w:rFonts w:cs="Times New Roman"/>
          <w:color w:val="auto"/>
          <w:highlight w:val="none"/>
          <w:vertAlign w:val="superscript"/>
          <w:lang w:val="zh-CN"/>
        </w:rPr>
        <w:t>3</w:t>
      </w:r>
      <w:r>
        <w:rPr>
          <w:rFonts w:cs="Times New Roman"/>
          <w:color w:val="auto"/>
          <w:highlight w:val="none"/>
          <w:lang w:val="zh-CN"/>
        </w:rPr>
        <w:t>。暗棕壤形成特点主要表现为弱酸性腐殖质累积和轻度淋溶、粘化过程。评价区域内针阔混交林组成复杂，地被物生长茂盛，森林每年有大量的凋落物，其中所含各种养料元素经微生物分解后补充到土壤中，林下的草本植物有庞大的根系，有机质解过程较快，土壤积累了大量的腐殖质，因此暗棕壤具有较高的肥力。</w:t>
      </w:r>
    </w:p>
    <w:p w14:paraId="7E00715E">
      <w:pPr>
        <w:pStyle w:val="4"/>
        <w:spacing w:after="163"/>
        <w:rPr>
          <w:rFonts w:cs="Times New Roman"/>
          <w:color w:val="auto"/>
          <w:highlight w:val="none"/>
          <w:lang w:val="zh-CN"/>
        </w:rPr>
      </w:pPr>
      <w:bookmarkStart w:id="157" w:name="_Toc13279"/>
      <w:r>
        <w:rPr>
          <w:rFonts w:cs="Times New Roman"/>
          <w:color w:val="auto"/>
          <w:highlight w:val="none"/>
          <w:lang w:val="zh-CN"/>
        </w:rPr>
        <w:t>4.1.5自然资源</w:t>
      </w:r>
      <w:bookmarkEnd w:id="157"/>
    </w:p>
    <w:p w14:paraId="1F71A2DD">
      <w:pPr>
        <w:spacing w:line="500" w:lineRule="exact"/>
        <w:rPr>
          <w:rFonts w:cs="Times New Roman"/>
          <w:color w:val="auto"/>
          <w:highlight w:val="none"/>
          <w:lang w:val="zh-CN"/>
        </w:rPr>
      </w:pPr>
      <w:r>
        <w:rPr>
          <w:rFonts w:cs="Times New Roman"/>
          <w:color w:val="auto"/>
          <w:highlight w:val="none"/>
          <w:lang w:val="zh-CN"/>
        </w:rPr>
        <w:t>双鸭山市先后发现各类矿产50余种，查明矿产资源的有12种，各类矿床69处，矿点、矿化点223处。查明矿产资源的12种矿产分为四大类，既能源矿产、金属矿产、非金属矿产、水汽矿产。双鸭山市哺乳动物主要有东北虎、蝙蝠、黑熊、马鹿、梅花鹿、狍子、狐狸、豹、猞猁、野猪、獾、水獭等。其中多数为国家和省列为禁猎的保护动物。双鸭山市森林覆盖率40%。地方林业系统共有23个国有林场，截至2015年年底，森林面积26.37万公顷，活立木总蓄积量1761.53万立方米。</w:t>
      </w:r>
    </w:p>
    <w:p w14:paraId="4E7C7824">
      <w:pPr>
        <w:pStyle w:val="3"/>
        <w:spacing w:before="163" w:after="163"/>
        <w:rPr>
          <w:rFonts w:cs="Times New Roman"/>
          <w:color w:val="auto"/>
          <w:highlight w:val="none"/>
          <w:lang w:val="zh-CN"/>
        </w:rPr>
      </w:pPr>
      <w:bookmarkStart w:id="158" w:name="_Toc3121138"/>
      <w:bookmarkStart w:id="159" w:name="_Toc30379"/>
      <w:bookmarkStart w:id="160" w:name="_Toc57412931"/>
      <w:r>
        <w:rPr>
          <w:rFonts w:cs="Times New Roman"/>
          <w:color w:val="auto"/>
          <w:highlight w:val="none"/>
          <w:lang w:val="zh-CN"/>
        </w:rPr>
        <w:t>4.2 环境质量现状调查与评价</w:t>
      </w:r>
      <w:bookmarkEnd w:id="158"/>
      <w:bookmarkEnd w:id="159"/>
      <w:bookmarkEnd w:id="160"/>
    </w:p>
    <w:p w14:paraId="09C99C33">
      <w:pPr>
        <w:pStyle w:val="4"/>
        <w:spacing w:after="163"/>
        <w:rPr>
          <w:rFonts w:cs="Times New Roman"/>
          <w:color w:val="auto"/>
          <w:highlight w:val="none"/>
          <w:lang w:val="zh-CN"/>
        </w:rPr>
      </w:pPr>
      <w:bookmarkStart w:id="161" w:name="_Toc491"/>
      <w:r>
        <w:rPr>
          <w:rFonts w:cs="Times New Roman"/>
          <w:color w:val="auto"/>
          <w:highlight w:val="none"/>
          <w:lang w:val="zh-CN"/>
        </w:rPr>
        <w:t>4.2.1 环境空气质量现状评价</w:t>
      </w:r>
      <w:bookmarkEnd w:id="161"/>
    </w:p>
    <w:p w14:paraId="7C7D6E5F">
      <w:pPr>
        <w:pStyle w:val="5"/>
        <w:bidi w:val="0"/>
        <w:rPr>
          <w:color w:val="auto"/>
          <w:highlight w:val="none"/>
        </w:rPr>
      </w:pPr>
      <w:r>
        <w:rPr>
          <w:color w:val="auto"/>
          <w:highlight w:val="none"/>
        </w:rPr>
        <w:t>4.2.1.1 环境空气质量达标区判定</w:t>
      </w:r>
    </w:p>
    <w:p w14:paraId="53A32C9A">
      <w:pPr>
        <w:adjustRightInd/>
        <w:snapToGrid/>
        <w:rPr>
          <w:rFonts w:cs="Times New Roman"/>
          <w:color w:val="auto"/>
          <w:highlight w:val="none"/>
        </w:rPr>
      </w:pPr>
      <w:r>
        <w:rPr>
          <w:rFonts w:cs="Times New Roman"/>
          <w:color w:val="auto"/>
          <w:highlight w:val="none"/>
        </w:rPr>
        <w:t>根据《环境影响评价技术导则 大气环境》（HJ2.2-2018），项目所在区域达标判定，优先采用国家或地方生态环境主管部门公开发布的评价基准年环境质量公告或者环境质量报告中的数据或结论。本项目位于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cs="Times New Roman"/>
          <w:color w:val="auto"/>
          <w:highlight w:val="none"/>
        </w:rPr>
        <w:t>，</w:t>
      </w:r>
      <w:r>
        <w:rPr>
          <w:rFonts w:cs="Times New Roman"/>
          <w:color w:val="auto"/>
          <w:highlight w:val="none"/>
          <w:lang w:val="zh-TW" w:eastAsia="zh-TW"/>
        </w:rPr>
        <w:t>因此本次环境质量达标区域判定选择</w:t>
      </w:r>
      <w:r>
        <w:rPr>
          <w:rFonts w:hint="eastAsia" w:cs="Times New Roman"/>
          <w:color w:val="auto"/>
          <w:highlight w:val="none"/>
          <w:lang w:val="en-US" w:eastAsia="zh-CN"/>
        </w:rPr>
        <w:t>双鸭山市</w:t>
      </w:r>
      <w:r>
        <w:rPr>
          <w:rFonts w:cs="Times New Roman"/>
          <w:color w:val="auto"/>
          <w:highlight w:val="none"/>
          <w:lang w:val="zh-TW" w:eastAsia="zh-TW"/>
        </w:rPr>
        <w:t>的环境空气质量现状数据。</w:t>
      </w:r>
    </w:p>
    <w:p w14:paraId="61B73E28">
      <w:pPr>
        <w:keepNext w:val="0"/>
        <w:keepLines w:val="0"/>
        <w:widowControl/>
        <w:suppressLineNumbers w:val="0"/>
        <w:tabs>
          <w:tab w:val="left" w:pos="3120"/>
        </w:tabs>
        <w:jc w:val="left"/>
        <w:rPr>
          <w:rFonts w:hint="default" w:ascii="Times New Roman" w:hAnsi="Times New Roman" w:cs="Times New Roman"/>
          <w:snapToGrid w:val="0"/>
          <w:color w:val="auto"/>
          <w:kern w:val="0"/>
          <w:szCs w:val="24"/>
          <w:highlight w:val="none"/>
          <w:lang w:val="en-US" w:eastAsia="zh-CN"/>
        </w:rPr>
      </w:pPr>
      <w:r>
        <w:rPr>
          <w:rFonts w:hint="default" w:ascii="Times New Roman" w:hAnsi="Times New Roman" w:cs="Times New Roman"/>
          <w:color w:val="auto"/>
          <w:highlight w:val="none"/>
        </w:rPr>
        <w:t>根</w:t>
      </w:r>
      <w:r>
        <w:rPr>
          <w:rFonts w:hint="default" w:ascii="Times New Roman" w:hAnsi="Times New Roman" w:cs="Times New Roman"/>
          <w:snapToGrid w:val="0"/>
          <w:color w:val="auto"/>
          <w:kern w:val="0"/>
          <w:szCs w:val="24"/>
          <w:highlight w:val="none"/>
          <w:lang w:val="en-US" w:eastAsia="zh-CN"/>
        </w:rPr>
        <w:t>据《2024年双鸭山市环境空气质量状况》中双鸭山市区环境空气执行《环境空气质量标准》（GB3095-2012）中二级标准。2024年，双鸭山市区监测天数为366天，达标天数为352天。本年空气质量一级优236天，二级良116天，三级轻度污染10天，四至六级中度、重度、严重污染4天，优良率96.17%。</w:t>
      </w:r>
    </w:p>
    <w:p w14:paraId="5B34700E">
      <w:pPr>
        <w:keepNext w:val="0"/>
        <w:keepLines w:val="0"/>
        <w:widowControl/>
        <w:suppressLineNumbers w:val="0"/>
        <w:tabs>
          <w:tab w:val="left" w:pos="3120"/>
        </w:tabs>
        <w:jc w:val="left"/>
        <w:rPr>
          <w:rFonts w:hint="default" w:ascii="Times New Roman" w:hAnsi="Times New Roman" w:cs="Times New Roman"/>
          <w:snapToGrid w:val="0"/>
          <w:color w:val="auto"/>
          <w:kern w:val="0"/>
          <w:szCs w:val="24"/>
          <w:highlight w:val="none"/>
          <w:lang w:val="en-US" w:eastAsia="zh-CN"/>
        </w:rPr>
      </w:pPr>
      <w:r>
        <w:rPr>
          <w:rFonts w:hint="default" w:ascii="Times New Roman" w:hAnsi="Times New Roman" w:cs="Times New Roman"/>
          <w:snapToGrid w:val="0"/>
          <w:color w:val="auto"/>
          <w:kern w:val="0"/>
          <w:szCs w:val="24"/>
          <w:highlight w:val="none"/>
          <w:lang w:val="en-US" w:eastAsia="zh-CN"/>
        </w:rPr>
        <w:t>其中PM</w:t>
      </w:r>
      <w:r>
        <w:rPr>
          <w:rFonts w:hint="default" w:ascii="Times New Roman" w:hAnsi="Times New Roman" w:cs="Times New Roman"/>
          <w:snapToGrid w:val="0"/>
          <w:color w:val="auto"/>
          <w:kern w:val="0"/>
          <w:szCs w:val="24"/>
          <w:highlight w:val="none"/>
          <w:vertAlign w:val="subscript"/>
          <w:lang w:val="en-US" w:eastAsia="zh-CN"/>
        </w:rPr>
        <w:t>2.5</w:t>
      </w:r>
      <w:r>
        <w:rPr>
          <w:rFonts w:hint="default" w:ascii="Times New Roman" w:hAnsi="Times New Roman" w:cs="Times New Roman"/>
          <w:snapToGrid w:val="0"/>
          <w:color w:val="auto"/>
          <w:kern w:val="0"/>
          <w:szCs w:val="24"/>
          <w:highlight w:val="none"/>
          <w:lang w:val="en-US" w:eastAsia="zh-CN"/>
        </w:rPr>
        <w:t>年平均浓度值为27μg/m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、PM</w:t>
      </w:r>
      <w:r>
        <w:rPr>
          <w:rFonts w:hint="default" w:ascii="Times New Roman" w:hAnsi="Times New Roman" w:cs="Times New Roman"/>
          <w:snapToGrid w:val="0"/>
          <w:color w:val="auto"/>
          <w:kern w:val="0"/>
          <w:szCs w:val="24"/>
          <w:highlight w:val="none"/>
          <w:vertAlign w:val="subscript"/>
          <w:lang w:val="en-US" w:eastAsia="zh-CN"/>
        </w:rPr>
        <w:t>10</w:t>
      </w:r>
      <w:r>
        <w:rPr>
          <w:rFonts w:hint="default" w:ascii="Times New Roman" w:hAnsi="Times New Roman" w:cs="Times New Roman"/>
          <w:snapToGrid w:val="0"/>
          <w:color w:val="auto"/>
          <w:kern w:val="0"/>
          <w:szCs w:val="24"/>
          <w:highlight w:val="none"/>
          <w:lang w:val="en-US" w:eastAsia="zh-CN"/>
        </w:rPr>
        <w:t>年平均浓度值为43μg/m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、SO</w:t>
      </w:r>
      <w:r>
        <w:rPr>
          <w:rFonts w:hint="default" w:ascii="Times New Roman" w:hAnsi="Times New Roman" w:cs="Times New Roman"/>
          <w:snapToGrid w:val="0"/>
          <w:color w:val="auto"/>
          <w:kern w:val="0"/>
          <w:szCs w:val="24"/>
          <w:highlight w:val="none"/>
          <w:vertAlign w:val="subscript"/>
          <w:lang w:val="en-US" w:eastAsia="zh-CN"/>
        </w:rPr>
        <w:t>2</w:t>
      </w:r>
      <w:r>
        <w:rPr>
          <w:rFonts w:hint="default" w:ascii="Times New Roman" w:hAnsi="Times New Roman" w:cs="Times New Roman"/>
          <w:snapToGrid w:val="0"/>
          <w:color w:val="auto"/>
          <w:kern w:val="0"/>
          <w:szCs w:val="24"/>
          <w:highlight w:val="none"/>
          <w:lang w:val="en-US" w:eastAsia="zh-CN"/>
        </w:rPr>
        <w:t>年平均浓度值为11μg/m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、NO</w:t>
      </w:r>
      <w:r>
        <w:rPr>
          <w:rFonts w:hint="default" w:ascii="Times New Roman" w:hAnsi="Times New Roman" w:cs="Times New Roman"/>
          <w:snapToGrid w:val="0"/>
          <w:color w:val="auto"/>
          <w:kern w:val="0"/>
          <w:szCs w:val="24"/>
          <w:highlight w:val="none"/>
          <w:vertAlign w:val="subscript"/>
          <w:lang w:val="en-US" w:eastAsia="zh-CN"/>
        </w:rPr>
        <w:t>2</w:t>
      </w:r>
      <w:r>
        <w:rPr>
          <w:rFonts w:hint="default" w:ascii="Times New Roman" w:hAnsi="Times New Roman" w:cs="Times New Roman"/>
          <w:snapToGrid w:val="0"/>
          <w:color w:val="auto"/>
          <w:kern w:val="0"/>
          <w:szCs w:val="24"/>
          <w:highlight w:val="none"/>
          <w:lang w:val="en-US" w:eastAsia="zh-CN"/>
        </w:rPr>
        <w:t>年平均浓度值为15μg/m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、CO</w:t>
      </w:r>
      <w:r>
        <w:rPr>
          <w:rFonts w:hint="default" w:ascii="Times New Roman" w:hAnsi="Times New Roman" w:cs="Times New Roman"/>
          <w:snapToGrid w:val="0"/>
          <w:color w:val="auto"/>
          <w:kern w:val="0"/>
          <w:szCs w:val="24"/>
          <w:highlight w:val="none"/>
          <w:vertAlign w:val="subscript"/>
          <w:lang w:val="en-US" w:eastAsia="zh-CN"/>
        </w:rPr>
        <w:t>24</w:t>
      </w:r>
      <w:r>
        <w:rPr>
          <w:rFonts w:hint="default" w:ascii="Times New Roman" w:hAnsi="Times New Roman" w:cs="Times New Roman"/>
          <w:snapToGrid w:val="0"/>
          <w:color w:val="auto"/>
          <w:kern w:val="0"/>
          <w:szCs w:val="24"/>
          <w:highlight w:val="none"/>
          <w:lang w:val="en-US" w:eastAsia="zh-CN"/>
        </w:rPr>
        <w:t>小时月平均浓度值为0.48mg/m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，平均浓度第95百分位数为0.9mg/m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、O</w:t>
      </w:r>
      <w:r>
        <w:rPr>
          <w:rFonts w:hint="default" w:ascii="Times New Roman" w:hAnsi="Times New Roman" w:cs="Times New Roman"/>
          <w:snapToGrid w:val="0"/>
          <w:color w:val="auto"/>
          <w:kern w:val="0"/>
          <w:szCs w:val="24"/>
          <w:highlight w:val="none"/>
          <w:vertAlign w:val="subscript"/>
          <w:lang w:val="en-US" w:eastAsia="zh-CN"/>
        </w:rPr>
        <w:t>3</w:t>
      </w:r>
      <w:r>
        <w:rPr>
          <w:rFonts w:hint="default" w:ascii="Times New Roman" w:hAnsi="Times New Roman" w:cs="Times New Roman"/>
          <w:snapToGrid w:val="0"/>
          <w:color w:val="auto"/>
          <w:kern w:val="0"/>
          <w:szCs w:val="24"/>
          <w:highlight w:val="none"/>
          <w:vertAlign w:val="baseline"/>
          <w:lang w:val="en-US" w:eastAsia="zh-CN"/>
        </w:rPr>
        <w:t>－8h</w:t>
      </w:r>
      <w:r>
        <w:rPr>
          <w:rFonts w:hint="default" w:ascii="Times New Roman" w:hAnsi="Times New Roman" w:cs="Times New Roman"/>
          <w:snapToGrid w:val="0"/>
          <w:color w:val="auto"/>
          <w:kern w:val="0"/>
          <w:szCs w:val="24"/>
          <w:highlight w:val="none"/>
          <w:lang w:val="en-US" w:eastAsia="zh-CN"/>
        </w:rPr>
        <w:t>月平均浓度值为74.87μg/m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，平均浓度第90百分位数为105μg/m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w:t>
      </w:r>
    </w:p>
    <w:p w14:paraId="3DD024CC">
      <w:pPr>
        <w:pStyle w:val="63"/>
        <w:jc w:val="center"/>
        <w:rPr>
          <w:rFonts w:hint="default" w:ascii="Times New Roman" w:hAnsi="Times New Roman" w:cs="Times New Roman" w:eastAsiaTheme="minorEastAsia"/>
          <w:b/>
          <w:bCs/>
          <w:color w:val="auto"/>
          <w:kern w:val="2"/>
          <w:szCs w:val="22"/>
          <w:highlight w:val="none"/>
        </w:rPr>
      </w:pPr>
    </w:p>
    <w:p w14:paraId="55FA2F68">
      <w:pPr>
        <w:pStyle w:val="63"/>
        <w:jc w:val="center"/>
        <w:rPr>
          <w:rFonts w:ascii="Times New Roman" w:cs="Times New Roman" w:eastAsiaTheme="minorEastAsia"/>
          <w:b/>
          <w:bCs/>
          <w:color w:val="auto"/>
          <w:kern w:val="2"/>
          <w:szCs w:val="22"/>
          <w:highlight w:val="none"/>
        </w:rPr>
      </w:pPr>
    </w:p>
    <w:p w14:paraId="02189C1B">
      <w:pPr>
        <w:pStyle w:val="63"/>
        <w:jc w:val="center"/>
        <w:rPr>
          <w:rFonts w:ascii="Times New Roman" w:cs="Times New Roman" w:eastAsiaTheme="minorEastAsia"/>
          <w:b/>
          <w:bCs/>
          <w:color w:val="auto"/>
          <w:kern w:val="2"/>
          <w:szCs w:val="22"/>
          <w:highlight w:val="none"/>
        </w:rPr>
      </w:pPr>
    </w:p>
    <w:p w14:paraId="52A8BBA3">
      <w:pPr>
        <w:pStyle w:val="63"/>
        <w:jc w:val="center"/>
        <w:rPr>
          <w:rFonts w:ascii="Times New Roman" w:cs="Times New Roman" w:eastAsiaTheme="minorEastAsia"/>
          <w:b/>
          <w:bCs/>
          <w:color w:val="auto"/>
          <w:kern w:val="2"/>
          <w:szCs w:val="22"/>
          <w:highlight w:val="none"/>
        </w:rPr>
      </w:pPr>
    </w:p>
    <w:p w14:paraId="2EA72355">
      <w:pPr>
        <w:pStyle w:val="63"/>
        <w:jc w:val="center"/>
        <w:rPr>
          <w:rFonts w:ascii="Times New Roman" w:cs="Times New Roman" w:eastAsiaTheme="minorEastAsia"/>
          <w:b/>
          <w:bCs/>
          <w:color w:val="auto"/>
          <w:highlight w:val="none"/>
        </w:rPr>
      </w:pPr>
      <w:r>
        <w:rPr>
          <w:rFonts w:ascii="Times New Roman" w:cs="Times New Roman" w:eastAsiaTheme="minorEastAsia"/>
          <w:b/>
          <w:bCs/>
          <w:color w:val="auto"/>
          <w:kern w:val="2"/>
          <w:szCs w:val="22"/>
          <w:highlight w:val="none"/>
        </w:rPr>
        <w:t>表4-2-1 区域空气质量现状评价表</w:t>
      </w:r>
    </w:p>
    <w:tbl>
      <w:tblPr>
        <w:tblStyle w:val="47"/>
        <w:tblW w:w="8438" w:type="dxa"/>
        <w:jc w:val="center"/>
        <w:tblLayout w:type="fixed"/>
        <w:tblCellMar>
          <w:top w:w="0" w:type="dxa"/>
          <w:left w:w="108" w:type="dxa"/>
          <w:bottom w:w="0" w:type="dxa"/>
          <w:right w:w="108" w:type="dxa"/>
        </w:tblCellMar>
      </w:tblPr>
      <w:tblGrid>
        <w:gridCol w:w="912"/>
        <w:gridCol w:w="3083"/>
        <w:gridCol w:w="1235"/>
        <w:gridCol w:w="926"/>
        <w:gridCol w:w="1064"/>
        <w:gridCol w:w="1218"/>
      </w:tblGrid>
      <w:tr w14:paraId="3FA71ABB">
        <w:tblPrEx>
          <w:tblCellMar>
            <w:top w:w="0" w:type="dxa"/>
            <w:left w:w="108" w:type="dxa"/>
            <w:bottom w:w="0" w:type="dxa"/>
            <w:right w:w="108" w:type="dxa"/>
          </w:tblCellMar>
        </w:tblPrEx>
        <w:trPr>
          <w:trHeight w:val="894" w:hRule="atLeast"/>
          <w:jc w:val="center"/>
        </w:trPr>
        <w:tc>
          <w:tcPr>
            <w:tcW w:w="912" w:type="dxa"/>
            <w:tcBorders>
              <w:top w:val="single" w:color="auto" w:sz="12" w:space="0"/>
              <w:left w:val="nil"/>
              <w:bottom w:val="single" w:color="auto" w:sz="8" w:space="0"/>
              <w:right w:val="single" w:color="auto" w:sz="8" w:space="0"/>
            </w:tcBorders>
            <w:vAlign w:val="center"/>
          </w:tcPr>
          <w:p w14:paraId="2FE96759">
            <w:pPr>
              <w:spacing w:line="360" w:lineRule="exact"/>
              <w:ind w:firstLine="0" w:firstLineChars="0"/>
              <w:jc w:val="center"/>
              <w:textAlignment w:val="baseline"/>
              <w:rPr>
                <w:rFonts w:cs="Times New Roman"/>
                <w:color w:val="auto"/>
                <w:kern w:val="0"/>
                <w:sz w:val="21"/>
                <w:szCs w:val="21"/>
                <w:highlight w:val="none"/>
              </w:rPr>
            </w:pPr>
            <w:bookmarkStart w:id="162" w:name="_Toc3127"/>
            <w:bookmarkStart w:id="163" w:name="_Toc20236"/>
            <w:bookmarkStart w:id="164" w:name="_Toc29740"/>
            <w:r>
              <w:rPr>
                <w:rFonts w:cs="Times New Roman"/>
                <w:color w:val="auto"/>
                <w:kern w:val="0"/>
                <w:sz w:val="21"/>
                <w:szCs w:val="21"/>
                <w:highlight w:val="none"/>
              </w:rPr>
              <w:t>污染物</w:t>
            </w:r>
            <w:bookmarkEnd w:id="162"/>
            <w:bookmarkEnd w:id="163"/>
            <w:bookmarkEnd w:id="164"/>
          </w:p>
        </w:tc>
        <w:tc>
          <w:tcPr>
            <w:tcW w:w="3083" w:type="dxa"/>
            <w:tcBorders>
              <w:top w:val="single" w:color="auto" w:sz="12" w:space="0"/>
              <w:left w:val="nil"/>
              <w:bottom w:val="single" w:color="auto" w:sz="8" w:space="0"/>
              <w:right w:val="single" w:color="auto" w:sz="8" w:space="0"/>
            </w:tcBorders>
            <w:vAlign w:val="center"/>
          </w:tcPr>
          <w:p w14:paraId="78E319BB">
            <w:pPr>
              <w:spacing w:line="360" w:lineRule="exact"/>
              <w:ind w:firstLine="0" w:firstLineChars="0"/>
              <w:jc w:val="center"/>
              <w:textAlignment w:val="baseline"/>
              <w:rPr>
                <w:rFonts w:cs="Times New Roman"/>
                <w:color w:val="auto"/>
                <w:kern w:val="0"/>
                <w:sz w:val="21"/>
                <w:szCs w:val="21"/>
                <w:highlight w:val="none"/>
              </w:rPr>
            </w:pPr>
            <w:bookmarkStart w:id="165" w:name="_Toc14870"/>
            <w:bookmarkStart w:id="166" w:name="_Toc23380"/>
            <w:bookmarkStart w:id="167" w:name="_Toc23565"/>
            <w:r>
              <w:rPr>
                <w:rFonts w:cs="Times New Roman"/>
                <w:color w:val="auto"/>
                <w:kern w:val="0"/>
                <w:sz w:val="21"/>
                <w:szCs w:val="21"/>
                <w:highlight w:val="none"/>
              </w:rPr>
              <w:t>年评价指标</w:t>
            </w:r>
            <w:bookmarkEnd w:id="165"/>
            <w:bookmarkEnd w:id="166"/>
            <w:bookmarkEnd w:id="167"/>
          </w:p>
        </w:tc>
        <w:tc>
          <w:tcPr>
            <w:tcW w:w="1235" w:type="dxa"/>
            <w:tcBorders>
              <w:top w:val="single" w:color="auto" w:sz="12" w:space="0"/>
              <w:left w:val="nil"/>
              <w:bottom w:val="single" w:color="auto" w:sz="8" w:space="0"/>
              <w:right w:val="single" w:color="auto" w:sz="8" w:space="0"/>
            </w:tcBorders>
            <w:vAlign w:val="center"/>
          </w:tcPr>
          <w:p w14:paraId="7319F833">
            <w:pPr>
              <w:spacing w:line="360" w:lineRule="exact"/>
              <w:ind w:firstLine="0" w:firstLineChars="0"/>
              <w:jc w:val="center"/>
              <w:textAlignment w:val="baseline"/>
              <w:rPr>
                <w:rFonts w:cs="Times New Roman"/>
                <w:color w:val="auto"/>
                <w:kern w:val="0"/>
                <w:sz w:val="21"/>
                <w:szCs w:val="21"/>
                <w:highlight w:val="none"/>
              </w:rPr>
            </w:pPr>
            <w:bookmarkStart w:id="168" w:name="_Toc4537"/>
            <w:bookmarkStart w:id="169" w:name="_Toc29060"/>
            <w:bookmarkStart w:id="170" w:name="_Toc26614"/>
            <w:r>
              <w:rPr>
                <w:rFonts w:cs="Times New Roman"/>
                <w:color w:val="auto"/>
                <w:kern w:val="0"/>
                <w:sz w:val="21"/>
                <w:szCs w:val="21"/>
                <w:highlight w:val="none"/>
              </w:rPr>
              <w:t>现状浓度</w:t>
            </w:r>
            <w:bookmarkEnd w:id="168"/>
            <w:bookmarkEnd w:id="169"/>
            <w:bookmarkEnd w:id="170"/>
          </w:p>
          <w:p w14:paraId="0013DB6B">
            <w:pPr>
              <w:spacing w:line="360" w:lineRule="exact"/>
              <w:ind w:firstLine="0" w:firstLineChars="0"/>
              <w:jc w:val="center"/>
              <w:textAlignment w:val="baseline"/>
              <w:rPr>
                <w:rFonts w:cs="Times New Roman"/>
                <w:color w:val="auto"/>
                <w:kern w:val="0"/>
                <w:sz w:val="21"/>
                <w:szCs w:val="21"/>
                <w:highlight w:val="none"/>
              </w:rPr>
            </w:pPr>
            <w:bookmarkStart w:id="171" w:name="_Toc1945"/>
            <w:bookmarkStart w:id="172" w:name="_Toc1578"/>
            <w:bookmarkStart w:id="173" w:name="_Toc18444"/>
            <w:r>
              <w:rPr>
                <w:rFonts w:cs="Times New Roman"/>
                <w:color w:val="auto"/>
                <w:kern w:val="0"/>
                <w:sz w:val="21"/>
                <w:szCs w:val="21"/>
                <w:highlight w:val="none"/>
              </w:rPr>
              <w:t>(μg/m</w:t>
            </w:r>
            <w:r>
              <w:rPr>
                <w:rFonts w:cs="Times New Roman"/>
                <w:color w:val="auto"/>
                <w:kern w:val="0"/>
                <w:sz w:val="21"/>
                <w:szCs w:val="21"/>
                <w:highlight w:val="none"/>
                <w:vertAlign w:val="superscript"/>
              </w:rPr>
              <w:t>3</w:t>
            </w:r>
            <w:r>
              <w:rPr>
                <w:rFonts w:cs="Times New Roman"/>
                <w:color w:val="auto"/>
                <w:kern w:val="0"/>
                <w:sz w:val="21"/>
                <w:szCs w:val="21"/>
                <w:highlight w:val="none"/>
              </w:rPr>
              <w:t>)</w:t>
            </w:r>
            <w:bookmarkEnd w:id="171"/>
            <w:bookmarkEnd w:id="172"/>
            <w:bookmarkEnd w:id="173"/>
          </w:p>
        </w:tc>
        <w:tc>
          <w:tcPr>
            <w:tcW w:w="926" w:type="dxa"/>
            <w:tcBorders>
              <w:top w:val="single" w:color="auto" w:sz="12" w:space="0"/>
              <w:left w:val="nil"/>
              <w:bottom w:val="single" w:color="auto" w:sz="8" w:space="0"/>
              <w:right w:val="single" w:color="auto" w:sz="8" w:space="0"/>
            </w:tcBorders>
            <w:vAlign w:val="center"/>
          </w:tcPr>
          <w:p w14:paraId="2E8C64B2">
            <w:pPr>
              <w:spacing w:line="360" w:lineRule="exact"/>
              <w:ind w:firstLine="0" w:firstLineChars="0"/>
              <w:jc w:val="center"/>
              <w:textAlignment w:val="baseline"/>
              <w:rPr>
                <w:rFonts w:cs="Times New Roman"/>
                <w:color w:val="auto"/>
                <w:kern w:val="0"/>
                <w:sz w:val="21"/>
                <w:szCs w:val="21"/>
                <w:highlight w:val="none"/>
              </w:rPr>
            </w:pPr>
            <w:bookmarkStart w:id="174" w:name="_Toc1688"/>
            <w:bookmarkStart w:id="175" w:name="_Toc21510"/>
            <w:bookmarkStart w:id="176" w:name="_Toc3582"/>
            <w:r>
              <w:rPr>
                <w:rFonts w:cs="Times New Roman"/>
                <w:color w:val="auto"/>
                <w:kern w:val="0"/>
                <w:sz w:val="21"/>
                <w:szCs w:val="21"/>
                <w:highlight w:val="none"/>
              </w:rPr>
              <w:t>标准值</w:t>
            </w:r>
            <w:bookmarkEnd w:id="174"/>
            <w:bookmarkEnd w:id="175"/>
            <w:bookmarkEnd w:id="176"/>
          </w:p>
          <w:p w14:paraId="5E19CD17">
            <w:pPr>
              <w:spacing w:line="360" w:lineRule="exact"/>
              <w:ind w:firstLine="0" w:firstLineChars="0"/>
              <w:jc w:val="center"/>
              <w:textAlignment w:val="baseline"/>
              <w:rPr>
                <w:rFonts w:cs="Times New Roman"/>
                <w:color w:val="auto"/>
                <w:kern w:val="0"/>
                <w:sz w:val="21"/>
                <w:szCs w:val="21"/>
                <w:highlight w:val="none"/>
              </w:rPr>
            </w:pPr>
            <w:bookmarkStart w:id="177" w:name="_Toc31919"/>
            <w:bookmarkStart w:id="178" w:name="_Toc6845"/>
            <w:bookmarkStart w:id="179" w:name="_Toc21173"/>
            <w:r>
              <w:rPr>
                <w:rFonts w:cs="Times New Roman"/>
                <w:color w:val="auto"/>
                <w:kern w:val="0"/>
                <w:sz w:val="21"/>
                <w:szCs w:val="21"/>
                <w:highlight w:val="none"/>
              </w:rPr>
              <w:t>(μg/m</w:t>
            </w:r>
            <w:r>
              <w:rPr>
                <w:rFonts w:cs="Times New Roman"/>
                <w:color w:val="auto"/>
                <w:kern w:val="0"/>
                <w:sz w:val="21"/>
                <w:szCs w:val="21"/>
                <w:highlight w:val="none"/>
                <w:vertAlign w:val="superscript"/>
              </w:rPr>
              <w:t>3</w:t>
            </w:r>
            <w:r>
              <w:rPr>
                <w:rFonts w:cs="Times New Roman"/>
                <w:color w:val="auto"/>
                <w:kern w:val="0"/>
                <w:sz w:val="21"/>
                <w:szCs w:val="21"/>
                <w:highlight w:val="none"/>
              </w:rPr>
              <w:t>)</w:t>
            </w:r>
            <w:bookmarkEnd w:id="177"/>
            <w:bookmarkEnd w:id="178"/>
            <w:bookmarkEnd w:id="179"/>
          </w:p>
        </w:tc>
        <w:tc>
          <w:tcPr>
            <w:tcW w:w="1064" w:type="dxa"/>
            <w:tcBorders>
              <w:top w:val="single" w:color="auto" w:sz="12" w:space="0"/>
              <w:left w:val="nil"/>
              <w:bottom w:val="single" w:color="auto" w:sz="8" w:space="0"/>
              <w:right w:val="single" w:color="auto" w:sz="8" w:space="0"/>
            </w:tcBorders>
            <w:vAlign w:val="center"/>
          </w:tcPr>
          <w:p w14:paraId="6FF6A057">
            <w:pPr>
              <w:spacing w:line="360" w:lineRule="exact"/>
              <w:ind w:firstLine="0" w:firstLineChars="0"/>
              <w:jc w:val="center"/>
              <w:textAlignment w:val="baseline"/>
              <w:rPr>
                <w:rFonts w:cs="Times New Roman"/>
                <w:color w:val="auto"/>
                <w:kern w:val="0"/>
                <w:sz w:val="21"/>
                <w:szCs w:val="21"/>
                <w:highlight w:val="none"/>
              </w:rPr>
            </w:pPr>
            <w:bookmarkStart w:id="180" w:name="_Toc15663"/>
            <w:bookmarkStart w:id="181" w:name="_Toc27238"/>
            <w:bookmarkStart w:id="182" w:name="_Toc15057"/>
            <w:r>
              <w:rPr>
                <w:rFonts w:cs="Times New Roman"/>
                <w:color w:val="auto"/>
                <w:kern w:val="0"/>
                <w:sz w:val="21"/>
                <w:szCs w:val="21"/>
                <w:highlight w:val="none"/>
              </w:rPr>
              <w:t>占标率</w:t>
            </w:r>
            <w:bookmarkEnd w:id="180"/>
            <w:bookmarkEnd w:id="181"/>
            <w:bookmarkEnd w:id="182"/>
          </w:p>
          <w:p w14:paraId="731B5CF1">
            <w:pPr>
              <w:spacing w:line="360" w:lineRule="exact"/>
              <w:ind w:firstLine="0" w:firstLineChars="0"/>
              <w:jc w:val="center"/>
              <w:textAlignment w:val="baseline"/>
              <w:rPr>
                <w:rFonts w:cs="Times New Roman"/>
                <w:color w:val="auto"/>
                <w:kern w:val="0"/>
                <w:sz w:val="21"/>
                <w:szCs w:val="21"/>
                <w:highlight w:val="none"/>
              </w:rPr>
            </w:pPr>
            <w:bookmarkStart w:id="183" w:name="_Toc9428"/>
            <w:bookmarkStart w:id="184" w:name="_Toc24422"/>
            <w:bookmarkStart w:id="185" w:name="_Toc16180"/>
            <w:r>
              <w:rPr>
                <w:rFonts w:cs="Times New Roman"/>
                <w:color w:val="auto"/>
                <w:kern w:val="0"/>
                <w:sz w:val="21"/>
                <w:szCs w:val="21"/>
                <w:highlight w:val="none"/>
              </w:rPr>
              <w:t>（%）</w:t>
            </w:r>
            <w:bookmarkEnd w:id="183"/>
            <w:bookmarkEnd w:id="184"/>
            <w:bookmarkEnd w:id="185"/>
          </w:p>
        </w:tc>
        <w:tc>
          <w:tcPr>
            <w:tcW w:w="1218" w:type="dxa"/>
            <w:tcBorders>
              <w:top w:val="single" w:color="auto" w:sz="12" w:space="0"/>
              <w:left w:val="nil"/>
              <w:bottom w:val="single" w:color="auto" w:sz="8" w:space="0"/>
              <w:right w:val="nil"/>
            </w:tcBorders>
            <w:vAlign w:val="center"/>
          </w:tcPr>
          <w:p w14:paraId="46582DAB">
            <w:pPr>
              <w:spacing w:line="360" w:lineRule="exact"/>
              <w:ind w:firstLine="0" w:firstLineChars="0"/>
              <w:jc w:val="center"/>
              <w:textAlignment w:val="baseline"/>
              <w:rPr>
                <w:rFonts w:cs="Times New Roman"/>
                <w:color w:val="auto"/>
                <w:kern w:val="0"/>
                <w:sz w:val="21"/>
                <w:szCs w:val="21"/>
                <w:highlight w:val="none"/>
              </w:rPr>
            </w:pPr>
            <w:bookmarkStart w:id="186" w:name="_Toc29008"/>
            <w:bookmarkStart w:id="187" w:name="_Toc20542"/>
            <w:bookmarkStart w:id="188" w:name="_Toc87"/>
            <w:r>
              <w:rPr>
                <w:rFonts w:cs="Times New Roman"/>
                <w:color w:val="auto"/>
                <w:kern w:val="0"/>
                <w:sz w:val="21"/>
                <w:szCs w:val="21"/>
                <w:highlight w:val="none"/>
              </w:rPr>
              <w:t>达标情况</w:t>
            </w:r>
            <w:bookmarkEnd w:id="186"/>
            <w:bookmarkEnd w:id="187"/>
            <w:bookmarkEnd w:id="188"/>
          </w:p>
        </w:tc>
      </w:tr>
      <w:tr w14:paraId="7610ECA7">
        <w:tblPrEx>
          <w:tblCellMar>
            <w:top w:w="0" w:type="dxa"/>
            <w:left w:w="108" w:type="dxa"/>
            <w:bottom w:w="0" w:type="dxa"/>
            <w:right w:w="108" w:type="dxa"/>
          </w:tblCellMar>
        </w:tblPrEx>
        <w:trPr>
          <w:trHeight w:val="457" w:hRule="atLeast"/>
          <w:jc w:val="center"/>
        </w:trPr>
        <w:tc>
          <w:tcPr>
            <w:tcW w:w="912" w:type="dxa"/>
            <w:tcBorders>
              <w:top w:val="nil"/>
              <w:left w:val="nil"/>
              <w:bottom w:val="single" w:color="000000" w:sz="8" w:space="0"/>
              <w:right w:val="single" w:color="auto" w:sz="8" w:space="0"/>
            </w:tcBorders>
            <w:vAlign w:val="center"/>
          </w:tcPr>
          <w:p w14:paraId="4E6E5E5F">
            <w:pPr>
              <w:spacing w:line="360" w:lineRule="exact"/>
              <w:ind w:firstLine="0" w:firstLineChars="0"/>
              <w:jc w:val="center"/>
              <w:textAlignment w:val="baseline"/>
              <w:rPr>
                <w:rFonts w:cs="Times New Roman"/>
                <w:color w:val="auto"/>
                <w:kern w:val="0"/>
                <w:sz w:val="21"/>
                <w:szCs w:val="21"/>
                <w:highlight w:val="none"/>
              </w:rPr>
            </w:pPr>
            <w:bookmarkStart w:id="189" w:name="_Toc30992"/>
            <w:bookmarkStart w:id="190" w:name="_Toc9937"/>
            <w:bookmarkStart w:id="191" w:name="_Toc1208"/>
            <w:r>
              <w:rPr>
                <w:rFonts w:cs="Times New Roman"/>
                <w:color w:val="auto"/>
                <w:kern w:val="0"/>
                <w:sz w:val="21"/>
                <w:szCs w:val="21"/>
                <w:highlight w:val="none"/>
              </w:rPr>
              <w:t>SO</w:t>
            </w:r>
            <w:r>
              <w:rPr>
                <w:rFonts w:cs="Times New Roman"/>
                <w:color w:val="auto"/>
                <w:kern w:val="0"/>
                <w:sz w:val="21"/>
                <w:szCs w:val="21"/>
                <w:highlight w:val="none"/>
                <w:vertAlign w:val="subscript"/>
              </w:rPr>
              <w:t>2</w:t>
            </w:r>
            <w:bookmarkEnd w:id="189"/>
            <w:bookmarkEnd w:id="190"/>
            <w:bookmarkEnd w:id="191"/>
          </w:p>
        </w:tc>
        <w:tc>
          <w:tcPr>
            <w:tcW w:w="3083" w:type="dxa"/>
            <w:tcBorders>
              <w:top w:val="nil"/>
              <w:left w:val="nil"/>
              <w:bottom w:val="single" w:color="auto" w:sz="8" w:space="0"/>
              <w:right w:val="single" w:color="auto" w:sz="8" w:space="0"/>
            </w:tcBorders>
            <w:vAlign w:val="center"/>
          </w:tcPr>
          <w:p w14:paraId="6AC164C2">
            <w:pPr>
              <w:spacing w:line="360" w:lineRule="exact"/>
              <w:ind w:firstLine="0" w:firstLineChars="0"/>
              <w:jc w:val="center"/>
              <w:textAlignment w:val="baseline"/>
              <w:rPr>
                <w:rFonts w:cs="Times New Roman"/>
                <w:color w:val="auto"/>
                <w:kern w:val="0"/>
                <w:sz w:val="21"/>
                <w:szCs w:val="21"/>
                <w:highlight w:val="none"/>
              </w:rPr>
            </w:pPr>
            <w:bookmarkStart w:id="192" w:name="_Toc1474"/>
            <w:bookmarkStart w:id="193" w:name="_Toc3033"/>
            <w:bookmarkStart w:id="194" w:name="_Toc18472"/>
            <w:r>
              <w:rPr>
                <w:rFonts w:cs="Times New Roman"/>
                <w:color w:val="auto"/>
                <w:kern w:val="0"/>
                <w:sz w:val="21"/>
                <w:szCs w:val="21"/>
                <w:highlight w:val="none"/>
              </w:rPr>
              <w:t>年平均质量浓度</w:t>
            </w:r>
            <w:bookmarkEnd w:id="192"/>
            <w:bookmarkEnd w:id="193"/>
            <w:bookmarkEnd w:id="194"/>
          </w:p>
        </w:tc>
        <w:tc>
          <w:tcPr>
            <w:tcW w:w="1235" w:type="dxa"/>
            <w:tcBorders>
              <w:top w:val="nil"/>
              <w:left w:val="nil"/>
              <w:bottom w:val="single" w:color="auto" w:sz="8" w:space="0"/>
              <w:right w:val="single" w:color="auto" w:sz="8" w:space="0"/>
            </w:tcBorders>
            <w:vAlign w:val="center"/>
          </w:tcPr>
          <w:p w14:paraId="79D3B804">
            <w:pPr>
              <w:spacing w:line="360" w:lineRule="exact"/>
              <w:ind w:firstLine="0" w:firstLineChars="0"/>
              <w:jc w:val="center"/>
              <w:textAlignment w:val="baseline"/>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w:t>
            </w:r>
          </w:p>
        </w:tc>
        <w:tc>
          <w:tcPr>
            <w:tcW w:w="926" w:type="dxa"/>
            <w:tcBorders>
              <w:top w:val="nil"/>
              <w:left w:val="nil"/>
              <w:bottom w:val="single" w:color="auto" w:sz="8" w:space="0"/>
              <w:right w:val="single" w:color="auto" w:sz="8" w:space="0"/>
            </w:tcBorders>
            <w:vAlign w:val="center"/>
          </w:tcPr>
          <w:p w14:paraId="4AB9474D">
            <w:pPr>
              <w:spacing w:line="360" w:lineRule="exact"/>
              <w:ind w:firstLine="0" w:firstLineChars="0"/>
              <w:jc w:val="center"/>
              <w:textAlignment w:val="baseline"/>
              <w:rPr>
                <w:rFonts w:cs="Times New Roman"/>
                <w:color w:val="auto"/>
                <w:kern w:val="0"/>
                <w:sz w:val="21"/>
                <w:szCs w:val="21"/>
                <w:highlight w:val="none"/>
              </w:rPr>
            </w:pPr>
            <w:bookmarkStart w:id="195" w:name="_Toc5109"/>
            <w:bookmarkStart w:id="196" w:name="_Toc5047"/>
            <w:bookmarkStart w:id="197" w:name="_Toc23976"/>
            <w:r>
              <w:rPr>
                <w:rFonts w:cs="Times New Roman"/>
                <w:color w:val="auto"/>
                <w:kern w:val="0"/>
                <w:sz w:val="21"/>
                <w:szCs w:val="21"/>
                <w:highlight w:val="none"/>
              </w:rPr>
              <w:t>60</w:t>
            </w:r>
            <w:bookmarkEnd w:id="195"/>
            <w:bookmarkEnd w:id="196"/>
            <w:bookmarkEnd w:id="197"/>
          </w:p>
        </w:tc>
        <w:tc>
          <w:tcPr>
            <w:tcW w:w="1064" w:type="dxa"/>
            <w:tcBorders>
              <w:top w:val="nil"/>
              <w:left w:val="nil"/>
              <w:bottom w:val="single" w:color="auto" w:sz="8" w:space="0"/>
              <w:right w:val="single" w:color="auto" w:sz="8" w:space="0"/>
            </w:tcBorders>
            <w:vAlign w:val="center"/>
          </w:tcPr>
          <w:p w14:paraId="5DD7EF0E">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lang w:val="en-US" w:eastAsia="zh-CN"/>
              </w:rPr>
              <w:t>18.3</w:t>
            </w:r>
            <w:r>
              <w:rPr>
                <w:rFonts w:cs="Times New Roman"/>
                <w:color w:val="auto"/>
                <w:kern w:val="0"/>
                <w:sz w:val="21"/>
                <w:szCs w:val="21"/>
                <w:highlight w:val="none"/>
              </w:rPr>
              <w:t>%</w:t>
            </w:r>
          </w:p>
        </w:tc>
        <w:tc>
          <w:tcPr>
            <w:tcW w:w="1218" w:type="dxa"/>
            <w:tcBorders>
              <w:top w:val="nil"/>
              <w:left w:val="single" w:color="auto" w:sz="8" w:space="0"/>
              <w:bottom w:val="single" w:color="000000" w:sz="8" w:space="0"/>
              <w:right w:val="nil"/>
            </w:tcBorders>
            <w:vAlign w:val="center"/>
          </w:tcPr>
          <w:p w14:paraId="424A748B">
            <w:pPr>
              <w:spacing w:line="360" w:lineRule="exact"/>
              <w:ind w:firstLine="0" w:firstLineChars="0"/>
              <w:jc w:val="center"/>
              <w:textAlignment w:val="baseline"/>
              <w:rPr>
                <w:rFonts w:cs="Times New Roman"/>
                <w:color w:val="auto"/>
                <w:kern w:val="0"/>
                <w:sz w:val="21"/>
                <w:szCs w:val="21"/>
                <w:highlight w:val="none"/>
              </w:rPr>
            </w:pPr>
            <w:bookmarkStart w:id="198" w:name="_Toc6000"/>
            <w:bookmarkStart w:id="199" w:name="_Toc25017"/>
            <w:bookmarkStart w:id="200" w:name="_Toc28892"/>
            <w:r>
              <w:rPr>
                <w:rFonts w:cs="Times New Roman"/>
                <w:color w:val="auto"/>
                <w:kern w:val="0"/>
                <w:sz w:val="21"/>
                <w:szCs w:val="21"/>
                <w:highlight w:val="none"/>
              </w:rPr>
              <w:t>达标</w:t>
            </w:r>
            <w:bookmarkEnd w:id="198"/>
            <w:bookmarkEnd w:id="199"/>
            <w:bookmarkEnd w:id="200"/>
          </w:p>
        </w:tc>
      </w:tr>
      <w:tr w14:paraId="39361236">
        <w:tblPrEx>
          <w:tblCellMar>
            <w:top w:w="0" w:type="dxa"/>
            <w:left w:w="108" w:type="dxa"/>
            <w:bottom w:w="0" w:type="dxa"/>
            <w:right w:w="108" w:type="dxa"/>
          </w:tblCellMar>
        </w:tblPrEx>
        <w:trPr>
          <w:trHeight w:val="457" w:hRule="atLeast"/>
          <w:jc w:val="center"/>
        </w:trPr>
        <w:tc>
          <w:tcPr>
            <w:tcW w:w="912" w:type="dxa"/>
            <w:tcBorders>
              <w:top w:val="nil"/>
              <w:left w:val="nil"/>
              <w:bottom w:val="single" w:color="000000" w:sz="8" w:space="0"/>
              <w:right w:val="single" w:color="auto" w:sz="8" w:space="0"/>
            </w:tcBorders>
            <w:vAlign w:val="center"/>
          </w:tcPr>
          <w:p w14:paraId="4DFFABC3">
            <w:pPr>
              <w:spacing w:line="360" w:lineRule="exact"/>
              <w:ind w:firstLine="0" w:firstLineChars="0"/>
              <w:jc w:val="center"/>
              <w:textAlignment w:val="baseline"/>
              <w:rPr>
                <w:rFonts w:cs="Times New Roman"/>
                <w:color w:val="auto"/>
                <w:kern w:val="0"/>
                <w:sz w:val="21"/>
                <w:szCs w:val="21"/>
                <w:highlight w:val="none"/>
              </w:rPr>
            </w:pPr>
            <w:bookmarkStart w:id="201" w:name="_Toc10056"/>
            <w:bookmarkStart w:id="202" w:name="_Toc29915"/>
            <w:bookmarkStart w:id="203" w:name="_Toc2803"/>
            <w:r>
              <w:rPr>
                <w:rFonts w:cs="Times New Roman"/>
                <w:color w:val="auto"/>
                <w:kern w:val="0"/>
                <w:sz w:val="21"/>
                <w:szCs w:val="21"/>
                <w:highlight w:val="none"/>
              </w:rPr>
              <w:t>NO</w:t>
            </w:r>
            <w:r>
              <w:rPr>
                <w:rFonts w:cs="Times New Roman"/>
                <w:color w:val="auto"/>
                <w:kern w:val="0"/>
                <w:sz w:val="21"/>
                <w:szCs w:val="21"/>
                <w:highlight w:val="none"/>
                <w:vertAlign w:val="subscript"/>
              </w:rPr>
              <w:t>2</w:t>
            </w:r>
            <w:bookmarkEnd w:id="201"/>
            <w:bookmarkEnd w:id="202"/>
            <w:bookmarkEnd w:id="203"/>
          </w:p>
        </w:tc>
        <w:tc>
          <w:tcPr>
            <w:tcW w:w="3083" w:type="dxa"/>
            <w:tcBorders>
              <w:top w:val="nil"/>
              <w:left w:val="nil"/>
              <w:bottom w:val="single" w:color="auto" w:sz="8" w:space="0"/>
              <w:right w:val="single" w:color="auto" w:sz="8" w:space="0"/>
            </w:tcBorders>
            <w:vAlign w:val="center"/>
          </w:tcPr>
          <w:p w14:paraId="182F47CE">
            <w:pPr>
              <w:spacing w:line="360" w:lineRule="exact"/>
              <w:ind w:firstLine="0" w:firstLineChars="0"/>
              <w:jc w:val="center"/>
              <w:textAlignment w:val="baseline"/>
              <w:rPr>
                <w:rFonts w:cs="Times New Roman"/>
                <w:color w:val="auto"/>
                <w:kern w:val="0"/>
                <w:sz w:val="21"/>
                <w:szCs w:val="21"/>
                <w:highlight w:val="none"/>
              </w:rPr>
            </w:pPr>
            <w:bookmarkStart w:id="204" w:name="_Toc9267"/>
            <w:bookmarkStart w:id="205" w:name="_Toc2663"/>
            <w:bookmarkStart w:id="206" w:name="_Toc29753"/>
            <w:r>
              <w:rPr>
                <w:rFonts w:cs="Times New Roman"/>
                <w:color w:val="auto"/>
                <w:kern w:val="0"/>
                <w:sz w:val="21"/>
                <w:szCs w:val="21"/>
                <w:highlight w:val="none"/>
              </w:rPr>
              <w:t>年平均质量浓度</w:t>
            </w:r>
            <w:bookmarkEnd w:id="204"/>
            <w:bookmarkEnd w:id="205"/>
            <w:bookmarkEnd w:id="206"/>
          </w:p>
        </w:tc>
        <w:tc>
          <w:tcPr>
            <w:tcW w:w="1235" w:type="dxa"/>
            <w:tcBorders>
              <w:top w:val="nil"/>
              <w:left w:val="nil"/>
              <w:bottom w:val="single" w:color="auto" w:sz="8" w:space="0"/>
              <w:right w:val="single" w:color="auto" w:sz="8" w:space="0"/>
            </w:tcBorders>
            <w:vAlign w:val="center"/>
          </w:tcPr>
          <w:p w14:paraId="5A4F451A">
            <w:pPr>
              <w:spacing w:line="360" w:lineRule="exact"/>
              <w:ind w:firstLine="0" w:firstLineChars="0"/>
              <w:jc w:val="center"/>
              <w:textAlignment w:val="baseline"/>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15</w:t>
            </w:r>
          </w:p>
        </w:tc>
        <w:tc>
          <w:tcPr>
            <w:tcW w:w="926" w:type="dxa"/>
            <w:tcBorders>
              <w:top w:val="nil"/>
              <w:left w:val="nil"/>
              <w:bottom w:val="single" w:color="auto" w:sz="8" w:space="0"/>
              <w:right w:val="single" w:color="auto" w:sz="8" w:space="0"/>
            </w:tcBorders>
            <w:vAlign w:val="center"/>
          </w:tcPr>
          <w:p w14:paraId="49812719">
            <w:pPr>
              <w:spacing w:line="360" w:lineRule="exact"/>
              <w:ind w:firstLine="0" w:firstLineChars="0"/>
              <w:jc w:val="center"/>
              <w:textAlignment w:val="baseline"/>
              <w:rPr>
                <w:rFonts w:cs="Times New Roman"/>
                <w:color w:val="auto"/>
                <w:kern w:val="0"/>
                <w:sz w:val="21"/>
                <w:szCs w:val="21"/>
                <w:highlight w:val="none"/>
              </w:rPr>
            </w:pPr>
            <w:bookmarkStart w:id="207" w:name="_Toc12299"/>
            <w:bookmarkStart w:id="208" w:name="_Toc30081"/>
            <w:bookmarkStart w:id="209" w:name="_Toc31024"/>
            <w:r>
              <w:rPr>
                <w:rFonts w:cs="Times New Roman"/>
                <w:color w:val="auto"/>
                <w:kern w:val="0"/>
                <w:sz w:val="21"/>
                <w:szCs w:val="21"/>
                <w:highlight w:val="none"/>
              </w:rPr>
              <w:t>40</w:t>
            </w:r>
            <w:bookmarkEnd w:id="207"/>
            <w:bookmarkEnd w:id="208"/>
            <w:bookmarkEnd w:id="209"/>
          </w:p>
        </w:tc>
        <w:tc>
          <w:tcPr>
            <w:tcW w:w="1064" w:type="dxa"/>
            <w:tcBorders>
              <w:top w:val="nil"/>
              <w:left w:val="nil"/>
              <w:bottom w:val="single" w:color="auto" w:sz="8" w:space="0"/>
              <w:right w:val="single" w:color="auto" w:sz="8" w:space="0"/>
            </w:tcBorders>
            <w:vAlign w:val="center"/>
          </w:tcPr>
          <w:p w14:paraId="560635A7">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lang w:val="en-US" w:eastAsia="zh-CN"/>
              </w:rPr>
              <w:t>37.5</w:t>
            </w:r>
            <w:r>
              <w:rPr>
                <w:rFonts w:cs="Times New Roman"/>
                <w:color w:val="auto"/>
                <w:kern w:val="0"/>
                <w:sz w:val="21"/>
                <w:szCs w:val="21"/>
                <w:highlight w:val="none"/>
              </w:rPr>
              <w:t>%</w:t>
            </w:r>
          </w:p>
        </w:tc>
        <w:tc>
          <w:tcPr>
            <w:tcW w:w="1218" w:type="dxa"/>
            <w:tcBorders>
              <w:top w:val="nil"/>
              <w:left w:val="single" w:color="auto" w:sz="8" w:space="0"/>
              <w:bottom w:val="single" w:color="000000" w:sz="8" w:space="0"/>
              <w:right w:val="nil"/>
            </w:tcBorders>
            <w:vAlign w:val="center"/>
          </w:tcPr>
          <w:p w14:paraId="23704510">
            <w:pPr>
              <w:spacing w:line="360" w:lineRule="exact"/>
              <w:ind w:firstLine="0" w:firstLineChars="0"/>
              <w:jc w:val="center"/>
              <w:textAlignment w:val="baseline"/>
              <w:rPr>
                <w:rFonts w:cs="Times New Roman"/>
                <w:color w:val="auto"/>
                <w:kern w:val="0"/>
                <w:sz w:val="21"/>
                <w:szCs w:val="21"/>
                <w:highlight w:val="none"/>
              </w:rPr>
            </w:pPr>
            <w:bookmarkStart w:id="210" w:name="_Toc19298"/>
            <w:bookmarkStart w:id="211" w:name="_Toc6362"/>
            <w:bookmarkStart w:id="212" w:name="_Toc7559"/>
            <w:r>
              <w:rPr>
                <w:rFonts w:cs="Times New Roman"/>
                <w:color w:val="auto"/>
                <w:kern w:val="0"/>
                <w:sz w:val="21"/>
                <w:szCs w:val="21"/>
                <w:highlight w:val="none"/>
              </w:rPr>
              <w:t>达标</w:t>
            </w:r>
            <w:bookmarkEnd w:id="210"/>
            <w:bookmarkEnd w:id="211"/>
            <w:bookmarkEnd w:id="212"/>
          </w:p>
        </w:tc>
      </w:tr>
      <w:tr w14:paraId="0D8C8B7B">
        <w:tblPrEx>
          <w:tblCellMar>
            <w:top w:w="0" w:type="dxa"/>
            <w:left w:w="108" w:type="dxa"/>
            <w:bottom w:w="0" w:type="dxa"/>
            <w:right w:w="108" w:type="dxa"/>
          </w:tblCellMar>
        </w:tblPrEx>
        <w:trPr>
          <w:trHeight w:val="457" w:hRule="atLeast"/>
          <w:jc w:val="center"/>
        </w:trPr>
        <w:tc>
          <w:tcPr>
            <w:tcW w:w="912" w:type="dxa"/>
            <w:tcBorders>
              <w:top w:val="nil"/>
              <w:left w:val="nil"/>
              <w:bottom w:val="single" w:color="000000" w:sz="8" w:space="0"/>
              <w:right w:val="single" w:color="auto" w:sz="8" w:space="0"/>
            </w:tcBorders>
            <w:vAlign w:val="center"/>
          </w:tcPr>
          <w:p w14:paraId="35543B65">
            <w:pPr>
              <w:spacing w:line="360" w:lineRule="exact"/>
              <w:ind w:firstLine="0" w:firstLineChars="0"/>
              <w:jc w:val="center"/>
              <w:textAlignment w:val="baseline"/>
              <w:rPr>
                <w:rFonts w:cs="Times New Roman"/>
                <w:color w:val="auto"/>
                <w:kern w:val="0"/>
                <w:sz w:val="21"/>
                <w:szCs w:val="21"/>
                <w:highlight w:val="none"/>
              </w:rPr>
            </w:pPr>
            <w:bookmarkStart w:id="213" w:name="_Toc14645"/>
            <w:bookmarkStart w:id="214" w:name="_Toc26457"/>
            <w:bookmarkStart w:id="215" w:name="_Toc14493"/>
            <w:r>
              <w:rPr>
                <w:rFonts w:cs="Times New Roman"/>
                <w:color w:val="auto"/>
                <w:kern w:val="0"/>
                <w:sz w:val="21"/>
                <w:szCs w:val="21"/>
                <w:highlight w:val="none"/>
              </w:rPr>
              <w:t>PM</w:t>
            </w:r>
            <w:r>
              <w:rPr>
                <w:rFonts w:cs="Times New Roman"/>
                <w:color w:val="auto"/>
                <w:kern w:val="0"/>
                <w:sz w:val="21"/>
                <w:szCs w:val="21"/>
                <w:highlight w:val="none"/>
                <w:vertAlign w:val="subscript"/>
              </w:rPr>
              <w:t>10</w:t>
            </w:r>
            <w:bookmarkEnd w:id="213"/>
            <w:bookmarkEnd w:id="214"/>
            <w:bookmarkEnd w:id="215"/>
          </w:p>
        </w:tc>
        <w:tc>
          <w:tcPr>
            <w:tcW w:w="3083" w:type="dxa"/>
            <w:tcBorders>
              <w:top w:val="nil"/>
              <w:left w:val="nil"/>
              <w:bottom w:val="single" w:color="auto" w:sz="8" w:space="0"/>
              <w:right w:val="single" w:color="auto" w:sz="8" w:space="0"/>
            </w:tcBorders>
            <w:vAlign w:val="center"/>
          </w:tcPr>
          <w:p w14:paraId="29CD8392">
            <w:pPr>
              <w:spacing w:line="360" w:lineRule="exact"/>
              <w:ind w:firstLine="0" w:firstLineChars="0"/>
              <w:jc w:val="center"/>
              <w:textAlignment w:val="baseline"/>
              <w:rPr>
                <w:rFonts w:cs="Times New Roman"/>
                <w:color w:val="auto"/>
                <w:kern w:val="0"/>
                <w:sz w:val="21"/>
                <w:szCs w:val="21"/>
                <w:highlight w:val="none"/>
              </w:rPr>
            </w:pPr>
            <w:bookmarkStart w:id="216" w:name="_Toc22113"/>
            <w:bookmarkStart w:id="217" w:name="_Toc15003"/>
            <w:bookmarkStart w:id="218" w:name="_Toc971"/>
            <w:r>
              <w:rPr>
                <w:rFonts w:cs="Times New Roman"/>
                <w:color w:val="auto"/>
                <w:kern w:val="0"/>
                <w:sz w:val="21"/>
                <w:szCs w:val="21"/>
                <w:highlight w:val="none"/>
              </w:rPr>
              <w:t>年平均质量浓度</w:t>
            </w:r>
            <w:bookmarkEnd w:id="216"/>
            <w:bookmarkEnd w:id="217"/>
            <w:bookmarkEnd w:id="218"/>
          </w:p>
        </w:tc>
        <w:tc>
          <w:tcPr>
            <w:tcW w:w="1235" w:type="dxa"/>
            <w:tcBorders>
              <w:top w:val="nil"/>
              <w:left w:val="nil"/>
              <w:bottom w:val="single" w:color="auto" w:sz="8" w:space="0"/>
              <w:right w:val="single" w:color="auto" w:sz="8" w:space="0"/>
            </w:tcBorders>
            <w:vAlign w:val="center"/>
          </w:tcPr>
          <w:p w14:paraId="64E0E897">
            <w:pPr>
              <w:spacing w:line="360" w:lineRule="exact"/>
              <w:ind w:firstLine="0" w:firstLineChars="0"/>
              <w:jc w:val="center"/>
              <w:textAlignment w:val="baseline"/>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43</w:t>
            </w:r>
          </w:p>
        </w:tc>
        <w:tc>
          <w:tcPr>
            <w:tcW w:w="926" w:type="dxa"/>
            <w:tcBorders>
              <w:top w:val="nil"/>
              <w:left w:val="nil"/>
              <w:bottom w:val="single" w:color="auto" w:sz="8" w:space="0"/>
              <w:right w:val="single" w:color="auto" w:sz="8" w:space="0"/>
            </w:tcBorders>
            <w:vAlign w:val="center"/>
          </w:tcPr>
          <w:p w14:paraId="2F12FC10">
            <w:pPr>
              <w:spacing w:line="360" w:lineRule="exact"/>
              <w:ind w:firstLine="0" w:firstLineChars="0"/>
              <w:jc w:val="center"/>
              <w:textAlignment w:val="baseline"/>
              <w:rPr>
                <w:rFonts w:cs="Times New Roman"/>
                <w:color w:val="auto"/>
                <w:kern w:val="0"/>
                <w:sz w:val="21"/>
                <w:szCs w:val="21"/>
                <w:highlight w:val="none"/>
              </w:rPr>
            </w:pPr>
            <w:bookmarkStart w:id="219" w:name="_Toc13906"/>
            <w:bookmarkStart w:id="220" w:name="_Toc15511"/>
            <w:bookmarkStart w:id="221" w:name="_Toc119"/>
            <w:r>
              <w:rPr>
                <w:rFonts w:cs="Times New Roman"/>
                <w:color w:val="auto"/>
                <w:kern w:val="0"/>
                <w:sz w:val="21"/>
                <w:szCs w:val="21"/>
                <w:highlight w:val="none"/>
              </w:rPr>
              <w:t>70</w:t>
            </w:r>
            <w:bookmarkEnd w:id="219"/>
            <w:bookmarkEnd w:id="220"/>
            <w:bookmarkEnd w:id="221"/>
          </w:p>
        </w:tc>
        <w:tc>
          <w:tcPr>
            <w:tcW w:w="1064" w:type="dxa"/>
            <w:tcBorders>
              <w:top w:val="nil"/>
              <w:left w:val="nil"/>
              <w:bottom w:val="single" w:color="auto" w:sz="8" w:space="0"/>
              <w:right w:val="single" w:color="auto" w:sz="8" w:space="0"/>
            </w:tcBorders>
            <w:vAlign w:val="center"/>
          </w:tcPr>
          <w:p w14:paraId="58B6B7DF">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lang w:val="en-US" w:eastAsia="zh-CN"/>
              </w:rPr>
              <w:t>61.4</w:t>
            </w:r>
            <w:r>
              <w:rPr>
                <w:rFonts w:cs="Times New Roman"/>
                <w:color w:val="auto"/>
                <w:kern w:val="0"/>
                <w:sz w:val="21"/>
                <w:szCs w:val="21"/>
                <w:highlight w:val="none"/>
              </w:rPr>
              <w:t>%</w:t>
            </w:r>
          </w:p>
        </w:tc>
        <w:tc>
          <w:tcPr>
            <w:tcW w:w="1218" w:type="dxa"/>
            <w:tcBorders>
              <w:top w:val="nil"/>
              <w:left w:val="single" w:color="auto" w:sz="8" w:space="0"/>
              <w:bottom w:val="single" w:color="000000" w:sz="8" w:space="0"/>
              <w:right w:val="nil"/>
            </w:tcBorders>
            <w:vAlign w:val="center"/>
          </w:tcPr>
          <w:p w14:paraId="6E49C1A0">
            <w:pPr>
              <w:spacing w:line="360" w:lineRule="exact"/>
              <w:ind w:firstLine="0" w:firstLineChars="0"/>
              <w:jc w:val="center"/>
              <w:textAlignment w:val="baseline"/>
              <w:rPr>
                <w:rFonts w:cs="Times New Roman"/>
                <w:color w:val="auto"/>
                <w:kern w:val="0"/>
                <w:sz w:val="21"/>
                <w:szCs w:val="21"/>
                <w:highlight w:val="none"/>
              </w:rPr>
            </w:pPr>
            <w:bookmarkStart w:id="222" w:name="_Toc14790"/>
            <w:bookmarkStart w:id="223" w:name="_Toc29099"/>
            <w:bookmarkStart w:id="224" w:name="_Toc13344"/>
            <w:r>
              <w:rPr>
                <w:rFonts w:cs="Times New Roman"/>
                <w:color w:val="auto"/>
                <w:kern w:val="0"/>
                <w:sz w:val="21"/>
                <w:szCs w:val="21"/>
                <w:highlight w:val="none"/>
              </w:rPr>
              <w:t>达标</w:t>
            </w:r>
            <w:bookmarkEnd w:id="222"/>
            <w:bookmarkEnd w:id="223"/>
            <w:bookmarkEnd w:id="224"/>
          </w:p>
        </w:tc>
      </w:tr>
      <w:tr w14:paraId="18645EAE">
        <w:tblPrEx>
          <w:tblCellMar>
            <w:top w:w="0" w:type="dxa"/>
            <w:left w:w="108" w:type="dxa"/>
            <w:bottom w:w="0" w:type="dxa"/>
            <w:right w:w="108" w:type="dxa"/>
          </w:tblCellMar>
        </w:tblPrEx>
        <w:trPr>
          <w:trHeight w:val="457" w:hRule="atLeast"/>
          <w:jc w:val="center"/>
        </w:trPr>
        <w:tc>
          <w:tcPr>
            <w:tcW w:w="912" w:type="dxa"/>
            <w:tcBorders>
              <w:top w:val="nil"/>
              <w:left w:val="nil"/>
              <w:bottom w:val="single" w:color="000000" w:sz="8" w:space="0"/>
              <w:right w:val="single" w:color="auto" w:sz="8" w:space="0"/>
            </w:tcBorders>
            <w:vAlign w:val="center"/>
          </w:tcPr>
          <w:p w14:paraId="00C79D90">
            <w:pPr>
              <w:spacing w:line="360" w:lineRule="exact"/>
              <w:ind w:firstLine="0" w:firstLineChars="0"/>
              <w:jc w:val="center"/>
              <w:textAlignment w:val="baseline"/>
              <w:rPr>
                <w:rFonts w:cs="Times New Roman"/>
                <w:color w:val="auto"/>
                <w:kern w:val="0"/>
                <w:sz w:val="21"/>
                <w:szCs w:val="21"/>
                <w:highlight w:val="none"/>
              </w:rPr>
            </w:pPr>
            <w:bookmarkStart w:id="225" w:name="_Toc24443"/>
            <w:bookmarkStart w:id="226" w:name="_Toc10732"/>
            <w:bookmarkStart w:id="227" w:name="_Toc18622"/>
            <w:r>
              <w:rPr>
                <w:rFonts w:cs="Times New Roman"/>
                <w:color w:val="auto"/>
                <w:kern w:val="0"/>
                <w:sz w:val="21"/>
                <w:szCs w:val="21"/>
                <w:highlight w:val="none"/>
              </w:rPr>
              <w:t>PM</w:t>
            </w:r>
            <w:r>
              <w:rPr>
                <w:rFonts w:cs="Times New Roman"/>
                <w:color w:val="auto"/>
                <w:kern w:val="0"/>
                <w:sz w:val="21"/>
                <w:szCs w:val="21"/>
                <w:highlight w:val="none"/>
                <w:vertAlign w:val="subscript"/>
              </w:rPr>
              <w:t>2.5</w:t>
            </w:r>
            <w:bookmarkEnd w:id="225"/>
            <w:bookmarkEnd w:id="226"/>
            <w:bookmarkEnd w:id="227"/>
          </w:p>
        </w:tc>
        <w:tc>
          <w:tcPr>
            <w:tcW w:w="3083" w:type="dxa"/>
            <w:tcBorders>
              <w:top w:val="nil"/>
              <w:left w:val="nil"/>
              <w:bottom w:val="single" w:color="auto" w:sz="8" w:space="0"/>
              <w:right w:val="single" w:color="auto" w:sz="8" w:space="0"/>
            </w:tcBorders>
            <w:vAlign w:val="center"/>
          </w:tcPr>
          <w:p w14:paraId="73E236FF">
            <w:pPr>
              <w:spacing w:line="360" w:lineRule="exact"/>
              <w:ind w:firstLine="0" w:firstLineChars="0"/>
              <w:jc w:val="center"/>
              <w:textAlignment w:val="baseline"/>
              <w:rPr>
                <w:rFonts w:cs="Times New Roman"/>
                <w:color w:val="auto"/>
                <w:kern w:val="0"/>
                <w:sz w:val="21"/>
                <w:szCs w:val="21"/>
                <w:highlight w:val="none"/>
              </w:rPr>
            </w:pPr>
            <w:bookmarkStart w:id="228" w:name="_Toc2675"/>
            <w:bookmarkStart w:id="229" w:name="_Toc21172"/>
            <w:bookmarkStart w:id="230" w:name="_Toc17583"/>
            <w:r>
              <w:rPr>
                <w:rFonts w:cs="Times New Roman"/>
                <w:color w:val="auto"/>
                <w:kern w:val="0"/>
                <w:sz w:val="21"/>
                <w:szCs w:val="21"/>
                <w:highlight w:val="none"/>
              </w:rPr>
              <w:t>年平均质量浓度</w:t>
            </w:r>
            <w:bookmarkEnd w:id="228"/>
            <w:bookmarkEnd w:id="229"/>
            <w:bookmarkEnd w:id="230"/>
          </w:p>
        </w:tc>
        <w:tc>
          <w:tcPr>
            <w:tcW w:w="1235" w:type="dxa"/>
            <w:tcBorders>
              <w:top w:val="nil"/>
              <w:left w:val="nil"/>
              <w:bottom w:val="single" w:color="auto" w:sz="8" w:space="0"/>
              <w:right w:val="single" w:color="auto" w:sz="8" w:space="0"/>
            </w:tcBorders>
            <w:vAlign w:val="center"/>
          </w:tcPr>
          <w:p w14:paraId="12DDCA97">
            <w:pPr>
              <w:spacing w:line="360" w:lineRule="exact"/>
              <w:ind w:firstLine="0" w:firstLineChars="0"/>
              <w:jc w:val="center"/>
              <w:textAlignment w:val="baseline"/>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27</w:t>
            </w:r>
          </w:p>
        </w:tc>
        <w:tc>
          <w:tcPr>
            <w:tcW w:w="926" w:type="dxa"/>
            <w:tcBorders>
              <w:top w:val="nil"/>
              <w:left w:val="nil"/>
              <w:bottom w:val="single" w:color="auto" w:sz="8" w:space="0"/>
              <w:right w:val="single" w:color="auto" w:sz="8" w:space="0"/>
            </w:tcBorders>
            <w:vAlign w:val="center"/>
          </w:tcPr>
          <w:p w14:paraId="0D3BF1FC">
            <w:pPr>
              <w:spacing w:line="360" w:lineRule="exact"/>
              <w:ind w:firstLine="0" w:firstLineChars="0"/>
              <w:jc w:val="center"/>
              <w:textAlignment w:val="baseline"/>
              <w:rPr>
                <w:rFonts w:cs="Times New Roman"/>
                <w:color w:val="auto"/>
                <w:kern w:val="0"/>
                <w:sz w:val="21"/>
                <w:szCs w:val="21"/>
                <w:highlight w:val="none"/>
              </w:rPr>
            </w:pPr>
            <w:bookmarkStart w:id="231" w:name="_Toc29830"/>
            <w:bookmarkStart w:id="232" w:name="_Toc16360"/>
            <w:bookmarkStart w:id="233" w:name="_Toc7328"/>
            <w:r>
              <w:rPr>
                <w:rFonts w:cs="Times New Roman"/>
                <w:color w:val="auto"/>
                <w:kern w:val="0"/>
                <w:sz w:val="21"/>
                <w:szCs w:val="21"/>
                <w:highlight w:val="none"/>
              </w:rPr>
              <w:t>35</w:t>
            </w:r>
            <w:bookmarkEnd w:id="231"/>
            <w:bookmarkEnd w:id="232"/>
            <w:bookmarkEnd w:id="233"/>
          </w:p>
        </w:tc>
        <w:tc>
          <w:tcPr>
            <w:tcW w:w="1064" w:type="dxa"/>
            <w:tcBorders>
              <w:top w:val="nil"/>
              <w:left w:val="nil"/>
              <w:bottom w:val="single" w:color="auto" w:sz="8" w:space="0"/>
              <w:right w:val="single" w:color="auto" w:sz="8" w:space="0"/>
            </w:tcBorders>
            <w:vAlign w:val="center"/>
          </w:tcPr>
          <w:p w14:paraId="561A5EC4">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lang w:val="en-US" w:eastAsia="zh-CN"/>
              </w:rPr>
              <w:t>77.1</w:t>
            </w:r>
            <w:r>
              <w:rPr>
                <w:rFonts w:cs="Times New Roman"/>
                <w:color w:val="auto"/>
                <w:kern w:val="0"/>
                <w:sz w:val="21"/>
                <w:szCs w:val="21"/>
                <w:highlight w:val="none"/>
              </w:rPr>
              <w:t>%</w:t>
            </w:r>
          </w:p>
        </w:tc>
        <w:tc>
          <w:tcPr>
            <w:tcW w:w="1218" w:type="dxa"/>
            <w:tcBorders>
              <w:top w:val="nil"/>
              <w:left w:val="single" w:color="auto" w:sz="8" w:space="0"/>
              <w:bottom w:val="single" w:color="000000" w:sz="8" w:space="0"/>
              <w:right w:val="nil"/>
            </w:tcBorders>
            <w:vAlign w:val="center"/>
          </w:tcPr>
          <w:p w14:paraId="04F84D6F">
            <w:pPr>
              <w:spacing w:line="360" w:lineRule="exact"/>
              <w:ind w:firstLine="0" w:firstLineChars="0"/>
              <w:jc w:val="center"/>
              <w:textAlignment w:val="baseline"/>
              <w:rPr>
                <w:rFonts w:cs="Times New Roman"/>
                <w:color w:val="auto"/>
                <w:kern w:val="0"/>
                <w:sz w:val="21"/>
                <w:szCs w:val="21"/>
                <w:highlight w:val="none"/>
              </w:rPr>
            </w:pPr>
            <w:bookmarkStart w:id="234" w:name="_Toc23697"/>
            <w:bookmarkStart w:id="235" w:name="_Toc21982"/>
            <w:bookmarkStart w:id="236" w:name="_Toc17844"/>
            <w:r>
              <w:rPr>
                <w:rFonts w:cs="Times New Roman"/>
                <w:color w:val="auto"/>
                <w:kern w:val="0"/>
                <w:sz w:val="21"/>
                <w:szCs w:val="21"/>
                <w:highlight w:val="none"/>
              </w:rPr>
              <w:t>达标</w:t>
            </w:r>
            <w:bookmarkEnd w:id="234"/>
            <w:bookmarkEnd w:id="235"/>
            <w:bookmarkEnd w:id="236"/>
          </w:p>
        </w:tc>
      </w:tr>
      <w:tr w14:paraId="146FCF7A">
        <w:tblPrEx>
          <w:tblCellMar>
            <w:top w:w="0" w:type="dxa"/>
            <w:left w:w="108" w:type="dxa"/>
            <w:bottom w:w="0" w:type="dxa"/>
            <w:right w:w="108" w:type="dxa"/>
          </w:tblCellMar>
        </w:tblPrEx>
        <w:trPr>
          <w:trHeight w:val="457" w:hRule="atLeast"/>
          <w:jc w:val="center"/>
        </w:trPr>
        <w:tc>
          <w:tcPr>
            <w:tcW w:w="912" w:type="dxa"/>
            <w:tcBorders>
              <w:top w:val="nil"/>
              <w:left w:val="nil"/>
              <w:bottom w:val="single" w:color="auto" w:sz="8" w:space="0"/>
              <w:right w:val="single" w:color="auto" w:sz="8" w:space="0"/>
            </w:tcBorders>
            <w:vAlign w:val="center"/>
          </w:tcPr>
          <w:p w14:paraId="083969E9">
            <w:pPr>
              <w:spacing w:line="360" w:lineRule="exact"/>
              <w:ind w:firstLine="0" w:firstLineChars="0"/>
              <w:jc w:val="center"/>
              <w:textAlignment w:val="baseline"/>
              <w:rPr>
                <w:rFonts w:cs="Times New Roman"/>
                <w:color w:val="auto"/>
                <w:kern w:val="0"/>
                <w:sz w:val="21"/>
                <w:szCs w:val="21"/>
                <w:highlight w:val="none"/>
              </w:rPr>
            </w:pPr>
            <w:bookmarkStart w:id="237" w:name="_Toc24498"/>
            <w:bookmarkStart w:id="238" w:name="_Toc16999"/>
            <w:bookmarkStart w:id="239" w:name="_Toc22810"/>
            <w:r>
              <w:rPr>
                <w:rFonts w:cs="Times New Roman"/>
                <w:color w:val="auto"/>
                <w:kern w:val="0"/>
                <w:sz w:val="21"/>
                <w:szCs w:val="21"/>
                <w:highlight w:val="none"/>
              </w:rPr>
              <w:t>CO</w:t>
            </w:r>
            <w:bookmarkEnd w:id="237"/>
            <w:bookmarkEnd w:id="238"/>
            <w:bookmarkEnd w:id="239"/>
          </w:p>
        </w:tc>
        <w:tc>
          <w:tcPr>
            <w:tcW w:w="3083" w:type="dxa"/>
            <w:tcBorders>
              <w:top w:val="nil"/>
              <w:left w:val="nil"/>
              <w:bottom w:val="single" w:color="auto" w:sz="8" w:space="0"/>
              <w:right w:val="single" w:color="auto" w:sz="8" w:space="0"/>
            </w:tcBorders>
            <w:vAlign w:val="center"/>
          </w:tcPr>
          <w:p w14:paraId="0B694F1E">
            <w:pPr>
              <w:spacing w:line="360" w:lineRule="exact"/>
              <w:ind w:firstLine="0" w:firstLineChars="0"/>
              <w:jc w:val="center"/>
              <w:textAlignment w:val="baseline"/>
              <w:rPr>
                <w:rFonts w:cs="Times New Roman"/>
                <w:color w:val="auto"/>
                <w:kern w:val="0"/>
                <w:sz w:val="21"/>
                <w:szCs w:val="21"/>
                <w:highlight w:val="none"/>
              </w:rPr>
            </w:pPr>
            <w:bookmarkStart w:id="240" w:name="_Toc29313"/>
            <w:bookmarkStart w:id="241" w:name="_Toc32198"/>
            <w:bookmarkStart w:id="242" w:name="_Toc4148"/>
            <w:r>
              <w:rPr>
                <w:rFonts w:cs="Times New Roman"/>
                <w:color w:val="auto"/>
                <w:kern w:val="0"/>
                <w:sz w:val="21"/>
                <w:szCs w:val="21"/>
                <w:highlight w:val="none"/>
              </w:rPr>
              <w:t>第95百分位数日平均质量浓度</w:t>
            </w:r>
            <w:bookmarkEnd w:id="240"/>
            <w:bookmarkEnd w:id="241"/>
            <w:bookmarkEnd w:id="242"/>
          </w:p>
        </w:tc>
        <w:tc>
          <w:tcPr>
            <w:tcW w:w="1235" w:type="dxa"/>
            <w:tcBorders>
              <w:top w:val="nil"/>
              <w:left w:val="nil"/>
              <w:bottom w:val="single" w:color="auto" w:sz="8" w:space="0"/>
              <w:right w:val="single" w:color="auto" w:sz="8" w:space="0"/>
            </w:tcBorders>
            <w:vAlign w:val="center"/>
          </w:tcPr>
          <w:p w14:paraId="151A3BCC">
            <w:pPr>
              <w:spacing w:line="360" w:lineRule="exact"/>
              <w:ind w:firstLine="0" w:firstLineChars="0"/>
              <w:jc w:val="center"/>
              <w:textAlignment w:val="baseline"/>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480</w:t>
            </w:r>
          </w:p>
        </w:tc>
        <w:tc>
          <w:tcPr>
            <w:tcW w:w="926" w:type="dxa"/>
            <w:tcBorders>
              <w:top w:val="nil"/>
              <w:left w:val="nil"/>
              <w:bottom w:val="single" w:color="auto" w:sz="8" w:space="0"/>
              <w:right w:val="single" w:color="auto" w:sz="8" w:space="0"/>
            </w:tcBorders>
            <w:vAlign w:val="center"/>
          </w:tcPr>
          <w:p w14:paraId="59A02C4C">
            <w:pPr>
              <w:spacing w:line="360" w:lineRule="exact"/>
              <w:ind w:firstLine="0" w:firstLineChars="0"/>
              <w:jc w:val="center"/>
              <w:textAlignment w:val="baseline"/>
              <w:rPr>
                <w:rFonts w:cs="Times New Roman"/>
                <w:color w:val="auto"/>
                <w:kern w:val="0"/>
                <w:sz w:val="21"/>
                <w:szCs w:val="21"/>
                <w:highlight w:val="none"/>
              </w:rPr>
            </w:pPr>
            <w:bookmarkStart w:id="243" w:name="_Toc25613"/>
            <w:bookmarkStart w:id="244" w:name="_Toc10731"/>
            <w:bookmarkStart w:id="245" w:name="_Toc12467"/>
            <w:r>
              <w:rPr>
                <w:rFonts w:cs="Times New Roman"/>
                <w:color w:val="auto"/>
                <w:kern w:val="0"/>
                <w:sz w:val="21"/>
                <w:szCs w:val="21"/>
                <w:highlight w:val="none"/>
              </w:rPr>
              <w:t>4000</w:t>
            </w:r>
            <w:bookmarkEnd w:id="243"/>
            <w:bookmarkEnd w:id="244"/>
            <w:bookmarkEnd w:id="245"/>
          </w:p>
        </w:tc>
        <w:tc>
          <w:tcPr>
            <w:tcW w:w="1064" w:type="dxa"/>
            <w:tcBorders>
              <w:top w:val="nil"/>
              <w:left w:val="nil"/>
              <w:bottom w:val="single" w:color="auto" w:sz="8" w:space="0"/>
              <w:right w:val="single" w:color="auto" w:sz="8" w:space="0"/>
            </w:tcBorders>
            <w:vAlign w:val="center"/>
          </w:tcPr>
          <w:p w14:paraId="077D4884">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lang w:val="en-US" w:eastAsia="zh-CN"/>
              </w:rPr>
              <w:t>12.0</w:t>
            </w:r>
            <w:r>
              <w:rPr>
                <w:rFonts w:cs="Times New Roman"/>
                <w:color w:val="auto"/>
                <w:kern w:val="0"/>
                <w:sz w:val="21"/>
                <w:szCs w:val="21"/>
                <w:highlight w:val="none"/>
              </w:rPr>
              <w:t>%</w:t>
            </w:r>
          </w:p>
        </w:tc>
        <w:tc>
          <w:tcPr>
            <w:tcW w:w="1218" w:type="dxa"/>
            <w:tcBorders>
              <w:top w:val="nil"/>
              <w:left w:val="nil"/>
              <w:bottom w:val="single" w:color="auto" w:sz="8" w:space="0"/>
              <w:right w:val="nil"/>
            </w:tcBorders>
            <w:vAlign w:val="center"/>
          </w:tcPr>
          <w:p w14:paraId="680F0493">
            <w:pPr>
              <w:spacing w:line="360" w:lineRule="exact"/>
              <w:ind w:firstLine="0" w:firstLineChars="0"/>
              <w:jc w:val="center"/>
              <w:textAlignment w:val="baseline"/>
              <w:rPr>
                <w:rFonts w:cs="Times New Roman"/>
                <w:color w:val="auto"/>
                <w:kern w:val="0"/>
                <w:sz w:val="21"/>
                <w:szCs w:val="21"/>
                <w:highlight w:val="none"/>
              </w:rPr>
            </w:pPr>
            <w:bookmarkStart w:id="246" w:name="_Toc9769"/>
            <w:bookmarkStart w:id="247" w:name="_Toc22248"/>
            <w:bookmarkStart w:id="248" w:name="_Toc11966"/>
            <w:r>
              <w:rPr>
                <w:rFonts w:cs="Times New Roman"/>
                <w:color w:val="auto"/>
                <w:kern w:val="0"/>
                <w:sz w:val="21"/>
                <w:szCs w:val="21"/>
                <w:highlight w:val="none"/>
              </w:rPr>
              <w:t>达标</w:t>
            </w:r>
            <w:bookmarkEnd w:id="246"/>
            <w:bookmarkEnd w:id="247"/>
            <w:bookmarkEnd w:id="248"/>
          </w:p>
        </w:tc>
      </w:tr>
      <w:tr w14:paraId="71624DE7">
        <w:tblPrEx>
          <w:tblCellMar>
            <w:top w:w="0" w:type="dxa"/>
            <w:left w:w="108" w:type="dxa"/>
            <w:bottom w:w="0" w:type="dxa"/>
            <w:right w:w="108" w:type="dxa"/>
          </w:tblCellMar>
        </w:tblPrEx>
        <w:trPr>
          <w:trHeight w:val="521" w:hRule="atLeast"/>
          <w:jc w:val="center"/>
        </w:trPr>
        <w:tc>
          <w:tcPr>
            <w:tcW w:w="912" w:type="dxa"/>
            <w:tcBorders>
              <w:top w:val="nil"/>
              <w:left w:val="nil"/>
              <w:bottom w:val="single" w:color="auto" w:sz="12" w:space="0"/>
              <w:right w:val="single" w:color="auto" w:sz="8" w:space="0"/>
            </w:tcBorders>
            <w:vAlign w:val="center"/>
          </w:tcPr>
          <w:p w14:paraId="0C062AD4">
            <w:pPr>
              <w:spacing w:line="360" w:lineRule="exact"/>
              <w:ind w:firstLine="0" w:firstLineChars="0"/>
              <w:jc w:val="center"/>
              <w:textAlignment w:val="baseline"/>
              <w:rPr>
                <w:rFonts w:cs="Times New Roman"/>
                <w:color w:val="auto"/>
                <w:kern w:val="0"/>
                <w:sz w:val="21"/>
                <w:szCs w:val="21"/>
                <w:highlight w:val="none"/>
              </w:rPr>
            </w:pPr>
            <w:bookmarkStart w:id="249" w:name="_Toc15939"/>
            <w:bookmarkStart w:id="250" w:name="_Toc1520"/>
            <w:bookmarkStart w:id="251" w:name="_Toc30632"/>
            <w:r>
              <w:rPr>
                <w:rFonts w:cs="Times New Roman"/>
                <w:color w:val="auto"/>
                <w:kern w:val="0"/>
                <w:sz w:val="21"/>
                <w:szCs w:val="21"/>
                <w:highlight w:val="none"/>
              </w:rPr>
              <w:t>O</w:t>
            </w:r>
            <w:r>
              <w:rPr>
                <w:rFonts w:cs="Times New Roman"/>
                <w:color w:val="auto"/>
                <w:kern w:val="0"/>
                <w:sz w:val="21"/>
                <w:szCs w:val="21"/>
                <w:highlight w:val="none"/>
                <w:vertAlign w:val="subscript"/>
              </w:rPr>
              <w:t>3</w:t>
            </w:r>
            <w:bookmarkEnd w:id="249"/>
            <w:bookmarkEnd w:id="250"/>
            <w:bookmarkEnd w:id="251"/>
          </w:p>
        </w:tc>
        <w:tc>
          <w:tcPr>
            <w:tcW w:w="3083" w:type="dxa"/>
            <w:tcBorders>
              <w:top w:val="nil"/>
              <w:left w:val="nil"/>
              <w:bottom w:val="single" w:color="auto" w:sz="12" w:space="0"/>
              <w:right w:val="single" w:color="auto" w:sz="8" w:space="0"/>
            </w:tcBorders>
            <w:vAlign w:val="center"/>
          </w:tcPr>
          <w:p w14:paraId="07200949">
            <w:pPr>
              <w:spacing w:line="360" w:lineRule="exact"/>
              <w:ind w:firstLine="0" w:firstLineChars="0"/>
              <w:jc w:val="center"/>
              <w:textAlignment w:val="baseline"/>
              <w:rPr>
                <w:rFonts w:cs="Times New Roman"/>
                <w:color w:val="auto"/>
                <w:kern w:val="0"/>
                <w:sz w:val="21"/>
                <w:szCs w:val="21"/>
                <w:highlight w:val="none"/>
              </w:rPr>
            </w:pPr>
            <w:bookmarkStart w:id="252" w:name="_Toc16864"/>
            <w:bookmarkStart w:id="253" w:name="_Toc21055"/>
            <w:bookmarkStart w:id="254" w:name="_Toc21629"/>
            <w:r>
              <w:rPr>
                <w:rFonts w:cs="Times New Roman"/>
                <w:color w:val="auto"/>
                <w:kern w:val="0"/>
                <w:sz w:val="21"/>
                <w:szCs w:val="21"/>
                <w:highlight w:val="none"/>
              </w:rPr>
              <w:t>第90百分位数8h平均质量浓度</w:t>
            </w:r>
            <w:bookmarkEnd w:id="252"/>
            <w:bookmarkEnd w:id="253"/>
            <w:bookmarkEnd w:id="254"/>
          </w:p>
        </w:tc>
        <w:tc>
          <w:tcPr>
            <w:tcW w:w="1235" w:type="dxa"/>
            <w:tcBorders>
              <w:top w:val="nil"/>
              <w:left w:val="nil"/>
              <w:bottom w:val="single" w:color="auto" w:sz="12" w:space="0"/>
              <w:right w:val="single" w:color="auto" w:sz="8" w:space="0"/>
            </w:tcBorders>
            <w:vAlign w:val="center"/>
          </w:tcPr>
          <w:p w14:paraId="265A0BD1">
            <w:pPr>
              <w:spacing w:line="360" w:lineRule="exact"/>
              <w:ind w:firstLine="0" w:firstLineChars="0"/>
              <w:jc w:val="center"/>
              <w:textAlignment w:val="baseline"/>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105</w:t>
            </w:r>
          </w:p>
        </w:tc>
        <w:tc>
          <w:tcPr>
            <w:tcW w:w="926" w:type="dxa"/>
            <w:tcBorders>
              <w:top w:val="nil"/>
              <w:left w:val="nil"/>
              <w:bottom w:val="single" w:color="auto" w:sz="12" w:space="0"/>
              <w:right w:val="single" w:color="auto" w:sz="8" w:space="0"/>
            </w:tcBorders>
            <w:vAlign w:val="center"/>
          </w:tcPr>
          <w:p w14:paraId="4775909C">
            <w:pPr>
              <w:spacing w:line="360" w:lineRule="exact"/>
              <w:ind w:firstLine="0" w:firstLineChars="0"/>
              <w:jc w:val="center"/>
              <w:textAlignment w:val="baseline"/>
              <w:rPr>
                <w:rFonts w:cs="Times New Roman"/>
                <w:color w:val="auto"/>
                <w:kern w:val="0"/>
                <w:sz w:val="21"/>
                <w:szCs w:val="21"/>
                <w:highlight w:val="none"/>
              </w:rPr>
            </w:pPr>
            <w:bookmarkStart w:id="255" w:name="_Toc16479"/>
            <w:bookmarkStart w:id="256" w:name="_Toc13516"/>
            <w:bookmarkStart w:id="257" w:name="_Toc23256"/>
            <w:r>
              <w:rPr>
                <w:rFonts w:cs="Times New Roman"/>
                <w:color w:val="auto"/>
                <w:kern w:val="0"/>
                <w:sz w:val="21"/>
                <w:szCs w:val="21"/>
                <w:highlight w:val="none"/>
              </w:rPr>
              <w:t>160</w:t>
            </w:r>
            <w:bookmarkEnd w:id="255"/>
            <w:bookmarkEnd w:id="256"/>
            <w:bookmarkEnd w:id="257"/>
          </w:p>
        </w:tc>
        <w:tc>
          <w:tcPr>
            <w:tcW w:w="1064" w:type="dxa"/>
            <w:tcBorders>
              <w:top w:val="nil"/>
              <w:left w:val="nil"/>
              <w:bottom w:val="single" w:color="auto" w:sz="12" w:space="0"/>
              <w:right w:val="single" w:color="auto" w:sz="8" w:space="0"/>
            </w:tcBorders>
            <w:vAlign w:val="center"/>
          </w:tcPr>
          <w:p w14:paraId="32AE637F">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lang w:val="en-US" w:eastAsia="zh-CN"/>
              </w:rPr>
              <w:t>65.6</w:t>
            </w:r>
            <w:r>
              <w:rPr>
                <w:rFonts w:cs="Times New Roman"/>
                <w:color w:val="auto"/>
                <w:kern w:val="0"/>
                <w:sz w:val="21"/>
                <w:szCs w:val="21"/>
                <w:highlight w:val="none"/>
              </w:rPr>
              <w:t>%</w:t>
            </w:r>
          </w:p>
        </w:tc>
        <w:tc>
          <w:tcPr>
            <w:tcW w:w="1218" w:type="dxa"/>
            <w:tcBorders>
              <w:top w:val="nil"/>
              <w:left w:val="nil"/>
              <w:bottom w:val="single" w:color="auto" w:sz="12" w:space="0"/>
              <w:right w:val="nil"/>
            </w:tcBorders>
            <w:vAlign w:val="center"/>
          </w:tcPr>
          <w:p w14:paraId="29B18831">
            <w:pPr>
              <w:spacing w:line="360" w:lineRule="exact"/>
              <w:ind w:firstLine="0" w:firstLineChars="0"/>
              <w:jc w:val="center"/>
              <w:textAlignment w:val="baseline"/>
              <w:rPr>
                <w:rFonts w:cs="Times New Roman"/>
                <w:color w:val="auto"/>
                <w:kern w:val="0"/>
                <w:sz w:val="21"/>
                <w:szCs w:val="21"/>
                <w:highlight w:val="none"/>
              </w:rPr>
            </w:pPr>
            <w:bookmarkStart w:id="258" w:name="_Toc32531"/>
            <w:bookmarkStart w:id="259" w:name="_Toc824"/>
            <w:bookmarkStart w:id="260" w:name="_Toc19387"/>
            <w:r>
              <w:rPr>
                <w:rFonts w:cs="Times New Roman"/>
                <w:color w:val="auto"/>
                <w:kern w:val="0"/>
                <w:sz w:val="21"/>
                <w:szCs w:val="21"/>
                <w:highlight w:val="none"/>
              </w:rPr>
              <w:t>达标</w:t>
            </w:r>
            <w:bookmarkEnd w:id="258"/>
            <w:bookmarkEnd w:id="259"/>
            <w:bookmarkEnd w:id="260"/>
          </w:p>
        </w:tc>
      </w:tr>
    </w:tbl>
    <w:p w14:paraId="0C406C56">
      <w:pPr>
        <w:pStyle w:val="31"/>
        <w:tabs>
          <w:tab w:val="left" w:pos="1513"/>
          <w:tab w:val="center" w:pos="4212"/>
        </w:tabs>
        <w:spacing w:before="0" w:after="0"/>
        <w:jc w:val="center"/>
        <w:rPr>
          <w:rFonts w:eastAsia="黑体"/>
          <w:b w:val="0"/>
          <w:caps w:val="0"/>
          <w:color w:val="auto"/>
          <w:kern w:val="2"/>
          <w:sz w:val="24"/>
          <w:szCs w:val="22"/>
          <w:highlight w:val="none"/>
        </w:rPr>
      </w:pPr>
    </w:p>
    <w:p w14:paraId="4733E869">
      <w:pPr>
        <w:pStyle w:val="117"/>
        <w:spacing w:line="360" w:lineRule="auto"/>
        <w:rPr>
          <w:rFonts w:cs="Times New Roman"/>
          <w:color w:val="auto"/>
          <w:highlight w:val="none"/>
        </w:rPr>
      </w:pPr>
      <w:r>
        <w:rPr>
          <w:rFonts w:cs="Times New Roman"/>
          <w:color w:val="auto"/>
          <w:highlight w:val="none"/>
        </w:rPr>
        <w:t>根据HJ663-2013判定，202</w:t>
      </w:r>
      <w:r>
        <w:rPr>
          <w:rFonts w:hint="eastAsia" w:cs="Times New Roman"/>
          <w:color w:val="auto"/>
          <w:highlight w:val="none"/>
          <w:lang w:val="en-US" w:eastAsia="zh-CN"/>
        </w:rPr>
        <w:t>4</w:t>
      </w:r>
      <w:r>
        <w:rPr>
          <w:rFonts w:cs="Times New Roman"/>
          <w:color w:val="auto"/>
          <w:highlight w:val="none"/>
        </w:rPr>
        <w:t>年</w:t>
      </w:r>
      <w:r>
        <w:rPr>
          <w:rFonts w:hint="eastAsia" w:cs="Times New Roman"/>
          <w:color w:val="auto"/>
          <w:highlight w:val="none"/>
          <w:lang w:val="en-US" w:eastAsia="zh-CN"/>
        </w:rPr>
        <w:t>双鸭山市</w:t>
      </w:r>
      <w:r>
        <w:rPr>
          <w:rFonts w:cs="Times New Roman"/>
          <w:color w:val="auto"/>
          <w:highlight w:val="none"/>
        </w:rPr>
        <w:t>为环境空气质量达标区，因此本项目所在区域环境空气质量达标。</w:t>
      </w:r>
    </w:p>
    <w:p w14:paraId="647D0D8D">
      <w:pPr>
        <w:pStyle w:val="5"/>
        <w:bidi w:val="0"/>
        <w:rPr>
          <w:color w:val="auto"/>
          <w:highlight w:val="none"/>
        </w:rPr>
      </w:pPr>
      <w:r>
        <w:rPr>
          <w:color w:val="auto"/>
          <w:highlight w:val="none"/>
        </w:rPr>
        <w:t>4.2.1.2 补充监测</w:t>
      </w:r>
    </w:p>
    <w:p w14:paraId="404D1375">
      <w:pPr>
        <w:ind w:firstLine="600" w:firstLineChars="250"/>
        <w:rPr>
          <w:rFonts w:cs="Times New Roman"/>
          <w:color w:val="auto"/>
          <w:highlight w:val="none"/>
        </w:rPr>
      </w:pPr>
      <w:r>
        <w:rPr>
          <w:rFonts w:cs="Times New Roman"/>
          <w:color w:val="auto"/>
          <w:highlight w:val="none"/>
        </w:rPr>
        <w:t>本项目</w:t>
      </w:r>
      <w:r>
        <w:rPr>
          <w:rFonts w:ascii="Times New Roman" w:hAnsi="Times New Roman" w:eastAsia="宋体" w:cs="Times New Roman"/>
          <w:color w:val="auto"/>
          <w:highlight w:val="none"/>
        </w:rPr>
        <w:t>委托</w:t>
      </w:r>
      <w:r>
        <w:rPr>
          <w:rFonts w:hint="eastAsia" w:ascii="Times New Roman" w:hAnsi="Times New Roman" w:eastAsia="宋体" w:cs="Times New Roman"/>
          <w:color w:val="auto"/>
          <w:highlight w:val="none"/>
          <w:lang w:eastAsia="zh-CN"/>
        </w:rPr>
        <w:t>黑龙江汉风环境检测技术有限公司</w:t>
      </w:r>
      <w:r>
        <w:rPr>
          <w:rFonts w:ascii="Times New Roman" w:hAnsi="Times New Roman" w:eastAsia="宋体" w:cs="Times New Roman"/>
          <w:color w:val="auto"/>
          <w:highlight w:val="none"/>
        </w:rPr>
        <w:t>对项目特</w:t>
      </w:r>
      <w:r>
        <w:rPr>
          <w:rFonts w:cs="Times New Roman"/>
          <w:color w:val="auto"/>
          <w:highlight w:val="none"/>
        </w:rPr>
        <w:t>征污染物</w:t>
      </w:r>
      <w:r>
        <w:rPr>
          <w:rFonts w:hint="eastAsia" w:cs="Times New Roman"/>
          <w:color w:val="auto"/>
          <w:highlight w:val="none"/>
          <w:lang w:val="en-US" w:eastAsia="zh-CN"/>
        </w:rPr>
        <w:t>TSP、</w:t>
      </w:r>
      <w:r>
        <w:rPr>
          <w:rFonts w:cs="Times New Roman"/>
          <w:color w:val="auto"/>
          <w:highlight w:val="none"/>
        </w:rPr>
        <w:t>NH</w:t>
      </w:r>
      <w:r>
        <w:rPr>
          <w:rFonts w:cs="Times New Roman"/>
          <w:color w:val="auto"/>
          <w:highlight w:val="none"/>
          <w:vertAlign w:val="subscript"/>
        </w:rPr>
        <w:t>3</w:t>
      </w:r>
      <w:r>
        <w:rPr>
          <w:rFonts w:cs="Times New Roman"/>
          <w:color w:val="auto"/>
          <w:highlight w:val="none"/>
        </w:rPr>
        <w:t>、H</w:t>
      </w:r>
      <w:r>
        <w:rPr>
          <w:rFonts w:cs="Times New Roman"/>
          <w:color w:val="auto"/>
          <w:highlight w:val="none"/>
          <w:vertAlign w:val="subscript"/>
        </w:rPr>
        <w:t>2</w:t>
      </w:r>
      <w:r>
        <w:rPr>
          <w:rFonts w:cs="Times New Roman"/>
          <w:color w:val="auto"/>
          <w:highlight w:val="none"/>
        </w:rPr>
        <w:t>S</w:t>
      </w:r>
      <w:r>
        <w:rPr>
          <w:rFonts w:hint="eastAsia" w:cs="Times New Roman"/>
          <w:color w:val="auto"/>
          <w:highlight w:val="none"/>
          <w:lang w:eastAsia="zh-CN"/>
        </w:rPr>
        <w:t>、</w:t>
      </w:r>
      <w:r>
        <w:rPr>
          <w:rFonts w:hint="eastAsia" w:cs="Times New Roman"/>
          <w:color w:val="auto"/>
          <w:highlight w:val="none"/>
          <w:lang w:val="en-US" w:eastAsia="zh-CN"/>
        </w:rPr>
        <w:t>臭气浓度</w:t>
      </w:r>
      <w:r>
        <w:rPr>
          <w:rFonts w:cs="Times New Roman"/>
          <w:color w:val="auto"/>
          <w:highlight w:val="none"/>
        </w:rPr>
        <w:t>进行了补充现状监测。具体情况如下：</w:t>
      </w:r>
    </w:p>
    <w:p w14:paraId="65A334E2">
      <w:pPr>
        <w:ind w:firstLine="482"/>
        <w:rPr>
          <w:rFonts w:cs="Times New Roman"/>
          <w:b/>
          <w:bCs/>
          <w:color w:val="auto"/>
          <w:szCs w:val="24"/>
          <w:highlight w:val="none"/>
        </w:rPr>
      </w:pPr>
      <w:r>
        <w:rPr>
          <w:rFonts w:cs="Times New Roman"/>
          <w:b/>
          <w:bCs/>
          <w:color w:val="auto"/>
          <w:szCs w:val="24"/>
          <w:highlight w:val="none"/>
        </w:rPr>
        <w:t>1、监测布点及内容</w:t>
      </w:r>
    </w:p>
    <w:p w14:paraId="3CA34B02">
      <w:pPr>
        <w:rPr>
          <w:rFonts w:cs="Times New Roman"/>
          <w:color w:val="auto"/>
          <w:szCs w:val="24"/>
          <w:highlight w:val="none"/>
        </w:rPr>
      </w:pPr>
      <w:r>
        <w:rPr>
          <w:rFonts w:cs="Times New Roman"/>
          <w:color w:val="auto"/>
          <w:szCs w:val="24"/>
          <w:highlight w:val="none"/>
        </w:rPr>
        <w:t>环境空气现状监测设置2个监测点位，监测点位布设情况见表4-2-2及图4-2-1。</w:t>
      </w:r>
    </w:p>
    <w:p w14:paraId="61991DE6">
      <w:pPr>
        <w:pStyle w:val="63"/>
        <w:jc w:val="center"/>
        <w:rPr>
          <w:rFonts w:ascii="Times New Roman" w:cs="Times New Roman" w:eastAsiaTheme="minorEastAsia"/>
          <w:b/>
          <w:bCs/>
          <w:color w:val="auto"/>
          <w:kern w:val="2"/>
          <w:szCs w:val="22"/>
          <w:highlight w:val="none"/>
        </w:rPr>
      </w:pPr>
      <w:r>
        <w:rPr>
          <w:rFonts w:ascii="Times New Roman" w:cs="Times New Roman" w:eastAsiaTheme="minorEastAsia"/>
          <w:b/>
          <w:bCs/>
          <w:color w:val="auto"/>
          <w:kern w:val="2"/>
          <w:szCs w:val="22"/>
          <w:highlight w:val="none"/>
        </w:rPr>
        <w:t>表4-2-2  环境空气补充监测点位基本信息表</w:t>
      </w:r>
    </w:p>
    <w:tbl>
      <w:tblPr>
        <w:tblStyle w:val="47"/>
        <w:tblW w:w="87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250"/>
        <w:gridCol w:w="1125"/>
        <w:gridCol w:w="1181"/>
        <w:gridCol w:w="1710"/>
        <w:gridCol w:w="1071"/>
        <w:gridCol w:w="1111"/>
      </w:tblGrid>
      <w:tr w14:paraId="25AAF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09" w:type="dxa"/>
            <w:vMerge w:val="restart"/>
            <w:vAlign w:val="center"/>
          </w:tcPr>
          <w:p w14:paraId="60EE399A">
            <w:pPr>
              <w:widowControl/>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监测点名称</w:t>
            </w:r>
          </w:p>
        </w:tc>
        <w:tc>
          <w:tcPr>
            <w:tcW w:w="2375" w:type="dxa"/>
            <w:gridSpan w:val="2"/>
            <w:vAlign w:val="center"/>
          </w:tcPr>
          <w:p w14:paraId="762DCBFD">
            <w:pPr>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监测点坐标/°</w:t>
            </w:r>
          </w:p>
        </w:tc>
        <w:tc>
          <w:tcPr>
            <w:tcW w:w="1181" w:type="dxa"/>
            <w:vMerge w:val="restart"/>
            <w:vAlign w:val="center"/>
          </w:tcPr>
          <w:p w14:paraId="5AF47640">
            <w:pPr>
              <w:widowControl/>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监测因子</w:t>
            </w:r>
          </w:p>
        </w:tc>
        <w:tc>
          <w:tcPr>
            <w:tcW w:w="1710" w:type="dxa"/>
            <w:vMerge w:val="restart"/>
            <w:vAlign w:val="center"/>
          </w:tcPr>
          <w:p w14:paraId="07F63F4A">
            <w:pPr>
              <w:widowControl/>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监测时段</w:t>
            </w:r>
          </w:p>
        </w:tc>
        <w:tc>
          <w:tcPr>
            <w:tcW w:w="1071" w:type="dxa"/>
            <w:vMerge w:val="restart"/>
            <w:vAlign w:val="center"/>
          </w:tcPr>
          <w:p w14:paraId="7B6A1397">
            <w:pPr>
              <w:widowControl/>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相对厂址方位</w:t>
            </w:r>
          </w:p>
        </w:tc>
        <w:tc>
          <w:tcPr>
            <w:tcW w:w="1111" w:type="dxa"/>
            <w:vMerge w:val="restart"/>
            <w:vAlign w:val="center"/>
          </w:tcPr>
          <w:p w14:paraId="42866E5E">
            <w:pPr>
              <w:widowControl/>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相对厂界距离/m</w:t>
            </w:r>
          </w:p>
        </w:tc>
      </w:tr>
      <w:tr w14:paraId="363EF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309" w:type="dxa"/>
            <w:vMerge w:val="continue"/>
            <w:vAlign w:val="center"/>
          </w:tcPr>
          <w:p w14:paraId="64854516">
            <w:pPr>
              <w:widowControl/>
              <w:spacing w:line="360" w:lineRule="exact"/>
              <w:ind w:firstLine="0" w:firstLineChars="0"/>
              <w:jc w:val="center"/>
              <w:textAlignment w:val="baseline"/>
              <w:rPr>
                <w:rFonts w:cs="Times New Roman"/>
                <w:color w:val="auto"/>
                <w:kern w:val="0"/>
                <w:sz w:val="21"/>
                <w:szCs w:val="21"/>
                <w:highlight w:val="none"/>
              </w:rPr>
            </w:pPr>
          </w:p>
        </w:tc>
        <w:tc>
          <w:tcPr>
            <w:tcW w:w="1250" w:type="dxa"/>
            <w:vAlign w:val="center"/>
          </w:tcPr>
          <w:p w14:paraId="4758BB22">
            <w:pPr>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经度</w:t>
            </w:r>
          </w:p>
        </w:tc>
        <w:tc>
          <w:tcPr>
            <w:tcW w:w="1125" w:type="dxa"/>
            <w:vAlign w:val="center"/>
          </w:tcPr>
          <w:p w14:paraId="0F377AC7">
            <w:pPr>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纬度</w:t>
            </w:r>
          </w:p>
        </w:tc>
        <w:tc>
          <w:tcPr>
            <w:tcW w:w="1181" w:type="dxa"/>
            <w:vMerge w:val="continue"/>
            <w:vAlign w:val="center"/>
          </w:tcPr>
          <w:p w14:paraId="6039BEF7">
            <w:pPr>
              <w:spacing w:line="360" w:lineRule="exact"/>
              <w:ind w:firstLine="0" w:firstLineChars="0"/>
              <w:jc w:val="center"/>
              <w:textAlignment w:val="baseline"/>
              <w:rPr>
                <w:rFonts w:cs="Times New Roman"/>
                <w:color w:val="auto"/>
                <w:kern w:val="0"/>
                <w:sz w:val="21"/>
                <w:szCs w:val="21"/>
                <w:highlight w:val="none"/>
              </w:rPr>
            </w:pPr>
          </w:p>
        </w:tc>
        <w:tc>
          <w:tcPr>
            <w:tcW w:w="1710" w:type="dxa"/>
            <w:vMerge w:val="continue"/>
            <w:vAlign w:val="center"/>
          </w:tcPr>
          <w:p w14:paraId="75837B5B">
            <w:pPr>
              <w:widowControl/>
              <w:spacing w:line="360" w:lineRule="exact"/>
              <w:ind w:firstLine="0" w:firstLineChars="0"/>
              <w:jc w:val="center"/>
              <w:textAlignment w:val="baseline"/>
              <w:rPr>
                <w:rFonts w:cs="Times New Roman"/>
                <w:color w:val="auto"/>
                <w:kern w:val="0"/>
                <w:sz w:val="21"/>
                <w:szCs w:val="21"/>
                <w:highlight w:val="none"/>
              </w:rPr>
            </w:pPr>
          </w:p>
        </w:tc>
        <w:tc>
          <w:tcPr>
            <w:tcW w:w="1071" w:type="dxa"/>
            <w:vMerge w:val="continue"/>
            <w:vAlign w:val="center"/>
          </w:tcPr>
          <w:p w14:paraId="6760C484">
            <w:pPr>
              <w:widowControl/>
              <w:spacing w:line="360" w:lineRule="exact"/>
              <w:ind w:firstLine="0" w:firstLineChars="0"/>
              <w:jc w:val="center"/>
              <w:textAlignment w:val="baseline"/>
              <w:rPr>
                <w:rFonts w:cs="Times New Roman"/>
                <w:color w:val="auto"/>
                <w:kern w:val="0"/>
                <w:sz w:val="21"/>
                <w:szCs w:val="21"/>
                <w:highlight w:val="none"/>
              </w:rPr>
            </w:pPr>
          </w:p>
        </w:tc>
        <w:tc>
          <w:tcPr>
            <w:tcW w:w="1111" w:type="dxa"/>
            <w:vMerge w:val="continue"/>
            <w:vAlign w:val="center"/>
          </w:tcPr>
          <w:p w14:paraId="662ED8D9">
            <w:pPr>
              <w:widowControl/>
              <w:spacing w:line="360" w:lineRule="exact"/>
              <w:ind w:firstLine="0" w:firstLineChars="0"/>
              <w:jc w:val="center"/>
              <w:textAlignment w:val="baseline"/>
              <w:rPr>
                <w:rFonts w:cs="Times New Roman"/>
                <w:color w:val="auto"/>
                <w:kern w:val="0"/>
                <w:sz w:val="21"/>
                <w:szCs w:val="21"/>
                <w:highlight w:val="none"/>
              </w:rPr>
            </w:pPr>
          </w:p>
        </w:tc>
      </w:tr>
      <w:tr w14:paraId="4BD4A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309" w:type="dxa"/>
            <w:vMerge w:val="restart"/>
            <w:vAlign w:val="center"/>
          </w:tcPr>
          <w:p w14:paraId="1A123B81">
            <w:pPr>
              <w:spacing w:line="360" w:lineRule="exact"/>
              <w:ind w:firstLine="0" w:firstLineChars="0"/>
              <w:jc w:val="center"/>
              <w:textAlignment w:val="baseline"/>
              <w:rPr>
                <w:rFonts w:hint="eastAsia" w:eastAsia="宋体" w:cs="Times New Roman"/>
                <w:color w:val="auto"/>
                <w:kern w:val="0"/>
                <w:sz w:val="21"/>
                <w:szCs w:val="21"/>
                <w:highlight w:val="none"/>
                <w:lang w:val="en-US" w:eastAsia="zh-CN"/>
              </w:rPr>
            </w:pPr>
            <w:r>
              <w:rPr>
                <w:rFonts w:cs="Times New Roman"/>
                <w:color w:val="auto"/>
                <w:kern w:val="0"/>
                <w:sz w:val="21"/>
                <w:szCs w:val="21"/>
                <w:highlight w:val="none"/>
              </w:rPr>
              <w:t>1#厂址</w:t>
            </w:r>
          </w:p>
        </w:tc>
        <w:tc>
          <w:tcPr>
            <w:tcW w:w="1250" w:type="dxa"/>
            <w:vMerge w:val="restart"/>
            <w:vAlign w:val="center"/>
          </w:tcPr>
          <w:p w14:paraId="75FF1607">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rPr>
              <w:t>131.149018</w:t>
            </w:r>
          </w:p>
        </w:tc>
        <w:tc>
          <w:tcPr>
            <w:tcW w:w="1125" w:type="dxa"/>
            <w:vMerge w:val="restart"/>
            <w:vAlign w:val="center"/>
          </w:tcPr>
          <w:p w14:paraId="2F00E202">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rPr>
              <w:t>46.557431</w:t>
            </w:r>
          </w:p>
        </w:tc>
        <w:tc>
          <w:tcPr>
            <w:tcW w:w="1181" w:type="dxa"/>
            <w:vAlign w:val="center"/>
          </w:tcPr>
          <w:p w14:paraId="0084D019">
            <w:pPr>
              <w:widowControl/>
              <w:spacing w:line="360" w:lineRule="exact"/>
              <w:ind w:firstLine="0" w:firstLineChars="0"/>
              <w:jc w:val="center"/>
              <w:textAlignment w:val="baseline"/>
              <w:rPr>
                <w:rFonts w:cs="Times New Roman"/>
                <w:color w:val="auto"/>
                <w:kern w:val="0"/>
                <w:sz w:val="21"/>
                <w:szCs w:val="21"/>
                <w:highlight w:val="none"/>
              </w:rPr>
            </w:pPr>
            <w:r>
              <w:rPr>
                <w:rFonts w:cs="Times New Roman"/>
                <w:color w:val="auto"/>
                <w:sz w:val="21"/>
                <w:szCs w:val="21"/>
                <w:highlight w:val="none"/>
              </w:rPr>
              <w:t>氨</w:t>
            </w:r>
          </w:p>
        </w:tc>
        <w:tc>
          <w:tcPr>
            <w:tcW w:w="1710" w:type="dxa"/>
            <w:vMerge w:val="restart"/>
            <w:vAlign w:val="center"/>
          </w:tcPr>
          <w:p w14:paraId="71552FB7">
            <w:pPr>
              <w:spacing w:line="360" w:lineRule="exact"/>
              <w:ind w:firstLine="0" w:firstLineChars="0"/>
              <w:jc w:val="center"/>
              <w:textAlignment w:val="baseline"/>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2025.08.16-2025.08.22</w:t>
            </w:r>
          </w:p>
        </w:tc>
        <w:tc>
          <w:tcPr>
            <w:tcW w:w="1071" w:type="dxa"/>
            <w:vMerge w:val="restart"/>
            <w:vAlign w:val="center"/>
          </w:tcPr>
          <w:p w14:paraId="6E4CC8AC">
            <w:pPr>
              <w:widowControl/>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w:t>
            </w:r>
          </w:p>
        </w:tc>
        <w:tc>
          <w:tcPr>
            <w:tcW w:w="1111" w:type="dxa"/>
            <w:vMerge w:val="restart"/>
            <w:vAlign w:val="center"/>
          </w:tcPr>
          <w:p w14:paraId="292C85B2">
            <w:pPr>
              <w:widowControl/>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w:t>
            </w:r>
          </w:p>
        </w:tc>
      </w:tr>
      <w:tr w14:paraId="0FF4D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309" w:type="dxa"/>
            <w:vMerge w:val="continue"/>
            <w:vAlign w:val="center"/>
          </w:tcPr>
          <w:p w14:paraId="15D78582">
            <w:pPr>
              <w:spacing w:line="360" w:lineRule="exact"/>
              <w:ind w:firstLine="0" w:firstLineChars="0"/>
              <w:jc w:val="center"/>
              <w:textAlignment w:val="baseline"/>
              <w:rPr>
                <w:rFonts w:cs="Times New Roman"/>
                <w:color w:val="auto"/>
                <w:kern w:val="0"/>
                <w:sz w:val="21"/>
                <w:szCs w:val="21"/>
                <w:highlight w:val="none"/>
              </w:rPr>
            </w:pPr>
          </w:p>
        </w:tc>
        <w:tc>
          <w:tcPr>
            <w:tcW w:w="1250" w:type="dxa"/>
            <w:vMerge w:val="continue"/>
            <w:vAlign w:val="center"/>
          </w:tcPr>
          <w:p w14:paraId="164531BA">
            <w:pPr>
              <w:spacing w:line="360" w:lineRule="exact"/>
              <w:ind w:firstLine="0" w:firstLineChars="0"/>
              <w:jc w:val="center"/>
              <w:textAlignment w:val="baseline"/>
              <w:rPr>
                <w:rFonts w:cs="Times New Roman"/>
                <w:color w:val="auto"/>
                <w:kern w:val="0"/>
                <w:sz w:val="21"/>
                <w:szCs w:val="21"/>
                <w:highlight w:val="none"/>
              </w:rPr>
            </w:pPr>
          </w:p>
        </w:tc>
        <w:tc>
          <w:tcPr>
            <w:tcW w:w="1125" w:type="dxa"/>
            <w:vMerge w:val="continue"/>
            <w:vAlign w:val="center"/>
          </w:tcPr>
          <w:p w14:paraId="159B6091">
            <w:pPr>
              <w:spacing w:line="360" w:lineRule="exact"/>
              <w:ind w:firstLine="0" w:firstLineChars="0"/>
              <w:jc w:val="center"/>
              <w:textAlignment w:val="baseline"/>
              <w:rPr>
                <w:rFonts w:cs="Times New Roman"/>
                <w:color w:val="auto"/>
                <w:kern w:val="0"/>
                <w:sz w:val="21"/>
                <w:szCs w:val="21"/>
                <w:highlight w:val="none"/>
              </w:rPr>
            </w:pPr>
          </w:p>
        </w:tc>
        <w:tc>
          <w:tcPr>
            <w:tcW w:w="1181" w:type="dxa"/>
            <w:vAlign w:val="center"/>
          </w:tcPr>
          <w:p w14:paraId="657C97C8">
            <w:pPr>
              <w:widowControl/>
              <w:spacing w:line="360" w:lineRule="exact"/>
              <w:ind w:firstLine="0" w:firstLineChars="0"/>
              <w:jc w:val="center"/>
              <w:textAlignment w:val="baseline"/>
              <w:rPr>
                <w:rFonts w:cs="Times New Roman"/>
                <w:color w:val="auto"/>
                <w:sz w:val="21"/>
                <w:szCs w:val="21"/>
                <w:highlight w:val="none"/>
              </w:rPr>
            </w:pPr>
            <w:r>
              <w:rPr>
                <w:rFonts w:cs="Times New Roman"/>
                <w:color w:val="auto"/>
                <w:sz w:val="21"/>
                <w:szCs w:val="21"/>
                <w:highlight w:val="none"/>
              </w:rPr>
              <w:t>硫化氢</w:t>
            </w:r>
          </w:p>
        </w:tc>
        <w:tc>
          <w:tcPr>
            <w:tcW w:w="1710" w:type="dxa"/>
            <w:vMerge w:val="continue"/>
            <w:vAlign w:val="center"/>
          </w:tcPr>
          <w:p w14:paraId="78E69F61">
            <w:pPr>
              <w:spacing w:line="360" w:lineRule="exact"/>
              <w:ind w:firstLine="0" w:firstLineChars="0"/>
              <w:jc w:val="center"/>
              <w:textAlignment w:val="baseline"/>
              <w:rPr>
                <w:rFonts w:cs="Times New Roman"/>
                <w:color w:val="auto"/>
                <w:kern w:val="0"/>
                <w:sz w:val="21"/>
                <w:szCs w:val="21"/>
                <w:highlight w:val="none"/>
              </w:rPr>
            </w:pPr>
          </w:p>
        </w:tc>
        <w:tc>
          <w:tcPr>
            <w:tcW w:w="1071" w:type="dxa"/>
            <w:vMerge w:val="continue"/>
            <w:vAlign w:val="center"/>
          </w:tcPr>
          <w:p w14:paraId="5FC4F5B3">
            <w:pPr>
              <w:widowControl/>
              <w:spacing w:line="360" w:lineRule="exact"/>
              <w:ind w:firstLine="0" w:firstLineChars="0"/>
              <w:jc w:val="center"/>
              <w:textAlignment w:val="baseline"/>
              <w:rPr>
                <w:rFonts w:cs="Times New Roman"/>
                <w:color w:val="auto"/>
                <w:kern w:val="0"/>
                <w:sz w:val="21"/>
                <w:szCs w:val="21"/>
                <w:highlight w:val="none"/>
              </w:rPr>
            </w:pPr>
          </w:p>
        </w:tc>
        <w:tc>
          <w:tcPr>
            <w:tcW w:w="1111" w:type="dxa"/>
            <w:vMerge w:val="continue"/>
            <w:vAlign w:val="center"/>
          </w:tcPr>
          <w:p w14:paraId="1F1D93E6">
            <w:pPr>
              <w:widowControl/>
              <w:spacing w:line="360" w:lineRule="exact"/>
              <w:ind w:firstLine="0" w:firstLineChars="0"/>
              <w:jc w:val="center"/>
              <w:textAlignment w:val="baseline"/>
              <w:rPr>
                <w:rFonts w:cs="Times New Roman"/>
                <w:color w:val="auto"/>
                <w:kern w:val="0"/>
                <w:sz w:val="21"/>
                <w:szCs w:val="21"/>
                <w:highlight w:val="none"/>
              </w:rPr>
            </w:pPr>
          </w:p>
        </w:tc>
      </w:tr>
      <w:tr w14:paraId="18F59B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309" w:type="dxa"/>
            <w:vMerge w:val="continue"/>
            <w:vAlign w:val="center"/>
          </w:tcPr>
          <w:p w14:paraId="6BDE6609">
            <w:pPr>
              <w:spacing w:line="360" w:lineRule="exact"/>
              <w:ind w:firstLine="0" w:firstLineChars="0"/>
              <w:jc w:val="center"/>
              <w:textAlignment w:val="baseline"/>
              <w:rPr>
                <w:rFonts w:cs="Times New Roman"/>
                <w:color w:val="auto"/>
                <w:kern w:val="0"/>
                <w:sz w:val="21"/>
                <w:szCs w:val="21"/>
                <w:highlight w:val="none"/>
              </w:rPr>
            </w:pPr>
          </w:p>
        </w:tc>
        <w:tc>
          <w:tcPr>
            <w:tcW w:w="1250" w:type="dxa"/>
            <w:vMerge w:val="continue"/>
            <w:vAlign w:val="center"/>
          </w:tcPr>
          <w:p w14:paraId="21E8B419">
            <w:pPr>
              <w:spacing w:line="360" w:lineRule="exact"/>
              <w:ind w:firstLine="0" w:firstLineChars="0"/>
              <w:jc w:val="center"/>
              <w:textAlignment w:val="baseline"/>
              <w:rPr>
                <w:rFonts w:cs="Times New Roman"/>
                <w:color w:val="auto"/>
                <w:kern w:val="0"/>
                <w:sz w:val="21"/>
                <w:szCs w:val="21"/>
                <w:highlight w:val="none"/>
              </w:rPr>
            </w:pPr>
          </w:p>
        </w:tc>
        <w:tc>
          <w:tcPr>
            <w:tcW w:w="1125" w:type="dxa"/>
            <w:vMerge w:val="continue"/>
            <w:vAlign w:val="center"/>
          </w:tcPr>
          <w:p w14:paraId="3AD41A80">
            <w:pPr>
              <w:spacing w:line="360" w:lineRule="exact"/>
              <w:ind w:firstLine="0" w:firstLineChars="0"/>
              <w:jc w:val="center"/>
              <w:textAlignment w:val="baseline"/>
              <w:rPr>
                <w:rFonts w:cs="Times New Roman"/>
                <w:color w:val="auto"/>
                <w:kern w:val="0"/>
                <w:sz w:val="21"/>
                <w:szCs w:val="21"/>
                <w:highlight w:val="none"/>
              </w:rPr>
            </w:pPr>
          </w:p>
        </w:tc>
        <w:tc>
          <w:tcPr>
            <w:tcW w:w="1181" w:type="dxa"/>
            <w:vAlign w:val="center"/>
          </w:tcPr>
          <w:p w14:paraId="216F855F">
            <w:pPr>
              <w:widowControl/>
              <w:spacing w:line="360" w:lineRule="exact"/>
              <w:ind w:firstLine="0" w:firstLineChars="0"/>
              <w:jc w:val="center"/>
              <w:textAlignment w:val="baseline"/>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TSP</w:t>
            </w:r>
          </w:p>
        </w:tc>
        <w:tc>
          <w:tcPr>
            <w:tcW w:w="1710" w:type="dxa"/>
            <w:vMerge w:val="continue"/>
            <w:vAlign w:val="center"/>
          </w:tcPr>
          <w:p w14:paraId="6A8E206B">
            <w:pPr>
              <w:spacing w:line="360" w:lineRule="exact"/>
              <w:ind w:firstLine="0" w:firstLineChars="0"/>
              <w:jc w:val="center"/>
              <w:textAlignment w:val="baseline"/>
              <w:rPr>
                <w:rFonts w:hint="default" w:eastAsia="宋体" w:cs="Times New Roman"/>
                <w:color w:val="auto"/>
                <w:kern w:val="0"/>
                <w:sz w:val="21"/>
                <w:szCs w:val="21"/>
                <w:highlight w:val="none"/>
                <w:lang w:val="en-US" w:eastAsia="zh-CN"/>
              </w:rPr>
            </w:pPr>
          </w:p>
        </w:tc>
        <w:tc>
          <w:tcPr>
            <w:tcW w:w="1071" w:type="dxa"/>
            <w:vMerge w:val="continue"/>
            <w:vAlign w:val="center"/>
          </w:tcPr>
          <w:p w14:paraId="53D9DBF3">
            <w:pPr>
              <w:widowControl/>
              <w:spacing w:line="360" w:lineRule="exact"/>
              <w:ind w:firstLine="0" w:firstLineChars="0"/>
              <w:jc w:val="center"/>
              <w:textAlignment w:val="baseline"/>
              <w:rPr>
                <w:rFonts w:cs="Times New Roman"/>
                <w:color w:val="auto"/>
                <w:kern w:val="0"/>
                <w:sz w:val="21"/>
                <w:szCs w:val="21"/>
                <w:highlight w:val="none"/>
              </w:rPr>
            </w:pPr>
          </w:p>
        </w:tc>
        <w:tc>
          <w:tcPr>
            <w:tcW w:w="1111" w:type="dxa"/>
            <w:vMerge w:val="continue"/>
            <w:vAlign w:val="center"/>
          </w:tcPr>
          <w:p w14:paraId="297C7E20">
            <w:pPr>
              <w:widowControl/>
              <w:spacing w:line="360" w:lineRule="exact"/>
              <w:ind w:firstLine="0" w:firstLineChars="0"/>
              <w:jc w:val="center"/>
              <w:textAlignment w:val="baseline"/>
              <w:rPr>
                <w:rFonts w:cs="Times New Roman"/>
                <w:color w:val="auto"/>
                <w:kern w:val="0"/>
                <w:sz w:val="21"/>
                <w:szCs w:val="21"/>
                <w:highlight w:val="none"/>
              </w:rPr>
            </w:pPr>
          </w:p>
        </w:tc>
      </w:tr>
      <w:tr w14:paraId="661EA3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309" w:type="dxa"/>
            <w:vMerge w:val="continue"/>
            <w:vAlign w:val="center"/>
          </w:tcPr>
          <w:p w14:paraId="11B631A6">
            <w:pPr>
              <w:spacing w:line="360" w:lineRule="exact"/>
              <w:ind w:firstLine="0" w:firstLineChars="0"/>
              <w:jc w:val="center"/>
              <w:textAlignment w:val="baseline"/>
              <w:rPr>
                <w:rFonts w:cs="Times New Roman"/>
                <w:color w:val="auto"/>
                <w:kern w:val="0"/>
                <w:sz w:val="21"/>
                <w:szCs w:val="21"/>
                <w:highlight w:val="none"/>
              </w:rPr>
            </w:pPr>
          </w:p>
        </w:tc>
        <w:tc>
          <w:tcPr>
            <w:tcW w:w="1250" w:type="dxa"/>
            <w:vMerge w:val="continue"/>
            <w:vAlign w:val="center"/>
          </w:tcPr>
          <w:p w14:paraId="4B935197">
            <w:pPr>
              <w:spacing w:line="360" w:lineRule="exact"/>
              <w:ind w:firstLine="0" w:firstLineChars="0"/>
              <w:jc w:val="center"/>
              <w:textAlignment w:val="baseline"/>
              <w:rPr>
                <w:rFonts w:cs="Times New Roman"/>
                <w:color w:val="auto"/>
                <w:kern w:val="0"/>
                <w:sz w:val="21"/>
                <w:szCs w:val="21"/>
                <w:highlight w:val="none"/>
              </w:rPr>
            </w:pPr>
          </w:p>
        </w:tc>
        <w:tc>
          <w:tcPr>
            <w:tcW w:w="1125" w:type="dxa"/>
            <w:vMerge w:val="continue"/>
            <w:vAlign w:val="center"/>
          </w:tcPr>
          <w:p w14:paraId="7EF1BE99">
            <w:pPr>
              <w:spacing w:line="360" w:lineRule="exact"/>
              <w:ind w:firstLine="0" w:firstLineChars="0"/>
              <w:jc w:val="center"/>
              <w:textAlignment w:val="baseline"/>
              <w:rPr>
                <w:rFonts w:cs="Times New Roman"/>
                <w:color w:val="auto"/>
                <w:kern w:val="0"/>
                <w:sz w:val="21"/>
                <w:szCs w:val="21"/>
                <w:highlight w:val="none"/>
              </w:rPr>
            </w:pPr>
          </w:p>
        </w:tc>
        <w:tc>
          <w:tcPr>
            <w:tcW w:w="1181" w:type="dxa"/>
            <w:vAlign w:val="center"/>
          </w:tcPr>
          <w:p w14:paraId="43D64397">
            <w:pPr>
              <w:widowControl/>
              <w:spacing w:line="360" w:lineRule="exact"/>
              <w:ind w:firstLine="0" w:firstLineChars="0"/>
              <w:jc w:val="center"/>
              <w:textAlignment w:val="baseline"/>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710" w:type="dxa"/>
            <w:vMerge w:val="continue"/>
            <w:vAlign w:val="center"/>
          </w:tcPr>
          <w:p w14:paraId="6653F6C0">
            <w:pPr>
              <w:widowControl/>
              <w:spacing w:line="360" w:lineRule="exact"/>
              <w:ind w:firstLine="0" w:firstLineChars="0"/>
              <w:jc w:val="center"/>
              <w:textAlignment w:val="baseline"/>
              <w:rPr>
                <w:rFonts w:cs="Times New Roman"/>
                <w:color w:val="auto"/>
                <w:kern w:val="0"/>
                <w:sz w:val="21"/>
                <w:szCs w:val="21"/>
                <w:highlight w:val="none"/>
              </w:rPr>
            </w:pPr>
          </w:p>
        </w:tc>
        <w:tc>
          <w:tcPr>
            <w:tcW w:w="1071" w:type="dxa"/>
            <w:vMerge w:val="continue"/>
            <w:vAlign w:val="center"/>
          </w:tcPr>
          <w:p w14:paraId="3F2AC505">
            <w:pPr>
              <w:widowControl/>
              <w:spacing w:line="360" w:lineRule="exact"/>
              <w:ind w:firstLine="0" w:firstLineChars="0"/>
              <w:jc w:val="center"/>
              <w:textAlignment w:val="baseline"/>
              <w:rPr>
                <w:rFonts w:cs="Times New Roman"/>
                <w:color w:val="auto"/>
                <w:kern w:val="0"/>
                <w:sz w:val="21"/>
                <w:szCs w:val="21"/>
                <w:highlight w:val="none"/>
              </w:rPr>
            </w:pPr>
          </w:p>
        </w:tc>
        <w:tc>
          <w:tcPr>
            <w:tcW w:w="1111" w:type="dxa"/>
            <w:vMerge w:val="continue"/>
            <w:vAlign w:val="center"/>
          </w:tcPr>
          <w:p w14:paraId="0BC786C4">
            <w:pPr>
              <w:widowControl/>
              <w:spacing w:line="360" w:lineRule="exact"/>
              <w:ind w:firstLine="0" w:firstLineChars="0"/>
              <w:jc w:val="center"/>
              <w:textAlignment w:val="baseline"/>
              <w:rPr>
                <w:rFonts w:cs="Times New Roman"/>
                <w:color w:val="auto"/>
                <w:kern w:val="0"/>
                <w:sz w:val="21"/>
                <w:szCs w:val="21"/>
                <w:highlight w:val="none"/>
              </w:rPr>
            </w:pPr>
          </w:p>
        </w:tc>
      </w:tr>
      <w:tr w14:paraId="20BEF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309" w:type="dxa"/>
            <w:vMerge w:val="restart"/>
            <w:vAlign w:val="center"/>
          </w:tcPr>
          <w:p w14:paraId="41BB11FB">
            <w:pPr>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2#下风向</w:t>
            </w:r>
          </w:p>
        </w:tc>
        <w:tc>
          <w:tcPr>
            <w:tcW w:w="1250" w:type="dxa"/>
            <w:vMerge w:val="restart"/>
            <w:vAlign w:val="center"/>
          </w:tcPr>
          <w:p w14:paraId="62933A0E">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rPr>
              <w:t>131.153302</w:t>
            </w:r>
          </w:p>
        </w:tc>
        <w:tc>
          <w:tcPr>
            <w:tcW w:w="1125" w:type="dxa"/>
            <w:vMerge w:val="restart"/>
            <w:vAlign w:val="center"/>
          </w:tcPr>
          <w:p w14:paraId="3EECF371">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rPr>
              <w:t>46.560667</w:t>
            </w:r>
          </w:p>
        </w:tc>
        <w:tc>
          <w:tcPr>
            <w:tcW w:w="1181" w:type="dxa"/>
            <w:vAlign w:val="center"/>
          </w:tcPr>
          <w:p w14:paraId="58FE6CAC">
            <w:pPr>
              <w:widowControl/>
              <w:spacing w:line="360" w:lineRule="exact"/>
              <w:ind w:firstLine="0" w:firstLineChars="0"/>
              <w:jc w:val="center"/>
              <w:textAlignment w:val="baseline"/>
              <w:rPr>
                <w:rFonts w:cs="Times New Roman"/>
                <w:color w:val="auto"/>
                <w:kern w:val="0"/>
                <w:sz w:val="21"/>
                <w:szCs w:val="21"/>
                <w:highlight w:val="none"/>
              </w:rPr>
            </w:pPr>
            <w:r>
              <w:rPr>
                <w:rFonts w:cs="Times New Roman"/>
                <w:color w:val="auto"/>
                <w:sz w:val="21"/>
                <w:szCs w:val="21"/>
                <w:highlight w:val="none"/>
              </w:rPr>
              <w:t>氨</w:t>
            </w:r>
          </w:p>
        </w:tc>
        <w:tc>
          <w:tcPr>
            <w:tcW w:w="1710" w:type="dxa"/>
            <w:vMerge w:val="restart"/>
            <w:vAlign w:val="center"/>
          </w:tcPr>
          <w:p w14:paraId="4FA1A8CB">
            <w:pPr>
              <w:spacing w:line="360" w:lineRule="exact"/>
              <w:ind w:firstLine="0" w:firstLineChars="0"/>
              <w:jc w:val="center"/>
              <w:textAlignment w:val="baseline"/>
              <w:rPr>
                <w:rFonts w:cs="Times New Roman"/>
                <w:color w:val="auto"/>
                <w:kern w:val="0"/>
                <w:sz w:val="21"/>
                <w:szCs w:val="21"/>
                <w:highlight w:val="none"/>
              </w:rPr>
            </w:pPr>
            <w:r>
              <w:rPr>
                <w:rFonts w:hint="eastAsia" w:cs="Times New Roman"/>
                <w:color w:val="auto"/>
                <w:kern w:val="0"/>
                <w:sz w:val="21"/>
                <w:szCs w:val="21"/>
                <w:highlight w:val="none"/>
                <w:lang w:val="en-US" w:eastAsia="zh-CN"/>
              </w:rPr>
              <w:t>2025.08.16-2025.08.22</w:t>
            </w:r>
          </w:p>
        </w:tc>
        <w:tc>
          <w:tcPr>
            <w:tcW w:w="1071" w:type="dxa"/>
            <w:vMerge w:val="restart"/>
            <w:vAlign w:val="center"/>
          </w:tcPr>
          <w:p w14:paraId="4CA3A8CC">
            <w:pPr>
              <w:spacing w:line="360" w:lineRule="exact"/>
              <w:ind w:firstLine="0" w:firstLineChars="0"/>
              <w:jc w:val="center"/>
              <w:textAlignment w:val="baseline"/>
              <w:rPr>
                <w:rFonts w:cs="Times New Roman"/>
                <w:color w:val="auto"/>
                <w:kern w:val="0"/>
                <w:sz w:val="21"/>
                <w:szCs w:val="21"/>
                <w:highlight w:val="none"/>
              </w:rPr>
            </w:pPr>
            <w:r>
              <w:rPr>
                <w:rFonts w:cs="Times New Roman"/>
                <w:color w:val="auto"/>
                <w:kern w:val="0"/>
                <w:sz w:val="21"/>
                <w:szCs w:val="21"/>
                <w:highlight w:val="none"/>
              </w:rPr>
              <w:t>NE</w:t>
            </w:r>
          </w:p>
        </w:tc>
        <w:tc>
          <w:tcPr>
            <w:tcW w:w="1111" w:type="dxa"/>
            <w:vMerge w:val="restart"/>
            <w:vAlign w:val="center"/>
          </w:tcPr>
          <w:p w14:paraId="0F9BA564">
            <w:pPr>
              <w:spacing w:line="360" w:lineRule="exact"/>
              <w:ind w:firstLine="0" w:firstLineChars="0"/>
              <w:jc w:val="center"/>
              <w:textAlignment w:val="baseline"/>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350</w:t>
            </w:r>
          </w:p>
        </w:tc>
      </w:tr>
      <w:tr w14:paraId="646E6B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309" w:type="dxa"/>
            <w:vMerge w:val="continue"/>
            <w:vAlign w:val="center"/>
          </w:tcPr>
          <w:p w14:paraId="19848CBC">
            <w:pPr>
              <w:spacing w:line="360" w:lineRule="exact"/>
              <w:ind w:firstLine="0" w:firstLineChars="0"/>
              <w:jc w:val="center"/>
              <w:textAlignment w:val="baseline"/>
              <w:rPr>
                <w:rFonts w:cs="Times New Roman"/>
                <w:color w:val="auto"/>
                <w:kern w:val="0"/>
                <w:sz w:val="21"/>
                <w:szCs w:val="21"/>
                <w:highlight w:val="none"/>
              </w:rPr>
            </w:pPr>
          </w:p>
        </w:tc>
        <w:tc>
          <w:tcPr>
            <w:tcW w:w="1250" w:type="dxa"/>
            <w:vMerge w:val="continue"/>
            <w:vAlign w:val="center"/>
          </w:tcPr>
          <w:p w14:paraId="6F373F78">
            <w:pPr>
              <w:spacing w:line="360" w:lineRule="exact"/>
              <w:ind w:firstLine="0" w:firstLineChars="0"/>
              <w:jc w:val="center"/>
              <w:textAlignment w:val="baseline"/>
              <w:rPr>
                <w:rFonts w:cs="Times New Roman"/>
                <w:color w:val="auto"/>
                <w:kern w:val="0"/>
                <w:sz w:val="21"/>
                <w:szCs w:val="21"/>
                <w:highlight w:val="none"/>
              </w:rPr>
            </w:pPr>
          </w:p>
        </w:tc>
        <w:tc>
          <w:tcPr>
            <w:tcW w:w="1125" w:type="dxa"/>
            <w:vMerge w:val="continue"/>
            <w:vAlign w:val="center"/>
          </w:tcPr>
          <w:p w14:paraId="132CFF85">
            <w:pPr>
              <w:spacing w:line="360" w:lineRule="exact"/>
              <w:ind w:firstLine="0" w:firstLineChars="0"/>
              <w:jc w:val="center"/>
              <w:textAlignment w:val="baseline"/>
              <w:rPr>
                <w:rFonts w:cs="Times New Roman"/>
                <w:color w:val="auto"/>
                <w:kern w:val="0"/>
                <w:sz w:val="21"/>
                <w:szCs w:val="21"/>
                <w:highlight w:val="none"/>
              </w:rPr>
            </w:pPr>
          </w:p>
        </w:tc>
        <w:tc>
          <w:tcPr>
            <w:tcW w:w="1181" w:type="dxa"/>
            <w:vAlign w:val="center"/>
          </w:tcPr>
          <w:p w14:paraId="5A8D5132">
            <w:pPr>
              <w:widowControl/>
              <w:spacing w:line="360" w:lineRule="exact"/>
              <w:ind w:firstLine="0" w:firstLineChars="0"/>
              <w:jc w:val="center"/>
              <w:textAlignment w:val="baseline"/>
              <w:rPr>
                <w:rFonts w:cs="Times New Roman"/>
                <w:color w:val="auto"/>
                <w:sz w:val="21"/>
                <w:szCs w:val="21"/>
                <w:highlight w:val="none"/>
              </w:rPr>
            </w:pPr>
            <w:r>
              <w:rPr>
                <w:rFonts w:cs="Times New Roman"/>
                <w:color w:val="auto"/>
                <w:sz w:val="21"/>
                <w:szCs w:val="21"/>
                <w:highlight w:val="none"/>
              </w:rPr>
              <w:t>硫化氢</w:t>
            </w:r>
          </w:p>
        </w:tc>
        <w:tc>
          <w:tcPr>
            <w:tcW w:w="1710" w:type="dxa"/>
            <w:vMerge w:val="continue"/>
            <w:vAlign w:val="center"/>
          </w:tcPr>
          <w:p w14:paraId="671F608F">
            <w:pPr>
              <w:spacing w:line="360" w:lineRule="exact"/>
              <w:ind w:firstLine="0" w:firstLineChars="0"/>
              <w:jc w:val="center"/>
              <w:textAlignment w:val="baseline"/>
              <w:rPr>
                <w:rFonts w:cs="Times New Roman"/>
                <w:color w:val="auto"/>
                <w:kern w:val="0"/>
                <w:sz w:val="21"/>
                <w:szCs w:val="21"/>
                <w:highlight w:val="none"/>
              </w:rPr>
            </w:pPr>
          </w:p>
        </w:tc>
        <w:tc>
          <w:tcPr>
            <w:tcW w:w="1071" w:type="dxa"/>
            <w:vMerge w:val="continue"/>
            <w:vAlign w:val="center"/>
          </w:tcPr>
          <w:p w14:paraId="72E447B1">
            <w:pPr>
              <w:spacing w:line="360" w:lineRule="exact"/>
              <w:ind w:firstLine="0" w:firstLineChars="0"/>
              <w:jc w:val="center"/>
              <w:textAlignment w:val="baseline"/>
              <w:rPr>
                <w:rFonts w:cs="Times New Roman"/>
                <w:color w:val="auto"/>
                <w:kern w:val="0"/>
                <w:sz w:val="21"/>
                <w:szCs w:val="21"/>
                <w:highlight w:val="none"/>
              </w:rPr>
            </w:pPr>
          </w:p>
        </w:tc>
        <w:tc>
          <w:tcPr>
            <w:tcW w:w="1111" w:type="dxa"/>
            <w:vMerge w:val="continue"/>
            <w:vAlign w:val="center"/>
          </w:tcPr>
          <w:p w14:paraId="1300930F">
            <w:pPr>
              <w:spacing w:line="360" w:lineRule="exact"/>
              <w:ind w:firstLine="0" w:firstLineChars="0"/>
              <w:jc w:val="center"/>
              <w:textAlignment w:val="baseline"/>
              <w:rPr>
                <w:rFonts w:cs="Times New Roman"/>
                <w:color w:val="auto"/>
                <w:kern w:val="0"/>
                <w:sz w:val="21"/>
                <w:szCs w:val="21"/>
                <w:highlight w:val="none"/>
              </w:rPr>
            </w:pPr>
          </w:p>
        </w:tc>
      </w:tr>
      <w:tr w14:paraId="363D4C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309" w:type="dxa"/>
            <w:vMerge w:val="continue"/>
            <w:vAlign w:val="center"/>
          </w:tcPr>
          <w:p w14:paraId="4B4D8713">
            <w:pPr>
              <w:spacing w:line="360" w:lineRule="exact"/>
              <w:ind w:firstLine="0" w:firstLineChars="0"/>
              <w:jc w:val="center"/>
              <w:textAlignment w:val="baseline"/>
              <w:rPr>
                <w:rFonts w:cs="Times New Roman"/>
                <w:color w:val="auto"/>
                <w:kern w:val="0"/>
                <w:sz w:val="21"/>
                <w:szCs w:val="21"/>
                <w:highlight w:val="none"/>
              </w:rPr>
            </w:pPr>
          </w:p>
        </w:tc>
        <w:tc>
          <w:tcPr>
            <w:tcW w:w="1250" w:type="dxa"/>
            <w:vMerge w:val="continue"/>
            <w:vAlign w:val="center"/>
          </w:tcPr>
          <w:p w14:paraId="5BD0D5A1">
            <w:pPr>
              <w:spacing w:line="360" w:lineRule="exact"/>
              <w:ind w:firstLine="0" w:firstLineChars="0"/>
              <w:jc w:val="center"/>
              <w:textAlignment w:val="baseline"/>
              <w:rPr>
                <w:rFonts w:cs="Times New Roman"/>
                <w:color w:val="auto"/>
                <w:kern w:val="0"/>
                <w:sz w:val="21"/>
                <w:szCs w:val="21"/>
                <w:highlight w:val="none"/>
              </w:rPr>
            </w:pPr>
          </w:p>
        </w:tc>
        <w:tc>
          <w:tcPr>
            <w:tcW w:w="1125" w:type="dxa"/>
            <w:vMerge w:val="continue"/>
            <w:vAlign w:val="center"/>
          </w:tcPr>
          <w:p w14:paraId="034194BE">
            <w:pPr>
              <w:spacing w:line="360" w:lineRule="exact"/>
              <w:ind w:firstLine="0" w:firstLineChars="0"/>
              <w:jc w:val="center"/>
              <w:textAlignment w:val="baseline"/>
              <w:rPr>
                <w:rFonts w:cs="Times New Roman"/>
                <w:color w:val="auto"/>
                <w:kern w:val="0"/>
                <w:sz w:val="21"/>
                <w:szCs w:val="21"/>
                <w:highlight w:val="none"/>
              </w:rPr>
            </w:pPr>
          </w:p>
        </w:tc>
        <w:tc>
          <w:tcPr>
            <w:tcW w:w="1181" w:type="dxa"/>
            <w:vAlign w:val="center"/>
          </w:tcPr>
          <w:p w14:paraId="4E76AB66">
            <w:pPr>
              <w:widowControl/>
              <w:spacing w:line="360" w:lineRule="exact"/>
              <w:ind w:firstLine="0" w:firstLineChars="0"/>
              <w:jc w:val="center"/>
              <w:textAlignment w:val="baseline"/>
              <w:rPr>
                <w:rFonts w:cs="Times New Roman"/>
                <w:color w:val="auto"/>
                <w:sz w:val="21"/>
                <w:szCs w:val="21"/>
                <w:highlight w:val="none"/>
              </w:rPr>
            </w:pPr>
            <w:r>
              <w:rPr>
                <w:rFonts w:hint="eastAsia" w:cs="Times New Roman"/>
                <w:color w:val="auto"/>
                <w:sz w:val="21"/>
                <w:szCs w:val="21"/>
                <w:highlight w:val="none"/>
                <w:lang w:val="en-US" w:eastAsia="zh-CN"/>
              </w:rPr>
              <w:t>TSP</w:t>
            </w:r>
          </w:p>
        </w:tc>
        <w:tc>
          <w:tcPr>
            <w:tcW w:w="1710" w:type="dxa"/>
            <w:vMerge w:val="continue"/>
            <w:vAlign w:val="center"/>
          </w:tcPr>
          <w:p w14:paraId="14B8E802">
            <w:pPr>
              <w:spacing w:line="360" w:lineRule="exact"/>
              <w:ind w:firstLine="0" w:firstLineChars="0"/>
              <w:jc w:val="center"/>
              <w:textAlignment w:val="baseline"/>
              <w:rPr>
                <w:rFonts w:cs="Times New Roman"/>
                <w:color w:val="auto"/>
                <w:kern w:val="0"/>
                <w:sz w:val="21"/>
                <w:szCs w:val="21"/>
                <w:highlight w:val="none"/>
              </w:rPr>
            </w:pPr>
          </w:p>
        </w:tc>
        <w:tc>
          <w:tcPr>
            <w:tcW w:w="1071" w:type="dxa"/>
            <w:vMerge w:val="continue"/>
            <w:vAlign w:val="center"/>
          </w:tcPr>
          <w:p w14:paraId="7065C278">
            <w:pPr>
              <w:spacing w:line="360" w:lineRule="exact"/>
              <w:ind w:firstLine="0" w:firstLineChars="0"/>
              <w:jc w:val="center"/>
              <w:textAlignment w:val="baseline"/>
              <w:rPr>
                <w:rFonts w:cs="Times New Roman"/>
                <w:color w:val="auto"/>
                <w:kern w:val="0"/>
                <w:sz w:val="21"/>
                <w:szCs w:val="21"/>
                <w:highlight w:val="none"/>
              </w:rPr>
            </w:pPr>
          </w:p>
        </w:tc>
        <w:tc>
          <w:tcPr>
            <w:tcW w:w="1111" w:type="dxa"/>
            <w:vMerge w:val="continue"/>
            <w:vAlign w:val="center"/>
          </w:tcPr>
          <w:p w14:paraId="121A2534">
            <w:pPr>
              <w:spacing w:line="360" w:lineRule="exact"/>
              <w:ind w:firstLine="0" w:firstLineChars="0"/>
              <w:jc w:val="center"/>
              <w:textAlignment w:val="baseline"/>
              <w:rPr>
                <w:rFonts w:cs="Times New Roman"/>
                <w:color w:val="auto"/>
                <w:kern w:val="0"/>
                <w:sz w:val="21"/>
                <w:szCs w:val="21"/>
                <w:highlight w:val="none"/>
              </w:rPr>
            </w:pPr>
          </w:p>
        </w:tc>
      </w:tr>
      <w:tr w14:paraId="177AC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309" w:type="dxa"/>
            <w:vMerge w:val="continue"/>
            <w:vAlign w:val="center"/>
          </w:tcPr>
          <w:p w14:paraId="5AE3A99D">
            <w:pPr>
              <w:spacing w:line="360" w:lineRule="exact"/>
              <w:ind w:firstLine="0" w:firstLineChars="0"/>
              <w:jc w:val="center"/>
              <w:textAlignment w:val="baseline"/>
              <w:rPr>
                <w:rFonts w:cs="Times New Roman"/>
                <w:color w:val="auto"/>
                <w:sz w:val="21"/>
                <w:szCs w:val="21"/>
                <w:highlight w:val="none"/>
              </w:rPr>
            </w:pPr>
          </w:p>
        </w:tc>
        <w:tc>
          <w:tcPr>
            <w:tcW w:w="1250" w:type="dxa"/>
            <w:vMerge w:val="continue"/>
            <w:vAlign w:val="center"/>
          </w:tcPr>
          <w:p w14:paraId="17A45020">
            <w:pPr>
              <w:spacing w:line="360" w:lineRule="exact"/>
              <w:ind w:firstLine="0" w:firstLineChars="0"/>
              <w:jc w:val="center"/>
              <w:textAlignment w:val="baseline"/>
              <w:rPr>
                <w:rFonts w:cs="Times New Roman"/>
                <w:color w:val="auto"/>
                <w:sz w:val="21"/>
                <w:szCs w:val="21"/>
                <w:highlight w:val="none"/>
              </w:rPr>
            </w:pPr>
          </w:p>
        </w:tc>
        <w:tc>
          <w:tcPr>
            <w:tcW w:w="1125" w:type="dxa"/>
            <w:vMerge w:val="continue"/>
            <w:vAlign w:val="center"/>
          </w:tcPr>
          <w:p w14:paraId="04B6AB4C">
            <w:pPr>
              <w:spacing w:line="360" w:lineRule="exact"/>
              <w:ind w:firstLine="0" w:firstLineChars="0"/>
              <w:jc w:val="center"/>
              <w:textAlignment w:val="baseline"/>
              <w:rPr>
                <w:rFonts w:cs="Times New Roman"/>
                <w:color w:val="auto"/>
                <w:sz w:val="21"/>
                <w:szCs w:val="21"/>
                <w:highlight w:val="none"/>
              </w:rPr>
            </w:pPr>
          </w:p>
        </w:tc>
        <w:tc>
          <w:tcPr>
            <w:tcW w:w="1181" w:type="dxa"/>
            <w:vAlign w:val="center"/>
          </w:tcPr>
          <w:p w14:paraId="4BE4519A">
            <w:pPr>
              <w:widowControl/>
              <w:spacing w:line="360" w:lineRule="exact"/>
              <w:ind w:firstLine="0" w:firstLineChars="0"/>
              <w:jc w:val="center"/>
              <w:textAlignment w:val="baseline"/>
              <w:rPr>
                <w:rFonts w:cs="Times New Roman"/>
                <w:color w:val="auto"/>
                <w:sz w:val="21"/>
                <w:szCs w:val="21"/>
                <w:highlight w:val="none"/>
              </w:rPr>
            </w:pPr>
            <w:r>
              <w:rPr>
                <w:rFonts w:hint="eastAsia" w:cs="Times New Roman"/>
                <w:color w:val="auto"/>
                <w:sz w:val="21"/>
                <w:szCs w:val="21"/>
                <w:highlight w:val="none"/>
                <w:lang w:val="en-US" w:eastAsia="zh-CN"/>
              </w:rPr>
              <w:t>臭气浓度</w:t>
            </w:r>
          </w:p>
        </w:tc>
        <w:tc>
          <w:tcPr>
            <w:tcW w:w="1710" w:type="dxa"/>
            <w:vMerge w:val="continue"/>
            <w:vAlign w:val="center"/>
          </w:tcPr>
          <w:p w14:paraId="7FDA1712">
            <w:pPr>
              <w:widowControl/>
              <w:spacing w:line="360" w:lineRule="exact"/>
              <w:ind w:firstLine="0" w:firstLineChars="0"/>
              <w:jc w:val="center"/>
              <w:textAlignment w:val="baseline"/>
              <w:rPr>
                <w:rFonts w:cs="Times New Roman"/>
                <w:color w:val="auto"/>
                <w:kern w:val="0"/>
                <w:sz w:val="21"/>
                <w:szCs w:val="21"/>
                <w:highlight w:val="none"/>
              </w:rPr>
            </w:pPr>
          </w:p>
        </w:tc>
        <w:tc>
          <w:tcPr>
            <w:tcW w:w="1071" w:type="dxa"/>
            <w:vMerge w:val="continue"/>
            <w:vAlign w:val="center"/>
          </w:tcPr>
          <w:p w14:paraId="302F7DBC">
            <w:pPr>
              <w:spacing w:line="360" w:lineRule="exact"/>
              <w:ind w:firstLine="0" w:firstLineChars="0"/>
              <w:jc w:val="center"/>
              <w:textAlignment w:val="baseline"/>
              <w:rPr>
                <w:rFonts w:cs="Times New Roman"/>
                <w:color w:val="auto"/>
                <w:sz w:val="21"/>
                <w:szCs w:val="21"/>
                <w:highlight w:val="none"/>
              </w:rPr>
            </w:pPr>
          </w:p>
        </w:tc>
        <w:tc>
          <w:tcPr>
            <w:tcW w:w="1111" w:type="dxa"/>
            <w:vMerge w:val="continue"/>
            <w:vAlign w:val="center"/>
          </w:tcPr>
          <w:p w14:paraId="36F1933A">
            <w:pPr>
              <w:spacing w:line="360" w:lineRule="exact"/>
              <w:ind w:firstLine="0" w:firstLineChars="0"/>
              <w:jc w:val="center"/>
              <w:textAlignment w:val="baseline"/>
              <w:rPr>
                <w:rFonts w:cs="Times New Roman"/>
                <w:color w:val="auto"/>
                <w:sz w:val="21"/>
                <w:szCs w:val="21"/>
                <w:highlight w:val="none"/>
              </w:rPr>
            </w:pPr>
          </w:p>
        </w:tc>
      </w:tr>
    </w:tbl>
    <w:p w14:paraId="39416AE5">
      <w:pPr>
        <w:ind w:firstLine="0" w:firstLineChars="0"/>
        <w:jc w:val="center"/>
        <w:rPr>
          <w:rFonts w:cs="Times New Roman"/>
          <w:color w:val="auto"/>
          <w:highlight w:val="none"/>
        </w:rPr>
      </w:pPr>
    </w:p>
    <w:p w14:paraId="27823BBF">
      <w:pPr>
        <w:ind w:firstLine="0" w:firstLineChars="0"/>
        <w:jc w:val="center"/>
        <w:rPr>
          <w:rFonts w:cs="Times New Roman"/>
          <w:color w:val="auto"/>
          <w:highlight w:val="none"/>
        </w:rPr>
      </w:pPr>
      <w:r>
        <w:rPr>
          <w:rFonts w:hint="eastAsia" w:eastAsia="宋体"/>
          <w:color w:val="auto"/>
          <w:highlight w:val="none"/>
          <w:lang w:eastAsia="zh-CN"/>
        </w:rPr>
        <w:drawing>
          <wp:anchor distT="0" distB="0" distL="114300" distR="114300" simplePos="0" relativeHeight="251721728" behindDoc="0" locked="0" layoutInCell="1" allowOverlap="1">
            <wp:simplePos x="0" y="0"/>
            <wp:positionH relativeFrom="column">
              <wp:posOffset>0</wp:posOffset>
            </wp:positionH>
            <wp:positionV relativeFrom="paragraph">
              <wp:posOffset>97155</wp:posOffset>
            </wp:positionV>
            <wp:extent cx="5252085" cy="2884805"/>
            <wp:effectExtent l="0" t="0" r="5715" b="10795"/>
            <wp:wrapNone/>
            <wp:docPr id="111" name="图片 2" descr="175634833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 descr="1756348338435"/>
                    <pic:cNvPicPr>
                      <a:picLocks noChangeAspect="1"/>
                    </pic:cNvPicPr>
                  </pic:nvPicPr>
                  <pic:blipFill>
                    <a:blip r:embed="rId28"/>
                    <a:stretch>
                      <a:fillRect/>
                    </a:stretch>
                  </pic:blipFill>
                  <pic:spPr>
                    <a:xfrm>
                      <a:off x="0" y="0"/>
                      <a:ext cx="5252085" cy="2884805"/>
                    </a:xfrm>
                    <a:prstGeom prst="rect">
                      <a:avLst/>
                    </a:prstGeom>
                    <a:noFill/>
                    <a:ln>
                      <a:noFill/>
                    </a:ln>
                  </pic:spPr>
                </pic:pic>
              </a:graphicData>
            </a:graphic>
          </wp:anchor>
        </w:drawing>
      </w:r>
    </w:p>
    <w:p w14:paraId="5750BB2B">
      <w:pPr>
        <w:ind w:firstLine="0" w:firstLineChars="0"/>
        <w:jc w:val="center"/>
        <w:rPr>
          <w:rFonts w:cs="Times New Roman"/>
          <w:color w:val="auto"/>
          <w:highlight w:val="none"/>
        </w:rPr>
      </w:pPr>
    </w:p>
    <w:p w14:paraId="14D8372E">
      <w:pPr>
        <w:ind w:firstLine="0" w:firstLineChars="0"/>
        <w:jc w:val="center"/>
        <w:rPr>
          <w:rFonts w:cs="Times New Roman"/>
          <w:color w:val="auto"/>
          <w:highlight w:val="none"/>
        </w:rPr>
      </w:pPr>
    </w:p>
    <w:p w14:paraId="768E3A6E">
      <w:pPr>
        <w:ind w:firstLine="0" w:firstLineChars="0"/>
        <w:jc w:val="center"/>
        <w:rPr>
          <w:rFonts w:cs="Times New Roman"/>
          <w:color w:val="auto"/>
          <w:highlight w:val="none"/>
        </w:rPr>
      </w:pPr>
    </w:p>
    <w:p w14:paraId="52F60083">
      <w:pPr>
        <w:ind w:firstLine="0" w:firstLineChars="0"/>
        <w:jc w:val="center"/>
        <w:rPr>
          <w:rFonts w:cs="Times New Roman"/>
          <w:color w:val="auto"/>
          <w:highlight w:val="none"/>
        </w:rPr>
      </w:pPr>
    </w:p>
    <w:p w14:paraId="40B70908">
      <w:pPr>
        <w:ind w:firstLine="0" w:firstLineChars="0"/>
        <w:jc w:val="center"/>
        <w:rPr>
          <w:rFonts w:cs="Times New Roman"/>
          <w:color w:val="auto"/>
          <w:highlight w:val="none"/>
        </w:rPr>
      </w:pPr>
    </w:p>
    <w:p w14:paraId="216AE1C1">
      <w:pPr>
        <w:ind w:firstLine="0" w:firstLineChars="0"/>
        <w:jc w:val="center"/>
        <w:rPr>
          <w:rFonts w:cs="Times New Roman"/>
          <w:color w:val="auto"/>
          <w:highlight w:val="none"/>
        </w:rPr>
      </w:pPr>
    </w:p>
    <w:p w14:paraId="677736BE">
      <w:pPr>
        <w:ind w:firstLine="0" w:firstLineChars="0"/>
        <w:jc w:val="center"/>
        <w:rPr>
          <w:rFonts w:cs="Times New Roman"/>
          <w:color w:val="auto"/>
          <w:highlight w:val="none"/>
        </w:rPr>
      </w:pPr>
    </w:p>
    <w:p w14:paraId="0C6C0F82">
      <w:pPr>
        <w:ind w:firstLine="0" w:firstLineChars="0"/>
        <w:jc w:val="center"/>
        <w:rPr>
          <w:rFonts w:cs="Times New Roman"/>
          <w:color w:val="auto"/>
          <w:highlight w:val="none"/>
        </w:rPr>
      </w:pPr>
    </w:p>
    <w:p w14:paraId="26AF03A3">
      <w:pPr>
        <w:spacing w:line="240" w:lineRule="auto"/>
        <w:ind w:firstLine="482"/>
        <w:jc w:val="center"/>
        <w:rPr>
          <w:rFonts w:cs="Times New Roman"/>
          <w:b/>
          <w:color w:val="auto"/>
          <w:szCs w:val="24"/>
          <w:highlight w:val="none"/>
        </w:rPr>
      </w:pPr>
    </w:p>
    <w:p w14:paraId="4D36E26A">
      <w:pPr>
        <w:spacing w:line="240" w:lineRule="auto"/>
        <w:ind w:firstLine="482"/>
        <w:jc w:val="center"/>
        <w:rPr>
          <w:rFonts w:cs="Times New Roman"/>
          <w:color w:val="auto"/>
          <w:szCs w:val="24"/>
          <w:highlight w:val="none"/>
        </w:rPr>
      </w:pPr>
      <w:r>
        <w:rPr>
          <w:rFonts w:cs="Times New Roman"/>
          <w:b/>
          <w:color w:val="auto"/>
          <w:szCs w:val="24"/>
          <w:highlight w:val="none"/>
        </w:rPr>
        <w:t>图4-2-1  环境空气和声环境监测布点图</w:t>
      </w:r>
    </w:p>
    <w:p w14:paraId="3CA5C483">
      <w:pPr>
        <w:keepNext w:val="0"/>
        <w:keepLines w:val="0"/>
        <w:pageBreakBefore w:val="0"/>
        <w:widowControl w:val="0"/>
        <w:kinsoku/>
        <w:wordWrap/>
        <w:overflowPunct/>
        <w:topLinePunct w:val="0"/>
        <w:autoSpaceDE/>
        <w:autoSpaceDN/>
        <w:bidi w:val="0"/>
        <w:spacing w:line="520" w:lineRule="atLeast"/>
        <w:ind w:firstLine="482"/>
        <w:textAlignment w:val="auto"/>
        <w:rPr>
          <w:rFonts w:cs="Times New Roman"/>
          <w:b/>
          <w:bCs/>
          <w:color w:val="auto"/>
          <w:szCs w:val="24"/>
          <w:highlight w:val="none"/>
        </w:rPr>
      </w:pPr>
      <w:r>
        <w:rPr>
          <w:rFonts w:cs="Times New Roman"/>
          <w:b/>
          <w:bCs/>
          <w:color w:val="auto"/>
          <w:szCs w:val="24"/>
          <w:highlight w:val="none"/>
        </w:rPr>
        <w:t>2、监测频次</w:t>
      </w:r>
    </w:p>
    <w:p w14:paraId="276A2FBD">
      <w:pPr>
        <w:keepNext w:val="0"/>
        <w:keepLines w:val="0"/>
        <w:pageBreakBefore w:val="0"/>
        <w:widowControl w:val="0"/>
        <w:kinsoku/>
        <w:wordWrap/>
        <w:overflowPunct/>
        <w:topLinePunct w:val="0"/>
        <w:autoSpaceDE/>
        <w:autoSpaceDN/>
        <w:bidi w:val="0"/>
        <w:spacing w:line="520" w:lineRule="atLeast"/>
        <w:textAlignment w:val="auto"/>
        <w:rPr>
          <w:rFonts w:cs="Times New Roman"/>
          <w:color w:val="auto"/>
          <w:highlight w:val="none"/>
        </w:rPr>
      </w:pPr>
      <w:r>
        <w:rPr>
          <w:rFonts w:cs="Times New Roman"/>
          <w:color w:val="auto"/>
          <w:highlight w:val="none"/>
        </w:rPr>
        <w:t>监测时间为202</w:t>
      </w:r>
      <w:r>
        <w:rPr>
          <w:rFonts w:hint="eastAsia" w:cs="Times New Roman"/>
          <w:color w:val="auto"/>
          <w:highlight w:val="none"/>
          <w:lang w:val="en-US" w:eastAsia="zh-CN"/>
        </w:rPr>
        <w:t>5</w:t>
      </w:r>
      <w:r>
        <w:rPr>
          <w:rFonts w:cs="Times New Roman"/>
          <w:color w:val="auto"/>
          <w:highlight w:val="none"/>
        </w:rPr>
        <w:t>年</w:t>
      </w:r>
      <w:r>
        <w:rPr>
          <w:rFonts w:hint="eastAsia" w:cs="Times New Roman"/>
          <w:color w:val="auto"/>
          <w:highlight w:val="none"/>
          <w:lang w:val="en-US" w:eastAsia="zh-CN"/>
        </w:rPr>
        <w:t>8</w:t>
      </w:r>
      <w:r>
        <w:rPr>
          <w:rFonts w:cs="Times New Roman"/>
          <w:color w:val="auto"/>
          <w:highlight w:val="none"/>
        </w:rPr>
        <w:t>月</w:t>
      </w:r>
      <w:r>
        <w:rPr>
          <w:rFonts w:hint="eastAsia" w:cs="Times New Roman"/>
          <w:color w:val="auto"/>
          <w:highlight w:val="none"/>
          <w:lang w:val="en-US" w:eastAsia="zh-CN"/>
        </w:rPr>
        <w:t>16</w:t>
      </w:r>
      <w:r>
        <w:rPr>
          <w:rFonts w:cs="Times New Roman"/>
          <w:color w:val="auto"/>
          <w:highlight w:val="none"/>
        </w:rPr>
        <w:t>日</w:t>
      </w:r>
      <w:r>
        <w:rPr>
          <w:rFonts w:hint="eastAsia" w:cs="Times New Roman"/>
          <w:color w:val="auto"/>
          <w:highlight w:val="none"/>
          <w:lang w:val="en-US" w:eastAsia="zh-CN"/>
        </w:rPr>
        <w:t>-8</w:t>
      </w:r>
      <w:r>
        <w:rPr>
          <w:rFonts w:cs="Times New Roman"/>
          <w:color w:val="auto"/>
          <w:highlight w:val="none"/>
        </w:rPr>
        <w:t>月</w:t>
      </w:r>
      <w:r>
        <w:rPr>
          <w:rFonts w:hint="eastAsia" w:cs="Times New Roman"/>
          <w:color w:val="auto"/>
          <w:highlight w:val="none"/>
          <w:lang w:val="en-US" w:eastAsia="zh-CN"/>
        </w:rPr>
        <w:t>22</w:t>
      </w:r>
      <w:r>
        <w:rPr>
          <w:rFonts w:cs="Times New Roman"/>
          <w:color w:val="auto"/>
          <w:highlight w:val="none"/>
        </w:rPr>
        <w:t>日，监测频次见表4-2-3。</w:t>
      </w:r>
    </w:p>
    <w:p w14:paraId="5891453E">
      <w:pPr>
        <w:keepNext w:val="0"/>
        <w:keepLines w:val="0"/>
        <w:pageBreakBefore w:val="0"/>
        <w:widowControl w:val="0"/>
        <w:kinsoku/>
        <w:wordWrap/>
        <w:overflowPunct/>
        <w:topLinePunct w:val="0"/>
        <w:autoSpaceDE/>
        <w:autoSpaceDN/>
        <w:bidi w:val="0"/>
        <w:adjustRightInd/>
        <w:snapToGrid/>
        <w:spacing w:line="520" w:lineRule="atLeast"/>
        <w:ind w:firstLine="0" w:firstLineChars="0"/>
        <w:jc w:val="center"/>
        <w:textAlignment w:val="auto"/>
        <w:rPr>
          <w:rFonts w:cs="Times New Roman"/>
          <w:b/>
          <w:color w:val="auto"/>
          <w:szCs w:val="24"/>
          <w:highlight w:val="none"/>
        </w:rPr>
      </w:pPr>
      <w:r>
        <w:rPr>
          <w:rFonts w:cs="Times New Roman"/>
          <w:b/>
          <w:color w:val="auto"/>
          <w:szCs w:val="24"/>
          <w:highlight w:val="none"/>
        </w:rPr>
        <w:t>表4-2-3  监测频次一览表</w:t>
      </w:r>
    </w:p>
    <w:tbl>
      <w:tblPr>
        <w:tblStyle w:val="47"/>
        <w:tblW w:w="839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1"/>
        <w:gridCol w:w="2740"/>
        <w:gridCol w:w="4488"/>
      </w:tblGrid>
      <w:tr w14:paraId="4C2E6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911" w:type="dxa"/>
            <w:gridSpan w:val="2"/>
            <w:shd w:val="clear" w:color="auto" w:fill="auto"/>
            <w:vAlign w:val="center"/>
          </w:tcPr>
          <w:p w14:paraId="266A826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监测项目</w:t>
            </w:r>
          </w:p>
        </w:tc>
        <w:tc>
          <w:tcPr>
            <w:tcW w:w="4488" w:type="dxa"/>
            <w:shd w:val="clear" w:color="auto" w:fill="auto"/>
            <w:vAlign w:val="center"/>
          </w:tcPr>
          <w:p w14:paraId="315305C2">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监测频次</w:t>
            </w:r>
          </w:p>
        </w:tc>
      </w:tr>
      <w:tr w14:paraId="7E990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171" w:type="dxa"/>
            <w:shd w:val="clear" w:color="auto" w:fill="auto"/>
            <w:vAlign w:val="center"/>
          </w:tcPr>
          <w:p w14:paraId="2999AC6A">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2740" w:type="dxa"/>
            <w:vMerge w:val="restart"/>
            <w:shd w:val="clear" w:color="auto" w:fill="auto"/>
            <w:vAlign w:val="center"/>
          </w:tcPr>
          <w:p w14:paraId="09A5C370">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1小时平均</w:t>
            </w:r>
          </w:p>
        </w:tc>
        <w:tc>
          <w:tcPr>
            <w:tcW w:w="4488" w:type="dxa"/>
            <w:vMerge w:val="restart"/>
            <w:shd w:val="clear" w:color="auto" w:fill="auto"/>
            <w:vAlign w:val="center"/>
          </w:tcPr>
          <w:p w14:paraId="1DE3C67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连续监测7天，每小时连续采样45min</w:t>
            </w:r>
          </w:p>
        </w:tc>
      </w:tr>
      <w:tr w14:paraId="0D1AE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171" w:type="dxa"/>
            <w:shd w:val="clear" w:color="auto" w:fill="auto"/>
            <w:vAlign w:val="center"/>
          </w:tcPr>
          <w:p w14:paraId="752D4422">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2740" w:type="dxa"/>
            <w:vMerge w:val="continue"/>
            <w:shd w:val="clear" w:color="auto" w:fill="auto"/>
            <w:vAlign w:val="center"/>
          </w:tcPr>
          <w:p w14:paraId="3B49C383">
            <w:pPr>
              <w:spacing w:line="240" w:lineRule="auto"/>
              <w:ind w:firstLine="0" w:firstLineChars="0"/>
              <w:jc w:val="center"/>
              <w:rPr>
                <w:rFonts w:cs="Times New Roman"/>
                <w:color w:val="auto"/>
                <w:sz w:val="21"/>
                <w:szCs w:val="21"/>
                <w:highlight w:val="none"/>
              </w:rPr>
            </w:pPr>
          </w:p>
        </w:tc>
        <w:tc>
          <w:tcPr>
            <w:tcW w:w="4488" w:type="dxa"/>
            <w:vMerge w:val="continue"/>
            <w:shd w:val="clear" w:color="auto" w:fill="auto"/>
            <w:vAlign w:val="center"/>
          </w:tcPr>
          <w:p w14:paraId="4F954472">
            <w:pPr>
              <w:spacing w:line="240" w:lineRule="auto"/>
              <w:ind w:firstLine="0" w:firstLineChars="0"/>
              <w:jc w:val="center"/>
              <w:rPr>
                <w:rFonts w:cs="Times New Roman"/>
                <w:color w:val="auto"/>
                <w:sz w:val="21"/>
                <w:szCs w:val="21"/>
                <w:highlight w:val="none"/>
              </w:rPr>
            </w:pPr>
          </w:p>
        </w:tc>
      </w:tr>
      <w:tr w14:paraId="70826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171" w:type="dxa"/>
            <w:shd w:val="clear" w:color="auto" w:fill="auto"/>
            <w:vAlign w:val="center"/>
          </w:tcPr>
          <w:p w14:paraId="50C81499">
            <w:pPr>
              <w:spacing w:line="24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2740" w:type="dxa"/>
            <w:vMerge w:val="continue"/>
            <w:shd w:val="clear" w:color="auto" w:fill="auto"/>
            <w:vAlign w:val="center"/>
          </w:tcPr>
          <w:p w14:paraId="61D954C0">
            <w:pPr>
              <w:spacing w:line="240" w:lineRule="auto"/>
              <w:ind w:firstLine="0" w:firstLineChars="0"/>
              <w:jc w:val="center"/>
              <w:rPr>
                <w:rFonts w:cs="Times New Roman"/>
                <w:color w:val="auto"/>
                <w:sz w:val="21"/>
                <w:szCs w:val="21"/>
                <w:highlight w:val="none"/>
              </w:rPr>
            </w:pPr>
          </w:p>
        </w:tc>
        <w:tc>
          <w:tcPr>
            <w:tcW w:w="4488" w:type="dxa"/>
            <w:vMerge w:val="continue"/>
            <w:shd w:val="clear" w:color="auto" w:fill="auto"/>
            <w:vAlign w:val="center"/>
          </w:tcPr>
          <w:p w14:paraId="411D3D1D">
            <w:pPr>
              <w:spacing w:line="240" w:lineRule="auto"/>
              <w:ind w:firstLine="0" w:firstLineChars="0"/>
              <w:jc w:val="center"/>
              <w:rPr>
                <w:rFonts w:cs="Times New Roman"/>
                <w:color w:val="auto"/>
                <w:sz w:val="21"/>
                <w:szCs w:val="21"/>
                <w:highlight w:val="none"/>
              </w:rPr>
            </w:pPr>
          </w:p>
        </w:tc>
      </w:tr>
      <w:tr w14:paraId="2265E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171" w:type="dxa"/>
            <w:shd w:val="clear" w:color="auto" w:fill="auto"/>
            <w:vAlign w:val="center"/>
          </w:tcPr>
          <w:p w14:paraId="4793E4FE">
            <w:pPr>
              <w:spacing w:line="24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TSP</w:t>
            </w:r>
          </w:p>
        </w:tc>
        <w:tc>
          <w:tcPr>
            <w:tcW w:w="2740" w:type="dxa"/>
            <w:shd w:val="clear" w:color="auto" w:fill="auto"/>
            <w:vAlign w:val="center"/>
          </w:tcPr>
          <w:p w14:paraId="2FBBC9B1">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24小时平均</w:t>
            </w:r>
          </w:p>
        </w:tc>
        <w:tc>
          <w:tcPr>
            <w:tcW w:w="4488" w:type="dxa"/>
            <w:shd w:val="clear" w:color="auto" w:fill="auto"/>
            <w:vAlign w:val="center"/>
          </w:tcPr>
          <w:p w14:paraId="2E6995E3">
            <w:pPr>
              <w:spacing w:line="240" w:lineRule="auto"/>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连续监测7天，</w:t>
            </w:r>
            <w:r>
              <w:rPr>
                <w:rFonts w:hint="eastAsia" w:cs="Times New Roman"/>
                <w:color w:val="auto"/>
                <w:sz w:val="21"/>
                <w:szCs w:val="21"/>
                <w:highlight w:val="none"/>
                <w:lang w:val="en-US" w:eastAsia="zh-CN"/>
              </w:rPr>
              <w:t>每</w:t>
            </w:r>
            <w:r>
              <w:rPr>
                <w:rFonts w:hint="eastAsia" w:cs="Times New Roman"/>
                <w:color w:val="auto"/>
                <w:sz w:val="21"/>
                <w:szCs w:val="21"/>
                <w:highlight w:val="none"/>
                <w:lang w:val="en-US" w:eastAsia="zh-CN"/>
              </w:rPr>
              <w:t>日连续采样至少24h</w:t>
            </w:r>
          </w:p>
        </w:tc>
      </w:tr>
    </w:tbl>
    <w:p w14:paraId="7392A8C8">
      <w:pPr>
        <w:spacing w:before="163" w:beforeLines="50"/>
        <w:ind w:firstLine="482"/>
        <w:rPr>
          <w:rFonts w:cs="Times New Roman"/>
          <w:b/>
          <w:bCs/>
          <w:color w:val="auto"/>
          <w:szCs w:val="24"/>
          <w:highlight w:val="none"/>
        </w:rPr>
      </w:pPr>
      <w:r>
        <w:rPr>
          <w:rFonts w:cs="Times New Roman"/>
          <w:b/>
          <w:bCs/>
          <w:color w:val="auto"/>
          <w:szCs w:val="24"/>
          <w:highlight w:val="none"/>
        </w:rPr>
        <w:t>3、监测技术方法</w:t>
      </w:r>
    </w:p>
    <w:p w14:paraId="378C4428">
      <w:pPr>
        <w:rPr>
          <w:rFonts w:cs="Times New Roman"/>
          <w:color w:val="auto"/>
          <w:szCs w:val="24"/>
          <w:highlight w:val="none"/>
        </w:rPr>
      </w:pPr>
      <w:r>
        <w:rPr>
          <w:rFonts w:cs="Times New Roman"/>
          <w:color w:val="auto"/>
          <w:highlight w:val="none"/>
        </w:rPr>
        <w:t>按照《大气环境监测方法标准》、《环境空气质量标准》（GB3095-2012）及修改单等国家相关技术方法要求。</w:t>
      </w:r>
    </w:p>
    <w:p w14:paraId="0930E9DE">
      <w:pPr>
        <w:ind w:firstLine="482"/>
        <w:rPr>
          <w:rFonts w:cs="Times New Roman"/>
          <w:b/>
          <w:bCs/>
          <w:color w:val="auto"/>
          <w:highlight w:val="none"/>
        </w:rPr>
      </w:pPr>
      <w:r>
        <w:rPr>
          <w:rFonts w:cs="Times New Roman"/>
          <w:b/>
          <w:bCs/>
          <w:color w:val="auto"/>
          <w:highlight w:val="none"/>
        </w:rPr>
        <w:t>4、评价方法</w:t>
      </w:r>
    </w:p>
    <w:p w14:paraId="16E7E8E3">
      <w:pPr>
        <w:rPr>
          <w:rFonts w:cs="Times New Roman"/>
          <w:color w:val="auto"/>
          <w:szCs w:val="24"/>
          <w:highlight w:val="none"/>
        </w:rPr>
      </w:pPr>
      <w:r>
        <w:rPr>
          <w:rFonts w:cs="Times New Roman"/>
          <w:color w:val="auto"/>
          <w:highlight w:val="none"/>
        </w:rPr>
        <w:t>根据《环境影响评价技术导则 大气环境》（HJ2.2-2018），监测结果统计分析要求以列表的方式给出各监测点大气污染物的不同取值时间的变化范围，计算并列表给出各取值时间最大浓度值占相应浓度标准浓度限值的百分比和超标率，并评价达标情况。</w:t>
      </w:r>
    </w:p>
    <w:p w14:paraId="498C3EDF">
      <w:pPr>
        <w:spacing w:line="240" w:lineRule="auto"/>
        <w:ind w:firstLine="0" w:firstLineChars="0"/>
        <w:jc w:val="center"/>
        <w:rPr>
          <w:rFonts w:cs="Times New Roman"/>
          <w:b/>
          <w:color w:val="auto"/>
          <w:szCs w:val="24"/>
          <w:highlight w:val="none"/>
        </w:rPr>
      </w:pPr>
      <w:r>
        <w:rPr>
          <w:rFonts w:cs="Times New Roman"/>
          <w:b/>
          <w:color w:val="auto"/>
          <w:szCs w:val="24"/>
          <w:highlight w:val="none"/>
        </w:rPr>
        <w:t>4-2-4  监测数据统计结果  单位：mg/m</w:t>
      </w:r>
      <w:r>
        <w:rPr>
          <w:rFonts w:cs="Times New Roman"/>
          <w:b/>
          <w:color w:val="auto"/>
          <w:szCs w:val="24"/>
          <w:highlight w:val="none"/>
          <w:vertAlign w:val="superscript"/>
        </w:rPr>
        <w:t>3</w:t>
      </w:r>
    </w:p>
    <w:tbl>
      <w:tblPr>
        <w:tblStyle w:val="47"/>
        <w:tblW w:w="873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0"/>
        <w:gridCol w:w="801"/>
        <w:gridCol w:w="844"/>
        <w:gridCol w:w="1098"/>
        <w:gridCol w:w="1045"/>
        <w:gridCol w:w="705"/>
        <w:gridCol w:w="1178"/>
        <w:gridCol w:w="802"/>
        <w:gridCol w:w="789"/>
        <w:gridCol w:w="834"/>
      </w:tblGrid>
      <w:tr w14:paraId="12E1B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0" w:type="dxa"/>
            <w:vMerge w:val="restart"/>
            <w:shd w:val="clear" w:color="auto" w:fill="auto"/>
            <w:vAlign w:val="center"/>
          </w:tcPr>
          <w:p w14:paraId="080CCE6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监测点位</w:t>
            </w:r>
          </w:p>
        </w:tc>
        <w:tc>
          <w:tcPr>
            <w:tcW w:w="1645" w:type="dxa"/>
            <w:gridSpan w:val="2"/>
            <w:shd w:val="clear" w:color="auto" w:fill="auto"/>
            <w:vAlign w:val="center"/>
          </w:tcPr>
          <w:p w14:paraId="23CF0A9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监测点坐标/°</w:t>
            </w:r>
          </w:p>
        </w:tc>
        <w:tc>
          <w:tcPr>
            <w:tcW w:w="1098" w:type="dxa"/>
            <w:vMerge w:val="restart"/>
            <w:shd w:val="clear" w:color="auto" w:fill="auto"/>
            <w:vAlign w:val="center"/>
          </w:tcPr>
          <w:p w14:paraId="4972BE1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1045" w:type="dxa"/>
            <w:vMerge w:val="restart"/>
            <w:shd w:val="clear" w:color="auto" w:fill="auto"/>
            <w:vAlign w:val="center"/>
          </w:tcPr>
          <w:p w14:paraId="328E445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评价指标</w:t>
            </w:r>
          </w:p>
        </w:tc>
        <w:tc>
          <w:tcPr>
            <w:tcW w:w="705" w:type="dxa"/>
            <w:vMerge w:val="restart"/>
            <w:shd w:val="clear" w:color="auto" w:fill="auto"/>
            <w:vAlign w:val="center"/>
          </w:tcPr>
          <w:p w14:paraId="0043933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w:t>
            </w:r>
          </w:p>
          <w:p w14:paraId="443A620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标准</w:t>
            </w:r>
          </w:p>
        </w:tc>
        <w:tc>
          <w:tcPr>
            <w:tcW w:w="1178" w:type="dxa"/>
            <w:vMerge w:val="restart"/>
            <w:shd w:val="clear" w:color="auto" w:fill="auto"/>
            <w:vAlign w:val="center"/>
          </w:tcPr>
          <w:p w14:paraId="67C9BBB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现状浓度</w:t>
            </w:r>
          </w:p>
        </w:tc>
        <w:tc>
          <w:tcPr>
            <w:tcW w:w="802" w:type="dxa"/>
            <w:vMerge w:val="restart"/>
            <w:shd w:val="clear" w:color="auto" w:fill="auto"/>
            <w:vAlign w:val="center"/>
          </w:tcPr>
          <w:p w14:paraId="559D420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最大占标率%</w:t>
            </w:r>
          </w:p>
        </w:tc>
        <w:tc>
          <w:tcPr>
            <w:tcW w:w="789" w:type="dxa"/>
            <w:vMerge w:val="restart"/>
            <w:shd w:val="clear" w:color="auto" w:fill="auto"/>
            <w:vAlign w:val="center"/>
          </w:tcPr>
          <w:p w14:paraId="5833ECC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超标频率%</w:t>
            </w:r>
          </w:p>
        </w:tc>
        <w:tc>
          <w:tcPr>
            <w:tcW w:w="834" w:type="dxa"/>
            <w:vMerge w:val="restart"/>
            <w:shd w:val="clear" w:color="auto" w:fill="auto"/>
            <w:vAlign w:val="center"/>
          </w:tcPr>
          <w:p w14:paraId="5CCD17E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达标情况</w:t>
            </w:r>
          </w:p>
        </w:tc>
      </w:tr>
      <w:tr w14:paraId="11948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640" w:type="dxa"/>
            <w:vMerge w:val="continue"/>
            <w:shd w:val="clear" w:color="auto" w:fill="auto"/>
            <w:vAlign w:val="center"/>
          </w:tcPr>
          <w:p w14:paraId="159C9644">
            <w:pPr>
              <w:spacing w:line="360" w:lineRule="exact"/>
              <w:ind w:firstLine="0" w:firstLineChars="0"/>
              <w:jc w:val="center"/>
              <w:rPr>
                <w:rFonts w:cs="Times New Roman"/>
                <w:color w:val="auto"/>
                <w:sz w:val="21"/>
                <w:szCs w:val="21"/>
                <w:highlight w:val="none"/>
              </w:rPr>
            </w:pPr>
          </w:p>
        </w:tc>
        <w:tc>
          <w:tcPr>
            <w:tcW w:w="801" w:type="dxa"/>
            <w:shd w:val="clear" w:color="auto" w:fill="auto"/>
            <w:vAlign w:val="center"/>
          </w:tcPr>
          <w:p w14:paraId="43175F3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经度</w:t>
            </w:r>
          </w:p>
        </w:tc>
        <w:tc>
          <w:tcPr>
            <w:tcW w:w="844" w:type="dxa"/>
            <w:shd w:val="clear" w:color="auto" w:fill="auto"/>
            <w:vAlign w:val="center"/>
          </w:tcPr>
          <w:p w14:paraId="21DF3EE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纬度</w:t>
            </w:r>
          </w:p>
        </w:tc>
        <w:tc>
          <w:tcPr>
            <w:tcW w:w="1098" w:type="dxa"/>
            <w:vMerge w:val="continue"/>
            <w:shd w:val="clear" w:color="auto" w:fill="auto"/>
            <w:vAlign w:val="center"/>
          </w:tcPr>
          <w:p w14:paraId="2A7D4512">
            <w:pPr>
              <w:spacing w:line="360" w:lineRule="exact"/>
              <w:ind w:firstLine="0" w:firstLineChars="0"/>
              <w:jc w:val="center"/>
              <w:rPr>
                <w:rFonts w:cs="Times New Roman"/>
                <w:color w:val="auto"/>
                <w:sz w:val="21"/>
                <w:szCs w:val="21"/>
                <w:highlight w:val="none"/>
              </w:rPr>
            </w:pPr>
          </w:p>
        </w:tc>
        <w:tc>
          <w:tcPr>
            <w:tcW w:w="1045" w:type="dxa"/>
            <w:vMerge w:val="continue"/>
            <w:shd w:val="clear" w:color="auto" w:fill="auto"/>
            <w:vAlign w:val="center"/>
          </w:tcPr>
          <w:p w14:paraId="7C07662E">
            <w:pPr>
              <w:spacing w:line="360" w:lineRule="exact"/>
              <w:ind w:firstLine="0" w:firstLineChars="0"/>
              <w:jc w:val="center"/>
              <w:rPr>
                <w:rFonts w:cs="Times New Roman"/>
                <w:color w:val="auto"/>
                <w:sz w:val="21"/>
                <w:szCs w:val="21"/>
                <w:highlight w:val="none"/>
              </w:rPr>
            </w:pPr>
          </w:p>
        </w:tc>
        <w:tc>
          <w:tcPr>
            <w:tcW w:w="705" w:type="dxa"/>
            <w:vMerge w:val="continue"/>
            <w:shd w:val="clear" w:color="auto" w:fill="auto"/>
            <w:vAlign w:val="center"/>
          </w:tcPr>
          <w:p w14:paraId="1390008E">
            <w:pPr>
              <w:spacing w:line="360" w:lineRule="exact"/>
              <w:ind w:firstLine="0" w:firstLineChars="0"/>
              <w:jc w:val="center"/>
              <w:rPr>
                <w:rFonts w:cs="Times New Roman"/>
                <w:color w:val="auto"/>
                <w:sz w:val="21"/>
                <w:szCs w:val="21"/>
                <w:highlight w:val="none"/>
              </w:rPr>
            </w:pPr>
          </w:p>
        </w:tc>
        <w:tc>
          <w:tcPr>
            <w:tcW w:w="1178" w:type="dxa"/>
            <w:vMerge w:val="continue"/>
            <w:shd w:val="clear" w:color="auto" w:fill="auto"/>
            <w:vAlign w:val="center"/>
          </w:tcPr>
          <w:p w14:paraId="383318EA">
            <w:pPr>
              <w:spacing w:line="360" w:lineRule="exact"/>
              <w:ind w:firstLine="0" w:firstLineChars="0"/>
              <w:jc w:val="center"/>
              <w:rPr>
                <w:rFonts w:cs="Times New Roman"/>
                <w:color w:val="auto"/>
                <w:sz w:val="21"/>
                <w:szCs w:val="21"/>
                <w:highlight w:val="none"/>
              </w:rPr>
            </w:pPr>
          </w:p>
        </w:tc>
        <w:tc>
          <w:tcPr>
            <w:tcW w:w="802" w:type="dxa"/>
            <w:vMerge w:val="continue"/>
            <w:shd w:val="clear" w:color="auto" w:fill="auto"/>
            <w:vAlign w:val="center"/>
          </w:tcPr>
          <w:p w14:paraId="400C26AB">
            <w:pPr>
              <w:spacing w:line="360" w:lineRule="exact"/>
              <w:ind w:firstLine="0" w:firstLineChars="0"/>
              <w:jc w:val="center"/>
              <w:rPr>
                <w:rFonts w:cs="Times New Roman"/>
                <w:color w:val="auto"/>
                <w:sz w:val="21"/>
                <w:szCs w:val="21"/>
                <w:highlight w:val="none"/>
              </w:rPr>
            </w:pPr>
          </w:p>
        </w:tc>
        <w:tc>
          <w:tcPr>
            <w:tcW w:w="789" w:type="dxa"/>
            <w:vMerge w:val="continue"/>
            <w:shd w:val="clear" w:color="auto" w:fill="auto"/>
            <w:vAlign w:val="center"/>
          </w:tcPr>
          <w:p w14:paraId="2A319E11">
            <w:pPr>
              <w:spacing w:line="360" w:lineRule="exact"/>
              <w:ind w:firstLine="0" w:firstLineChars="0"/>
              <w:jc w:val="center"/>
              <w:rPr>
                <w:rFonts w:cs="Times New Roman"/>
                <w:color w:val="auto"/>
                <w:sz w:val="21"/>
                <w:szCs w:val="21"/>
                <w:highlight w:val="none"/>
              </w:rPr>
            </w:pPr>
          </w:p>
        </w:tc>
        <w:tc>
          <w:tcPr>
            <w:tcW w:w="834" w:type="dxa"/>
            <w:vMerge w:val="continue"/>
            <w:shd w:val="clear" w:color="auto" w:fill="auto"/>
            <w:vAlign w:val="center"/>
          </w:tcPr>
          <w:p w14:paraId="7DA41B18">
            <w:pPr>
              <w:spacing w:line="360" w:lineRule="exact"/>
              <w:ind w:firstLine="0" w:firstLineChars="0"/>
              <w:jc w:val="center"/>
              <w:rPr>
                <w:rFonts w:cs="Times New Roman"/>
                <w:color w:val="auto"/>
                <w:sz w:val="21"/>
                <w:szCs w:val="21"/>
                <w:highlight w:val="none"/>
              </w:rPr>
            </w:pPr>
          </w:p>
        </w:tc>
      </w:tr>
      <w:tr w14:paraId="7B032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640" w:type="dxa"/>
            <w:vMerge w:val="restart"/>
            <w:shd w:val="clear" w:color="auto" w:fill="auto"/>
            <w:vAlign w:val="center"/>
          </w:tcPr>
          <w:p w14:paraId="67E4A70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801" w:type="dxa"/>
            <w:vMerge w:val="restart"/>
            <w:shd w:val="clear" w:color="auto" w:fill="auto"/>
            <w:vAlign w:val="center"/>
          </w:tcPr>
          <w:p w14:paraId="1DDE5C00">
            <w:pPr>
              <w:spacing w:line="360" w:lineRule="exact"/>
              <w:ind w:firstLine="0" w:firstLineChars="0"/>
              <w:jc w:val="center"/>
              <w:textAlignment w:val="baseline"/>
              <w:rPr>
                <w:rFonts w:cs="Times New Roman"/>
                <w:color w:val="auto"/>
                <w:sz w:val="21"/>
                <w:szCs w:val="21"/>
                <w:highlight w:val="none"/>
              </w:rPr>
            </w:pPr>
            <w:r>
              <w:rPr>
                <w:rFonts w:hint="eastAsia" w:cs="Times New Roman"/>
                <w:color w:val="auto"/>
                <w:kern w:val="0"/>
                <w:sz w:val="21"/>
                <w:szCs w:val="21"/>
                <w:highlight w:val="none"/>
              </w:rPr>
              <w:t>131.149018</w:t>
            </w:r>
          </w:p>
        </w:tc>
        <w:tc>
          <w:tcPr>
            <w:tcW w:w="844" w:type="dxa"/>
            <w:vMerge w:val="restart"/>
            <w:shd w:val="clear" w:color="auto" w:fill="auto"/>
            <w:vAlign w:val="center"/>
          </w:tcPr>
          <w:p w14:paraId="0E716355">
            <w:pPr>
              <w:spacing w:line="360" w:lineRule="exact"/>
              <w:ind w:firstLine="0" w:firstLineChars="0"/>
              <w:jc w:val="center"/>
              <w:textAlignment w:val="baseline"/>
              <w:rPr>
                <w:rFonts w:cs="Times New Roman"/>
                <w:color w:val="auto"/>
                <w:sz w:val="21"/>
                <w:szCs w:val="21"/>
                <w:highlight w:val="none"/>
              </w:rPr>
            </w:pPr>
            <w:r>
              <w:rPr>
                <w:rFonts w:hint="eastAsia" w:cs="Times New Roman"/>
                <w:color w:val="auto"/>
                <w:kern w:val="0"/>
                <w:sz w:val="21"/>
                <w:szCs w:val="21"/>
                <w:highlight w:val="none"/>
              </w:rPr>
              <w:t>46.557431</w:t>
            </w:r>
          </w:p>
        </w:tc>
        <w:tc>
          <w:tcPr>
            <w:tcW w:w="1098" w:type="dxa"/>
            <w:shd w:val="clear" w:color="auto" w:fill="auto"/>
            <w:vAlign w:val="center"/>
          </w:tcPr>
          <w:p w14:paraId="244DC2A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1045" w:type="dxa"/>
            <w:vMerge w:val="restart"/>
            <w:shd w:val="clear" w:color="auto" w:fill="auto"/>
            <w:vAlign w:val="center"/>
          </w:tcPr>
          <w:p w14:paraId="7CF6FC1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r>
              <w:rPr>
                <w:rFonts w:hint="eastAsia" w:cs="Times New Roman"/>
                <w:color w:val="auto"/>
                <w:sz w:val="21"/>
                <w:szCs w:val="21"/>
                <w:highlight w:val="none"/>
                <w:lang w:val="en-US" w:eastAsia="zh-CN"/>
              </w:rPr>
              <w:t>h</w:t>
            </w:r>
            <w:r>
              <w:rPr>
                <w:rFonts w:cs="Times New Roman"/>
                <w:color w:val="auto"/>
                <w:sz w:val="21"/>
                <w:szCs w:val="21"/>
                <w:highlight w:val="none"/>
              </w:rPr>
              <w:t>平均</w:t>
            </w:r>
          </w:p>
        </w:tc>
        <w:tc>
          <w:tcPr>
            <w:tcW w:w="705" w:type="dxa"/>
            <w:shd w:val="clear" w:color="auto" w:fill="auto"/>
            <w:vAlign w:val="center"/>
          </w:tcPr>
          <w:p w14:paraId="153953A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0.2</w:t>
            </w:r>
          </w:p>
        </w:tc>
        <w:tc>
          <w:tcPr>
            <w:tcW w:w="1178" w:type="dxa"/>
            <w:shd w:val="clear" w:color="auto" w:fill="auto"/>
            <w:vAlign w:val="center"/>
          </w:tcPr>
          <w:p w14:paraId="00BEA70F">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0.</w:t>
            </w:r>
            <w:r>
              <w:rPr>
                <w:rFonts w:hint="eastAsia" w:cs="Times New Roman"/>
                <w:color w:val="auto"/>
                <w:sz w:val="21"/>
                <w:szCs w:val="21"/>
                <w:highlight w:val="none"/>
                <w:lang w:val="en-US" w:eastAsia="zh-CN"/>
              </w:rPr>
              <w:t>02</w:t>
            </w:r>
            <w:r>
              <w:rPr>
                <w:rFonts w:cs="Times New Roman"/>
                <w:color w:val="auto"/>
                <w:sz w:val="21"/>
                <w:szCs w:val="21"/>
                <w:highlight w:val="none"/>
              </w:rPr>
              <w:t>-0.0</w:t>
            </w:r>
            <w:r>
              <w:rPr>
                <w:rFonts w:hint="eastAsia" w:cs="Times New Roman"/>
                <w:color w:val="auto"/>
                <w:sz w:val="21"/>
                <w:szCs w:val="21"/>
                <w:highlight w:val="none"/>
                <w:lang w:val="en-US" w:eastAsia="zh-CN"/>
              </w:rPr>
              <w:t>6</w:t>
            </w:r>
          </w:p>
        </w:tc>
        <w:tc>
          <w:tcPr>
            <w:tcW w:w="802" w:type="dxa"/>
            <w:shd w:val="clear" w:color="auto" w:fill="auto"/>
            <w:vAlign w:val="center"/>
          </w:tcPr>
          <w:p w14:paraId="13505040">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789" w:type="dxa"/>
            <w:shd w:val="clear" w:color="auto" w:fill="auto"/>
            <w:vAlign w:val="center"/>
          </w:tcPr>
          <w:p w14:paraId="1B2A17F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834" w:type="dxa"/>
            <w:shd w:val="clear" w:color="auto" w:fill="auto"/>
            <w:vAlign w:val="center"/>
          </w:tcPr>
          <w:p w14:paraId="2DCC4A1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w:t>
            </w:r>
          </w:p>
        </w:tc>
      </w:tr>
      <w:tr w14:paraId="35703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640" w:type="dxa"/>
            <w:vMerge w:val="continue"/>
            <w:shd w:val="clear" w:color="auto" w:fill="auto"/>
            <w:vAlign w:val="center"/>
          </w:tcPr>
          <w:p w14:paraId="17256723">
            <w:pPr>
              <w:spacing w:line="360" w:lineRule="exact"/>
              <w:ind w:firstLine="0" w:firstLineChars="0"/>
              <w:jc w:val="center"/>
              <w:rPr>
                <w:rFonts w:cs="Times New Roman"/>
                <w:color w:val="auto"/>
                <w:sz w:val="21"/>
                <w:szCs w:val="21"/>
                <w:highlight w:val="none"/>
              </w:rPr>
            </w:pPr>
          </w:p>
        </w:tc>
        <w:tc>
          <w:tcPr>
            <w:tcW w:w="801" w:type="dxa"/>
            <w:vMerge w:val="continue"/>
            <w:shd w:val="clear" w:color="auto" w:fill="auto"/>
            <w:vAlign w:val="center"/>
          </w:tcPr>
          <w:p w14:paraId="2BAFB8A9">
            <w:pPr>
              <w:spacing w:line="360" w:lineRule="exact"/>
              <w:ind w:firstLine="0" w:firstLineChars="0"/>
              <w:jc w:val="center"/>
              <w:textAlignment w:val="baseline"/>
              <w:rPr>
                <w:rFonts w:cs="Times New Roman"/>
                <w:color w:val="auto"/>
                <w:kern w:val="0"/>
                <w:sz w:val="21"/>
                <w:szCs w:val="21"/>
                <w:highlight w:val="none"/>
              </w:rPr>
            </w:pPr>
          </w:p>
        </w:tc>
        <w:tc>
          <w:tcPr>
            <w:tcW w:w="844" w:type="dxa"/>
            <w:vMerge w:val="continue"/>
            <w:shd w:val="clear" w:color="auto" w:fill="auto"/>
            <w:vAlign w:val="center"/>
          </w:tcPr>
          <w:p w14:paraId="5EB40783">
            <w:pPr>
              <w:spacing w:line="360" w:lineRule="exact"/>
              <w:ind w:firstLine="0" w:firstLineChars="0"/>
              <w:jc w:val="center"/>
              <w:textAlignment w:val="baseline"/>
              <w:rPr>
                <w:rFonts w:cs="Times New Roman"/>
                <w:color w:val="auto"/>
                <w:kern w:val="0"/>
                <w:sz w:val="21"/>
                <w:szCs w:val="21"/>
                <w:highlight w:val="none"/>
              </w:rPr>
            </w:pPr>
          </w:p>
        </w:tc>
        <w:tc>
          <w:tcPr>
            <w:tcW w:w="1098" w:type="dxa"/>
            <w:shd w:val="clear" w:color="auto" w:fill="auto"/>
            <w:vAlign w:val="center"/>
          </w:tcPr>
          <w:p w14:paraId="3727005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1045" w:type="dxa"/>
            <w:vMerge w:val="continue"/>
            <w:shd w:val="clear" w:color="auto" w:fill="auto"/>
            <w:vAlign w:val="center"/>
          </w:tcPr>
          <w:p w14:paraId="1D4BC1E5">
            <w:pPr>
              <w:spacing w:line="360" w:lineRule="exact"/>
              <w:ind w:firstLine="0" w:firstLineChars="0"/>
              <w:jc w:val="center"/>
              <w:rPr>
                <w:rFonts w:cs="Times New Roman"/>
                <w:color w:val="auto"/>
                <w:sz w:val="21"/>
                <w:szCs w:val="21"/>
                <w:highlight w:val="none"/>
              </w:rPr>
            </w:pPr>
          </w:p>
        </w:tc>
        <w:tc>
          <w:tcPr>
            <w:tcW w:w="705" w:type="dxa"/>
            <w:shd w:val="clear" w:color="auto" w:fill="auto"/>
            <w:vAlign w:val="center"/>
          </w:tcPr>
          <w:p w14:paraId="7F40ED0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0.01</w:t>
            </w:r>
          </w:p>
        </w:tc>
        <w:tc>
          <w:tcPr>
            <w:tcW w:w="1178" w:type="dxa"/>
            <w:shd w:val="clear" w:color="auto" w:fill="auto"/>
            <w:vAlign w:val="center"/>
          </w:tcPr>
          <w:p w14:paraId="43DAF977">
            <w:pPr>
              <w:spacing w:line="360" w:lineRule="exact"/>
              <w:ind w:firstLine="0" w:firstLineChars="0"/>
              <w:jc w:val="center"/>
              <w:rPr>
                <w:rFonts w:cs="Times New Roman"/>
                <w:color w:val="auto"/>
                <w:sz w:val="21"/>
                <w:szCs w:val="21"/>
                <w:highlight w:val="none"/>
              </w:rPr>
            </w:pPr>
            <w:r>
              <w:rPr>
                <w:rFonts w:cs="Times New Roman"/>
                <w:color w:val="auto"/>
                <w:spacing w:val="-11"/>
                <w:sz w:val="21"/>
                <w:szCs w:val="21"/>
                <w:highlight w:val="none"/>
              </w:rPr>
              <w:t>ND</w:t>
            </w:r>
          </w:p>
        </w:tc>
        <w:tc>
          <w:tcPr>
            <w:tcW w:w="802" w:type="dxa"/>
            <w:shd w:val="clear" w:color="auto" w:fill="auto"/>
            <w:vAlign w:val="center"/>
          </w:tcPr>
          <w:p w14:paraId="114BA94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789" w:type="dxa"/>
            <w:shd w:val="clear" w:color="auto" w:fill="auto"/>
            <w:vAlign w:val="center"/>
          </w:tcPr>
          <w:p w14:paraId="33FFF6F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834" w:type="dxa"/>
            <w:shd w:val="clear" w:color="auto" w:fill="auto"/>
            <w:vAlign w:val="center"/>
          </w:tcPr>
          <w:p w14:paraId="482F1FA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w:t>
            </w:r>
          </w:p>
        </w:tc>
      </w:tr>
      <w:tr w14:paraId="2683F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640" w:type="dxa"/>
            <w:vMerge w:val="continue"/>
            <w:shd w:val="clear" w:color="auto" w:fill="auto"/>
            <w:vAlign w:val="center"/>
          </w:tcPr>
          <w:p w14:paraId="0D957F17">
            <w:pPr>
              <w:spacing w:line="360" w:lineRule="exact"/>
              <w:ind w:firstLine="0" w:firstLineChars="0"/>
              <w:jc w:val="center"/>
              <w:rPr>
                <w:rFonts w:cs="Times New Roman"/>
                <w:color w:val="auto"/>
                <w:sz w:val="21"/>
                <w:szCs w:val="21"/>
                <w:highlight w:val="none"/>
              </w:rPr>
            </w:pPr>
          </w:p>
        </w:tc>
        <w:tc>
          <w:tcPr>
            <w:tcW w:w="801" w:type="dxa"/>
            <w:vMerge w:val="continue"/>
            <w:shd w:val="clear" w:color="auto" w:fill="auto"/>
            <w:vAlign w:val="center"/>
          </w:tcPr>
          <w:p w14:paraId="0FC02242">
            <w:pPr>
              <w:spacing w:line="360" w:lineRule="exact"/>
              <w:ind w:firstLine="0" w:firstLineChars="0"/>
              <w:jc w:val="center"/>
              <w:rPr>
                <w:rFonts w:cs="Times New Roman"/>
                <w:color w:val="auto"/>
                <w:sz w:val="21"/>
                <w:szCs w:val="21"/>
                <w:highlight w:val="none"/>
              </w:rPr>
            </w:pPr>
          </w:p>
        </w:tc>
        <w:tc>
          <w:tcPr>
            <w:tcW w:w="844" w:type="dxa"/>
            <w:vMerge w:val="continue"/>
            <w:shd w:val="clear" w:color="auto" w:fill="auto"/>
            <w:vAlign w:val="center"/>
          </w:tcPr>
          <w:p w14:paraId="74634BCA">
            <w:pPr>
              <w:spacing w:line="360" w:lineRule="exact"/>
              <w:ind w:firstLine="0" w:firstLineChars="0"/>
              <w:jc w:val="center"/>
              <w:rPr>
                <w:rFonts w:cs="Times New Roman"/>
                <w:color w:val="auto"/>
                <w:sz w:val="21"/>
                <w:szCs w:val="21"/>
                <w:highlight w:val="none"/>
              </w:rPr>
            </w:pPr>
          </w:p>
        </w:tc>
        <w:tc>
          <w:tcPr>
            <w:tcW w:w="1098" w:type="dxa"/>
            <w:shd w:val="clear" w:color="auto" w:fill="auto"/>
            <w:vAlign w:val="center"/>
          </w:tcPr>
          <w:p w14:paraId="222F82DD">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臭气浓度</w:t>
            </w:r>
          </w:p>
        </w:tc>
        <w:tc>
          <w:tcPr>
            <w:tcW w:w="1045" w:type="dxa"/>
            <w:vMerge w:val="continue"/>
            <w:shd w:val="clear" w:color="auto" w:fill="auto"/>
            <w:vAlign w:val="center"/>
          </w:tcPr>
          <w:p w14:paraId="47EE93B0">
            <w:pPr>
              <w:spacing w:line="240" w:lineRule="auto"/>
              <w:ind w:firstLine="0" w:firstLineChars="0"/>
              <w:jc w:val="center"/>
              <w:rPr>
                <w:rFonts w:cs="Times New Roman"/>
                <w:color w:val="auto"/>
                <w:sz w:val="21"/>
                <w:szCs w:val="21"/>
                <w:highlight w:val="none"/>
              </w:rPr>
            </w:pPr>
          </w:p>
        </w:tc>
        <w:tc>
          <w:tcPr>
            <w:tcW w:w="705" w:type="dxa"/>
            <w:shd w:val="clear" w:color="auto" w:fill="auto"/>
            <w:vAlign w:val="center"/>
          </w:tcPr>
          <w:p w14:paraId="36C7D8F7">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178" w:type="dxa"/>
            <w:shd w:val="clear" w:color="auto" w:fill="auto"/>
            <w:vAlign w:val="center"/>
          </w:tcPr>
          <w:p w14:paraId="6DDB0D6A">
            <w:pPr>
              <w:spacing w:line="360" w:lineRule="exact"/>
              <w:ind w:firstLine="0" w:firstLineChars="0"/>
              <w:jc w:val="center"/>
              <w:rPr>
                <w:rFonts w:hint="default" w:eastAsia="宋体" w:cs="Times New Roman"/>
                <w:color w:val="auto"/>
                <w:sz w:val="21"/>
                <w:szCs w:val="21"/>
                <w:highlight w:val="none"/>
                <w:lang w:val="en-US" w:eastAsia="zh-CN"/>
              </w:rPr>
            </w:pPr>
            <w:r>
              <w:rPr>
                <w:rFonts w:hint="eastAsia" w:ascii="宋体" w:hAnsi="宋体" w:eastAsia="宋体" w:cs="宋体"/>
                <w:color w:val="auto"/>
                <w:spacing w:val="-11"/>
                <w:sz w:val="21"/>
                <w:szCs w:val="21"/>
                <w:highlight w:val="none"/>
                <w:lang w:val="en-US" w:eastAsia="zh-CN"/>
              </w:rPr>
              <w:t>＜</w:t>
            </w:r>
            <w:r>
              <w:rPr>
                <w:rFonts w:hint="default" w:ascii="Times New Roman" w:hAnsi="Times New Roman" w:cs="Times New Roman"/>
                <w:color w:val="auto"/>
                <w:spacing w:val="-11"/>
                <w:sz w:val="21"/>
                <w:szCs w:val="21"/>
                <w:highlight w:val="none"/>
                <w:lang w:val="en-US" w:eastAsia="zh-CN"/>
              </w:rPr>
              <w:t>10</w:t>
            </w:r>
          </w:p>
        </w:tc>
        <w:tc>
          <w:tcPr>
            <w:tcW w:w="802" w:type="dxa"/>
            <w:shd w:val="clear" w:color="auto" w:fill="auto"/>
            <w:vAlign w:val="center"/>
          </w:tcPr>
          <w:p w14:paraId="74C547A2">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89" w:type="dxa"/>
            <w:shd w:val="clear" w:color="auto" w:fill="auto"/>
            <w:vAlign w:val="center"/>
          </w:tcPr>
          <w:p w14:paraId="0173F1D6">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834" w:type="dxa"/>
            <w:shd w:val="clear" w:color="auto" w:fill="auto"/>
            <w:vAlign w:val="center"/>
          </w:tcPr>
          <w:p w14:paraId="17C08B99">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r>
      <w:tr w14:paraId="51244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640" w:type="dxa"/>
            <w:vMerge w:val="continue"/>
            <w:shd w:val="clear" w:color="auto" w:fill="auto"/>
            <w:vAlign w:val="center"/>
          </w:tcPr>
          <w:p w14:paraId="32CD84AE">
            <w:pPr>
              <w:spacing w:line="360" w:lineRule="exact"/>
              <w:ind w:firstLine="0" w:firstLineChars="0"/>
              <w:jc w:val="center"/>
              <w:rPr>
                <w:rFonts w:cs="Times New Roman"/>
                <w:color w:val="auto"/>
                <w:sz w:val="21"/>
                <w:szCs w:val="21"/>
                <w:highlight w:val="none"/>
              </w:rPr>
            </w:pPr>
          </w:p>
        </w:tc>
        <w:tc>
          <w:tcPr>
            <w:tcW w:w="801" w:type="dxa"/>
            <w:vMerge w:val="continue"/>
            <w:shd w:val="clear" w:color="auto" w:fill="auto"/>
            <w:vAlign w:val="center"/>
          </w:tcPr>
          <w:p w14:paraId="49055552">
            <w:pPr>
              <w:spacing w:line="360" w:lineRule="exact"/>
              <w:ind w:firstLine="0" w:firstLineChars="0"/>
              <w:jc w:val="center"/>
              <w:rPr>
                <w:rFonts w:cs="Times New Roman"/>
                <w:color w:val="auto"/>
                <w:sz w:val="21"/>
                <w:szCs w:val="21"/>
                <w:highlight w:val="none"/>
              </w:rPr>
            </w:pPr>
          </w:p>
        </w:tc>
        <w:tc>
          <w:tcPr>
            <w:tcW w:w="844" w:type="dxa"/>
            <w:vMerge w:val="continue"/>
            <w:shd w:val="clear" w:color="auto" w:fill="auto"/>
            <w:vAlign w:val="center"/>
          </w:tcPr>
          <w:p w14:paraId="30FF1FE6">
            <w:pPr>
              <w:spacing w:line="360" w:lineRule="exact"/>
              <w:ind w:firstLine="0" w:firstLineChars="0"/>
              <w:jc w:val="center"/>
              <w:rPr>
                <w:rFonts w:cs="Times New Roman"/>
                <w:color w:val="auto"/>
                <w:sz w:val="21"/>
                <w:szCs w:val="21"/>
                <w:highlight w:val="none"/>
              </w:rPr>
            </w:pPr>
          </w:p>
        </w:tc>
        <w:tc>
          <w:tcPr>
            <w:tcW w:w="1098" w:type="dxa"/>
            <w:shd w:val="clear" w:color="auto" w:fill="auto"/>
            <w:vAlign w:val="center"/>
          </w:tcPr>
          <w:p w14:paraId="0AAE0B6D">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TSP</w:t>
            </w:r>
          </w:p>
        </w:tc>
        <w:tc>
          <w:tcPr>
            <w:tcW w:w="1045" w:type="dxa"/>
            <w:shd w:val="clear" w:color="auto" w:fill="auto"/>
            <w:vAlign w:val="center"/>
          </w:tcPr>
          <w:p w14:paraId="6ABCA0F9">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24h</w:t>
            </w:r>
            <w:r>
              <w:rPr>
                <w:rFonts w:cs="Times New Roman"/>
                <w:color w:val="auto"/>
                <w:sz w:val="21"/>
                <w:szCs w:val="21"/>
                <w:highlight w:val="none"/>
              </w:rPr>
              <w:t>平均</w:t>
            </w:r>
          </w:p>
        </w:tc>
        <w:tc>
          <w:tcPr>
            <w:tcW w:w="705" w:type="dxa"/>
            <w:shd w:val="clear" w:color="auto" w:fill="auto"/>
            <w:vAlign w:val="center"/>
          </w:tcPr>
          <w:p w14:paraId="52500E58">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1178" w:type="dxa"/>
            <w:shd w:val="clear" w:color="auto" w:fill="auto"/>
            <w:vAlign w:val="center"/>
          </w:tcPr>
          <w:p w14:paraId="31B3FBD2">
            <w:pPr>
              <w:spacing w:line="360" w:lineRule="exact"/>
              <w:ind w:firstLine="0" w:firstLineChars="0"/>
              <w:jc w:val="center"/>
              <w:rPr>
                <w:rFonts w:hint="default"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0.082-0.089</w:t>
            </w:r>
          </w:p>
        </w:tc>
        <w:tc>
          <w:tcPr>
            <w:tcW w:w="802" w:type="dxa"/>
            <w:shd w:val="clear" w:color="auto" w:fill="auto"/>
            <w:vAlign w:val="center"/>
          </w:tcPr>
          <w:p w14:paraId="2E9DE766">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29.7</w:t>
            </w:r>
          </w:p>
        </w:tc>
        <w:tc>
          <w:tcPr>
            <w:tcW w:w="789" w:type="dxa"/>
            <w:shd w:val="clear" w:color="auto" w:fill="auto"/>
            <w:vAlign w:val="center"/>
          </w:tcPr>
          <w:p w14:paraId="4C492B9A">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834" w:type="dxa"/>
            <w:shd w:val="clear" w:color="auto" w:fill="auto"/>
            <w:vAlign w:val="center"/>
          </w:tcPr>
          <w:p w14:paraId="47EC5F8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w:t>
            </w:r>
          </w:p>
        </w:tc>
      </w:tr>
      <w:tr w14:paraId="26A731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40" w:type="dxa"/>
            <w:vMerge w:val="restart"/>
            <w:shd w:val="clear" w:color="auto" w:fill="auto"/>
            <w:vAlign w:val="center"/>
          </w:tcPr>
          <w:p w14:paraId="1771D92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w:t>
            </w:r>
          </w:p>
        </w:tc>
        <w:tc>
          <w:tcPr>
            <w:tcW w:w="801" w:type="dxa"/>
            <w:vMerge w:val="restart"/>
            <w:shd w:val="clear" w:color="auto" w:fill="auto"/>
            <w:vAlign w:val="center"/>
          </w:tcPr>
          <w:p w14:paraId="48047BF5">
            <w:pPr>
              <w:spacing w:line="360" w:lineRule="exact"/>
              <w:ind w:firstLine="0" w:firstLineChars="0"/>
              <w:jc w:val="center"/>
              <w:textAlignment w:val="baseline"/>
              <w:rPr>
                <w:rFonts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rPr>
              <w:t>131.153302</w:t>
            </w:r>
          </w:p>
        </w:tc>
        <w:tc>
          <w:tcPr>
            <w:tcW w:w="844" w:type="dxa"/>
            <w:vMerge w:val="restart"/>
            <w:shd w:val="clear" w:color="auto" w:fill="auto"/>
            <w:vAlign w:val="center"/>
          </w:tcPr>
          <w:p w14:paraId="4C9AB019">
            <w:pPr>
              <w:spacing w:line="360" w:lineRule="exact"/>
              <w:ind w:firstLine="0" w:firstLineChars="0"/>
              <w:jc w:val="center"/>
              <w:textAlignment w:val="baseline"/>
              <w:rPr>
                <w:rFonts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rPr>
              <w:t>46.560667</w:t>
            </w:r>
          </w:p>
        </w:tc>
        <w:tc>
          <w:tcPr>
            <w:tcW w:w="1098" w:type="dxa"/>
            <w:shd w:val="clear" w:color="auto" w:fill="auto"/>
            <w:vAlign w:val="center"/>
          </w:tcPr>
          <w:p w14:paraId="144A333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1045" w:type="dxa"/>
            <w:vMerge w:val="restart"/>
            <w:shd w:val="clear" w:color="auto" w:fill="auto"/>
            <w:vAlign w:val="center"/>
          </w:tcPr>
          <w:p w14:paraId="45D9919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r>
              <w:rPr>
                <w:rFonts w:hint="eastAsia" w:cs="Times New Roman"/>
                <w:color w:val="auto"/>
                <w:sz w:val="21"/>
                <w:szCs w:val="21"/>
                <w:highlight w:val="none"/>
                <w:lang w:val="en-US" w:eastAsia="zh-CN"/>
              </w:rPr>
              <w:t>h</w:t>
            </w:r>
            <w:r>
              <w:rPr>
                <w:rFonts w:cs="Times New Roman"/>
                <w:color w:val="auto"/>
                <w:sz w:val="21"/>
                <w:szCs w:val="21"/>
                <w:highlight w:val="none"/>
              </w:rPr>
              <w:t>平均</w:t>
            </w:r>
          </w:p>
        </w:tc>
        <w:tc>
          <w:tcPr>
            <w:tcW w:w="705" w:type="dxa"/>
            <w:shd w:val="clear" w:color="auto" w:fill="auto"/>
            <w:vAlign w:val="center"/>
          </w:tcPr>
          <w:p w14:paraId="0D64DD9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0.2</w:t>
            </w:r>
          </w:p>
        </w:tc>
        <w:tc>
          <w:tcPr>
            <w:tcW w:w="1178" w:type="dxa"/>
            <w:shd w:val="clear" w:color="auto" w:fill="auto"/>
            <w:vAlign w:val="center"/>
          </w:tcPr>
          <w:p w14:paraId="0877F3E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0.05-0.09</w:t>
            </w:r>
          </w:p>
        </w:tc>
        <w:tc>
          <w:tcPr>
            <w:tcW w:w="802" w:type="dxa"/>
            <w:shd w:val="clear" w:color="auto" w:fill="auto"/>
            <w:vAlign w:val="center"/>
          </w:tcPr>
          <w:p w14:paraId="22EBEA1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45</w:t>
            </w:r>
          </w:p>
        </w:tc>
        <w:tc>
          <w:tcPr>
            <w:tcW w:w="789" w:type="dxa"/>
            <w:shd w:val="clear" w:color="auto" w:fill="auto"/>
            <w:vAlign w:val="center"/>
          </w:tcPr>
          <w:p w14:paraId="0001916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834" w:type="dxa"/>
            <w:shd w:val="clear" w:color="auto" w:fill="auto"/>
            <w:vAlign w:val="center"/>
          </w:tcPr>
          <w:p w14:paraId="18B84D6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w:t>
            </w:r>
          </w:p>
        </w:tc>
      </w:tr>
      <w:tr w14:paraId="448E5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640" w:type="dxa"/>
            <w:vMerge w:val="continue"/>
            <w:shd w:val="clear" w:color="auto" w:fill="auto"/>
            <w:vAlign w:val="center"/>
          </w:tcPr>
          <w:p w14:paraId="1BD31C6A">
            <w:pPr>
              <w:spacing w:line="360" w:lineRule="exact"/>
              <w:ind w:firstLine="0" w:firstLineChars="0"/>
              <w:jc w:val="center"/>
              <w:rPr>
                <w:rFonts w:cs="Times New Roman"/>
                <w:color w:val="auto"/>
                <w:sz w:val="21"/>
                <w:szCs w:val="21"/>
                <w:highlight w:val="none"/>
              </w:rPr>
            </w:pPr>
          </w:p>
        </w:tc>
        <w:tc>
          <w:tcPr>
            <w:tcW w:w="801" w:type="dxa"/>
            <w:vMerge w:val="continue"/>
            <w:shd w:val="clear" w:color="auto" w:fill="auto"/>
            <w:vAlign w:val="center"/>
          </w:tcPr>
          <w:p w14:paraId="6D1F51F4">
            <w:pPr>
              <w:spacing w:line="360" w:lineRule="exact"/>
              <w:ind w:firstLine="0" w:firstLineChars="0"/>
              <w:jc w:val="center"/>
              <w:rPr>
                <w:rFonts w:cs="Times New Roman"/>
                <w:color w:val="auto"/>
                <w:sz w:val="21"/>
                <w:szCs w:val="21"/>
                <w:highlight w:val="none"/>
              </w:rPr>
            </w:pPr>
          </w:p>
        </w:tc>
        <w:tc>
          <w:tcPr>
            <w:tcW w:w="844" w:type="dxa"/>
            <w:vMerge w:val="continue"/>
            <w:shd w:val="clear" w:color="auto" w:fill="auto"/>
            <w:vAlign w:val="center"/>
          </w:tcPr>
          <w:p w14:paraId="2FCF5A79">
            <w:pPr>
              <w:spacing w:line="360" w:lineRule="exact"/>
              <w:ind w:firstLine="0" w:firstLineChars="0"/>
              <w:jc w:val="center"/>
              <w:rPr>
                <w:rFonts w:cs="Times New Roman"/>
                <w:color w:val="auto"/>
                <w:sz w:val="21"/>
                <w:szCs w:val="21"/>
                <w:highlight w:val="none"/>
              </w:rPr>
            </w:pPr>
          </w:p>
        </w:tc>
        <w:tc>
          <w:tcPr>
            <w:tcW w:w="1098" w:type="dxa"/>
            <w:shd w:val="clear" w:color="auto" w:fill="auto"/>
            <w:vAlign w:val="center"/>
          </w:tcPr>
          <w:p w14:paraId="4AA5C89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1045" w:type="dxa"/>
            <w:vMerge w:val="continue"/>
            <w:shd w:val="clear" w:color="auto" w:fill="auto"/>
            <w:vAlign w:val="center"/>
          </w:tcPr>
          <w:p w14:paraId="7F1E409F">
            <w:pPr>
              <w:spacing w:line="360" w:lineRule="exact"/>
              <w:ind w:firstLine="0" w:firstLineChars="0"/>
              <w:jc w:val="center"/>
              <w:rPr>
                <w:rFonts w:cs="Times New Roman"/>
                <w:color w:val="auto"/>
                <w:sz w:val="21"/>
                <w:szCs w:val="21"/>
                <w:highlight w:val="none"/>
              </w:rPr>
            </w:pPr>
          </w:p>
        </w:tc>
        <w:tc>
          <w:tcPr>
            <w:tcW w:w="705" w:type="dxa"/>
            <w:shd w:val="clear" w:color="auto" w:fill="auto"/>
            <w:vAlign w:val="center"/>
          </w:tcPr>
          <w:p w14:paraId="37A501B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0.01</w:t>
            </w:r>
          </w:p>
        </w:tc>
        <w:tc>
          <w:tcPr>
            <w:tcW w:w="1178" w:type="dxa"/>
            <w:shd w:val="clear" w:color="auto" w:fill="auto"/>
            <w:vAlign w:val="center"/>
          </w:tcPr>
          <w:p w14:paraId="65870B49">
            <w:pPr>
              <w:spacing w:line="360" w:lineRule="exact"/>
              <w:ind w:firstLine="0" w:firstLineChars="0"/>
              <w:jc w:val="center"/>
              <w:rPr>
                <w:rFonts w:cs="Times New Roman"/>
                <w:color w:val="auto"/>
                <w:sz w:val="21"/>
                <w:szCs w:val="21"/>
                <w:highlight w:val="none"/>
              </w:rPr>
            </w:pPr>
            <w:r>
              <w:rPr>
                <w:rFonts w:cs="Times New Roman"/>
                <w:color w:val="auto"/>
                <w:spacing w:val="-11"/>
                <w:sz w:val="21"/>
                <w:szCs w:val="21"/>
                <w:highlight w:val="none"/>
              </w:rPr>
              <w:t>ND</w:t>
            </w:r>
          </w:p>
        </w:tc>
        <w:tc>
          <w:tcPr>
            <w:tcW w:w="802" w:type="dxa"/>
            <w:shd w:val="clear" w:color="auto" w:fill="auto"/>
            <w:vAlign w:val="center"/>
          </w:tcPr>
          <w:p w14:paraId="2910470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789" w:type="dxa"/>
            <w:shd w:val="clear" w:color="auto" w:fill="auto"/>
            <w:vAlign w:val="center"/>
          </w:tcPr>
          <w:p w14:paraId="52A2378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w:t>
            </w:r>
          </w:p>
        </w:tc>
        <w:tc>
          <w:tcPr>
            <w:tcW w:w="834" w:type="dxa"/>
            <w:shd w:val="clear" w:color="auto" w:fill="auto"/>
            <w:vAlign w:val="center"/>
          </w:tcPr>
          <w:p w14:paraId="32DB7E6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w:t>
            </w:r>
          </w:p>
        </w:tc>
      </w:tr>
      <w:tr w14:paraId="3100F0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640" w:type="dxa"/>
            <w:vMerge w:val="continue"/>
            <w:shd w:val="clear" w:color="auto" w:fill="auto"/>
            <w:vAlign w:val="center"/>
          </w:tcPr>
          <w:p w14:paraId="7BA9C018">
            <w:pPr>
              <w:spacing w:line="360" w:lineRule="exact"/>
              <w:ind w:firstLine="0" w:firstLineChars="0"/>
              <w:jc w:val="center"/>
              <w:rPr>
                <w:rFonts w:cs="Times New Roman"/>
                <w:color w:val="auto"/>
                <w:sz w:val="21"/>
                <w:szCs w:val="21"/>
                <w:highlight w:val="none"/>
              </w:rPr>
            </w:pPr>
          </w:p>
        </w:tc>
        <w:tc>
          <w:tcPr>
            <w:tcW w:w="801" w:type="dxa"/>
            <w:vMerge w:val="continue"/>
            <w:shd w:val="clear" w:color="auto" w:fill="auto"/>
            <w:vAlign w:val="center"/>
          </w:tcPr>
          <w:p w14:paraId="6913387A">
            <w:pPr>
              <w:spacing w:line="360" w:lineRule="exact"/>
              <w:ind w:firstLine="0" w:firstLineChars="0"/>
              <w:jc w:val="center"/>
              <w:rPr>
                <w:rFonts w:cs="Times New Roman"/>
                <w:color w:val="auto"/>
                <w:sz w:val="21"/>
                <w:szCs w:val="21"/>
                <w:highlight w:val="none"/>
              </w:rPr>
            </w:pPr>
          </w:p>
        </w:tc>
        <w:tc>
          <w:tcPr>
            <w:tcW w:w="844" w:type="dxa"/>
            <w:vMerge w:val="continue"/>
            <w:shd w:val="clear" w:color="auto" w:fill="auto"/>
            <w:vAlign w:val="center"/>
          </w:tcPr>
          <w:p w14:paraId="18CCA673">
            <w:pPr>
              <w:spacing w:line="360" w:lineRule="exact"/>
              <w:ind w:firstLine="0" w:firstLineChars="0"/>
              <w:jc w:val="center"/>
              <w:rPr>
                <w:rFonts w:cs="Times New Roman"/>
                <w:color w:val="auto"/>
                <w:sz w:val="21"/>
                <w:szCs w:val="21"/>
                <w:highlight w:val="none"/>
              </w:rPr>
            </w:pPr>
          </w:p>
        </w:tc>
        <w:tc>
          <w:tcPr>
            <w:tcW w:w="1098" w:type="dxa"/>
            <w:shd w:val="clear" w:color="auto" w:fill="auto"/>
            <w:vAlign w:val="center"/>
          </w:tcPr>
          <w:p w14:paraId="6D537EE2">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臭气浓度</w:t>
            </w:r>
          </w:p>
        </w:tc>
        <w:tc>
          <w:tcPr>
            <w:tcW w:w="1045" w:type="dxa"/>
            <w:vMerge w:val="continue"/>
            <w:shd w:val="clear" w:color="auto" w:fill="auto"/>
            <w:vAlign w:val="center"/>
          </w:tcPr>
          <w:p w14:paraId="75944516">
            <w:pPr>
              <w:spacing w:line="240" w:lineRule="auto"/>
              <w:ind w:firstLine="0" w:firstLineChars="0"/>
              <w:jc w:val="center"/>
              <w:rPr>
                <w:rFonts w:cs="Times New Roman"/>
                <w:color w:val="auto"/>
                <w:sz w:val="21"/>
                <w:szCs w:val="21"/>
                <w:highlight w:val="none"/>
              </w:rPr>
            </w:pPr>
          </w:p>
        </w:tc>
        <w:tc>
          <w:tcPr>
            <w:tcW w:w="705" w:type="dxa"/>
            <w:shd w:val="clear" w:color="auto" w:fill="auto"/>
            <w:vAlign w:val="center"/>
          </w:tcPr>
          <w:p w14:paraId="05CF6417">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178" w:type="dxa"/>
            <w:shd w:val="clear" w:color="auto" w:fill="auto"/>
            <w:vAlign w:val="center"/>
          </w:tcPr>
          <w:p w14:paraId="2CE65A7C">
            <w:pPr>
              <w:spacing w:line="360" w:lineRule="exact"/>
              <w:ind w:firstLine="0" w:firstLineChars="0"/>
              <w:jc w:val="center"/>
              <w:rPr>
                <w:rFonts w:cs="Times New Roman"/>
                <w:color w:val="auto"/>
                <w:spacing w:val="-11"/>
                <w:sz w:val="21"/>
                <w:szCs w:val="21"/>
                <w:highlight w:val="none"/>
              </w:rPr>
            </w:pPr>
            <w:r>
              <w:rPr>
                <w:rFonts w:hint="eastAsia" w:ascii="宋体" w:hAnsi="宋体" w:eastAsia="宋体" w:cs="宋体"/>
                <w:color w:val="auto"/>
                <w:spacing w:val="-11"/>
                <w:sz w:val="21"/>
                <w:szCs w:val="21"/>
                <w:highlight w:val="none"/>
                <w:lang w:val="en-US" w:eastAsia="zh-CN"/>
              </w:rPr>
              <w:t>＜</w:t>
            </w:r>
            <w:r>
              <w:rPr>
                <w:rFonts w:hint="default" w:ascii="Times New Roman" w:hAnsi="Times New Roman" w:cs="Times New Roman"/>
                <w:color w:val="auto"/>
                <w:spacing w:val="-11"/>
                <w:sz w:val="21"/>
                <w:szCs w:val="21"/>
                <w:highlight w:val="none"/>
                <w:lang w:val="en-US" w:eastAsia="zh-CN"/>
              </w:rPr>
              <w:t>10</w:t>
            </w:r>
          </w:p>
        </w:tc>
        <w:tc>
          <w:tcPr>
            <w:tcW w:w="802" w:type="dxa"/>
            <w:shd w:val="clear" w:color="auto" w:fill="auto"/>
            <w:vAlign w:val="center"/>
          </w:tcPr>
          <w:p w14:paraId="20FF5C2E">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w:t>
            </w:r>
          </w:p>
        </w:tc>
        <w:tc>
          <w:tcPr>
            <w:tcW w:w="789" w:type="dxa"/>
            <w:shd w:val="clear" w:color="auto" w:fill="auto"/>
            <w:vAlign w:val="center"/>
          </w:tcPr>
          <w:p w14:paraId="6FA24AC1">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0</w:t>
            </w:r>
          </w:p>
        </w:tc>
        <w:tc>
          <w:tcPr>
            <w:tcW w:w="834" w:type="dxa"/>
            <w:shd w:val="clear" w:color="auto" w:fill="auto"/>
            <w:vAlign w:val="center"/>
          </w:tcPr>
          <w:p w14:paraId="17E63E21">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r>
      <w:tr w14:paraId="21F74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640" w:type="dxa"/>
            <w:vMerge w:val="continue"/>
            <w:shd w:val="clear" w:color="auto" w:fill="auto"/>
            <w:vAlign w:val="center"/>
          </w:tcPr>
          <w:p w14:paraId="6C59C550">
            <w:pPr>
              <w:spacing w:line="360" w:lineRule="exact"/>
              <w:ind w:firstLine="0" w:firstLineChars="0"/>
              <w:jc w:val="center"/>
              <w:rPr>
                <w:rFonts w:cs="Times New Roman"/>
                <w:color w:val="auto"/>
                <w:sz w:val="21"/>
                <w:szCs w:val="21"/>
                <w:highlight w:val="none"/>
              </w:rPr>
            </w:pPr>
          </w:p>
        </w:tc>
        <w:tc>
          <w:tcPr>
            <w:tcW w:w="801" w:type="dxa"/>
            <w:vMerge w:val="continue"/>
            <w:shd w:val="clear" w:color="auto" w:fill="auto"/>
            <w:vAlign w:val="center"/>
          </w:tcPr>
          <w:p w14:paraId="46277E30">
            <w:pPr>
              <w:spacing w:line="360" w:lineRule="exact"/>
              <w:ind w:firstLine="0" w:firstLineChars="0"/>
              <w:jc w:val="center"/>
              <w:rPr>
                <w:rFonts w:cs="Times New Roman"/>
                <w:color w:val="auto"/>
                <w:sz w:val="21"/>
                <w:szCs w:val="21"/>
                <w:highlight w:val="none"/>
              </w:rPr>
            </w:pPr>
          </w:p>
        </w:tc>
        <w:tc>
          <w:tcPr>
            <w:tcW w:w="844" w:type="dxa"/>
            <w:vMerge w:val="continue"/>
            <w:shd w:val="clear" w:color="auto" w:fill="auto"/>
            <w:vAlign w:val="center"/>
          </w:tcPr>
          <w:p w14:paraId="5E034B6A">
            <w:pPr>
              <w:spacing w:line="360" w:lineRule="exact"/>
              <w:ind w:firstLine="0" w:firstLineChars="0"/>
              <w:jc w:val="center"/>
              <w:rPr>
                <w:rFonts w:cs="Times New Roman"/>
                <w:color w:val="auto"/>
                <w:sz w:val="21"/>
                <w:szCs w:val="21"/>
                <w:highlight w:val="none"/>
              </w:rPr>
            </w:pPr>
          </w:p>
        </w:tc>
        <w:tc>
          <w:tcPr>
            <w:tcW w:w="1098" w:type="dxa"/>
            <w:shd w:val="clear" w:color="auto" w:fill="auto"/>
            <w:vAlign w:val="center"/>
          </w:tcPr>
          <w:p w14:paraId="2681D7E5">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TSP</w:t>
            </w:r>
          </w:p>
        </w:tc>
        <w:tc>
          <w:tcPr>
            <w:tcW w:w="1045" w:type="dxa"/>
            <w:shd w:val="clear" w:color="auto" w:fill="auto"/>
            <w:vAlign w:val="center"/>
          </w:tcPr>
          <w:p w14:paraId="25733FBA">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24h</w:t>
            </w:r>
            <w:r>
              <w:rPr>
                <w:rFonts w:cs="Times New Roman"/>
                <w:color w:val="auto"/>
                <w:sz w:val="21"/>
                <w:szCs w:val="21"/>
                <w:highlight w:val="none"/>
              </w:rPr>
              <w:t>平均</w:t>
            </w:r>
          </w:p>
        </w:tc>
        <w:tc>
          <w:tcPr>
            <w:tcW w:w="705" w:type="dxa"/>
            <w:shd w:val="clear" w:color="auto" w:fill="auto"/>
            <w:vAlign w:val="center"/>
          </w:tcPr>
          <w:p w14:paraId="7AF3BFBE">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1178" w:type="dxa"/>
            <w:shd w:val="clear" w:color="auto" w:fill="auto"/>
            <w:vAlign w:val="center"/>
          </w:tcPr>
          <w:p w14:paraId="1E8CDF95">
            <w:pPr>
              <w:spacing w:line="360" w:lineRule="exact"/>
              <w:ind w:firstLine="0" w:firstLineChars="0"/>
              <w:jc w:val="center"/>
              <w:rPr>
                <w:rFonts w:hint="default"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0.088-0.093</w:t>
            </w:r>
          </w:p>
        </w:tc>
        <w:tc>
          <w:tcPr>
            <w:tcW w:w="802" w:type="dxa"/>
            <w:shd w:val="clear" w:color="auto" w:fill="auto"/>
            <w:vAlign w:val="center"/>
          </w:tcPr>
          <w:p w14:paraId="67937E64">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31.0</w:t>
            </w:r>
          </w:p>
        </w:tc>
        <w:tc>
          <w:tcPr>
            <w:tcW w:w="789" w:type="dxa"/>
            <w:shd w:val="clear" w:color="auto" w:fill="auto"/>
            <w:vAlign w:val="center"/>
          </w:tcPr>
          <w:p w14:paraId="117C9F3E">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834" w:type="dxa"/>
            <w:shd w:val="clear" w:color="auto" w:fill="auto"/>
            <w:vAlign w:val="center"/>
          </w:tcPr>
          <w:p w14:paraId="152D185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w:t>
            </w:r>
          </w:p>
        </w:tc>
      </w:tr>
    </w:tbl>
    <w:p w14:paraId="051A313C">
      <w:pPr>
        <w:pStyle w:val="45"/>
        <w:spacing w:before="81" w:after="81"/>
        <w:ind w:firstLine="0" w:firstLineChars="0"/>
        <w:rPr>
          <w:rFonts w:hint="default" w:eastAsia="宋体" w:cs="Times New Roman"/>
          <w:color w:val="auto"/>
          <w:highlight w:val="none"/>
          <w:lang w:val="en-US" w:eastAsia="zh-CN"/>
        </w:rPr>
      </w:pPr>
      <w:r>
        <w:rPr>
          <w:rFonts w:cs="Times New Roman"/>
          <w:b/>
          <w:color w:val="auto"/>
          <w:szCs w:val="21"/>
          <w:highlight w:val="none"/>
        </w:rPr>
        <w:t>*注：ND表示未检出，硫化氢的检出限为0.001</w:t>
      </w:r>
      <w:r>
        <w:rPr>
          <w:rFonts w:cs="Times New Roman"/>
          <w:b/>
          <w:color w:val="auto"/>
          <w:spacing w:val="-11"/>
          <w:szCs w:val="21"/>
          <w:highlight w:val="none"/>
        </w:rPr>
        <w:t>mg/m</w:t>
      </w:r>
      <w:r>
        <w:rPr>
          <w:rFonts w:cs="Times New Roman"/>
          <w:b/>
          <w:color w:val="auto"/>
          <w:spacing w:val="-11"/>
          <w:szCs w:val="21"/>
          <w:highlight w:val="none"/>
          <w:vertAlign w:val="superscript"/>
        </w:rPr>
        <w:t>3</w:t>
      </w:r>
      <w:r>
        <w:rPr>
          <w:rFonts w:hint="eastAsia" w:eastAsia="宋体" w:cs="Times New Roman"/>
          <w:b/>
          <w:color w:val="auto"/>
          <w:spacing w:val="-17"/>
          <w:szCs w:val="21"/>
          <w:highlight w:val="none"/>
          <w:lang w:eastAsia="zh-CN"/>
        </w:rPr>
        <w:t>，</w:t>
      </w:r>
      <w:r>
        <w:rPr>
          <w:rFonts w:hint="eastAsia" w:cs="Times New Roman"/>
          <w:b/>
          <w:color w:val="auto"/>
          <w:szCs w:val="21"/>
          <w:highlight w:val="none"/>
          <w:lang w:val="en-US" w:eastAsia="zh-CN"/>
        </w:rPr>
        <w:t>臭气浓度检出限为10（无量纲）。</w:t>
      </w:r>
    </w:p>
    <w:p w14:paraId="10F6CF94">
      <w:pPr>
        <w:rPr>
          <w:rFonts w:cs="Times New Roman"/>
          <w:color w:val="auto"/>
          <w:szCs w:val="24"/>
          <w:highlight w:val="none"/>
        </w:rPr>
      </w:pPr>
      <w:r>
        <w:rPr>
          <w:rFonts w:cs="Times New Roman"/>
          <w:color w:val="auto"/>
          <w:highlight w:val="none"/>
        </w:rPr>
        <w:t>由上表分析可知，所在区域的氨、硫化氢满足《环境影响评价技术导则 大气环境》（HJ2.2-2018）附录D中标准限值要求</w:t>
      </w:r>
      <w:r>
        <w:rPr>
          <w:rFonts w:hint="eastAsia" w:cs="Times New Roman"/>
          <w:color w:val="auto"/>
          <w:highlight w:val="none"/>
          <w:lang w:eastAsia="zh-CN"/>
        </w:rPr>
        <w:t>，</w:t>
      </w:r>
      <w:r>
        <w:rPr>
          <w:rFonts w:hint="eastAsia" w:cs="Times New Roman"/>
          <w:color w:val="auto"/>
          <w:highlight w:val="none"/>
          <w:lang w:val="en-US" w:eastAsia="zh-CN"/>
        </w:rPr>
        <w:t>TSP24h均值满足</w:t>
      </w:r>
      <w:r>
        <w:rPr>
          <w:rFonts w:cs="Times New Roman"/>
          <w:color w:val="auto"/>
          <w:highlight w:val="none"/>
        </w:rPr>
        <w:t>《环境空气质量标准》（GB3095-2012）</w:t>
      </w:r>
      <w:r>
        <w:rPr>
          <w:rFonts w:hint="eastAsia" w:cs="Times New Roman"/>
          <w:color w:val="auto"/>
          <w:highlight w:val="none"/>
          <w:lang w:val="en-US" w:eastAsia="zh-CN"/>
        </w:rPr>
        <w:t>表2中二级标准浓度限值要求，臭气浓度未检出</w:t>
      </w:r>
      <w:r>
        <w:rPr>
          <w:rFonts w:cs="Times New Roman"/>
          <w:color w:val="auto"/>
          <w:highlight w:val="none"/>
        </w:rPr>
        <w:t>。</w:t>
      </w:r>
    </w:p>
    <w:p w14:paraId="19EAC8D4">
      <w:pPr>
        <w:pStyle w:val="4"/>
        <w:spacing w:after="0" w:afterLines="0"/>
        <w:rPr>
          <w:rFonts w:cs="Times New Roman"/>
          <w:color w:val="auto"/>
          <w:highlight w:val="none"/>
          <w:lang w:val="zh-CN"/>
        </w:rPr>
      </w:pPr>
      <w:bookmarkStart w:id="261" w:name="_Toc22641"/>
      <w:r>
        <w:rPr>
          <w:rFonts w:cs="Times New Roman"/>
          <w:color w:val="auto"/>
          <w:highlight w:val="none"/>
          <w:lang w:val="zh-CN"/>
        </w:rPr>
        <w:t>4.2.</w:t>
      </w:r>
      <w:r>
        <w:rPr>
          <w:rFonts w:cs="Times New Roman"/>
          <w:color w:val="auto"/>
          <w:highlight w:val="none"/>
        </w:rPr>
        <w:t>2</w:t>
      </w:r>
      <w:r>
        <w:rPr>
          <w:rFonts w:cs="Times New Roman"/>
          <w:color w:val="auto"/>
          <w:highlight w:val="none"/>
          <w:lang w:val="zh-CN"/>
        </w:rPr>
        <w:t xml:space="preserve"> 地表水环境质量现状评价</w:t>
      </w:r>
      <w:bookmarkEnd w:id="261"/>
    </w:p>
    <w:p w14:paraId="0BF014D7">
      <w:pPr>
        <w:pStyle w:val="117"/>
        <w:spacing w:line="360" w:lineRule="auto"/>
        <w:rPr>
          <w:rFonts w:hint="eastAsia" w:ascii="Times New Roman" w:hAnsi="Times New Roman" w:eastAsia="宋体" w:cs="Times New Roman"/>
          <w:color w:val="auto"/>
          <w:highlight w:val="none"/>
        </w:rPr>
      </w:pPr>
      <w:bookmarkStart w:id="262" w:name="_Toc21115"/>
      <w:r>
        <w:rPr>
          <w:rFonts w:hint="eastAsia" w:ascii="Times New Roman" w:hAnsi="Times New Roman" w:eastAsia="宋体" w:cs="Times New Roman"/>
          <w:color w:val="auto"/>
          <w:highlight w:val="none"/>
        </w:rPr>
        <w:t>根据《202</w:t>
      </w:r>
      <w:r>
        <w:rPr>
          <w:rFonts w:hint="eastAsia" w:cs="Times New Roman"/>
          <w:color w:val="auto"/>
          <w:highlight w:val="none"/>
          <w:lang w:val="en-US" w:eastAsia="zh-CN"/>
        </w:rPr>
        <w:t>4</w:t>
      </w:r>
      <w:r>
        <w:rPr>
          <w:rFonts w:hint="eastAsia" w:ascii="Times New Roman" w:hAnsi="Times New Roman" w:eastAsia="宋体" w:cs="Times New Roman"/>
          <w:color w:val="auto"/>
          <w:highlight w:val="none"/>
        </w:rPr>
        <w:t>年黑龙江省生态环境质量状况》中的数据，</w:t>
      </w:r>
      <w:r>
        <w:rPr>
          <w:rFonts w:hint="eastAsia" w:cs="Times New Roman"/>
          <w:color w:val="auto"/>
          <w:highlight w:val="none"/>
          <w:lang w:val="en-US" w:eastAsia="zh-CN"/>
        </w:rPr>
        <w:t>安邦河段本项目位置</w:t>
      </w:r>
      <w:r>
        <w:rPr>
          <w:rFonts w:hint="eastAsia" w:ascii="Times New Roman" w:hAnsi="Times New Roman" w:eastAsia="宋体" w:cs="Times New Roman"/>
          <w:color w:val="auto"/>
          <w:highlight w:val="none"/>
        </w:rPr>
        <w:t>水质满足《地表水环境质量标准》（GB3838-2002）中Ⅲ类标准，可达到水体功能区规划目标。</w:t>
      </w:r>
    </w:p>
    <w:p w14:paraId="71432EB4">
      <w:pPr>
        <w:adjustRightInd w:val="0"/>
        <w:snapToGrid w:val="0"/>
        <w:spacing w:line="360" w:lineRule="auto"/>
        <w:ind w:firstLine="480" w:firstLineChars="200"/>
        <w:rPr>
          <w:rFonts w:hint="eastAsia"/>
          <w:color w:val="auto"/>
          <w:kern w:val="0"/>
          <w:sz w:val="24"/>
          <w:highlight w:val="none"/>
        </w:rPr>
      </w:pPr>
    </w:p>
    <w:p w14:paraId="4A874584">
      <w:pPr>
        <w:adjustRightInd w:val="0"/>
        <w:snapToGrid w:val="0"/>
        <w:spacing w:line="360" w:lineRule="auto"/>
        <w:ind w:left="0" w:leftChars="0" w:firstLine="0" w:firstLineChars="0"/>
        <w:rPr>
          <w:rFonts w:hint="eastAsia"/>
          <w:color w:val="auto"/>
          <w:kern w:val="0"/>
          <w:sz w:val="24"/>
          <w:highlight w:val="none"/>
        </w:rPr>
      </w:pPr>
    </w:p>
    <w:p w14:paraId="4C6B880A">
      <w:pPr>
        <w:adjustRightInd w:val="0"/>
        <w:snapToGrid w:val="0"/>
        <w:spacing w:line="360" w:lineRule="auto"/>
        <w:ind w:left="0" w:leftChars="0" w:firstLine="0" w:firstLineChars="0"/>
        <w:rPr>
          <w:color w:val="auto"/>
          <w:highlight w:val="none"/>
        </w:rPr>
      </w:pPr>
      <w:r>
        <w:rPr>
          <w:color w:val="auto"/>
          <w:sz w:val="21"/>
          <w:highlight w:val="none"/>
        </w:rPr>
        <mc:AlternateContent>
          <mc:Choice Requires="wpg">
            <w:drawing>
              <wp:anchor distT="0" distB="0" distL="114300" distR="114300" simplePos="0" relativeHeight="251691008" behindDoc="0" locked="0" layoutInCell="1" allowOverlap="1">
                <wp:simplePos x="0" y="0"/>
                <wp:positionH relativeFrom="column">
                  <wp:posOffset>3303270</wp:posOffset>
                </wp:positionH>
                <wp:positionV relativeFrom="paragraph">
                  <wp:posOffset>2713990</wp:posOffset>
                </wp:positionV>
                <wp:extent cx="1899920" cy="541655"/>
                <wp:effectExtent l="4445" t="0" r="0" b="8890"/>
                <wp:wrapNone/>
                <wp:docPr id="185" name="组合 185"/>
                <wp:cNvGraphicFramePr/>
                <a:graphic xmlns:a="http://schemas.openxmlformats.org/drawingml/2006/main">
                  <a:graphicData uri="http://schemas.microsoft.com/office/word/2010/wordprocessingGroup">
                    <wpg:wgp>
                      <wpg:cNvGrpSpPr/>
                      <wpg:grpSpPr>
                        <a:xfrm>
                          <a:off x="0" y="0"/>
                          <a:ext cx="1899920" cy="541631"/>
                          <a:chOff x="5413" y="1647579"/>
                          <a:chExt cx="2942" cy="931"/>
                        </a:xfrm>
                      </wpg:grpSpPr>
                      <wps:wsp>
                        <wps:cNvPr id="183" name="矩形 183"/>
                        <wps:cNvSpPr/>
                        <wps:spPr>
                          <a:xfrm>
                            <a:off x="6256" y="1647579"/>
                            <a:ext cx="2099" cy="614"/>
                          </a:xfrm>
                          <a:prstGeom prst="rect">
                            <a:avLst/>
                          </a:prstGeom>
                          <a:noFill/>
                          <a:ln>
                            <a:noFill/>
                          </a:ln>
                        </wps:spPr>
                        <wps:txbx>
                          <w:txbxContent>
                            <w:p w14:paraId="15824900">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eastAsia="宋体"/>
                                  <w:b/>
                                  <w:bCs/>
                                  <w:color w:val="FF0000"/>
                                  <w:lang w:val="en-US" w:eastAsia="zh-CN"/>
                                </w:rPr>
                              </w:pPr>
                              <w:r>
                                <w:rPr>
                                  <w:rFonts w:hint="eastAsia"/>
                                  <w:b/>
                                  <w:bCs/>
                                  <w:color w:val="FF0000"/>
                                  <w:lang w:val="en-US" w:eastAsia="zh-CN"/>
                                </w:rPr>
                                <w:t>本项目所在区域</w:t>
                              </w:r>
                            </w:p>
                          </w:txbxContent>
                        </wps:txbx>
                        <wps:bodyPr upright="1"/>
                      </wps:wsp>
                      <wps:wsp>
                        <wps:cNvPr id="181" name="椭圆 181"/>
                        <wps:cNvSpPr/>
                        <wps:spPr>
                          <a:xfrm>
                            <a:off x="5413" y="1648273"/>
                            <a:ext cx="266" cy="237"/>
                          </a:xfrm>
                          <a:prstGeom prst="ellipse">
                            <a:avLst/>
                          </a:prstGeom>
                          <a:noFill/>
                          <a:ln w="9525" cap="flat" cmpd="sng">
                            <a:solidFill>
                              <a:srgbClr val="FF0000"/>
                            </a:solidFill>
                            <a:prstDash val="solid"/>
                            <a:headEnd type="none" w="med" len="med"/>
                            <a:tailEnd type="none" w="med" len="med"/>
                          </a:ln>
                        </wps:spPr>
                        <wps:txbx>
                          <w:txbxContent>
                            <w:p w14:paraId="3C56B38F"/>
                          </w:txbxContent>
                        </wps:txbx>
                        <wps:bodyPr upright="1"/>
                      </wps:wsp>
                      <wps:wsp>
                        <wps:cNvPr id="184" name="直接连接符 184"/>
                        <wps:cNvCnPr/>
                        <wps:spPr>
                          <a:xfrm flipV="1">
                            <a:off x="5731" y="1647891"/>
                            <a:ext cx="630" cy="468"/>
                          </a:xfrm>
                          <a:prstGeom prst="line">
                            <a:avLst/>
                          </a:prstGeom>
                          <a:ln w="9525" cap="flat" cmpd="sng">
                            <a:solidFill>
                              <a:srgbClr val="FF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260.1pt;margin-top:213.7pt;height:42.65pt;width:149.6pt;z-index:251691008;mso-width-relative:page;mso-height-relative:page;" coordorigin="5413,1647579" coordsize="2942,931" o:gfxdata="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STb0D9sAAAALAQAADwAAAAAAAAABACAAAAAiAAAAZHJzL2Rvd25yZXYueG1sUEsBAhQA&#10;FAAAAAgAh07iQGp9K3QMAwAAuggAAA4AAAAAAAAAAQAgAAAAKgEAAGRycy9lMm9Eb2MueG1sUEsF&#10;BgAAAAAGAAYAWQEAAKgGAAAAAA==&#10;">
                <o:lock v:ext="edit" aspectratio="f"/>
                <v:rect id="_x0000_s1026" o:spid="_x0000_s1026" o:spt="1" style="position:absolute;left:6256;top:1647579;height:614;width:2099;" filled="f" stroked="f" coordsize="21600,21600" o:gfxdata="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S0Bs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5824900">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eastAsia="宋体"/>
                            <w:b/>
                            <w:bCs/>
                            <w:color w:val="FF0000"/>
                            <w:lang w:val="en-US" w:eastAsia="zh-CN"/>
                          </w:rPr>
                        </w:pPr>
                        <w:r>
                          <w:rPr>
                            <w:rFonts w:hint="eastAsia"/>
                            <w:b/>
                            <w:bCs/>
                            <w:color w:val="FF0000"/>
                            <w:lang w:val="en-US" w:eastAsia="zh-CN"/>
                          </w:rPr>
                          <w:t>本项目所在区域</w:t>
                        </w:r>
                      </w:p>
                    </w:txbxContent>
                  </v:textbox>
                </v:rect>
                <v:shape id="_x0000_s1026" o:spid="_x0000_s1026" o:spt="3" type="#_x0000_t3" style="position:absolute;left:5413;top:1648273;height:237;width:266;" filled="f" stroked="t" coordsize="21600,21600" o:gfxdata="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WsTUrsAAADc&#10;AAAADwAAAAAAAAABACAAAAAiAAAAZHJzL2Rvd25yZXYueG1sUEsBAhQAFAAAAAgAh07iQDMvBZ47&#10;AAAAOQAAABAAAAAAAAAAAQAgAAAACgEAAGRycy9zaGFwZXhtbC54bWxQSwUGAAAAAAYABgBbAQAA&#10;tAMAAAAA&#10;">
                  <v:fill on="f" focussize="0,0"/>
                  <v:stroke color="#FF0000" joinstyle="round"/>
                  <v:imagedata o:title=""/>
                  <o:lock v:ext="edit" aspectratio="f"/>
                  <v:textbox>
                    <w:txbxContent>
                      <w:p w14:paraId="3C56B38F"/>
                    </w:txbxContent>
                  </v:textbox>
                </v:shape>
                <v:line id="_x0000_s1026" o:spid="_x0000_s1026" o:spt="20" style="position:absolute;left:5731;top:1647891;flip:y;height:468;width:630;" filled="f" stroked="t" coordsize="21600,21600" o:gfxdata="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mIZW8AAAA&#10;3AAAAA8AAAAAAAAAAQAgAAAAIgAAAGRycy9kb3ducmV2LnhtbFBLAQIUABQAAAAIAIdO4kAzLwWe&#10;OwAAADkAAAAQAAAAAAAAAAEAIAAAAAsBAABkcnMvc2hhcGV4bWwueG1sUEsFBgAAAAAGAAYAWwEA&#10;ALUDAAAAAA==&#10;">
                  <v:fill on="f" focussize="0,0"/>
                  <v:stroke color="#FF0000" joinstyle="round"/>
                  <v:imagedata o:title=""/>
                  <o:lock v:ext="edit" aspectratio="f"/>
                </v:line>
              </v:group>
            </w:pict>
          </mc:Fallback>
        </mc:AlternateContent>
      </w:r>
      <w:r>
        <w:rPr>
          <w:color w:val="auto"/>
          <w:highlight w:val="none"/>
        </w:rPr>
        <w:drawing>
          <wp:inline distT="0" distB="0" distL="114300" distR="114300">
            <wp:extent cx="5274310" cy="4391660"/>
            <wp:effectExtent l="0" t="0" r="2540" b="8890"/>
            <wp:docPr id="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
                    <pic:cNvPicPr>
                      <a:picLocks noChangeAspect="1"/>
                    </pic:cNvPicPr>
                  </pic:nvPicPr>
                  <pic:blipFill>
                    <a:blip r:embed="rId29"/>
                    <a:stretch>
                      <a:fillRect/>
                    </a:stretch>
                  </pic:blipFill>
                  <pic:spPr>
                    <a:xfrm>
                      <a:off x="0" y="0"/>
                      <a:ext cx="5274310" cy="4391660"/>
                    </a:xfrm>
                    <a:prstGeom prst="rect">
                      <a:avLst/>
                    </a:prstGeom>
                    <a:noFill/>
                    <a:ln>
                      <a:noFill/>
                    </a:ln>
                  </pic:spPr>
                </pic:pic>
              </a:graphicData>
            </a:graphic>
          </wp:inline>
        </w:drawing>
      </w:r>
    </w:p>
    <w:p w14:paraId="2B4726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szCs w:val="21"/>
          <w:highlight w:val="none"/>
        </w:rPr>
      </w:pPr>
      <w:r>
        <w:rPr>
          <w:b/>
          <w:color w:val="auto"/>
          <w:szCs w:val="21"/>
          <w:highlight w:val="none"/>
        </w:rPr>
        <w:t>图</w:t>
      </w:r>
      <w:r>
        <w:rPr>
          <w:rFonts w:hint="eastAsia"/>
          <w:b/>
          <w:color w:val="auto"/>
          <w:szCs w:val="21"/>
          <w:highlight w:val="none"/>
          <w:lang w:val="en-US" w:eastAsia="zh-CN"/>
        </w:rPr>
        <w:t>4-2-2</w:t>
      </w:r>
      <w:r>
        <w:rPr>
          <w:b/>
          <w:color w:val="auto"/>
          <w:szCs w:val="21"/>
          <w:highlight w:val="none"/>
        </w:rPr>
        <w:t xml:space="preserve">  </w:t>
      </w:r>
      <w:r>
        <w:rPr>
          <w:rFonts w:hint="eastAsia"/>
          <w:b/>
          <w:color w:val="auto"/>
          <w:szCs w:val="21"/>
          <w:highlight w:val="none"/>
          <w:lang w:val="en-US" w:eastAsia="zh-CN"/>
        </w:rPr>
        <w:t>黑龙江省地表水水质状况示意</w:t>
      </w:r>
      <w:r>
        <w:rPr>
          <w:b/>
          <w:color w:val="auto"/>
          <w:szCs w:val="21"/>
          <w:highlight w:val="none"/>
        </w:rPr>
        <w:t>图</w:t>
      </w:r>
    </w:p>
    <w:bookmarkEnd w:id="262"/>
    <w:p w14:paraId="49837691">
      <w:pPr>
        <w:pStyle w:val="4"/>
        <w:spacing w:after="163"/>
        <w:rPr>
          <w:rFonts w:cs="Times New Roman"/>
          <w:color w:val="auto"/>
          <w:highlight w:val="none"/>
          <w:lang w:val="zh-CN"/>
        </w:rPr>
      </w:pPr>
      <w:r>
        <w:rPr>
          <w:rFonts w:cs="Times New Roman"/>
          <w:color w:val="auto"/>
          <w:highlight w:val="none"/>
          <w:lang w:val="zh-CN"/>
        </w:rPr>
        <w:t>4.2.3 地下水环境质量现状评价</w:t>
      </w:r>
    </w:p>
    <w:p w14:paraId="42267E1D">
      <w:pPr>
        <w:rPr>
          <w:rFonts w:ascii="Times New Roman" w:hAnsi="Times New Roman" w:eastAsia="宋体" w:cs="Times New Roman"/>
          <w:color w:val="auto"/>
          <w:highlight w:val="none"/>
        </w:rPr>
      </w:pPr>
      <w:r>
        <w:rPr>
          <w:rFonts w:cs="Times New Roman"/>
          <w:color w:val="auto"/>
          <w:highlight w:val="none"/>
        </w:rPr>
        <w:t>本项目地下水环境质量现</w:t>
      </w:r>
      <w:r>
        <w:rPr>
          <w:rFonts w:ascii="Times New Roman" w:hAnsi="Times New Roman" w:eastAsia="宋体" w:cs="Times New Roman"/>
          <w:color w:val="auto"/>
          <w:highlight w:val="none"/>
        </w:rPr>
        <w:t>状委托</w:t>
      </w:r>
      <w:r>
        <w:rPr>
          <w:rFonts w:hint="eastAsia" w:ascii="Times New Roman" w:hAnsi="Times New Roman" w:eastAsia="宋体" w:cs="Times New Roman"/>
          <w:color w:val="auto"/>
          <w:highlight w:val="none"/>
          <w:lang w:eastAsia="zh-CN"/>
        </w:rPr>
        <w:t>黑龙江汉风环境检测技术有限公司</w:t>
      </w:r>
      <w:r>
        <w:rPr>
          <w:rFonts w:ascii="Times New Roman" w:hAnsi="Times New Roman" w:eastAsia="宋体" w:cs="Times New Roman"/>
          <w:color w:val="auto"/>
          <w:highlight w:val="none"/>
        </w:rPr>
        <w:t>进行监测。</w:t>
      </w:r>
    </w:p>
    <w:p w14:paraId="46D33182">
      <w:pPr>
        <w:ind w:firstLine="482"/>
        <w:rPr>
          <w:rFonts w:cs="Times New Roman"/>
          <w:b/>
          <w:snapToGrid w:val="0"/>
          <w:color w:val="auto"/>
          <w:kern w:val="0"/>
          <w:highlight w:val="none"/>
        </w:rPr>
      </w:pPr>
      <w:r>
        <w:rPr>
          <w:rFonts w:cs="Times New Roman"/>
          <w:b/>
          <w:snapToGrid w:val="0"/>
          <w:color w:val="auto"/>
          <w:kern w:val="0"/>
          <w:highlight w:val="none"/>
        </w:rPr>
        <w:t>1、监测因子</w:t>
      </w:r>
    </w:p>
    <w:p w14:paraId="6B33C96C">
      <w:pPr>
        <w:rPr>
          <w:rFonts w:hint="default" w:ascii="Times New Roman" w:hAnsi="Times New Roman" w:cs="Times New Roman"/>
          <w:bCs/>
          <w:snapToGrid w:val="0"/>
          <w:color w:val="auto"/>
          <w:kern w:val="0"/>
          <w:sz w:val="24"/>
          <w:szCs w:val="24"/>
          <w:highlight w:val="none"/>
        </w:rPr>
      </w:pPr>
      <w:r>
        <w:rPr>
          <w:rFonts w:hint="default" w:ascii="Times New Roman" w:hAnsi="Times New Roman" w:cs="Times New Roman"/>
          <w:bCs/>
          <w:color w:val="auto"/>
          <w:sz w:val="24"/>
          <w:szCs w:val="24"/>
          <w:highlight w:val="none"/>
        </w:rPr>
        <w:t>根据项目特点和可能对地下水的影响，结合评价区地下水水化学特征，确定如下监测因子：</w:t>
      </w:r>
      <w:r>
        <w:rPr>
          <w:rFonts w:hint="default" w:ascii="Times New Roman" w:hAnsi="Times New Roman" w:eastAsia="宋体" w:cs="Times New Roman"/>
          <w:color w:val="auto"/>
          <w:sz w:val="24"/>
          <w:szCs w:val="24"/>
          <w:highlight w:val="none"/>
        </w:rPr>
        <w:t>K</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、Na</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、Ca</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、Mg</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vertAlign w:val="baseline"/>
          <w:lang w:val="en-US" w:eastAsia="zh-CN"/>
        </w:rPr>
        <w:t>Cl</w:t>
      </w:r>
      <w:r>
        <w:rPr>
          <w:rFonts w:hint="default" w:ascii="Times New Roman" w:hAnsi="Times New Roman" w:eastAsia="宋体" w:cs="Times New Roman"/>
          <w:color w:val="auto"/>
          <w:sz w:val="24"/>
          <w:szCs w:val="24"/>
          <w:highlight w:val="none"/>
          <w:vertAlign w:val="superscript"/>
          <w:lang w:val="en-US" w:eastAsia="zh-CN"/>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4</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vertAlign w:val="baseline"/>
          <w:lang w:val="en-US" w:eastAsia="zh-CN"/>
        </w:rPr>
        <w:t>、</w:t>
      </w:r>
      <w:r>
        <w:rPr>
          <w:rFonts w:hint="default" w:ascii="Times New Roman" w:hAnsi="Times New Roman" w:eastAsia="宋体" w:cs="Times New Roman"/>
          <w:color w:val="auto"/>
          <w:sz w:val="24"/>
          <w:szCs w:val="24"/>
          <w:highlight w:val="none"/>
        </w:rPr>
        <w:t>pH</w:t>
      </w:r>
      <w:r>
        <w:rPr>
          <w:rFonts w:hint="default" w:ascii="Times New Roman" w:hAnsi="Times New Roman" w:eastAsia="宋体" w:cs="Times New Roman"/>
          <w:color w:val="auto"/>
          <w:sz w:val="24"/>
          <w:szCs w:val="24"/>
          <w:highlight w:val="none"/>
          <w:lang w:val="en-US" w:eastAsia="zh-CN"/>
        </w:rPr>
        <w:t>值</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pacing w:val="-6"/>
          <w:sz w:val="24"/>
          <w:szCs w:val="24"/>
          <w:highlight w:val="none"/>
          <w:lang w:val="en-US" w:eastAsia="zh-CN"/>
        </w:rPr>
        <w:t>高锰酸盐指数</w:t>
      </w:r>
      <w:r>
        <w:rPr>
          <w:rFonts w:hint="eastAsia" w:ascii="Times New Roman" w:hAnsi="Times New Roman" w:eastAsia="宋体" w:cs="Times New Roman"/>
          <w:color w:val="auto"/>
          <w:spacing w:val="-6"/>
          <w:sz w:val="24"/>
          <w:szCs w:val="24"/>
          <w:highlight w:val="none"/>
          <w:lang w:val="en-US" w:eastAsia="zh-CN"/>
        </w:rPr>
        <w:t>（耗氧量）</w:t>
      </w:r>
      <w:r>
        <w:rPr>
          <w:rFonts w:hint="default" w:ascii="Times New Roman" w:hAnsi="Times New Roman" w:eastAsia="宋体" w:cs="Times New Roman"/>
          <w:color w:val="auto"/>
          <w:sz w:val="24"/>
          <w:szCs w:val="24"/>
          <w:highlight w:val="none"/>
        </w:rPr>
        <w:t>、氨氮、总硬度、硝酸盐（以N计）、亚硝酸盐（以N计）、硫酸盐、氯化物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铁、锰、总大肠菌群、挥发酚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、氰化物、砷、汞、六价铬、镉、铅、氟</w:t>
      </w:r>
      <w:r>
        <w:rPr>
          <w:rFonts w:hint="default" w:ascii="Times New Roman" w:hAnsi="Times New Roman" w:eastAsia="宋体" w:cs="Times New Roman"/>
          <w:color w:val="auto"/>
          <w:sz w:val="24"/>
          <w:szCs w:val="24"/>
          <w:highlight w:val="none"/>
          <w:lang w:eastAsia="zh-CN"/>
        </w:rPr>
        <w:t>化物</w:t>
      </w:r>
      <w:r>
        <w:rPr>
          <w:rFonts w:hint="default" w:ascii="Times New Roman" w:hAnsi="Times New Roman" w:eastAsia="宋体" w:cs="Times New Roman"/>
          <w:color w:val="auto"/>
          <w:sz w:val="24"/>
          <w:szCs w:val="24"/>
          <w:highlight w:val="none"/>
        </w:rPr>
        <w:t>、溶解性总固体、</w:t>
      </w:r>
      <w:r>
        <w:rPr>
          <w:rFonts w:hint="default" w:ascii="Times New Roman" w:hAnsi="Times New Roman" w:eastAsia="宋体" w:cs="Times New Roman"/>
          <w:color w:val="auto"/>
          <w:sz w:val="24"/>
          <w:szCs w:val="24"/>
          <w:highlight w:val="none"/>
          <w:lang w:val="en-US" w:eastAsia="zh-CN"/>
        </w:rPr>
        <w:t>细菌总数、</w:t>
      </w:r>
      <w:r>
        <w:rPr>
          <w:rFonts w:hint="default" w:ascii="Times New Roman" w:hAnsi="Times New Roman" w:eastAsia="宋体" w:cs="Times New Roman"/>
          <w:bCs/>
          <w:color w:val="auto"/>
          <w:sz w:val="24"/>
          <w:szCs w:val="24"/>
          <w:highlight w:val="none"/>
          <w:lang w:val="en-US" w:eastAsia="zh-CN"/>
        </w:rPr>
        <w:t>石油类、总磷、总氮、</w:t>
      </w:r>
      <w:r>
        <w:rPr>
          <w:rFonts w:hint="default" w:ascii="Times New Roman" w:hAnsi="Times New Roman" w:eastAsia="宋体" w:cs="Times New Roman"/>
          <w:color w:val="auto"/>
          <w:sz w:val="24"/>
          <w:szCs w:val="24"/>
          <w:highlight w:val="none"/>
          <w:lang w:eastAsia="zh-CN"/>
        </w:rPr>
        <w:t>化学需氧量</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生化需氧量</w:t>
      </w:r>
      <w:r>
        <w:rPr>
          <w:rFonts w:hint="default" w:ascii="Times New Roman" w:hAnsi="Times New Roman" w:cs="Times New Roman"/>
          <w:bCs/>
          <w:color w:val="auto"/>
          <w:sz w:val="24"/>
          <w:szCs w:val="24"/>
          <w:highlight w:val="none"/>
        </w:rPr>
        <w:t>等</w:t>
      </w:r>
      <w:r>
        <w:rPr>
          <w:rFonts w:hint="eastAsia" w:ascii="Times New Roman" w:hAnsi="Times New Roman" w:cs="Times New Roman"/>
          <w:bCs/>
          <w:color w:val="auto"/>
          <w:sz w:val="24"/>
          <w:szCs w:val="24"/>
          <w:highlight w:val="none"/>
          <w:lang w:val="en-US" w:eastAsia="zh-CN"/>
        </w:rPr>
        <w:t>34</w:t>
      </w:r>
      <w:r>
        <w:rPr>
          <w:rFonts w:hint="default" w:ascii="Times New Roman" w:hAnsi="Times New Roman" w:cs="Times New Roman"/>
          <w:bCs/>
          <w:color w:val="auto"/>
          <w:sz w:val="24"/>
          <w:szCs w:val="24"/>
          <w:highlight w:val="none"/>
        </w:rPr>
        <w:t>项。</w:t>
      </w:r>
    </w:p>
    <w:p w14:paraId="68C7FEB3">
      <w:pPr>
        <w:ind w:firstLine="482"/>
        <w:rPr>
          <w:rFonts w:cs="Times New Roman"/>
          <w:b/>
          <w:snapToGrid w:val="0"/>
          <w:color w:val="auto"/>
          <w:kern w:val="0"/>
          <w:highlight w:val="none"/>
        </w:rPr>
      </w:pPr>
      <w:r>
        <w:rPr>
          <w:rFonts w:cs="Times New Roman"/>
          <w:b/>
          <w:snapToGrid w:val="0"/>
          <w:color w:val="auto"/>
          <w:kern w:val="0"/>
          <w:highlight w:val="none"/>
        </w:rPr>
        <w:t>2、监测点位</w:t>
      </w:r>
    </w:p>
    <w:p w14:paraId="35766090">
      <w:pPr>
        <w:rPr>
          <w:rFonts w:cs="Times New Roman"/>
          <w:bCs/>
          <w:snapToGrid w:val="0"/>
          <w:color w:val="auto"/>
          <w:kern w:val="0"/>
          <w:highlight w:val="none"/>
        </w:rPr>
      </w:pPr>
      <w:r>
        <w:rPr>
          <w:rFonts w:hint="eastAsia" w:cs="Times New Roman"/>
          <w:bCs/>
          <w:snapToGrid w:val="0"/>
          <w:color w:val="auto"/>
          <w:kern w:val="0"/>
          <w:highlight w:val="none"/>
          <w:lang w:val="en-US" w:eastAsia="zh-CN"/>
        </w:rPr>
        <w:t>根据2.3.3小节，本项目</w:t>
      </w:r>
      <w:r>
        <w:rPr>
          <w:rFonts w:cs="Times New Roman"/>
          <w:bCs/>
          <w:snapToGrid w:val="0"/>
          <w:color w:val="auto"/>
          <w:kern w:val="0"/>
          <w:highlight w:val="none"/>
        </w:rPr>
        <w:t>地下水环境</w:t>
      </w:r>
      <w:r>
        <w:rPr>
          <w:rFonts w:hint="eastAsia" w:cs="Times New Roman"/>
          <w:bCs/>
          <w:snapToGrid w:val="0"/>
          <w:color w:val="auto"/>
          <w:kern w:val="0"/>
          <w:highlight w:val="none"/>
          <w:lang w:val="en-US" w:eastAsia="zh-CN"/>
        </w:rPr>
        <w:t>评价</w:t>
      </w:r>
      <w:r>
        <w:rPr>
          <w:rFonts w:cs="Times New Roman"/>
          <w:bCs/>
          <w:snapToGrid w:val="0"/>
          <w:color w:val="auto"/>
          <w:kern w:val="0"/>
          <w:highlight w:val="none"/>
        </w:rPr>
        <w:t>等级</w:t>
      </w:r>
      <w:r>
        <w:rPr>
          <w:rFonts w:hint="eastAsia" w:cs="Times New Roman"/>
          <w:bCs/>
          <w:snapToGrid w:val="0"/>
          <w:color w:val="auto"/>
          <w:kern w:val="0"/>
          <w:highlight w:val="none"/>
          <w:lang w:val="en-US" w:eastAsia="zh-CN"/>
        </w:rPr>
        <w:t>为</w:t>
      </w:r>
      <w:r>
        <w:rPr>
          <w:rFonts w:cs="Times New Roman"/>
          <w:bCs/>
          <w:snapToGrid w:val="0"/>
          <w:color w:val="auto"/>
          <w:kern w:val="0"/>
          <w:highlight w:val="none"/>
        </w:rPr>
        <w:t>三级，</w:t>
      </w:r>
      <w:r>
        <w:rPr>
          <w:rFonts w:hint="eastAsia" w:cs="Times New Roman"/>
          <w:bCs/>
          <w:snapToGrid w:val="0"/>
          <w:color w:val="auto"/>
          <w:kern w:val="0"/>
          <w:highlight w:val="none"/>
          <w:lang w:val="en-US" w:eastAsia="zh-CN"/>
        </w:rPr>
        <w:t>本项目依据《环境影响评价技术导则 地下水环境》（HJ610-2016）中“8.3.3.3 现状监测点的布设原则  三级评价项目潜水含水层水质监测点应不少于 3 个，可能受建设项目影响且具有饮用水开发利用价值的含水层 1~2 个。原则上建设项目场地上游及下游影响区的地下水水质监测点各不得少于 1 个”进行布设地下水环境质量现状监测点。</w:t>
      </w:r>
      <w:r>
        <w:rPr>
          <w:rFonts w:hint="eastAsia" w:cs="Times New Roman"/>
          <w:color w:val="auto"/>
          <w:highlight w:val="none"/>
          <w:lang w:val="en-US" w:eastAsia="zh-CN"/>
        </w:rPr>
        <w:t>因此，</w:t>
      </w:r>
      <w:r>
        <w:rPr>
          <w:rFonts w:cs="Times New Roman"/>
          <w:bCs/>
          <w:snapToGrid w:val="0"/>
          <w:color w:val="auto"/>
          <w:kern w:val="0"/>
          <w:highlight w:val="none"/>
        </w:rPr>
        <w:t>本次地下水环境现状监测在评价范围内共布设</w:t>
      </w:r>
      <w:r>
        <w:rPr>
          <w:rFonts w:hint="eastAsia" w:cs="Times New Roman"/>
          <w:bCs/>
          <w:snapToGrid w:val="0"/>
          <w:color w:val="auto"/>
          <w:kern w:val="0"/>
          <w:highlight w:val="none"/>
          <w:lang w:val="en-US" w:eastAsia="zh-CN"/>
        </w:rPr>
        <w:t>6</w:t>
      </w:r>
      <w:r>
        <w:rPr>
          <w:rFonts w:cs="Times New Roman"/>
          <w:bCs/>
          <w:snapToGrid w:val="0"/>
          <w:color w:val="auto"/>
          <w:kern w:val="0"/>
          <w:highlight w:val="none"/>
        </w:rPr>
        <w:t>个地下水水位监测点和3个地下水水质监测点，分别分布于建设项目场地</w:t>
      </w:r>
      <w:r>
        <w:rPr>
          <w:rFonts w:hint="eastAsia" w:cs="Times New Roman"/>
          <w:bCs/>
          <w:snapToGrid w:val="0"/>
          <w:color w:val="auto"/>
          <w:kern w:val="0"/>
          <w:highlight w:val="none"/>
          <w:lang w:eastAsia="zh-CN"/>
        </w:rPr>
        <w:t>、</w:t>
      </w:r>
      <w:r>
        <w:rPr>
          <w:rFonts w:cs="Times New Roman"/>
          <w:bCs/>
          <w:snapToGrid w:val="0"/>
          <w:color w:val="auto"/>
          <w:kern w:val="0"/>
          <w:highlight w:val="none"/>
        </w:rPr>
        <w:t>上游及其下游</w:t>
      </w:r>
      <w:r>
        <w:rPr>
          <w:rFonts w:hint="eastAsia" w:cs="Times New Roman"/>
          <w:bCs/>
          <w:snapToGrid w:val="0"/>
          <w:color w:val="auto"/>
          <w:kern w:val="0"/>
          <w:highlight w:val="none"/>
          <w:lang w:eastAsia="zh-CN"/>
        </w:rPr>
        <w:t>，</w:t>
      </w:r>
      <w:r>
        <w:rPr>
          <w:rFonts w:cs="Times New Roman"/>
          <w:bCs/>
          <w:snapToGrid w:val="0"/>
          <w:color w:val="auto"/>
          <w:kern w:val="0"/>
          <w:highlight w:val="none"/>
        </w:rPr>
        <w:t>地下水环境质量现状监测点位见下表和图4-2-</w:t>
      </w:r>
      <w:r>
        <w:rPr>
          <w:rFonts w:hint="eastAsia" w:cs="Times New Roman"/>
          <w:bCs/>
          <w:snapToGrid w:val="0"/>
          <w:color w:val="auto"/>
          <w:kern w:val="0"/>
          <w:highlight w:val="none"/>
          <w:lang w:val="en-US" w:eastAsia="zh-CN"/>
        </w:rPr>
        <w:t>3</w:t>
      </w:r>
      <w:r>
        <w:rPr>
          <w:rFonts w:cs="Times New Roman"/>
          <w:bCs/>
          <w:snapToGrid w:val="0"/>
          <w:color w:val="auto"/>
          <w:kern w:val="0"/>
          <w:highlight w:val="none"/>
        </w:rPr>
        <w:t>。</w:t>
      </w:r>
    </w:p>
    <w:p w14:paraId="5C7B7E1D">
      <w:pPr>
        <w:keepNext w:val="0"/>
        <w:keepLines w:val="0"/>
        <w:pageBreakBefore w:val="0"/>
        <w:widowControl w:val="0"/>
        <w:kinsoku/>
        <w:wordWrap/>
        <w:overflowPunct/>
        <w:topLinePunct w:val="0"/>
        <w:autoSpaceDE/>
        <w:autoSpaceDN/>
        <w:bidi w:val="0"/>
        <w:adjustRightInd w:val="0"/>
        <w:snapToGrid w:val="0"/>
        <w:spacing w:line="520" w:lineRule="atLeast"/>
        <w:textAlignment w:val="auto"/>
        <w:rPr>
          <w:rFonts w:cs="Times New Roman"/>
          <w:bCs/>
          <w:snapToGrid w:val="0"/>
          <w:color w:val="auto"/>
          <w:kern w:val="0"/>
          <w:highlight w:val="none"/>
        </w:rPr>
      </w:pPr>
      <w:r>
        <w:rPr>
          <w:rFonts w:hint="eastAsia" w:cs="Times New Roman"/>
          <w:bCs/>
          <w:snapToGrid w:val="0"/>
          <w:color w:val="auto"/>
          <w:kern w:val="0"/>
          <w:highlight w:val="none"/>
          <w:lang w:val="en-US" w:eastAsia="zh-CN"/>
        </w:rPr>
        <w:t>综上，本项目地下水环境质量现状监测点布设合理</w:t>
      </w:r>
      <w:r>
        <w:rPr>
          <w:rFonts w:cs="Times New Roman"/>
          <w:bCs/>
          <w:snapToGrid w:val="0"/>
          <w:color w:val="auto"/>
          <w:kern w:val="0"/>
          <w:highlight w:val="none"/>
        </w:rPr>
        <w:t>。</w:t>
      </w:r>
    </w:p>
    <w:p w14:paraId="76683A17">
      <w:pPr>
        <w:keepNext w:val="0"/>
        <w:keepLines w:val="0"/>
        <w:pageBreakBefore w:val="0"/>
        <w:widowControl w:val="0"/>
        <w:kinsoku/>
        <w:wordWrap/>
        <w:overflowPunct/>
        <w:topLinePunct w:val="0"/>
        <w:autoSpaceDE/>
        <w:autoSpaceDN/>
        <w:bidi w:val="0"/>
        <w:adjustRightInd w:val="0"/>
        <w:snapToGrid w:val="0"/>
        <w:spacing w:line="520" w:lineRule="atLeast"/>
        <w:ind w:firstLine="0" w:firstLineChars="0"/>
        <w:jc w:val="center"/>
        <w:textAlignment w:val="auto"/>
        <w:rPr>
          <w:rFonts w:cs="Times New Roman"/>
          <w:b/>
          <w:color w:val="auto"/>
          <w:szCs w:val="24"/>
          <w:highlight w:val="none"/>
        </w:rPr>
      </w:pPr>
      <w:r>
        <w:rPr>
          <w:rFonts w:cs="Times New Roman"/>
          <w:b/>
          <w:color w:val="auto"/>
          <w:szCs w:val="24"/>
          <w:highlight w:val="none"/>
        </w:rPr>
        <w:t>表4-2-8  地下水环境质量现状监测点位</w:t>
      </w:r>
    </w:p>
    <w:tbl>
      <w:tblPr>
        <w:tblStyle w:val="47"/>
        <w:tblW w:w="494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1411"/>
        <w:gridCol w:w="2241"/>
        <w:gridCol w:w="813"/>
        <w:gridCol w:w="993"/>
        <w:gridCol w:w="1339"/>
        <w:gridCol w:w="1206"/>
      </w:tblGrid>
      <w:tr w14:paraId="3FCC0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252" w:type="pct"/>
            <w:vAlign w:val="center"/>
          </w:tcPr>
          <w:p w14:paraId="7B4F1031">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编号</w:t>
            </w:r>
          </w:p>
        </w:tc>
        <w:tc>
          <w:tcPr>
            <w:tcW w:w="837" w:type="pct"/>
            <w:vAlign w:val="center"/>
          </w:tcPr>
          <w:p w14:paraId="2D5B3E7D">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性质</w:t>
            </w:r>
          </w:p>
        </w:tc>
        <w:tc>
          <w:tcPr>
            <w:tcW w:w="1329" w:type="pct"/>
            <w:vAlign w:val="center"/>
          </w:tcPr>
          <w:p w14:paraId="7C411E3B">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监测点位置</w:t>
            </w:r>
          </w:p>
        </w:tc>
        <w:tc>
          <w:tcPr>
            <w:tcW w:w="482" w:type="pct"/>
            <w:vAlign w:val="center"/>
          </w:tcPr>
          <w:p w14:paraId="008831B7">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井深（m）</w:t>
            </w:r>
          </w:p>
        </w:tc>
        <w:tc>
          <w:tcPr>
            <w:tcW w:w="589" w:type="pct"/>
            <w:vAlign w:val="center"/>
          </w:tcPr>
          <w:p w14:paraId="289984CF">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水位埋深（m）</w:t>
            </w:r>
          </w:p>
        </w:tc>
        <w:tc>
          <w:tcPr>
            <w:tcW w:w="794" w:type="pct"/>
            <w:vAlign w:val="center"/>
          </w:tcPr>
          <w:p w14:paraId="25993BAB">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井</w:t>
            </w:r>
            <w:r>
              <w:rPr>
                <w:rFonts w:hint="default" w:ascii="Times New Roman" w:hAnsi="Times New Roman" w:eastAsia="宋体" w:cs="Times New Roman"/>
                <w:color w:val="auto"/>
                <w:sz w:val="21"/>
                <w:szCs w:val="21"/>
                <w:highlight w:val="none"/>
              </w:rPr>
              <w:t>用途</w:t>
            </w:r>
          </w:p>
        </w:tc>
        <w:tc>
          <w:tcPr>
            <w:tcW w:w="715" w:type="pct"/>
            <w:vAlign w:val="center"/>
          </w:tcPr>
          <w:p w14:paraId="149934E2">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所属含水层</w:t>
            </w:r>
          </w:p>
        </w:tc>
      </w:tr>
      <w:tr w14:paraId="77841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252" w:type="pct"/>
            <w:shd w:val="clear" w:color="auto" w:fill="auto"/>
            <w:vAlign w:val="center"/>
          </w:tcPr>
          <w:p w14:paraId="5291B975">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r>
              <w:rPr>
                <w:rFonts w:hint="default" w:ascii="Times New Roman" w:hAnsi="Times New Roman" w:cs="Times New Roman"/>
                <w:color w:val="auto"/>
                <w:sz w:val="21"/>
                <w:szCs w:val="21"/>
                <w:highlight w:val="none"/>
              </w:rPr>
              <w:t>1</w:t>
            </w:r>
            <w:r>
              <w:rPr>
                <w:rFonts w:hint="default" w:ascii="Times New Roman" w:hAnsi="Times New Roman" w:cs="Times New Roman"/>
                <w:color w:val="auto"/>
                <w:kern w:val="2"/>
                <w:sz w:val="21"/>
                <w:szCs w:val="21"/>
                <w:highlight w:val="none"/>
                <w:lang w:val="en-US" w:eastAsia="zh-CN" w:bidi="ar-SA"/>
              </w:rPr>
              <w:t>#</w:t>
            </w:r>
          </w:p>
        </w:tc>
        <w:tc>
          <w:tcPr>
            <w:tcW w:w="837" w:type="pct"/>
            <w:shd w:val="clear" w:color="auto" w:fill="auto"/>
            <w:vAlign w:val="center"/>
          </w:tcPr>
          <w:p w14:paraId="796E8A7C">
            <w:pPr>
              <w:pStyle w:val="478"/>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color w:val="auto"/>
                <w:highlight w:val="none"/>
              </w:rPr>
              <w:t>地下水水</w:t>
            </w:r>
            <w:r>
              <w:rPr>
                <w:rFonts w:hint="eastAsia"/>
                <w:color w:val="auto"/>
                <w:highlight w:val="none"/>
                <w:lang w:val="en-US" w:eastAsia="zh-CN"/>
              </w:rPr>
              <w:t>位、水质</w:t>
            </w:r>
            <w:r>
              <w:rPr>
                <w:color w:val="auto"/>
                <w:highlight w:val="none"/>
              </w:rPr>
              <w:t>监测点</w:t>
            </w:r>
            <w:r>
              <w:rPr>
                <w:rFonts w:hint="eastAsia"/>
                <w:color w:val="auto"/>
                <w:highlight w:val="none"/>
                <w:lang w:val="en-US" w:eastAsia="zh-CN"/>
              </w:rPr>
              <w:t>W1</w:t>
            </w:r>
          </w:p>
        </w:tc>
        <w:tc>
          <w:tcPr>
            <w:tcW w:w="1329" w:type="pct"/>
            <w:vAlign w:val="center"/>
          </w:tcPr>
          <w:p w14:paraId="7C9A823C">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131.153724，46.555903</w:t>
            </w:r>
          </w:p>
        </w:tc>
        <w:tc>
          <w:tcPr>
            <w:tcW w:w="482" w:type="pct"/>
            <w:shd w:val="clear" w:color="auto" w:fill="auto"/>
            <w:vAlign w:val="center"/>
          </w:tcPr>
          <w:p w14:paraId="63787E17">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993" w:type="dxa"/>
            <w:vAlign w:val="center"/>
          </w:tcPr>
          <w:p w14:paraId="762D4B70">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w:t>
            </w:r>
          </w:p>
        </w:tc>
        <w:tc>
          <w:tcPr>
            <w:tcW w:w="794" w:type="pct"/>
            <w:vAlign w:val="center"/>
          </w:tcPr>
          <w:p w14:paraId="18156042">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生产用水井</w:t>
            </w:r>
          </w:p>
        </w:tc>
        <w:tc>
          <w:tcPr>
            <w:tcW w:w="715" w:type="pct"/>
            <w:vAlign w:val="center"/>
          </w:tcPr>
          <w:p w14:paraId="6AA50C9B">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潜水层</w:t>
            </w:r>
          </w:p>
        </w:tc>
      </w:tr>
      <w:tr w14:paraId="41140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252" w:type="pct"/>
            <w:shd w:val="clear" w:color="auto" w:fill="auto"/>
            <w:vAlign w:val="center"/>
          </w:tcPr>
          <w:p w14:paraId="54D47720">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cs="Times New Roman"/>
                <w:color w:val="auto"/>
                <w:kern w:val="2"/>
                <w:sz w:val="21"/>
                <w:szCs w:val="21"/>
                <w:highlight w:val="none"/>
                <w:lang w:val="en-US" w:eastAsia="zh-CN" w:bidi="ar-SA"/>
              </w:rPr>
              <w:t>#</w:t>
            </w:r>
          </w:p>
        </w:tc>
        <w:tc>
          <w:tcPr>
            <w:tcW w:w="837" w:type="pct"/>
            <w:shd w:val="clear" w:color="auto" w:fill="auto"/>
            <w:vAlign w:val="center"/>
          </w:tcPr>
          <w:p w14:paraId="14AEECFE">
            <w:pPr>
              <w:pStyle w:val="478"/>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color w:val="auto"/>
                <w:highlight w:val="none"/>
              </w:rPr>
              <w:t>地下水水</w:t>
            </w:r>
            <w:r>
              <w:rPr>
                <w:rFonts w:hint="eastAsia"/>
                <w:color w:val="auto"/>
                <w:highlight w:val="none"/>
                <w:lang w:val="en-US" w:eastAsia="zh-CN"/>
              </w:rPr>
              <w:t>位、水质</w:t>
            </w:r>
            <w:r>
              <w:rPr>
                <w:color w:val="auto"/>
                <w:highlight w:val="none"/>
              </w:rPr>
              <w:t>监测点</w:t>
            </w:r>
            <w:r>
              <w:rPr>
                <w:rFonts w:hint="eastAsia"/>
                <w:color w:val="auto"/>
                <w:highlight w:val="none"/>
                <w:lang w:val="en-US" w:eastAsia="zh-CN"/>
              </w:rPr>
              <w:t>W2</w:t>
            </w:r>
          </w:p>
        </w:tc>
        <w:tc>
          <w:tcPr>
            <w:tcW w:w="1329" w:type="pct"/>
            <w:vAlign w:val="center"/>
          </w:tcPr>
          <w:p w14:paraId="1A20F2D2">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131.148809，46.558674</w:t>
            </w:r>
          </w:p>
        </w:tc>
        <w:tc>
          <w:tcPr>
            <w:tcW w:w="482" w:type="pct"/>
            <w:shd w:val="clear" w:color="auto" w:fill="auto"/>
            <w:vAlign w:val="center"/>
          </w:tcPr>
          <w:p w14:paraId="066B50B6">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52</w:t>
            </w:r>
          </w:p>
        </w:tc>
        <w:tc>
          <w:tcPr>
            <w:tcW w:w="993" w:type="dxa"/>
            <w:vAlign w:val="center"/>
          </w:tcPr>
          <w:p w14:paraId="3E584FC9">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94" w:type="pct"/>
            <w:vAlign w:val="center"/>
          </w:tcPr>
          <w:p w14:paraId="78D3BAFE">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生产用水井</w:t>
            </w:r>
          </w:p>
        </w:tc>
        <w:tc>
          <w:tcPr>
            <w:tcW w:w="715" w:type="pct"/>
            <w:vAlign w:val="center"/>
          </w:tcPr>
          <w:p w14:paraId="43DDDBD7">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潜水层</w:t>
            </w:r>
          </w:p>
        </w:tc>
      </w:tr>
      <w:tr w14:paraId="4367F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252" w:type="pct"/>
            <w:shd w:val="clear" w:color="auto" w:fill="auto"/>
            <w:vAlign w:val="center"/>
          </w:tcPr>
          <w:p w14:paraId="2B84A05A">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cs="Times New Roman"/>
                <w:color w:val="auto"/>
                <w:kern w:val="2"/>
                <w:sz w:val="21"/>
                <w:szCs w:val="21"/>
                <w:highlight w:val="none"/>
                <w:lang w:val="en-US" w:eastAsia="zh-CN" w:bidi="ar-SA"/>
              </w:rPr>
              <w:t>#</w:t>
            </w:r>
          </w:p>
        </w:tc>
        <w:tc>
          <w:tcPr>
            <w:tcW w:w="837" w:type="pct"/>
            <w:shd w:val="clear" w:color="auto" w:fill="auto"/>
            <w:vAlign w:val="center"/>
          </w:tcPr>
          <w:p w14:paraId="242547B6">
            <w:pPr>
              <w:pStyle w:val="478"/>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color w:val="auto"/>
                <w:highlight w:val="none"/>
              </w:rPr>
              <w:t>地下水水</w:t>
            </w:r>
            <w:r>
              <w:rPr>
                <w:rFonts w:hint="eastAsia"/>
                <w:color w:val="auto"/>
                <w:highlight w:val="none"/>
                <w:lang w:val="en-US" w:eastAsia="zh-CN"/>
              </w:rPr>
              <w:t>位、水质</w:t>
            </w:r>
            <w:r>
              <w:rPr>
                <w:color w:val="auto"/>
                <w:highlight w:val="none"/>
              </w:rPr>
              <w:t>监测点</w:t>
            </w:r>
            <w:r>
              <w:rPr>
                <w:rFonts w:hint="eastAsia"/>
                <w:color w:val="auto"/>
                <w:highlight w:val="none"/>
                <w:lang w:val="en-US" w:eastAsia="zh-CN"/>
              </w:rPr>
              <w:t>W3</w:t>
            </w:r>
          </w:p>
        </w:tc>
        <w:tc>
          <w:tcPr>
            <w:tcW w:w="1329" w:type="pct"/>
            <w:vAlign w:val="center"/>
          </w:tcPr>
          <w:p w14:paraId="2F406570">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131.147145，46.562337</w:t>
            </w:r>
          </w:p>
        </w:tc>
        <w:tc>
          <w:tcPr>
            <w:tcW w:w="482" w:type="pct"/>
            <w:shd w:val="clear" w:color="auto" w:fill="auto"/>
            <w:vAlign w:val="center"/>
          </w:tcPr>
          <w:p w14:paraId="15061D37">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w:t>
            </w:r>
          </w:p>
        </w:tc>
        <w:tc>
          <w:tcPr>
            <w:tcW w:w="993" w:type="dxa"/>
            <w:vAlign w:val="center"/>
          </w:tcPr>
          <w:p w14:paraId="0C5822B3">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w:t>
            </w:r>
          </w:p>
        </w:tc>
        <w:tc>
          <w:tcPr>
            <w:tcW w:w="794" w:type="pct"/>
            <w:vAlign w:val="center"/>
          </w:tcPr>
          <w:p w14:paraId="0C32237F">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生活</w:t>
            </w:r>
            <w:r>
              <w:rPr>
                <w:rFonts w:hint="eastAsia" w:ascii="Times New Roman" w:hAnsi="Times New Roman" w:eastAsia="宋体" w:cs="Times New Roman"/>
                <w:color w:val="auto"/>
                <w:sz w:val="21"/>
                <w:szCs w:val="21"/>
                <w:highlight w:val="none"/>
                <w:lang w:val="en-US" w:eastAsia="zh-CN"/>
              </w:rPr>
              <w:t>用水井</w:t>
            </w:r>
          </w:p>
        </w:tc>
        <w:tc>
          <w:tcPr>
            <w:tcW w:w="715" w:type="pct"/>
            <w:vAlign w:val="center"/>
          </w:tcPr>
          <w:p w14:paraId="7F1A9A4E">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潜水层</w:t>
            </w:r>
          </w:p>
        </w:tc>
      </w:tr>
      <w:tr w14:paraId="49C451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252" w:type="pct"/>
            <w:shd w:val="clear" w:color="auto" w:fill="auto"/>
            <w:vAlign w:val="center"/>
          </w:tcPr>
          <w:p w14:paraId="5EF741ED">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cs="Times New Roman"/>
                <w:color w:val="auto"/>
                <w:kern w:val="2"/>
                <w:sz w:val="21"/>
                <w:szCs w:val="21"/>
                <w:highlight w:val="none"/>
                <w:lang w:val="en-US" w:eastAsia="zh-CN" w:bidi="ar-SA"/>
              </w:rPr>
              <w:t>#</w:t>
            </w:r>
          </w:p>
        </w:tc>
        <w:tc>
          <w:tcPr>
            <w:tcW w:w="837" w:type="pct"/>
            <w:shd w:val="clear" w:color="auto" w:fill="auto"/>
            <w:vAlign w:val="center"/>
          </w:tcPr>
          <w:p w14:paraId="6FCBAC3E">
            <w:pPr>
              <w:pStyle w:val="478"/>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color w:val="auto"/>
                <w:highlight w:val="none"/>
              </w:rPr>
              <w:t>地下水水</w:t>
            </w:r>
            <w:r>
              <w:rPr>
                <w:rFonts w:hint="eastAsia"/>
                <w:color w:val="auto"/>
                <w:highlight w:val="none"/>
                <w:lang w:val="en-US" w:eastAsia="zh-CN"/>
              </w:rPr>
              <w:t>位</w:t>
            </w:r>
            <w:r>
              <w:rPr>
                <w:color w:val="auto"/>
                <w:highlight w:val="none"/>
              </w:rPr>
              <w:t>监测点</w:t>
            </w:r>
            <w:r>
              <w:rPr>
                <w:rFonts w:hint="eastAsia"/>
                <w:color w:val="auto"/>
                <w:highlight w:val="none"/>
                <w:lang w:val="en-US" w:eastAsia="zh-CN"/>
              </w:rPr>
              <w:t>W4</w:t>
            </w:r>
          </w:p>
        </w:tc>
        <w:tc>
          <w:tcPr>
            <w:tcW w:w="1329" w:type="pct"/>
            <w:vAlign w:val="center"/>
          </w:tcPr>
          <w:p w14:paraId="31BAF7B6">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131.145347，46.569282</w:t>
            </w:r>
          </w:p>
        </w:tc>
        <w:tc>
          <w:tcPr>
            <w:tcW w:w="482" w:type="pct"/>
            <w:shd w:val="clear" w:color="auto" w:fill="auto"/>
            <w:vAlign w:val="center"/>
          </w:tcPr>
          <w:p w14:paraId="4E390313">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w:t>
            </w:r>
          </w:p>
        </w:tc>
        <w:tc>
          <w:tcPr>
            <w:tcW w:w="993" w:type="dxa"/>
            <w:vAlign w:val="center"/>
          </w:tcPr>
          <w:p w14:paraId="454008DC">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794" w:type="pct"/>
            <w:vAlign w:val="center"/>
          </w:tcPr>
          <w:p w14:paraId="192360F8">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生活</w:t>
            </w:r>
            <w:r>
              <w:rPr>
                <w:rFonts w:hint="eastAsia" w:ascii="Times New Roman" w:hAnsi="Times New Roman" w:eastAsia="宋体" w:cs="Times New Roman"/>
                <w:color w:val="auto"/>
                <w:sz w:val="21"/>
                <w:szCs w:val="21"/>
                <w:highlight w:val="none"/>
                <w:lang w:val="en-US" w:eastAsia="zh-CN"/>
              </w:rPr>
              <w:t>用水井</w:t>
            </w:r>
          </w:p>
        </w:tc>
        <w:tc>
          <w:tcPr>
            <w:tcW w:w="715" w:type="pct"/>
            <w:vAlign w:val="center"/>
          </w:tcPr>
          <w:p w14:paraId="0E5D34A9">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潜水层</w:t>
            </w:r>
          </w:p>
        </w:tc>
      </w:tr>
      <w:tr w14:paraId="43D1B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252" w:type="pct"/>
            <w:shd w:val="clear" w:color="auto" w:fill="auto"/>
            <w:vAlign w:val="center"/>
          </w:tcPr>
          <w:p w14:paraId="413EF618">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cs="Times New Roman"/>
                <w:color w:val="auto"/>
                <w:kern w:val="2"/>
                <w:sz w:val="21"/>
                <w:szCs w:val="21"/>
                <w:highlight w:val="none"/>
                <w:lang w:val="en-US" w:eastAsia="zh-CN" w:bidi="ar-SA"/>
              </w:rPr>
              <w:t>#</w:t>
            </w:r>
          </w:p>
        </w:tc>
        <w:tc>
          <w:tcPr>
            <w:tcW w:w="837" w:type="pct"/>
            <w:shd w:val="clear" w:color="auto" w:fill="auto"/>
            <w:vAlign w:val="center"/>
          </w:tcPr>
          <w:p w14:paraId="6DDF0FA5">
            <w:pPr>
              <w:pStyle w:val="478"/>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color w:val="auto"/>
                <w:highlight w:val="none"/>
              </w:rPr>
              <w:t>地下水水</w:t>
            </w:r>
            <w:r>
              <w:rPr>
                <w:rFonts w:hint="eastAsia"/>
                <w:color w:val="auto"/>
                <w:highlight w:val="none"/>
                <w:lang w:val="en-US" w:eastAsia="zh-CN"/>
              </w:rPr>
              <w:t>位</w:t>
            </w:r>
            <w:r>
              <w:rPr>
                <w:color w:val="auto"/>
                <w:highlight w:val="none"/>
              </w:rPr>
              <w:t>监测点</w:t>
            </w:r>
            <w:r>
              <w:rPr>
                <w:rFonts w:hint="eastAsia"/>
                <w:color w:val="auto"/>
                <w:highlight w:val="none"/>
                <w:lang w:val="en-US" w:eastAsia="zh-CN"/>
              </w:rPr>
              <w:t>W5</w:t>
            </w:r>
          </w:p>
        </w:tc>
        <w:tc>
          <w:tcPr>
            <w:tcW w:w="1329" w:type="pct"/>
            <w:vAlign w:val="center"/>
          </w:tcPr>
          <w:p w14:paraId="57CDF697">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131.142155，46.571669</w:t>
            </w:r>
          </w:p>
        </w:tc>
        <w:tc>
          <w:tcPr>
            <w:tcW w:w="482" w:type="pct"/>
            <w:shd w:val="clear" w:color="auto" w:fill="auto"/>
            <w:vAlign w:val="center"/>
          </w:tcPr>
          <w:p w14:paraId="68E51BE3">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w:t>
            </w:r>
          </w:p>
        </w:tc>
        <w:tc>
          <w:tcPr>
            <w:tcW w:w="993" w:type="dxa"/>
            <w:vAlign w:val="center"/>
          </w:tcPr>
          <w:p w14:paraId="1D57CAEC">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94" w:type="pct"/>
            <w:vAlign w:val="center"/>
          </w:tcPr>
          <w:p w14:paraId="31BDBD4E">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生活</w:t>
            </w:r>
            <w:r>
              <w:rPr>
                <w:rFonts w:hint="eastAsia" w:ascii="Times New Roman" w:hAnsi="Times New Roman" w:eastAsia="宋体" w:cs="Times New Roman"/>
                <w:color w:val="auto"/>
                <w:sz w:val="21"/>
                <w:szCs w:val="21"/>
                <w:highlight w:val="none"/>
                <w:lang w:val="en-US" w:eastAsia="zh-CN"/>
              </w:rPr>
              <w:t>用水井</w:t>
            </w:r>
          </w:p>
        </w:tc>
        <w:tc>
          <w:tcPr>
            <w:tcW w:w="715" w:type="pct"/>
            <w:vAlign w:val="center"/>
          </w:tcPr>
          <w:p w14:paraId="28087F97">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潜水层</w:t>
            </w:r>
          </w:p>
        </w:tc>
      </w:tr>
      <w:tr w14:paraId="5EC7D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252" w:type="pct"/>
            <w:shd w:val="clear" w:color="auto" w:fill="auto"/>
            <w:vAlign w:val="center"/>
          </w:tcPr>
          <w:p w14:paraId="2208F0C7">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cs="Times New Roman"/>
                <w:color w:val="auto"/>
                <w:kern w:val="2"/>
                <w:sz w:val="21"/>
                <w:szCs w:val="21"/>
                <w:highlight w:val="none"/>
                <w:lang w:val="en-US" w:eastAsia="zh-CN" w:bidi="ar-SA"/>
              </w:rPr>
              <w:t>#</w:t>
            </w:r>
          </w:p>
        </w:tc>
        <w:tc>
          <w:tcPr>
            <w:tcW w:w="837" w:type="pct"/>
            <w:shd w:val="clear" w:color="auto" w:fill="auto"/>
            <w:vAlign w:val="center"/>
          </w:tcPr>
          <w:p w14:paraId="36598661">
            <w:pPr>
              <w:pStyle w:val="478"/>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color w:val="auto"/>
                <w:highlight w:val="none"/>
              </w:rPr>
              <w:t>地下水水</w:t>
            </w:r>
            <w:r>
              <w:rPr>
                <w:rFonts w:hint="eastAsia"/>
                <w:color w:val="auto"/>
                <w:highlight w:val="none"/>
                <w:lang w:val="en-US" w:eastAsia="zh-CN"/>
              </w:rPr>
              <w:t>位</w:t>
            </w:r>
            <w:r>
              <w:rPr>
                <w:color w:val="auto"/>
                <w:highlight w:val="none"/>
              </w:rPr>
              <w:t>监测点</w:t>
            </w:r>
            <w:r>
              <w:rPr>
                <w:rFonts w:hint="eastAsia"/>
                <w:color w:val="auto"/>
                <w:highlight w:val="none"/>
                <w:lang w:val="en-US" w:eastAsia="zh-CN"/>
              </w:rPr>
              <w:t>W6</w:t>
            </w:r>
          </w:p>
        </w:tc>
        <w:tc>
          <w:tcPr>
            <w:tcW w:w="1329" w:type="pct"/>
            <w:vAlign w:val="center"/>
          </w:tcPr>
          <w:p w14:paraId="116820D7">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131.143581，46.574589</w:t>
            </w:r>
          </w:p>
        </w:tc>
        <w:tc>
          <w:tcPr>
            <w:tcW w:w="482" w:type="pct"/>
            <w:shd w:val="clear" w:color="auto" w:fill="auto"/>
            <w:vAlign w:val="center"/>
          </w:tcPr>
          <w:p w14:paraId="10A51B70">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63</w:t>
            </w:r>
          </w:p>
        </w:tc>
        <w:tc>
          <w:tcPr>
            <w:tcW w:w="993" w:type="dxa"/>
            <w:vAlign w:val="center"/>
          </w:tcPr>
          <w:p w14:paraId="094FE491">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w:t>
            </w:r>
          </w:p>
        </w:tc>
        <w:tc>
          <w:tcPr>
            <w:tcW w:w="794" w:type="pct"/>
            <w:vAlign w:val="center"/>
          </w:tcPr>
          <w:p w14:paraId="3E464BDD">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生活</w:t>
            </w:r>
            <w:r>
              <w:rPr>
                <w:rFonts w:hint="eastAsia" w:ascii="Times New Roman" w:hAnsi="Times New Roman" w:eastAsia="宋体" w:cs="Times New Roman"/>
                <w:color w:val="auto"/>
                <w:sz w:val="21"/>
                <w:szCs w:val="21"/>
                <w:highlight w:val="none"/>
                <w:lang w:val="en-US" w:eastAsia="zh-CN"/>
              </w:rPr>
              <w:t>用水井</w:t>
            </w:r>
          </w:p>
        </w:tc>
        <w:tc>
          <w:tcPr>
            <w:tcW w:w="715" w:type="pct"/>
            <w:vAlign w:val="center"/>
          </w:tcPr>
          <w:p w14:paraId="24DF7111">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潜水层</w:t>
            </w:r>
          </w:p>
        </w:tc>
      </w:tr>
    </w:tbl>
    <w:p w14:paraId="1BB1DA40">
      <w:pPr>
        <w:adjustRightInd/>
        <w:snapToGrid/>
        <w:ind w:firstLine="0" w:firstLineChars="0"/>
        <w:jc w:val="center"/>
        <w:rPr>
          <w:rFonts w:cs="Times New Roman"/>
          <w:color w:val="auto"/>
          <w:highlight w:val="none"/>
        </w:rPr>
      </w:pPr>
    </w:p>
    <w:p w14:paraId="7A76E43B">
      <w:pPr>
        <w:adjustRightInd/>
        <w:snapToGrid/>
        <w:ind w:firstLine="0" w:firstLineChars="0"/>
        <w:jc w:val="center"/>
        <w:rPr>
          <w:rFonts w:cs="Times New Roman"/>
          <w:color w:val="auto"/>
          <w:highlight w:val="none"/>
        </w:rPr>
      </w:pPr>
    </w:p>
    <w:p w14:paraId="61DCB93F">
      <w:pPr>
        <w:adjustRightInd/>
        <w:snapToGrid/>
        <w:ind w:firstLine="0" w:firstLineChars="0"/>
        <w:jc w:val="center"/>
        <w:rPr>
          <w:rFonts w:cs="Times New Roman"/>
          <w:color w:val="auto"/>
          <w:highlight w:val="none"/>
        </w:rPr>
      </w:pPr>
    </w:p>
    <w:p w14:paraId="329CAF8B">
      <w:pPr>
        <w:adjustRightInd/>
        <w:snapToGrid/>
        <w:ind w:firstLine="0" w:firstLineChars="0"/>
        <w:jc w:val="center"/>
        <w:rPr>
          <w:rFonts w:cs="Times New Roman"/>
          <w:color w:val="auto"/>
          <w:highlight w:val="none"/>
        </w:rPr>
      </w:pPr>
    </w:p>
    <w:p w14:paraId="7789D77D">
      <w:pPr>
        <w:adjustRightInd/>
        <w:snapToGrid/>
        <w:ind w:firstLine="0" w:firstLineChars="0"/>
        <w:jc w:val="center"/>
        <w:rPr>
          <w:rFonts w:cs="Times New Roman"/>
          <w:color w:val="auto"/>
          <w:highlight w:val="none"/>
        </w:rPr>
      </w:pPr>
    </w:p>
    <w:p w14:paraId="13530BCF">
      <w:pPr>
        <w:adjustRightInd/>
        <w:snapToGrid/>
        <w:ind w:firstLine="0" w:firstLineChars="0"/>
        <w:jc w:val="center"/>
        <w:rPr>
          <w:rFonts w:cs="Times New Roman"/>
          <w:color w:val="auto"/>
          <w:highlight w:val="none"/>
        </w:rPr>
      </w:pPr>
      <w:r>
        <w:rPr>
          <w:rFonts w:hint="eastAsia" w:eastAsia="宋体"/>
          <w:color w:val="auto"/>
          <w:highlight w:val="none"/>
          <w:lang w:eastAsia="zh-CN"/>
        </w:rPr>
        <w:drawing>
          <wp:anchor distT="0" distB="0" distL="114300" distR="114300" simplePos="0" relativeHeight="251746304" behindDoc="0" locked="0" layoutInCell="1" allowOverlap="1">
            <wp:simplePos x="0" y="0"/>
            <wp:positionH relativeFrom="column">
              <wp:posOffset>-222250</wp:posOffset>
            </wp:positionH>
            <wp:positionV relativeFrom="paragraph">
              <wp:posOffset>154305</wp:posOffset>
            </wp:positionV>
            <wp:extent cx="5786755" cy="3672205"/>
            <wp:effectExtent l="0" t="0" r="4445" b="4445"/>
            <wp:wrapNone/>
            <wp:docPr id="116" name="图片 4" descr="175634836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 descr="1756348360950"/>
                    <pic:cNvPicPr>
                      <a:picLocks noChangeAspect="1"/>
                    </pic:cNvPicPr>
                  </pic:nvPicPr>
                  <pic:blipFill>
                    <a:blip r:embed="rId30"/>
                    <a:stretch>
                      <a:fillRect/>
                    </a:stretch>
                  </pic:blipFill>
                  <pic:spPr>
                    <a:xfrm>
                      <a:off x="0" y="0"/>
                      <a:ext cx="5786755" cy="3672205"/>
                    </a:xfrm>
                    <a:prstGeom prst="rect">
                      <a:avLst/>
                    </a:prstGeom>
                    <a:noFill/>
                    <a:ln>
                      <a:noFill/>
                    </a:ln>
                  </pic:spPr>
                </pic:pic>
              </a:graphicData>
            </a:graphic>
          </wp:anchor>
        </w:drawing>
      </w:r>
    </w:p>
    <w:p w14:paraId="6C9B9EAD">
      <w:pPr>
        <w:pStyle w:val="27"/>
        <w:rPr>
          <w:rFonts w:cs="Times New Roman"/>
          <w:color w:val="auto"/>
          <w:highlight w:val="none"/>
        </w:rPr>
      </w:pPr>
    </w:p>
    <w:p w14:paraId="1A76C29C">
      <w:pPr>
        <w:rPr>
          <w:color w:val="auto"/>
          <w:highlight w:val="none"/>
        </w:rPr>
      </w:pPr>
    </w:p>
    <w:p w14:paraId="4E2E6134">
      <w:pPr>
        <w:adjustRightInd/>
        <w:snapToGrid/>
        <w:ind w:firstLine="0" w:firstLineChars="0"/>
        <w:jc w:val="center"/>
        <w:rPr>
          <w:rFonts w:cs="Times New Roman"/>
          <w:color w:val="auto"/>
          <w:highlight w:val="none"/>
        </w:rPr>
      </w:pPr>
    </w:p>
    <w:p w14:paraId="67746253">
      <w:pPr>
        <w:pStyle w:val="36"/>
        <w:rPr>
          <w:color w:val="auto"/>
          <w:highlight w:val="none"/>
        </w:rPr>
      </w:pPr>
    </w:p>
    <w:p w14:paraId="4732DF8C">
      <w:pPr>
        <w:adjustRightInd/>
        <w:snapToGrid/>
        <w:ind w:firstLine="0" w:firstLineChars="0"/>
        <w:jc w:val="center"/>
        <w:rPr>
          <w:rFonts w:cs="Times New Roman"/>
          <w:color w:val="auto"/>
          <w:highlight w:val="none"/>
        </w:rPr>
      </w:pPr>
    </w:p>
    <w:p w14:paraId="31BD41B2">
      <w:pPr>
        <w:adjustRightInd/>
        <w:snapToGrid/>
        <w:ind w:firstLine="0" w:firstLineChars="0"/>
        <w:jc w:val="center"/>
        <w:rPr>
          <w:rFonts w:cs="Times New Roman"/>
          <w:color w:val="auto"/>
          <w:highlight w:val="none"/>
        </w:rPr>
      </w:pPr>
    </w:p>
    <w:p w14:paraId="2C22C16D">
      <w:pPr>
        <w:adjustRightInd/>
        <w:snapToGrid/>
        <w:ind w:firstLine="0" w:firstLineChars="0"/>
        <w:jc w:val="center"/>
        <w:rPr>
          <w:rFonts w:cs="Times New Roman"/>
          <w:color w:val="auto"/>
          <w:highlight w:val="none"/>
        </w:rPr>
      </w:pPr>
    </w:p>
    <w:p w14:paraId="7B77D2B8">
      <w:pPr>
        <w:adjustRightInd/>
        <w:snapToGrid/>
        <w:ind w:firstLine="0" w:firstLineChars="0"/>
        <w:jc w:val="center"/>
        <w:rPr>
          <w:rFonts w:cs="Times New Roman"/>
          <w:color w:val="auto"/>
          <w:highlight w:val="none"/>
        </w:rPr>
      </w:pPr>
    </w:p>
    <w:p w14:paraId="79E66991">
      <w:pPr>
        <w:adjustRightInd/>
        <w:snapToGrid/>
        <w:ind w:firstLine="0" w:firstLineChars="0"/>
        <w:jc w:val="center"/>
        <w:rPr>
          <w:rFonts w:cs="Times New Roman"/>
          <w:color w:val="auto"/>
          <w:highlight w:val="none"/>
        </w:rPr>
      </w:pPr>
    </w:p>
    <w:p w14:paraId="3BAD24D7">
      <w:pPr>
        <w:adjustRightInd/>
        <w:snapToGrid/>
        <w:ind w:firstLine="0" w:firstLineChars="0"/>
        <w:jc w:val="center"/>
        <w:rPr>
          <w:rFonts w:cs="Times New Roman"/>
          <w:color w:val="auto"/>
          <w:highlight w:val="none"/>
        </w:rPr>
      </w:pPr>
    </w:p>
    <w:p w14:paraId="08605C55">
      <w:pPr>
        <w:adjustRightInd/>
        <w:snapToGrid/>
        <w:ind w:firstLine="0" w:firstLineChars="0"/>
        <w:jc w:val="center"/>
        <w:rPr>
          <w:rFonts w:cs="Times New Roman"/>
          <w:color w:val="auto"/>
          <w:highlight w:val="none"/>
        </w:rPr>
      </w:pPr>
    </w:p>
    <w:p w14:paraId="68954422">
      <w:pPr>
        <w:adjustRightInd/>
        <w:snapToGrid/>
        <w:ind w:firstLine="0" w:firstLineChars="0"/>
        <w:jc w:val="center"/>
        <w:rPr>
          <w:rFonts w:cs="Times New Roman"/>
          <w:color w:val="auto"/>
          <w:highlight w:val="none"/>
        </w:rPr>
      </w:pPr>
    </w:p>
    <w:p w14:paraId="71E6AF75">
      <w:pPr>
        <w:spacing w:line="240" w:lineRule="auto"/>
        <w:ind w:firstLine="0" w:firstLineChars="0"/>
        <w:jc w:val="center"/>
        <w:rPr>
          <w:rFonts w:cs="Times New Roman"/>
          <w:b/>
          <w:color w:val="auto"/>
          <w:szCs w:val="24"/>
          <w:highlight w:val="none"/>
        </w:rPr>
      </w:pPr>
      <w:r>
        <w:rPr>
          <w:rFonts w:cs="Times New Roman"/>
          <w:b/>
          <w:color w:val="auto"/>
          <w:szCs w:val="24"/>
          <w:highlight w:val="none"/>
        </w:rPr>
        <w:t>图4-2-</w:t>
      </w:r>
      <w:r>
        <w:rPr>
          <w:rFonts w:hint="eastAsia" w:cs="Times New Roman"/>
          <w:b/>
          <w:color w:val="auto"/>
          <w:szCs w:val="24"/>
          <w:highlight w:val="none"/>
          <w:lang w:val="en-US" w:eastAsia="zh-CN"/>
        </w:rPr>
        <w:t xml:space="preserve">3  </w:t>
      </w:r>
      <w:r>
        <w:rPr>
          <w:rFonts w:cs="Times New Roman"/>
          <w:b/>
          <w:color w:val="auto"/>
          <w:szCs w:val="24"/>
          <w:highlight w:val="none"/>
        </w:rPr>
        <w:t>地下水监测点位示意图</w:t>
      </w:r>
    </w:p>
    <w:p w14:paraId="7D5D1D62">
      <w:pPr>
        <w:spacing w:line="500" w:lineRule="exact"/>
        <w:ind w:firstLine="482"/>
        <w:rPr>
          <w:rFonts w:cs="Times New Roman"/>
          <w:b/>
          <w:snapToGrid w:val="0"/>
          <w:color w:val="auto"/>
          <w:kern w:val="0"/>
          <w:highlight w:val="none"/>
        </w:rPr>
      </w:pPr>
      <w:r>
        <w:rPr>
          <w:rFonts w:cs="Times New Roman"/>
          <w:b/>
          <w:snapToGrid w:val="0"/>
          <w:color w:val="auto"/>
          <w:kern w:val="0"/>
          <w:highlight w:val="none"/>
        </w:rPr>
        <w:t>3、监测时间与频次</w:t>
      </w:r>
    </w:p>
    <w:p w14:paraId="019975E0">
      <w:pPr>
        <w:adjustRightInd/>
        <w:snapToGrid/>
        <w:spacing w:line="500" w:lineRule="exact"/>
        <w:rPr>
          <w:rFonts w:cs="Times New Roman"/>
          <w:bCs/>
          <w:snapToGrid w:val="0"/>
          <w:color w:val="auto"/>
          <w:kern w:val="0"/>
          <w:highlight w:val="none"/>
        </w:rPr>
      </w:pPr>
      <w:r>
        <w:rPr>
          <w:rFonts w:cs="Times New Roman"/>
          <w:bCs/>
          <w:snapToGrid w:val="0"/>
          <w:color w:val="auto"/>
          <w:kern w:val="0"/>
          <w:highlight w:val="none"/>
        </w:rPr>
        <w:t>监测频率为1天（202</w:t>
      </w:r>
      <w:r>
        <w:rPr>
          <w:rFonts w:hint="eastAsia" w:cs="Times New Roman"/>
          <w:bCs/>
          <w:snapToGrid w:val="0"/>
          <w:color w:val="auto"/>
          <w:kern w:val="0"/>
          <w:highlight w:val="none"/>
          <w:lang w:val="en-US" w:eastAsia="zh-CN"/>
        </w:rPr>
        <w:t>5</w:t>
      </w:r>
      <w:r>
        <w:rPr>
          <w:rFonts w:cs="Times New Roman"/>
          <w:bCs/>
          <w:snapToGrid w:val="0"/>
          <w:color w:val="auto"/>
          <w:kern w:val="0"/>
          <w:highlight w:val="none"/>
        </w:rPr>
        <w:t>年</w:t>
      </w:r>
      <w:r>
        <w:rPr>
          <w:rFonts w:hint="eastAsia" w:cs="Times New Roman"/>
          <w:bCs/>
          <w:snapToGrid w:val="0"/>
          <w:color w:val="auto"/>
          <w:kern w:val="0"/>
          <w:highlight w:val="none"/>
          <w:lang w:val="en-US" w:eastAsia="zh-CN"/>
        </w:rPr>
        <w:t>8</w:t>
      </w:r>
      <w:r>
        <w:rPr>
          <w:rFonts w:cs="Times New Roman"/>
          <w:bCs/>
          <w:snapToGrid w:val="0"/>
          <w:color w:val="auto"/>
          <w:kern w:val="0"/>
          <w:highlight w:val="none"/>
        </w:rPr>
        <w:t>月</w:t>
      </w:r>
      <w:r>
        <w:rPr>
          <w:rFonts w:hint="eastAsia" w:cs="Times New Roman"/>
          <w:bCs/>
          <w:snapToGrid w:val="0"/>
          <w:color w:val="auto"/>
          <w:kern w:val="0"/>
          <w:highlight w:val="none"/>
          <w:lang w:val="en-US" w:eastAsia="zh-CN"/>
        </w:rPr>
        <w:t>16</w:t>
      </w:r>
      <w:r>
        <w:rPr>
          <w:rFonts w:cs="Times New Roman"/>
          <w:bCs/>
          <w:snapToGrid w:val="0"/>
          <w:color w:val="auto"/>
          <w:kern w:val="0"/>
          <w:highlight w:val="none"/>
        </w:rPr>
        <w:t>日），详见监测报告。</w:t>
      </w:r>
    </w:p>
    <w:p w14:paraId="5B46A943">
      <w:pPr>
        <w:spacing w:line="500" w:lineRule="exact"/>
        <w:ind w:firstLine="482"/>
        <w:rPr>
          <w:rFonts w:cs="Times New Roman"/>
          <w:b/>
          <w:snapToGrid w:val="0"/>
          <w:color w:val="auto"/>
          <w:kern w:val="0"/>
          <w:highlight w:val="none"/>
        </w:rPr>
      </w:pPr>
      <w:r>
        <w:rPr>
          <w:rFonts w:cs="Times New Roman"/>
          <w:b/>
          <w:snapToGrid w:val="0"/>
          <w:color w:val="auto"/>
          <w:kern w:val="0"/>
          <w:highlight w:val="none"/>
        </w:rPr>
        <w:t>4、监测分析方法</w:t>
      </w:r>
    </w:p>
    <w:p w14:paraId="3F06313F">
      <w:pPr>
        <w:adjustRightInd/>
        <w:snapToGrid/>
        <w:spacing w:line="500" w:lineRule="exact"/>
        <w:rPr>
          <w:rFonts w:cs="Times New Roman"/>
          <w:bCs/>
          <w:snapToGrid w:val="0"/>
          <w:color w:val="auto"/>
          <w:kern w:val="0"/>
          <w:highlight w:val="none"/>
        </w:rPr>
      </w:pPr>
      <w:r>
        <w:rPr>
          <w:rFonts w:cs="Times New Roman"/>
          <w:bCs/>
          <w:snapToGrid w:val="0"/>
          <w:color w:val="auto"/>
          <w:kern w:val="0"/>
          <w:highlight w:val="none"/>
        </w:rPr>
        <w:t>地下水的监测分析方法详见下表。</w:t>
      </w:r>
    </w:p>
    <w:p w14:paraId="13C81301">
      <w:pPr>
        <w:spacing w:line="240" w:lineRule="auto"/>
        <w:ind w:firstLine="482"/>
        <w:jc w:val="center"/>
        <w:rPr>
          <w:rFonts w:cs="Times New Roman"/>
          <w:color w:val="auto"/>
          <w:szCs w:val="24"/>
          <w:highlight w:val="none"/>
        </w:rPr>
      </w:pPr>
      <w:r>
        <w:rPr>
          <w:rFonts w:cs="Times New Roman"/>
          <w:b/>
          <w:color w:val="auto"/>
          <w:szCs w:val="24"/>
          <w:highlight w:val="none"/>
        </w:rPr>
        <w:t>表4-2-9  地下水监测项目分析方法表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6"/>
        <w:gridCol w:w="2226"/>
        <w:gridCol w:w="5013"/>
      </w:tblGrid>
      <w:tr w14:paraId="0DAB4A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754" w:type="pct"/>
            <w:tcBorders>
              <w:tl2br w:val="nil"/>
              <w:tr2bl w:val="nil"/>
            </w:tcBorders>
            <w:noWrap w:val="0"/>
            <w:vAlign w:val="center"/>
          </w:tcPr>
          <w:p w14:paraId="084BE33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类别</w:t>
            </w:r>
          </w:p>
        </w:tc>
        <w:tc>
          <w:tcPr>
            <w:tcW w:w="1305" w:type="pct"/>
            <w:tcBorders>
              <w:tl2br w:val="nil"/>
              <w:tr2bl w:val="nil"/>
            </w:tcBorders>
            <w:noWrap w:val="0"/>
            <w:vAlign w:val="center"/>
          </w:tcPr>
          <w:p w14:paraId="3DA92553">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检测项目</w:t>
            </w:r>
          </w:p>
        </w:tc>
        <w:tc>
          <w:tcPr>
            <w:tcW w:w="2939" w:type="pct"/>
            <w:tcBorders>
              <w:tl2br w:val="nil"/>
              <w:tr2bl w:val="nil"/>
            </w:tcBorders>
            <w:noWrap w:val="0"/>
            <w:vAlign w:val="center"/>
          </w:tcPr>
          <w:p w14:paraId="45A061D3">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检测依据</w:t>
            </w:r>
          </w:p>
        </w:tc>
      </w:tr>
      <w:tr w14:paraId="7CA19F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restart"/>
            <w:tcBorders>
              <w:tl2br w:val="nil"/>
              <w:tr2bl w:val="nil"/>
            </w:tcBorders>
            <w:noWrap w:val="0"/>
            <w:vAlign w:val="center"/>
          </w:tcPr>
          <w:p w14:paraId="7AE38D3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地下水</w:t>
            </w:r>
          </w:p>
        </w:tc>
        <w:tc>
          <w:tcPr>
            <w:tcW w:w="1305" w:type="pct"/>
            <w:tcBorders>
              <w:tl2br w:val="nil"/>
              <w:tr2bl w:val="nil"/>
            </w:tcBorders>
            <w:noWrap w:val="0"/>
            <w:vAlign w:val="center"/>
          </w:tcPr>
          <w:p w14:paraId="390F5A87">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Ca</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vertAlign w:val="superscript"/>
              </w:rPr>
              <w:t>2+</w:t>
            </w:r>
          </w:p>
          <w:p w14:paraId="6E9D050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perscript"/>
              </w:rPr>
              <w:t>+</w:t>
            </w:r>
          </w:p>
        </w:tc>
        <w:tc>
          <w:tcPr>
            <w:tcW w:w="2939" w:type="pct"/>
            <w:tcBorders>
              <w:tl2br w:val="nil"/>
              <w:tr2bl w:val="nil"/>
            </w:tcBorders>
            <w:noWrap w:val="0"/>
            <w:vAlign w:val="center"/>
          </w:tcPr>
          <w:p w14:paraId="0A901314">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 可溶性阳离子（Li+、Na+、NH4+、K+、Ca2+、Mg2+）的测定 离子色谱法 HJ 812-2016</w:t>
            </w:r>
          </w:p>
        </w:tc>
      </w:tr>
      <w:tr w14:paraId="63A67D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0D964245">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517F48D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、HCO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w:t>
            </w:r>
          </w:p>
        </w:tc>
        <w:tc>
          <w:tcPr>
            <w:tcW w:w="2939" w:type="pct"/>
            <w:tcBorders>
              <w:tl2br w:val="nil"/>
              <w:tr2bl w:val="nil"/>
            </w:tcBorders>
            <w:noWrap w:val="0"/>
            <w:vAlign w:val="center"/>
          </w:tcPr>
          <w:p w14:paraId="03540CAE">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水和废水监测分析方法（第四版）国家环境保护总局（2002年）酸碱指示剂滴定法</w:t>
            </w:r>
          </w:p>
        </w:tc>
      </w:tr>
      <w:tr w14:paraId="42794C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0AD8F8E3">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2DAAACD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Cl</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4</w:t>
            </w:r>
            <w:r>
              <w:rPr>
                <w:rFonts w:hint="default" w:ascii="Times New Roman" w:hAnsi="Times New Roman" w:eastAsia="宋体" w:cs="Times New Roman"/>
                <w:color w:val="auto"/>
                <w:sz w:val="21"/>
                <w:szCs w:val="21"/>
                <w:highlight w:val="none"/>
                <w:vertAlign w:val="superscript"/>
              </w:rPr>
              <w:t>2-</w:t>
            </w:r>
          </w:p>
        </w:tc>
        <w:tc>
          <w:tcPr>
            <w:tcW w:w="2939" w:type="pct"/>
            <w:tcBorders>
              <w:tl2br w:val="nil"/>
              <w:tr2bl w:val="nil"/>
            </w:tcBorders>
            <w:noWrap w:val="0"/>
            <w:vAlign w:val="center"/>
          </w:tcPr>
          <w:p w14:paraId="0BF9793F">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 无机阴离子（F-、Cl-、NO2-、Br-、NO3-、PO43-、SO32-、SO42 -）的测定离子色谱法HJ 84-2016</w:t>
            </w:r>
          </w:p>
        </w:tc>
      </w:tr>
      <w:tr w14:paraId="0AD5C0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5BEC43EC">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601FFE15">
            <w:pPr>
              <w:spacing w:line="32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pH</w:t>
            </w:r>
            <w:r>
              <w:rPr>
                <w:rFonts w:hint="eastAsia" w:ascii="Times New Roman" w:hAnsi="Times New Roman" w:eastAsia="宋体" w:cs="Times New Roman"/>
                <w:color w:val="auto"/>
                <w:sz w:val="21"/>
                <w:szCs w:val="21"/>
                <w:highlight w:val="none"/>
                <w:lang w:val="en-US" w:eastAsia="zh-CN"/>
              </w:rPr>
              <w:t>值</w:t>
            </w:r>
          </w:p>
        </w:tc>
        <w:tc>
          <w:tcPr>
            <w:tcW w:w="2939" w:type="pct"/>
            <w:tcBorders>
              <w:tl2br w:val="nil"/>
              <w:tr2bl w:val="nil"/>
            </w:tcBorders>
            <w:noWrap w:val="0"/>
            <w:vAlign w:val="center"/>
          </w:tcPr>
          <w:p w14:paraId="3C5CDEC2">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水质 pH 值的测定 电极法HJ 1147-2020</w:t>
            </w:r>
          </w:p>
        </w:tc>
      </w:tr>
      <w:tr w14:paraId="3F77AD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1FE152AD">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restart"/>
            <w:tcBorders>
              <w:tl2br w:val="nil"/>
              <w:tr2bl w:val="nil"/>
            </w:tcBorders>
            <w:noWrap w:val="0"/>
            <w:vAlign w:val="center"/>
          </w:tcPr>
          <w:p w14:paraId="431E309E">
            <w:pPr>
              <w:spacing w:line="32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高锰酸盐指数</w:t>
            </w:r>
          </w:p>
        </w:tc>
        <w:tc>
          <w:tcPr>
            <w:tcW w:w="2939" w:type="pct"/>
            <w:vMerge w:val="restart"/>
            <w:tcBorders>
              <w:tl2br w:val="nil"/>
              <w:tr2bl w:val="nil"/>
            </w:tcBorders>
            <w:noWrap w:val="0"/>
            <w:vAlign w:val="center"/>
          </w:tcPr>
          <w:p w14:paraId="18DF718A">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 高锰酸盐指数的测定GB 11892-89</w:t>
            </w:r>
          </w:p>
        </w:tc>
      </w:tr>
      <w:tr w14:paraId="69639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30F168A6">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continue"/>
            <w:tcBorders>
              <w:tl2br w:val="nil"/>
              <w:tr2bl w:val="nil"/>
            </w:tcBorders>
            <w:noWrap w:val="0"/>
            <w:vAlign w:val="center"/>
          </w:tcPr>
          <w:p w14:paraId="029C44FA">
            <w:pPr>
              <w:spacing w:line="320" w:lineRule="atLeast"/>
              <w:ind w:firstLine="0" w:firstLineChars="0"/>
              <w:jc w:val="center"/>
              <w:rPr>
                <w:rFonts w:hint="default" w:ascii="Times New Roman" w:hAnsi="Times New Roman" w:eastAsia="宋体" w:cs="Times New Roman"/>
                <w:color w:val="auto"/>
                <w:sz w:val="21"/>
                <w:szCs w:val="21"/>
                <w:highlight w:val="none"/>
              </w:rPr>
            </w:pPr>
          </w:p>
        </w:tc>
        <w:tc>
          <w:tcPr>
            <w:tcW w:w="2939" w:type="pct"/>
            <w:vMerge w:val="continue"/>
            <w:tcBorders>
              <w:tl2br w:val="nil"/>
              <w:tr2bl w:val="nil"/>
            </w:tcBorders>
            <w:noWrap w:val="0"/>
            <w:vAlign w:val="center"/>
          </w:tcPr>
          <w:p w14:paraId="3B944CBE">
            <w:pPr>
              <w:spacing w:line="320" w:lineRule="atLeast"/>
              <w:ind w:firstLine="0" w:firstLineChars="0"/>
              <w:jc w:val="center"/>
              <w:rPr>
                <w:rFonts w:hint="default" w:ascii="Times New Roman" w:hAnsi="Times New Roman" w:eastAsia="宋体" w:cs="Times New Roman"/>
                <w:color w:val="auto"/>
                <w:sz w:val="21"/>
                <w:szCs w:val="21"/>
                <w:highlight w:val="none"/>
              </w:rPr>
            </w:pPr>
          </w:p>
        </w:tc>
      </w:tr>
      <w:tr w14:paraId="7FE56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2DFE06D5">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32ADEDB4">
            <w:pPr>
              <w:spacing w:line="32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氨氮</w:t>
            </w:r>
          </w:p>
        </w:tc>
        <w:tc>
          <w:tcPr>
            <w:tcW w:w="2939" w:type="pct"/>
            <w:tcBorders>
              <w:tl2br w:val="nil"/>
              <w:tr2bl w:val="nil"/>
            </w:tcBorders>
            <w:noWrap w:val="0"/>
            <w:vAlign w:val="center"/>
          </w:tcPr>
          <w:p w14:paraId="0315569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水质 氨氮的测定 纳氏试剂分光光度法</w:t>
            </w:r>
          </w:p>
          <w:p w14:paraId="4FC86CE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HJ 535-2009</w:t>
            </w:r>
          </w:p>
        </w:tc>
      </w:tr>
      <w:tr w14:paraId="24484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20B9ABB2">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301F12C3">
            <w:pPr>
              <w:spacing w:line="32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总硬度</w:t>
            </w:r>
          </w:p>
        </w:tc>
        <w:tc>
          <w:tcPr>
            <w:tcW w:w="2939" w:type="pct"/>
            <w:tcBorders>
              <w:tl2br w:val="nil"/>
              <w:tr2bl w:val="nil"/>
            </w:tcBorders>
            <w:noWrap w:val="0"/>
            <w:vAlign w:val="center"/>
          </w:tcPr>
          <w:p w14:paraId="538AE9D7">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 xml:space="preserve">生活饮用水标准检验方法 </w:t>
            </w:r>
            <w:r>
              <w:rPr>
                <w:rFonts w:hint="default" w:ascii="Times New Roman" w:hAnsi="Times New Roman" w:eastAsia="宋体" w:cs="Times New Roman"/>
                <w:color w:val="auto"/>
                <w:sz w:val="21"/>
                <w:szCs w:val="21"/>
                <w:highlight w:val="none"/>
                <w:lang w:val="en-US" w:eastAsia="zh-CN"/>
              </w:rPr>
              <w:t>第4部分：</w:t>
            </w:r>
            <w:r>
              <w:rPr>
                <w:rFonts w:hint="default" w:ascii="Times New Roman" w:hAnsi="Times New Roman" w:eastAsia="宋体" w:cs="Times New Roman"/>
                <w:color w:val="auto"/>
                <w:sz w:val="21"/>
                <w:szCs w:val="21"/>
                <w:highlight w:val="none"/>
              </w:rPr>
              <w:t>感官性状和物理指标</w:t>
            </w:r>
            <w:r>
              <w:rPr>
                <w:rFonts w:hint="default" w:ascii="Times New Roman" w:hAnsi="Times New Roman" w:eastAsia="宋体" w:cs="Times New Roman"/>
                <w:color w:val="auto"/>
                <w:sz w:val="21"/>
                <w:szCs w:val="21"/>
                <w:highlight w:val="none"/>
                <w:lang w:eastAsia="zh-CN"/>
              </w:rPr>
              <w:t>GB/T 5750.4-2023 10</w:t>
            </w:r>
          </w:p>
        </w:tc>
      </w:tr>
      <w:tr w14:paraId="116FE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4FEBE064">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18BDFC4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硝酸盐</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以N计</w:t>
            </w:r>
            <w:r>
              <w:rPr>
                <w:rFonts w:hint="eastAsia" w:ascii="Times New Roman" w:hAnsi="Times New Roman" w:eastAsia="宋体" w:cs="Times New Roman"/>
                <w:color w:val="auto"/>
                <w:sz w:val="21"/>
                <w:szCs w:val="21"/>
                <w:highlight w:val="none"/>
                <w:lang w:eastAsia="zh-CN"/>
              </w:rPr>
              <w:t>）</w:t>
            </w:r>
          </w:p>
        </w:tc>
        <w:tc>
          <w:tcPr>
            <w:tcW w:w="2939" w:type="pct"/>
            <w:tcBorders>
              <w:tl2br w:val="nil"/>
              <w:tr2bl w:val="nil"/>
            </w:tcBorders>
            <w:noWrap w:val="0"/>
            <w:vAlign w:val="center"/>
          </w:tcPr>
          <w:p w14:paraId="0A64C623">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 硝酸盐氮的测定 酚二磺酸分光光度法</w:t>
            </w:r>
          </w:p>
          <w:p w14:paraId="62D53284">
            <w:pPr>
              <w:spacing w:line="320" w:lineRule="atLeast"/>
              <w:ind w:firstLine="0" w:firstLineChars="0"/>
              <w:jc w:val="center"/>
              <w:rPr>
                <w:rFonts w:hint="default" w:ascii="Times New Roman" w:hAnsi="Times New Roman" w:eastAsia="宋体" w:cs="Times New Roman"/>
                <w:color w:val="auto"/>
                <w:sz w:val="21"/>
                <w:szCs w:val="21"/>
                <w:highlight w:val="none"/>
                <w:lang w:val="fr-FR" w:eastAsia="zh-CN"/>
              </w:rPr>
            </w:pPr>
            <w:r>
              <w:rPr>
                <w:rFonts w:hint="default" w:ascii="Times New Roman" w:hAnsi="Times New Roman" w:eastAsia="宋体" w:cs="Times New Roman"/>
                <w:color w:val="auto"/>
                <w:sz w:val="21"/>
                <w:szCs w:val="21"/>
                <w:highlight w:val="none"/>
              </w:rPr>
              <w:t>GB</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7480-87</w:t>
            </w:r>
          </w:p>
        </w:tc>
      </w:tr>
      <w:tr w14:paraId="739591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4B0A9996">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02A77902">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亚硝酸盐（以N计）</w:t>
            </w:r>
          </w:p>
        </w:tc>
        <w:tc>
          <w:tcPr>
            <w:tcW w:w="2939" w:type="pct"/>
            <w:tcBorders>
              <w:tl2br w:val="nil"/>
              <w:tr2bl w:val="nil"/>
            </w:tcBorders>
            <w:noWrap w:val="0"/>
            <w:vAlign w:val="center"/>
          </w:tcPr>
          <w:p w14:paraId="0DFDB087">
            <w:pPr>
              <w:spacing w:line="320" w:lineRule="atLeast"/>
              <w:ind w:firstLine="0" w:firstLineChars="0"/>
              <w:jc w:val="center"/>
              <w:rPr>
                <w:rFonts w:hint="default" w:ascii="Times New Roman" w:hAnsi="Times New Roman" w:eastAsia="宋体" w:cs="Times New Roman"/>
                <w:color w:val="auto"/>
                <w:sz w:val="21"/>
                <w:szCs w:val="21"/>
                <w:highlight w:val="none"/>
                <w:lang w:val="fr-FR" w:eastAsia="zh-CN"/>
              </w:rPr>
            </w:pPr>
            <w:r>
              <w:rPr>
                <w:rFonts w:hint="default" w:ascii="Times New Roman" w:hAnsi="Times New Roman" w:eastAsia="宋体" w:cs="Times New Roman"/>
                <w:color w:val="auto"/>
                <w:sz w:val="21"/>
                <w:szCs w:val="21"/>
                <w:highlight w:val="none"/>
              </w:rPr>
              <w:t>水质 亚硝酸盐氮的测定 分光光度法GB 7493-87</w:t>
            </w:r>
          </w:p>
        </w:tc>
      </w:tr>
      <w:tr w14:paraId="617F4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31F88E35">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6A5F042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硫酸盐</w:t>
            </w:r>
          </w:p>
        </w:tc>
        <w:tc>
          <w:tcPr>
            <w:tcW w:w="2939" w:type="pct"/>
            <w:tcBorders>
              <w:tl2br w:val="nil"/>
              <w:tr2bl w:val="nil"/>
            </w:tcBorders>
            <w:noWrap w:val="0"/>
            <w:vAlign w:val="center"/>
          </w:tcPr>
          <w:p w14:paraId="4AF0B8F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 xml:space="preserve">生活饮用水标准检验方法 </w:t>
            </w:r>
            <w:r>
              <w:rPr>
                <w:rFonts w:hint="default" w:ascii="Times New Roman" w:hAnsi="Times New Roman" w:eastAsia="宋体" w:cs="Times New Roman"/>
                <w:color w:val="auto"/>
                <w:sz w:val="21"/>
                <w:szCs w:val="21"/>
                <w:highlight w:val="none"/>
                <w:lang w:val="en-US" w:eastAsia="zh-CN"/>
              </w:rPr>
              <w:t>第5部分：无机非金属指标</w:t>
            </w:r>
            <w:r>
              <w:rPr>
                <w:rFonts w:hint="default" w:ascii="Times New Roman" w:hAnsi="Times New Roman" w:eastAsia="宋体" w:cs="Times New Roman"/>
                <w:color w:val="auto"/>
                <w:sz w:val="21"/>
                <w:szCs w:val="21"/>
                <w:highlight w:val="none"/>
                <w:lang w:eastAsia="zh-CN"/>
              </w:rPr>
              <w:t>GB/T 5750.5-2023 4</w:t>
            </w:r>
          </w:p>
        </w:tc>
      </w:tr>
      <w:tr w14:paraId="18157C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66A8B620">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182380E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氯化物</w:t>
            </w:r>
          </w:p>
        </w:tc>
        <w:tc>
          <w:tcPr>
            <w:tcW w:w="2939" w:type="pct"/>
            <w:tcBorders>
              <w:tl2br w:val="nil"/>
              <w:tr2bl w:val="nil"/>
            </w:tcBorders>
            <w:noWrap w:val="0"/>
            <w:vAlign w:val="center"/>
          </w:tcPr>
          <w:p w14:paraId="0980ABE9">
            <w:pPr>
              <w:spacing w:line="320" w:lineRule="atLeast"/>
              <w:ind w:firstLine="0" w:firstLineChars="0"/>
              <w:jc w:val="center"/>
              <w:rPr>
                <w:rFonts w:hint="default" w:ascii="Times New Roman" w:hAnsi="Times New Roman" w:eastAsia="宋体" w:cs="Times New Roman"/>
                <w:color w:val="auto"/>
                <w:sz w:val="21"/>
                <w:szCs w:val="21"/>
                <w:highlight w:val="none"/>
                <w:lang w:val="fr-FR" w:eastAsia="zh-CN"/>
              </w:rPr>
            </w:pPr>
            <w:r>
              <w:rPr>
                <w:rFonts w:hint="default" w:ascii="Times New Roman" w:hAnsi="Times New Roman" w:eastAsia="宋体" w:cs="Times New Roman"/>
                <w:color w:val="auto"/>
                <w:sz w:val="21"/>
                <w:szCs w:val="21"/>
                <w:highlight w:val="none"/>
              </w:rPr>
              <w:t>水质 氯化物的测定 硝酸银滴定GB 11896-89</w:t>
            </w:r>
          </w:p>
        </w:tc>
      </w:tr>
      <w:tr w14:paraId="16C41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179405AD">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3A37203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铁</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锰</w:t>
            </w:r>
          </w:p>
        </w:tc>
        <w:tc>
          <w:tcPr>
            <w:tcW w:w="2939" w:type="pct"/>
            <w:tcBorders>
              <w:tl2br w:val="nil"/>
              <w:tr2bl w:val="nil"/>
            </w:tcBorders>
            <w:noWrap w:val="0"/>
            <w:vAlign w:val="center"/>
          </w:tcPr>
          <w:p w14:paraId="78CD5DCE">
            <w:pPr>
              <w:spacing w:line="320" w:lineRule="atLeast"/>
              <w:ind w:firstLine="0" w:firstLineChars="0"/>
              <w:jc w:val="center"/>
              <w:rPr>
                <w:rFonts w:hint="default" w:ascii="Times New Roman" w:hAnsi="Times New Roman" w:eastAsia="宋体" w:cs="Times New Roman"/>
                <w:color w:val="auto"/>
                <w:sz w:val="21"/>
                <w:szCs w:val="21"/>
                <w:highlight w:val="none"/>
                <w:lang w:val="fr-FR" w:eastAsia="zh-CN"/>
              </w:rPr>
            </w:pPr>
            <w:r>
              <w:rPr>
                <w:rFonts w:hint="default" w:ascii="Times New Roman" w:hAnsi="Times New Roman" w:eastAsia="宋体" w:cs="Times New Roman"/>
                <w:color w:val="auto"/>
                <w:sz w:val="21"/>
                <w:szCs w:val="21"/>
                <w:highlight w:val="none"/>
              </w:rPr>
              <w:t>水质 铁、锰的测定 火焰原子吸收分光光度法GB 11911-89</w:t>
            </w:r>
          </w:p>
        </w:tc>
      </w:tr>
      <w:tr w14:paraId="62D8DC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19DEA1A4">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restart"/>
            <w:tcBorders>
              <w:tl2br w:val="nil"/>
              <w:tr2bl w:val="nil"/>
            </w:tcBorders>
            <w:noWrap w:val="0"/>
            <w:vAlign w:val="center"/>
          </w:tcPr>
          <w:p w14:paraId="1AB0FC41">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总大</w:t>
            </w:r>
          </w:p>
          <w:p w14:paraId="2B6FDD11">
            <w:pPr>
              <w:spacing w:line="32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肠菌群</w:t>
            </w:r>
          </w:p>
        </w:tc>
        <w:tc>
          <w:tcPr>
            <w:tcW w:w="2939" w:type="pct"/>
            <w:vMerge w:val="restart"/>
            <w:tcBorders>
              <w:tl2br w:val="nil"/>
              <w:tr2bl w:val="nil"/>
            </w:tcBorders>
            <w:noWrap w:val="0"/>
            <w:vAlign w:val="center"/>
          </w:tcPr>
          <w:p w14:paraId="0BFE4701">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生活饮用水标准检验方法 第12部分：微生物指标GB/T 5750.12-2023 5</w:t>
            </w:r>
          </w:p>
        </w:tc>
      </w:tr>
      <w:tr w14:paraId="435B9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5E7131E1">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continue"/>
            <w:tcBorders>
              <w:tl2br w:val="nil"/>
              <w:tr2bl w:val="nil"/>
            </w:tcBorders>
            <w:noWrap w:val="0"/>
            <w:vAlign w:val="center"/>
          </w:tcPr>
          <w:p w14:paraId="6BB86B86">
            <w:pPr>
              <w:spacing w:line="320" w:lineRule="atLeast"/>
              <w:ind w:firstLine="0" w:firstLineChars="0"/>
              <w:jc w:val="center"/>
              <w:rPr>
                <w:rFonts w:hint="default" w:ascii="Times New Roman" w:hAnsi="Times New Roman" w:eastAsia="宋体" w:cs="Times New Roman"/>
                <w:color w:val="auto"/>
                <w:sz w:val="21"/>
                <w:szCs w:val="21"/>
                <w:highlight w:val="none"/>
              </w:rPr>
            </w:pPr>
          </w:p>
        </w:tc>
        <w:tc>
          <w:tcPr>
            <w:tcW w:w="2939" w:type="pct"/>
            <w:vMerge w:val="continue"/>
            <w:tcBorders>
              <w:tl2br w:val="nil"/>
              <w:tr2bl w:val="nil"/>
            </w:tcBorders>
            <w:noWrap w:val="0"/>
            <w:vAlign w:val="center"/>
          </w:tcPr>
          <w:p w14:paraId="7CC5F5C9">
            <w:pPr>
              <w:spacing w:line="320" w:lineRule="atLeast"/>
              <w:ind w:firstLine="0" w:firstLineChars="0"/>
              <w:jc w:val="center"/>
              <w:rPr>
                <w:rFonts w:hint="default" w:ascii="Times New Roman" w:hAnsi="Times New Roman" w:eastAsia="宋体" w:cs="Times New Roman"/>
                <w:color w:val="auto"/>
                <w:sz w:val="21"/>
                <w:szCs w:val="21"/>
                <w:highlight w:val="none"/>
              </w:rPr>
            </w:pPr>
          </w:p>
        </w:tc>
      </w:tr>
      <w:tr w14:paraId="6D5B81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09E0CFA9">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2FC1BC82">
            <w:pPr>
              <w:spacing w:line="32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挥发酚</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类</w:t>
            </w:r>
            <w:r>
              <w:rPr>
                <w:rFonts w:hint="default" w:ascii="Times New Roman" w:hAnsi="Times New Roman" w:eastAsia="宋体" w:cs="Times New Roman"/>
                <w:color w:val="auto"/>
                <w:sz w:val="21"/>
                <w:szCs w:val="21"/>
                <w:highlight w:val="none"/>
                <w:lang w:eastAsia="zh-CN"/>
              </w:rPr>
              <w:t>）</w:t>
            </w:r>
          </w:p>
        </w:tc>
        <w:tc>
          <w:tcPr>
            <w:tcW w:w="2939" w:type="pct"/>
            <w:tcBorders>
              <w:tl2br w:val="nil"/>
              <w:tr2bl w:val="nil"/>
            </w:tcBorders>
            <w:noWrap w:val="0"/>
            <w:vAlign w:val="center"/>
          </w:tcPr>
          <w:p w14:paraId="57B7E0A5">
            <w:pPr>
              <w:spacing w:line="320" w:lineRule="atLeast"/>
              <w:ind w:firstLine="0" w:firstLineChars="0"/>
              <w:jc w:val="center"/>
              <w:rPr>
                <w:rFonts w:hint="default" w:ascii="Times New Roman" w:hAnsi="Times New Roman" w:eastAsia="宋体" w:cs="Times New Roman"/>
                <w:color w:val="auto"/>
                <w:sz w:val="21"/>
                <w:szCs w:val="21"/>
                <w:highlight w:val="none"/>
                <w:lang w:val="fr-FR" w:eastAsia="zh-CN"/>
              </w:rPr>
            </w:pPr>
            <w:r>
              <w:rPr>
                <w:rFonts w:hint="default" w:ascii="Times New Roman" w:hAnsi="Times New Roman" w:eastAsia="宋体" w:cs="Times New Roman"/>
                <w:color w:val="auto"/>
                <w:sz w:val="21"/>
                <w:szCs w:val="21"/>
                <w:highlight w:val="none"/>
              </w:rPr>
              <w:t>水质 挥发酚的测定 4-氨基安替比林分光光度法HJ 503-2009</w:t>
            </w:r>
          </w:p>
        </w:tc>
      </w:tr>
      <w:tr w14:paraId="30568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44946018">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12C68C5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氰化物</w:t>
            </w:r>
          </w:p>
        </w:tc>
        <w:tc>
          <w:tcPr>
            <w:tcW w:w="2939" w:type="pct"/>
            <w:tcBorders>
              <w:tl2br w:val="nil"/>
              <w:tr2bl w:val="nil"/>
            </w:tcBorders>
            <w:noWrap w:val="0"/>
            <w:vAlign w:val="center"/>
          </w:tcPr>
          <w:p w14:paraId="5ED053B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水质 氰化物的测定 容量法和分光光度法HJ</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484-2009</w:t>
            </w:r>
          </w:p>
        </w:tc>
      </w:tr>
      <w:tr w14:paraId="3FF24E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5857098A">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6D49103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砷</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汞</w:t>
            </w:r>
          </w:p>
        </w:tc>
        <w:tc>
          <w:tcPr>
            <w:tcW w:w="2939" w:type="pct"/>
            <w:tcBorders>
              <w:tl2br w:val="nil"/>
              <w:tr2bl w:val="nil"/>
            </w:tcBorders>
            <w:noWrap w:val="0"/>
            <w:vAlign w:val="center"/>
          </w:tcPr>
          <w:p w14:paraId="4FBDC17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水质 汞、砷、硒、铋和锑的测定 原子荧光法HJ 694-2014</w:t>
            </w:r>
          </w:p>
        </w:tc>
      </w:tr>
      <w:tr w14:paraId="437E6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4AE31755">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03101DF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六价铬</w:t>
            </w:r>
          </w:p>
        </w:tc>
        <w:tc>
          <w:tcPr>
            <w:tcW w:w="2939" w:type="pct"/>
            <w:tcBorders>
              <w:tl2br w:val="nil"/>
              <w:tr2bl w:val="nil"/>
            </w:tcBorders>
            <w:noWrap w:val="0"/>
            <w:vAlign w:val="center"/>
          </w:tcPr>
          <w:p w14:paraId="4F73A34F">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 xml:space="preserve">水质 六价铬的测定 二苯碳酰二肼分光光度法 </w:t>
            </w:r>
            <w:r>
              <w:rPr>
                <w:rFonts w:hint="default" w:ascii="Times New Roman" w:hAnsi="Times New Roman" w:eastAsia="宋体" w:cs="Times New Roman"/>
                <w:color w:val="auto"/>
                <w:sz w:val="21"/>
                <w:szCs w:val="21"/>
                <w:highlight w:val="none"/>
                <w:lang w:eastAsia="zh-CN"/>
              </w:rPr>
              <w:t>GB 7467-87</w:t>
            </w:r>
          </w:p>
        </w:tc>
      </w:tr>
      <w:tr w14:paraId="72D2C9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644406B6">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6073280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铅</w:t>
            </w:r>
          </w:p>
        </w:tc>
        <w:tc>
          <w:tcPr>
            <w:tcW w:w="2939" w:type="pct"/>
            <w:tcBorders>
              <w:tl2br w:val="nil"/>
              <w:tr2bl w:val="nil"/>
            </w:tcBorders>
            <w:noWrap w:val="0"/>
            <w:vAlign w:val="center"/>
          </w:tcPr>
          <w:p w14:paraId="7EFDDCD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水质 铜、锌、铅、镉的测定</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原子吸收分光光度法GB 7475-87</w:t>
            </w:r>
          </w:p>
        </w:tc>
      </w:tr>
      <w:tr w14:paraId="73E84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075C784C">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1E87743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镉</w:t>
            </w:r>
          </w:p>
        </w:tc>
        <w:tc>
          <w:tcPr>
            <w:tcW w:w="2939" w:type="pct"/>
            <w:tcBorders>
              <w:tl2br w:val="nil"/>
              <w:tr2bl w:val="nil"/>
            </w:tcBorders>
            <w:noWrap w:val="0"/>
            <w:vAlign w:val="center"/>
          </w:tcPr>
          <w:p w14:paraId="039E5B3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水质 铜、锌、铅、镉的测定</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原子吸收分光光度法GB 7475-87</w:t>
            </w:r>
          </w:p>
        </w:tc>
      </w:tr>
      <w:tr w14:paraId="5DB583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182307EB">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76E800CF">
            <w:pPr>
              <w:spacing w:line="32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氟</w:t>
            </w:r>
            <w:r>
              <w:rPr>
                <w:rFonts w:hint="default" w:ascii="Times New Roman" w:hAnsi="Times New Roman" w:eastAsia="宋体" w:cs="Times New Roman"/>
                <w:color w:val="auto"/>
                <w:sz w:val="21"/>
                <w:szCs w:val="21"/>
                <w:highlight w:val="none"/>
                <w:lang w:eastAsia="zh-CN"/>
              </w:rPr>
              <w:t>化物</w:t>
            </w:r>
          </w:p>
        </w:tc>
        <w:tc>
          <w:tcPr>
            <w:tcW w:w="2939" w:type="pct"/>
            <w:tcBorders>
              <w:tl2br w:val="nil"/>
              <w:tr2bl w:val="nil"/>
            </w:tcBorders>
            <w:noWrap w:val="0"/>
            <w:vAlign w:val="center"/>
          </w:tcPr>
          <w:p w14:paraId="562772F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水质 氟化物的测定 氟试剂分光光度法HJ488-2009</w:t>
            </w:r>
          </w:p>
        </w:tc>
      </w:tr>
      <w:tr w14:paraId="3EE4F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05D71383">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restart"/>
            <w:tcBorders>
              <w:tl2br w:val="nil"/>
              <w:tr2bl w:val="nil"/>
            </w:tcBorders>
            <w:noWrap w:val="0"/>
            <w:vAlign w:val="center"/>
          </w:tcPr>
          <w:p w14:paraId="4C46468B">
            <w:pPr>
              <w:spacing w:line="32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溶解性总固体</w:t>
            </w:r>
          </w:p>
        </w:tc>
        <w:tc>
          <w:tcPr>
            <w:tcW w:w="2939" w:type="pct"/>
            <w:vMerge w:val="restart"/>
            <w:tcBorders>
              <w:tl2br w:val="nil"/>
              <w:tr2bl w:val="nil"/>
            </w:tcBorders>
            <w:noWrap w:val="0"/>
            <w:vAlign w:val="center"/>
          </w:tcPr>
          <w:p w14:paraId="75D1D38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生活饮用水标准检验方法 第4部分：感官性状和物理指标 </w:t>
            </w:r>
            <w:r>
              <w:rPr>
                <w:rFonts w:hint="default" w:ascii="Times New Roman" w:hAnsi="Times New Roman" w:eastAsia="宋体" w:cs="Times New Roman"/>
                <w:color w:val="auto"/>
                <w:sz w:val="21"/>
                <w:szCs w:val="21"/>
                <w:highlight w:val="none"/>
                <w:lang w:eastAsia="zh-CN"/>
              </w:rPr>
              <w:t>GB/T 5750.4-2023 11</w:t>
            </w:r>
          </w:p>
        </w:tc>
      </w:tr>
      <w:tr w14:paraId="3C155A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13B1D908">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continue"/>
            <w:tcBorders>
              <w:tl2br w:val="nil"/>
              <w:tr2bl w:val="nil"/>
            </w:tcBorders>
            <w:noWrap w:val="0"/>
            <w:vAlign w:val="center"/>
          </w:tcPr>
          <w:p w14:paraId="73F18DB5">
            <w:pPr>
              <w:spacing w:line="320" w:lineRule="atLeast"/>
              <w:ind w:firstLine="0" w:firstLineChars="0"/>
              <w:jc w:val="center"/>
              <w:rPr>
                <w:rFonts w:hint="default" w:ascii="Times New Roman" w:hAnsi="Times New Roman" w:eastAsia="宋体" w:cs="Times New Roman"/>
                <w:color w:val="auto"/>
                <w:sz w:val="21"/>
                <w:szCs w:val="21"/>
                <w:highlight w:val="none"/>
                <w:lang w:eastAsia="zh-CN"/>
              </w:rPr>
            </w:pPr>
          </w:p>
        </w:tc>
        <w:tc>
          <w:tcPr>
            <w:tcW w:w="2939" w:type="pct"/>
            <w:vMerge w:val="continue"/>
            <w:tcBorders>
              <w:tl2br w:val="nil"/>
              <w:tr2bl w:val="nil"/>
            </w:tcBorders>
            <w:noWrap w:val="0"/>
            <w:vAlign w:val="center"/>
          </w:tcPr>
          <w:p w14:paraId="4795436E">
            <w:pPr>
              <w:spacing w:line="320" w:lineRule="atLeast"/>
              <w:ind w:firstLine="0" w:firstLineChars="0"/>
              <w:jc w:val="center"/>
              <w:rPr>
                <w:rFonts w:hint="default" w:ascii="Times New Roman" w:hAnsi="Times New Roman" w:eastAsia="宋体" w:cs="Times New Roman"/>
                <w:color w:val="auto"/>
                <w:sz w:val="21"/>
                <w:szCs w:val="21"/>
                <w:highlight w:val="none"/>
              </w:rPr>
            </w:pPr>
          </w:p>
        </w:tc>
      </w:tr>
      <w:tr w14:paraId="682100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54" w:type="pct"/>
            <w:vMerge w:val="continue"/>
            <w:tcBorders>
              <w:tl2br w:val="nil"/>
              <w:tr2bl w:val="nil"/>
            </w:tcBorders>
            <w:noWrap w:val="0"/>
            <w:vAlign w:val="center"/>
          </w:tcPr>
          <w:p w14:paraId="1BC7281E">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tcBorders>
              <w:tl2br w:val="nil"/>
              <w:tr2bl w:val="nil"/>
            </w:tcBorders>
            <w:noWrap w:val="0"/>
            <w:vAlign w:val="center"/>
          </w:tcPr>
          <w:p w14:paraId="6A4E38D9">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石油类</w:t>
            </w:r>
          </w:p>
        </w:tc>
        <w:tc>
          <w:tcPr>
            <w:tcW w:w="2939" w:type="pct"/>
            <w:tcBorders>
              <w:tl2br w:val="nil"/>
              <w:tr2bl w:val="nil"/>
            </w:tcBorders>
            <w:noWrap w:val="0"/>
            <w:vAlign w:val="center"/>
          </w:tcPr>
          <w:p w14:paraId="1B4639CA">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 石油类的测定 紫外分光光度法（试行）</w:t>
            </w:r>
          </w:p>
          <w:p w14:paraId="379C733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 xml:space="preserve"> HJ 970-2018</w:t>
            </w:r>
          </w:p>
        </w:tc>
      </w:tr>
      <w:tr w14:paraId="213CCE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4A58F440">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restart"/>
            <w:tcBorders>
              <w:tl2br w:val="nil"/>
              <w:tr2bl w:val="nil"/>
            </w:tcBorders>
            <w:noWrap w:val="0"/>
            <w:vAlign w:val="center"/>
          </w:tcPr>
          <w:p w14:paraId="2D8533A5">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总磷</w:t>
            </w:r>
          </w:p>
        </w:tc>
        <w:tc>
          <w:tcPr>
            <w:tcW w:w="2939" w:type="pct"/>
            <w:vMerge w:val="restart"/>
            <w:tcBorders>
              <w:tl2br w:val="nil"/>
              <w:tr2bl w:val="nil"/>
            </w:tcBorders>
            <w:noWrap w:val="0"/>
            <w:vAlign w:val="center"/>
          </w:tcPr>
          <w:p w14:paraId="5E2CB6CF">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 总磷的测定 钼酸铵分光光度法GB 11893-89</w:t>
            </w:r>
          </w:p>
        </w:tc>
      </w:tr>
      <w:tr w14:paraId="08D4B6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42CE1209">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continue"/>
            <w:tcBorders>
              <w:tl2br w:val="nil"/>
              <w:tr2bl w:val="nil"/>
            </w:tcBorders>
            <w:noWrap w:val="0"/>
            <w:vAlign w:val="center"/>
          </w:tcPr>
          <w:p w14:paraId="75319115">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939" w:type="pct"/>
            <w:vMerge w:val="continue"/>
            <w:tcBorders>
              <w:tl2br w:val="nil"/>
              <w:tr2bl w:val="nil"/>
            </w:tcBorders>
            <w:noWrap w:val="0"/>
            <w:vAlign w:val="center"/>
          </w:tcPr>
          <w:p w14:paraId="6A7C2051">
            <w:pPr>
              <w:spacing w:line="320" w:lineRule="atLeast"/>
              <w:ind w:firstLine="0" w:firstLineChars="0"/>
              <w:jc w:val="center"/>
              <w:rPr>
                <w:rFonts w:hint="default" w:ascii="Times New Roman" w:hAnsi="Times New Roman" w:eastAsia="宋体" w:cs="Times New Roman"/>
                <w:color w:val="auto"/>
                <w:sz w:val="21"/>
                <w:szCs w:val="21"/>
                <w:highlight w:val="none"/>
              </w:rPr>
            </w:pPr>
          </w:p>
        </w:tc>
      </w:tr>
      <w:tr w14:paraId="7526B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5821603C">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restart"/>
            <w:tcBorders>
              <w:tl2br w:val="nil"/>
              <w:tr2bl w:val="nil"/>
            </w:tcBorders>
            <w:noWrap w:val="0"/>
            <w:vAlign w:val="center"/>
          </w:tcPr>
          <w:p w14:paraId="683BD6EB">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总氮</w:t>
            </w:r>
          </w:p>
        </w:tc>
        <w:tc>
          <w:tcPr>
            <w:tcW w:w="2939" w:type="pct"/>
            <w:vMerge w:val="restart"/>
            <w:tcBorders>
              <w:tl2br w:val="nil"/>
              <w:tr2bl w:val="nil"/>
            </w:tcBorders>
            <w:noWrap w:val="0"/>
            <w:vAlign w:val="center"/>
          </w:tcPr>
          <w:p w14:paraId="65B12F23">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 总氮的测定 碱性过硫酸钾消解紫外分光光度法HJ 636-2012</w:t>
            </w:r>
          </w:p>
        </w:tc>
      </w:tr>
      <w:tr w14:paraId="18AAE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61F161FC">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continue"/>
            <w:tcBorders>
              <w:tl2br w:val="nil"/>
              <w:tr2bl w:val="nil"/>
            </w:tcBorders>
            <w:noWrap w:val="0"/>
            <w:vAlign w:val="center"/>
          </w:tcPr>
          <w:p w14:paraId="08579839">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939" w:type="pct"/>
            <w:vMerge w:val="continue"/>
            <w:tcBorders>
              <w:tl2br w:val="nil"/>
              <w:tr2bl w:val="nil"/>
            </w:tcBorders>
            <w:noWrap w:val="0"/>
            <w:vAlign w:val="center"/>
          </w:tcPr>
          <w:p w14:paraId="27CBA14C">
            <w:pPr>
              <w:spacing w:line="320" w:lineRule="atLeast"/>
              <w:ind w:firstLine="0" w:firstLineChars="0"/>
              <w:jc w:val="center"/>
              <w:rPr>
                <w:rFonts w:hint="default" w:ascii="Times New Roman" w:hAnsi="Times New Roman" w:eastAsia="宋体" w:cs="Times New Roman"/>
                <w:color w:val="auto"/>
                <w:sz w:val="21"/>
                <w:szCs w:val="21"/>
                <w:highlight w:val="none"/>
              </w:rPr>
            </w:pPr>
          </w:p>
        </w:tc>
      </w:tr>
      <w:tr w14:paraId="3778E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5817C787">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restart"/>
            <w:tcBorders>
              <w:tl2br w:val="nil"/>
              <w:tr2bl w:val="nil"/>
            </w:tcBorders>
            <w:noWrap w:val="0"/>
            <w:vAlign w:val="center"/>
          </w:tcPr>
          <w:p w14:paraId="760ED189">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化学需氧量</w:t>
            </w:r>
          </w:p>
        </w:tc>
        <w:tc>
          <w:tcPr>
            <w:tcW w:w="2939" w:type="pct"/>
            <w:vMerge w:val="restart"/>
            <w:tcBorders>
              <w:tl2br w:val="nil"/>
              <w:tr2bl w:val="nil"/>
            </w:tcBorders>
            <w:noWrap w:val="0"/>
            <w:vAlign w:val="center"/>
          </w:tcPr>
          <w:p w14:paraId="75D056F9">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 化学需氧量的测定 重铬酸盐法HJ 828-2017</w:t>
            </w:r>
          </w:p>
        </w:tc>
      </w:tr>
      <w:tr w14:paraId="55F24F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74F9B908">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continue"/>
            <w:tcBorders>
              <w:tl2br w:val="nil"/>
              <w:tr2bl w:val="nil"/>
            </w:tcBorders>
            <w:noWrap w:val="0"/>
            <w:vAlign w:val="center"/>
          </w:tcPr>
          <w:p w14:paraId="195DBE3A">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939" w:type="pct"/>
            <w:vMerge w:val="continue"/>
            <w:tcBorders>
              <w:tl2br w:val="nil"/>
              <w:tr2bl w:val="nil"/>
            </w:tcBorders>
            <w:noWrap w:val="0"/>
            <w:vAlign w:val="center"/>
          </w:tcPr>
          <w:p w14:paraId="26A0129B">
            <w:pPr>
              <w:spacing w:line="320" w:lineRule="atLeast"/>
              <w:ind w:firstLine="0" w:firstLineChars="0"/>
              <w:jc w:val="center"/>
              <w:rPr>
                <w:rFonts w:hint="default" w:ascii="Times New Roman" w:hAnsi="Times New Roman" w:eastAsia="宋体" w:cs="Times New Roman"/>
                <w:color w:val="auto"/>
                <w:sz w:val="21"/>
                <w:szCs w:val="21"/>
                <w:highlight w:val="none"/>
              </w:rPr>
            </w:pPr>
          </w:p>
        </w:tc>
      </w:tr>
      <w:tr w14:paraId="0857EF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2D528E07">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restart"/>
            <w:tcBorders>
              <w:tl2br w:val="nil"/>
              <w:tr2bl w:val="nil"/>
            </w:tcBorders>
            <w:noWrap w:val="0"/>
            <w:vAlign w:val="center"/>
          </w:tcPr>
          <w:p w14:paraId="7A0CAB0A">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生化需氧量</w:t>
            </w:r>
          </w:p>
        </w:tc>
        <w:tc>
          <w:tcPr>
            <w:tcW w:w="2939" w:type="pct"/>
            <w:vMerge w:val="restart"/>
            <w:tcBorders>
              <w:tl2br w:val="nil"/>
              <w:tr2bl w:val="nil"/>
            </w:tcBorders>
            <w:noWrap w:val="0"/>
            <w:vAlign w:val="center"/>
          </w:tcPr>
          <w:p w14:paraId="66F21576">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 五日生化需氧量（BOD5）的测定 稀释与接种法 HJ 505-2009</w:t>
            </w:r>
          </w:p>
        </w:tc>
      </w:tr>
      <w:tr w14:paraId="6CCE7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56F3926E">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continue"/>
            <w:tcBorders>
              <w:tl2br w:val="nil"/>
              <w:tr2bl w:val="nil"/>
            </w:tcBorders>
            <w:noWrap w:val="0"/>
            <w:vAlign w:val="center"/>
          </w:tcPr>
          <w:p w14:paraId="3259B623">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939" w:type="pct"/>
            <w:vMerge w:val="continue"/>
            <w:tcBorders>
              <w:tl2br w:val="nil"/>
              <w:tr2bl w:val="nil"/>
            </w:tcBorders>
            <w:noWrap w:val="0"/>
            <w:vAlign w:val="center"/>
          </w:tcPr>
          <w:p w14:paraId="15A3F2DC">
            <w:pPr>
              <w:spacing w:line="320" w:lineRule="atLeast"/>
              <w:ind w:firstLine="0" w:firstLineChars="0"/>
              <w:jc w:val="center"/>
              <w:rPr>
                <w:rFonts w:hint="default" w:ascii="Times New Roman" w:hAnsi="Times New Roman" w:eastAsia="宋体" w:cs="Times New Roman"/>
                <w:color w:val="auto"/>
                <w:sz w:val="21"/>
                <w:szCs w:val="21"/>
                <w:highlight w:val="none"/>
              </w:rPr>
            </w:pPr>
          </w:p>
        </w:tc>
      </w:tr>
      <w:tr w14:paraId="5AE3E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4C1EAE9B">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restart"/>
            <w:tcBorders>
              <w:tl2br w:val="nil"/>
              <w:tr2bl w:val="nil"/>
            </w:tcBorders>
            <w:noWrap w:val="0"/>
            <w:vAlign w:val="center"/>
          </w:tcPr>
          <w:p w14:paraId="1EA64626">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细菌总数</w:t>
            </w:r>
          </w:p>
        </w:tc>
        <w:tc>
          <w:tcPr>
            <w:tcW w:w="2939" w:type="pct"/>
            <w:vMerge w:val="restart"/>
            <w:tcBorders>
              <w:tl2br w:val="nil"/>
              <w:tr2bl w:val="nil"/>
            </w:tcBorders>
            <w:noWrap w:val="0"/>
            <w:vAlign w:val="center"/>
          </w:tcPr>
          <w:p w14:paraId="55F898D4">
            <w:pPr>
              <w:spacing w:line="32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生活饮用水标准检验方法 第12部分：微生物指标GB/T 5750.12-2023 4</w:t>
            </w:r>
          </w:p>
        </w:tc>
      </w:tr>
      <w:tr w14:paraId="23AB1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4" w:type="pct"/>
            <w:vMerge w:val="continue"/>
            <w:tcBorders>
              <w:tl2br w:val="nil"/>
              <w:tr2bl w:val="nil"/>
            </w:tcBorders>
            <w:noWrap w:val="0"/>
            <w:vAlign w:val="center"/>
          </w:tcPr>
          <w:p w14:paraId="05CBE3AA">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1305" w:type="pct"/>
            <w:vMerge w:val="continue"/>
            <w:tcBorders>
              <w:tl2br w:val="nil"/>
              <w:tr2bl w:val="nil"/>
            </w:tcBorders>
            <w:noWrap w:val="0"/>
            <w:vAlign w:val="center"/>
          </w:tcPr>
          <w:p w14:paraId="16C2C4C6">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p>
        </w:tc>
        <w:tc>
          <w:tcPr>
            <w:tcW w:w="2939" w:type="pct"/>
            <w:vMerge w:val="continue"/>
            <w:tcBorders>
              <w:tl2br w:val="nil"/>
              <w:tr2bl w:val="nil"/>
            </w:tcBorders>
            <w:noWrap w:val="0"/>
            <w:vAlign w:val="center"/>
          </w:tcPr>
          <w:p w14:paraId="24479F9F">
            <w:pPr>
              <w:spacing w:line="320" w:lineRule="atLeast"/>
              <w:ind w:firstLine="0" w:firstLineChars="0"/>
              <w:jc w:val="center"/>
              <w:rPr>
                <w:rFonts w:hint="default" w:ascii="Times New Roman" w:hAnsi="Times New Roman" w:eastAsia="宋体" w:cs="Times New Roman"/>
                <w:color w:val="auto"/>
                <w:sz w:val="21"/>
                <w:szCs w:val="21"/>
                <w:highlight w:val="none"/>
              </w:rPr>
            </w:pPr>
          </w:p>
        </w:tc>
      </w:tr>
    </w:tbl>
    <w:p w14:paraId="2400A6F0">
      <w:pPr>
        <w:spacing w:line="500" w:lineRule="exact"/>
        <w:ind w:firstLine="482"/>
        <w:rPr>
          <w:rFonts w:cs="Times New Roman"/>
          <w:b/>
          <w:snapToGrid w:val="0"/>
          <w:color w:val="auto"/>
          <w:kern w:val="0"/>
          <w:highlight w:val="none"/>
        </w:rPr>
      </w:pPr>
      <w:r>
        <w:rPr>
          <w:rFonts w:cs="Times New Roman"/>
          <w:b/>
          <w:snapToGrid w:val="0"/>
          <w:color w:val="auto"/>
          <w:kern w:val="0"/>
          <w:highlight w:val="none"/>
        </w:rPr>
        <w:t>5、监测结果统计与分析</w:t>
      </w:r>
    </w:p>
    <w:p w14:paraId="3D5610CD">
      <w:pPr>
        <w:bidi w:val="0"/>
        <w:rPr>
          <w:color w:val="auto"/>
          <w:highlight w:val="none"/>
        </w:rPr>
      </w:pPr>
      <w:r>
        <w:rPr>
          <w:color w:val="auto"/>
          <w:highlight w:val="none"/>
        </w:rPr>
        <w:t>地下水监测结果统计于下表。</w:t>
      </w:r>
    </w:p>
    <w:p w14:paraId="767DB7B3">
      <w:pPr>
        <w:pStyle w:val="456"/>
        <w:spacing w:line="240" w:lineRule="auto"/>
        <w:ind w:firstLine="0" w:firstLineChars="0"/>
        <w:rPr>
          <w:rFonts w:ascii="Times New Roman" w:hAnsi="Times New Roman"/>
          <w:b/>
          <w:bCs/>
          <w:color w:val="auto"/>
          <w:highlight w:val="none"/>
        </w:rPr>
      </w:pPr>
      <w:r>
        <w:rPr>
          <w:rFonts w:ascii="Times New Roman" w:hAnsi="Times New Roman"/>
          <w:b/>
          <w:bCs/>
          <w:color w:val="auto"/>
          <w:highlight w:val="none"/>
        </w:rPr>
        <w:t>表4-2-10  地下水监测结果统计表  单位：mg/L</w:t>
      </w:r>
    </w:p>
    <w:tbl>
      <w:tblPr>
        <w:tblStyle w:val="4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4"/>
        <w:gridCol w:w="1901"/>
        <w:gridCol w:w="1901"/>
        <w:gridCol w:w="1903"/>
        <w:gridCol w:w="1337"/>
      </w:tblGrid>
      <w:tr w14:paraId="5EDDC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tblHeader/>
          <w:jc w:val="center"/>
        </w:trPr>
        <w:tc>
          <w:tcPr>
            <w:tcW w:w="874" w:type="pct"/>
            <w:tcBorders>
              <w:tl2br w:val="nil"/>
              <w:tr2bl w:val="nil"/>
            </w:tcBorders>
            <w:noWrap w:val="0"/>
            <w:vAlign w:val="center"/>
          </w:tcPr>
          <w:p w14:paraId="27D79F37">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检测项目</w:t>
            </w:r>
          </w:p>
        </w:tc>
        <w:tc>
          <w:tcPr>
            <w:tcW w:w="3355" w:type="pct"/>
            <w:gridSpan w:val="3"/>
            <w:tcBorders>
              <w:tl2br w:val="nil"/>
              <w:tr2bl w:val="nil"/>
            </w:tcBorders>
            <w:noWrap w:val="0"/>
            <w:vAlign w:val="center"/>
          </w:tcPr>
          <w:p w14:paraId="05D35CD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检测结果2025.08.16</w:t>
            </w:r>
          </w:p>
        </w:tc>
        <w:tc>
          <w:tcPr>
            <w:tcW w:w="769" w:type="pct"/>
            <w:vMerge w:val="restart"/>
            <w:tcBorders>
              <w:tl2br w:val="nil"/>
              <w:tr2bl w:val="nil"/>
            </w:tcBorders>
            <w:noWrap w:val="0"/>
            <w:vAlign w:val="center"/>
          </w:tcPr>
          <w:p w14:paraId="2D133AF4">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单位</w:t>
            </w:r>
          </w:p>
        </w:tc>
      </w:tr>
      <w:tr w14:paraId="4E13E1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tblHeader/>
          <w:jc w:val="center"/>
        </w:trPr>
        <w:tc>
          <w:tcPr>
            <w:tcW w:w="874" w:type="pct"/>
            <w:tcBorders>
              <w:tl2br w:val="nil"/>
              <w:tr2bl w:val="nil"/>
            </w:tcBorders>
            <w:noWrap w:val="0"/>
            <w:vAlign w:val="center"/>
          </w:tcPr>
          <w:p w14:paraId="71E3A74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检测</w:t>
            </w:r>
            <w:r>
              <w:rPr>
                <w:rFonts w:hint="eastAsia" w:ascii="Times New Roman" w:hAnsi="Times New Roman" w:eastAsia="宋体" w:cs="Times New Roman"/>
                <w:color w:val="auto"/>
                <w:sz w:val="21"/>
                <w:szCs w:val="21"/>
                <w:highlight w:val="none"/>
                <w:lang w:val="en-US" w:eastAsia="zh-CN"/>
              </w:rPr>
              <w:t>点位</w:t>
            </w:r>
          </w:p>
        </w:tc>
        <w:tc>
          <w:tcPr>
            <w:tcW w:w="1118" w:type="pct"/>
            <w:tcBorders>
              <w:tl2br w:val="nil"/>
              <w:tr2bl w:val="nil"/>
            </w:tcBorders>
            <w:noWrap w:val="0"/>
            <w:vAlign w:val="center"/>
          </w:tcPr>
          <w:p w14:paraId="09640CA1">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1#地下水水</w:t>
            </w:r>
            <w:r>
              <w:rPr>
                <w:rFonts w:hint="eastAsia" w:ascii="Times New Roman" w:hAnsi="Times New Roman" w:eastAsia="宋体" w:cs="Times New Roman"/>
                <w:color w:val="auto"/>
                <w:sz w:val="21"/>
                <w:szCs w:val="21"/>
                <w:highlight w:val="none"/>
                <w:lang w:val="en-US" w:eastAsia="zh-CN"/>
              </w:rPr>
              <w:t>位、水质</w:t>
            </w:r>
            <w:r>
              <w:rPr>
                <w:rFonts w:hint="default" w:ascii="Times New Roman" w:hAnsi="Times New Roman" w:eastAsia="宋体" w:cs="Times New Roman"/>
                <w:color w:val="auto"/>
                <w:sz w:val="21"/>
                <w:szCs w:val="21"/>
                <w:highlight w:val="none"/>
                <w:lang w:val="en-US" w:eastAsia="zh-CN"/>
              </w:rPr>
              <w:t>监测点</w:t>
            </w:r>
            <w:r>
              <w:rPr>
                <w:rFonts w:hint="eastAsia" w:ascii="Times New Roman" w:hAnsi="Times New Roman" w:eastAsia="宋体" w:cs="Times New Roman"/>
                <w:color w:val="auto"/>
                <w:sz w:val="21"/>
                <w:szCs w:val="21"/>
                <w:highlight w:val="none"/>
                <w:lang w:val="en-US" w:eastAsia="zh-CN"/>
              </w:rPr>
              <w:t>W1</w:t>
            </w:r>
          </w:p>
        </w:tc>
        <w:tc>
          <w:tcPr>
            <w:tcW w:w="1118" w:type="pct"/>
            <w:tcBorders>
              <w:tl2br w:val="nil"/>
              <w:tr2bl w:val="nil"/>
            </w:tcBorders>
            <w:noWrap w:val="0"/>
            <w:vAlign w:val="center"/>
          </w:tcPr>
          <w:p w14:paraId="785A5FE9">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#地下水水</w:t>
            </w:r>
            <w:r>
              <w:rPr>
                <w:rFonts w:hint="eastAsia" w:ascii="Times New Roman" w:hAnsi="Times New Roman" w:eastAsia="宋体" w:cs="Times New Roman"/>
                <w:color w:val="auto"/>
                <w:sz w:val="21"/>
                <w:szCs w:val="21"/>
                <w:highlight w:val="none"/>
                <w:lang w:val="en-US" w:eastAsia="zh-CN"/>
              </w:rPr>
              <w:t>位、水质</w:t>
            </w:r>
            <w:r>
              <w:rPr>
                <w:rFonts w:hint="default" w:ascii="Times New Roman" w:hAnsi="Times New Roman" w:eastAsia="宋体" w:cs="Times New Roman"/>
                <w:color w:val="auto"/>
                <w:sz w:val="21"/>
                <w:szCs w:val="21"/>
                <w:highlight w:val="none"/>
                <w:lang w:val="en-US" w:eastAsia="zh-CN"/>
              </w:rPr>
              <w:t>监测点</w:t>
            </w:r>
            <w:r>
              <w:rPr>
                <w:rFonts w:hint="eastAsia" w:ascii="Times New Roman" w:hAnsi="Times New Roman" w:eastAsia="宋体" w:cs="Times New Roman"/>
                <w:color w:val="auto"/>
                <w:sz w:val="21"/>
                <w:szCs w:val="21"/>
                <w:highlight w:val="none"/>
                <w:lang w:val="en-US" w:eastAsia="zh-CN"/>
              </w:rPr>
              <w:t>W2</w:t>
            </w:r>
          </w:p>
        </w:tc>
        <w:tc>
          <w:tcPr>
            <w:tcW w:w="1118" w:type="pct"/>
            <w:tcBorders>
              <w:tl2br w:val="nil"/>
              <w:tr2bl w:val="nil"/>
            </w:tcBorders>
            <w:noWrap w:val="0"/>
            <w:vAlign w:val="center"/>
          </w:tcPr>
          <w:p w14:paraId="131120D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#地下水水</w:t>
            </w:r>
            <w:r>
              <w:rPr>
                <w:rFonts w:hint="eastAsia" w:ascii="Times New Roman" w:hAnsi="Times New Roman" w:eastAsia="宋体" w:cs="Times New Roman"/>
                <w:color w:val="auto"/>
                <w:sz w:val="21"/>
                <w:szCs w:val="21"/>
                <w:highlight w:val="none"/>
                <w:lang w:val="en-US" w:eastAsia="zh-CN"/>
              </w:rPr>
              <w:t>位、水质</w:t>
            </w:r>
            <w:r>
              <w:rPr>
                <w:rFonts w:hint="default" w:ascii="Times New Roman" w:hAnsi="Times New Roman" w:eastAsia="宋体" w:cs="Times New Roman"/>
                <w:color w:val="auto"/>
                <w:sz w:val="21"/>
                <w:szCs w:val="21"/>
                <w:highlight w:val="none"/>
                <w:lang w:val="en-US" w:eastAsia="zh-CN"/>
              </w:rPr>
              <w:t>监测点</w:t>
            </w:r>
            <w:r>
              <w:rPr>
                <w:rFonts w:hint="eastAsia" w:ascii="Times New Roman" w:hAnsi="Times New Roman" w:eastAsia="宋体" w:cs="Times New Roman"/>
                <w:color w:val="auto"/>
                <w:sz w:val="21"/>
                <w:szCs w:val="21"/>
                <w:highlight w:val="none"/>
                <w:lang w:val="en-US" w:eastAsia="zh-CN"/>
              </w:rPr>
              <w:t>W3</w:t>
            </w:r>
          </w:p>
        </w:tc>
        <w:tc>
          <w:tcPr>
            <w:tcW w:w="769" w:type="pct"/>
            <w:vMerge w:val="continue"/>
            <w:tcBorders>
              <w:tl2br w:val="nil"/>
              <w:tr2bl w:val="nil"/>
            </w:tcBorders>
            <w:noWrap w:val="0"/>
            <w:vAlign w:val="center"/>
          </w:tcPr>
          <w:p w14:paraId="7E69D48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r>
      <w:tr w14:paraId="6537FE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31F9D5B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w:t>
            </w:r>
            <w:r>
              <w:rPr>
                <w:rFonts w:hint="default" w:ascii="Times New Roman" w:hAnsi="Times New Roman" w:eastAsia="宋体" w:cs="Times New Roman"/>
                <w:color w:val="auto"/>
                <w:sz w:val="21"/>
                <w:szCs w:val="21"/>
                <w:highlight w:val="none"/>
                <w:vertAlign w:val="superscript"/>
                <w:lang w:val="en-US" w:eastAsia="zh-CN"/>
              </w:rPr>
              <w:t>+</w:t>
            </w:r>
          </w:p>
        </w:tc>
        <w:tc>
          <w:tcPr>
            <w:tcW w:w="1118" w:type="pct"/>
            <w:tcBorders>
              <w:tl2br w:val="nil"/>
              <w:tr2bl w:val="nil"/>
            </w:tcBorders>
            <w:noWrap w:val="0"/>
            <w:vAlign w:val="center"/>
          </w:tcPr>
          <w:p w14:paraId="0955770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 xml:space="preserve">.04 </w:t>
            </w:r>
          </w:p>
        </w:tc>
        <w:tc>
          <w:tcPr>
            <w:tcW w:w="1118" w:type="pct"/>
            <w:tcBorders>
              <w:tl2br w:val="nil"/>
              <w:tr2bl w:val="nil"/>
            </w:tcBorders>
            <w:noWrap w:val="0"/>
            <w:vAlign w:val="center"/>
          </w:tcPr>
          <w:p w14:paraId="67F636D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 xml:space="preserve">.76 </w:t>
            </w:r>
          </w:p>
        </w:tc>
        <w:tc>
          <w:tcPr>
            <w:tcW w:w="1118" w:type="pct"/>
            <w:tcBorders>
              <w:tl2br w:val="nil"/>
              <w:tr2bl w:val="nil"/>
            </w:tcBorders>
            <w:noWrap w:val="0"/>
            <w:vAlign w:val="center"/>
          </w:tcPr>
          <w:p w14:paraId="7239627B">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 xml:space="preserve">.37 </w:t>
            </w:r>
          </w:p>
        </w:tc>
        <w:tc>
          <w:tcPr>
            <w:tcW w:w="769" w:type="pct"/>
            <w:tcBorders>
              <w:tl2br w:val="nil"/>
              <w:tr2bl w:val="nil"/>
            </w:tcBorders>
            <w:noWrap w:val="0"/>
            <w:vAlign w:val="center"/>
          </w:tcPr>
          <w:p w14:paraId="2313FEA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40283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3E0E723">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p>
        </w:tc>
        <w:tc>
          <w:tcPr>
            <w:tcW w:w="1118" w:type="pct"/>
            <w:tcBorders>
              <w:tl2br w:val="nil"/>
              <w:tr2bl w:val="nil"/>
            </w:tcBorders>
            <w:noWrap w:val="0"/>
            <w:vAlign w:val="center"/>
          </w:tcPr>
          <w:p w14:paraId="215F5A3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46</w:t>
            </w:r>
            <w:r>
              <w:rPr>
                <w:rFonts w:hint="default" w:ascii="Times New Roman" w:hAnsi="Times New Roman" w:eastAsia="宋体" w:cs="Times New Roman"/>
                <w:color w:val="auto"/>
                <w:sz w:val="21"/>
                <w:szCs w:val="21"/>
                <w:highlight w:val="none"/>
                <w:lang w:val="en-US" w:eastAsia="zh-CN"/>
              </w:rPr>
              <w:t xml:space="preserve">.0 </w:t>
            </w:r>
          </w:p>
        </w:tc>
        <w:tc>
          <w:tcPr>
            <w:tcW w:w="1118" w:type="pct"/>
            <w:tcBorders>
              <w:tl2br w:val="nil"/>
              <w:tr2bl w:val="nil"/>
            </w:tcBorders>
            <w:noWrap w:val="0"/>
            <w:vAlign w:val="center"/>
          </w:tcPr>
          <w:p w14:paraId="675FFD5A">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w:t>
            </w:r>
            <w:r>
              <w:rPr>
                <w:rFonts w:hint="default" w:ascii="Times New Roman" w:hAnsi="Times New Roman" w:eastAsia="宋体" w:cs="Times New Roman"/>
                <w:color w:val="auto"/>
                <w:sz w:val="21"/>
                <w:szCs w:val="21"/>
                <w:highlight w:val="none"/>
                <w:lang w:val="en-US" w:eastAsia="zh-CN"/>
              </w:rPr>
              <w:t xml:space="preserve">.3 </w:t>
            </w:r>
          </w:p>
        </w:tc>
        <w:tc>
          <w:tcPr>
            <w:tcW w:w="1118" w:type="pct"/>
            <w:tcBorders>
              <w:tl2br w:val="nil"/>
              <w:tr2bl w:val="nil"/>
            </w:tcBorders>
            <w:noWrap w:val="0"/>
            <w:vAlign w:val="center"/>
          </w:tcPr>
          <w:p w14:paraId="60576F93">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w:t>
            </w:r>
            <w:r>
              <w:rPr>
                <w:rFonts w:hint="default" w:ascii="Times New Roman" w:hAnsi="Times New Roman" w:eastAsia="宋体" w:cs="Times New Roman"/>
                <w:color w:val="auto"/>
                <w:sz w:val="21"/>
                <w:szCs w:val="21"/>
                <w:highlight w:val="none"/>
                <w:lang w:val="en-US" w:eastAsia="zh-CN"/>
              </w:rPr>
              <w:t xml:space="preserve">.3 </w:t>
            </w:r>
          </w:p>
        </w:tc>
        <w:tc>
          <w:tcPr>
            <w:tcW w:w="769" w:type="pct"/>
            <w:tcBorders>
              <w:tl2br w:val="nil"/>
              <w:tr2bl w:val="nil"/>
            </w:tcBorders>
            <w:noWrap w:val="0"/>
            <w:vAlign w:val="center"/>
          </w:tcPr>
          <w:p w14:paraId="7738A23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30BB25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3F26D78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p>
        </w:tc>
        <w:tc>
          <w:tcPr>
            <w:tcW w:w="1118" w:type="pct"/>
            <w:tcBorders>
              <w:tl2br w:val="nil"/>
              <w:tr2bl w:val="nil"/>
            </w:tcBorders>
            <w:noWrap w:val="0"/>
            <w:vAlign w:val="center"/>
          </w:tcPr>
          <w:p w14:paraId="077B13F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76</w:t>
            </w:r>
            <w:r>
              <w:rPr>
                <w:rFonts w:hint="default" w:ascii="Times New Roman" w:hAnsi="Times New Roman" w:eastAsia="宋体" w:cs="Times New Roman"/>
                <w:color w:val="auto"/>
                <w:sz w:val="21"/>
                <w:szCs w:val="21"/>
                <w:highlight w:val="none"/>
                <w:lang w:val="en-US" w:eastAsia="zh-CN"/>
              </w:rPr>
              <w:t xml:space="preserve">.4 </w:t>
            </w:r>
          </w:p>
        </w:tc>
        <w:tc>
          <w:tcPr>
            <w:tcW w:w="1118" w:type="pct"/>
            <w:tcBorders>
              <w:tl2br w:val="nil"/>
              <w:tr2bl w:val="nil"/>
            </w:tcBorders>
            <w:noWrap w:val="0"/>
            <w:vAlign w:val="center"/>
          </w:tcPr>
          <w:p w14:paraId="0A33B802">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68</w:t>
            </w:r>
            <w:r>
              <w:rPr>
                <w:rFonts w:hint="default" w:ascii="Times New Roman" w:hAnsi="Times New Roman" w:eastAsia="宋体" w:cs="Times New Roman"/>
                <w:color w:val="auto"/>
                <w:sz w:val="21"/>
                <w:szCs w:val="21"/>
                <w:highlight w:val="none"/>
                <w:lang w:val="en-US" w:eastAsia="zh-CN"/>
              </w:rPr>
              <w:t xml:space="preserve">.0 </w:t>
            </w:r>
          </w:p>
        </w:tc>
        <w:tc>
          <w:tcPr>
            <w:tcW w:w="1118" w:type="pct"/>
            <w:tcBorders>
              <w:tl2br w:val="nil"/>
              <w:tr2bl w:val="nil"/>
            </w:tcBorders>
            <w:noWrap w:val="0"/>
            <w:vAlign w:val="center"/>
          </w:tcPr>
          <w:p w14:paraId="587AB3D4">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68</w:t>
            </w:r>
            <w:r>
              <w:rPr>
                <w:rFonts w:hint="default" w:ascii="Times New Roman" w:hAnsi="Times New Roman" w:eastAsia="宋体" w:cs="Times New Roman"/>
                <w:color w:val="auto"/>
                <w:sz w:val="21"/>
                <w:szCs w:val="21"/>
                <w:highlight w:val="none"/>
                <w:lang w:val="en-US" w:eastAsia="zh-CN"/>
              </w:rPr>
              <w:t xml:space="preserve">.5 </w:t>
            </w:r>
          </w:p>
        </w:tc>
        <w:tc>
          <w:tcPr>
            <w:tcW w:w="769" w:type="pct"/>
            <w:tcBorders>
              <w:tl2br w:val="nil"/>
              <w:tr2bl w:val="nil"/>
            </w:tcBorders>
            <w:noWrap w:val="0"/>
            <w:vAlign w:val="center"/>
          </w:tcPr>
          <w:p w14:paraId="549F879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251EC8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0FB542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p>
        </w:tc>
        <w:tc>
          <w:tcPr>
            <w:tcW w:w="1118" w:type="pct"/>
            <w:tcBorders>
              <w:tl2br w:val="nil"/>
              <w:tr2bl w:val="nil"/>
            </w:tcBorders>
            <w:noWrap w:val="0"/>
            <w:vAlign w:val="center"/>
          </w:tcPr>
          <w:p w14:paraId="348A086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w:t>
            </w:r>
            <w:r>
              <w:rPr>
                <w:rFonts w:hint="default" w:ascii="Times New Roman" w:hAnsi="Times New Roman" w:eastAsia="宋体" w:cs="Times New Roman"/>
                <w:color w:val="auto"/>
                <w:sz w:val="21"/>
                <w:szCs w:val="21"/>
                <w:highlight w:val="none"/>
                <w:lang w:val="en-US" w:eastAsia="zh-CN"/>
              </w:rPr>
              <w:t xml:space="preserve">.8 </w:t>
            </w:r>
          </w:p>
        </w:tc>
        <w:tc>
          <w:tcPr>
            <w:tcW w:w="1118" w:type="pct"/>
            <w:tcBorders>
              <w:tl2br w:val="nil"/>
              <w:tr2bl w:val="nil"/>
            </w:tcBorders>
            <w:noWrap w:val="0"/>
            <w:vAlign w:val="center"/>
          </w:tcPr>
          <w:p w14:paraId="4CA91F2E">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w:t>
            </w:r>
            <w:r>
              <w:rPr>
                <w:rFonts w:hint="default" w:ascii="Times New Roman" w:hAnsi="Times New Roman" w:eastAsia="宋体" w:cs="Times New Roman"/>
                <w:color w:val="auto"/>
                <w:sz w:val="21"/>
                <w:szCs w:val="21"/>
                <w:highlight w:val="none"/>
                <w:lang w:val="en-US" w:eastAsia="zh-CN"/>
              </w:rPr>
              <w:t xml:space="preserve">.6 </w:t>
            </w:r>
          </w:p>
        </w:tc>
        <w:tc>
          <w:tcPr>
            <w:tcW w:w="1118" w:type="pct"/>
            <w:tcBorders>
              <w:tl2br w:val="nil"/>
              <w:tr2bl w:val="nil"/>
            </w:tcBorders>
            <w:noWrap w:val="0"/>
            <w:vAlign w:val="center"/>
          </w:tcPr>
          <w:p w14:paraId="1C6D0505">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 xml:space="preserve">.4 </w:t>
            </w:r>
          </w:p>
        </w:tc>
        <w:tc>
          <w:tcPr>
            <w:tcW w:w="769" w:type="pct"/>
            <w:tcBorders>
              <w:tl2br w:val="nil"/>
              <w:tr2bl w:val="nil"/>
            </w:tcBorders>
            <w:noWrap w:val="0"/>
            <w:vAlign w:val="center"/>
          </w:tcPr>
          <w:p w14:paraId="2F206C1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555272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6D5E52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2-</w:t>
            </w:r>
          </w:p>
        </w:tc>
        <w:tc>
          <w:tcPr>
            <w:tcW w:w="1118" w:type="pct"/>
            <w:tcBorders>
              <w:tl2br w:val="nil"/>
              <w:tr2bl w:val="nil"/>
            </w:tcBorders>
            <w:noWrap w:val="0"/>
            <w:vAlign w:val="center"/>
          </w:tcPr>
          <w:p w14:paraId="68CAE29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118" w:type="pct"/>
            <w:tcBorders>
              <w:tl2br w:val="nil"/>
              <w:tr2bl w:val="nil"/>
            </w:tcBorders>
            <w:noWrap w:val="0"/>
            <w:vAlign w:val="center"/>
          </w:tcPr>
          <w:p w14:paraId="633E322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118" w:type="pct"/>
            <w:tcBorders>
              <w:tl2br w:val="nil"/>
              <w:tr2bl w:val="nil"/>
            </w:tcBorders>
            <w:noWrap w:val="0"/>
            <w:vAlign w:val="center"/>
          </w:tcPr>
          <w:p w14:paraId="61EF069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69" w:type="pct"/>
            <w:tcBorders>
              <w:tl2br w:val="nil"/>
              <w:tr2bl w:val="nil"/>
            </w:tcBorders>
            <w:noWrap w:val="0"/>
            <w:vAlign w:val="center"/>
          </w:tcPr>
          <w:p w14:paraId="1D624C4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6010CA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BD13B42">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perscript"/>
                <w:lang w:val="en-US" w:eastAsia="zh-CN"/>
              </w:rPr>
              <w:t>3-</w:t>
            </w:r>
          </w:p>
        </w:tc>
        <w:tc>
          <w:tcPr>
            <w:tcW w:w="1118" w:type="pct"/>
            <w:tcBorders>
              <w:tl2br w:val="nil"/>
              <w:tr2bl w:val="nil"/>
            </w:tcBorders>
            <w:noWrap w:val="0"/>
            <w:vAlign w:val="center"/>
          </w:tcPr>
          <w:p w14:paraId="33E8DB2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109</w:t>
            </w:r>
          </w:p>
        </w:tc>
        <w:tc>
          <w:tcPr>
            <w:tcW w:w="1118" w:type="pct"/>
            <w:tcBorders>
              <w:tl2br w:val="nil"/>
              <w:tr2bl w:val="nil"/>
            </w:tcBorders>
            <w:noWrap w:val="0"/>
            <w:vAlign w:val="center"/>
          </w:tcPr>
          <w:p w14:paraId="610CF86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1118" w:type="pct"/>
            <w:tcBorders>
              <w:tl2br w:val="nil"/>
              <w:tr2bl w:val="nil"/>
            </w:tcBorders>
            <w:noWrap w:val="0"/>
            <w:vAlign w:val="center"/>
          </w:tcPr>
          <w:p w14:paraId="2B02CBCF">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136</w:t>
            </w:r>
          </w:p>
        </w:tc>
        <w:tc>
          <w:tcPr>
            <w:tcW w:w="769" w:type="pct"/>
            <w:tcBorders>
              <w:tl2br w:val="nil"/>
              <w:tr2bl w:val="nil"/>
            </w:tcBorders>
            <w:noWrap w:val="0"/>
            <w:vAlign w:val="center"/>
          </w:tcPr>
          <w:p w14:paraId="14532DB7">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785774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33CB52F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c>
          <w:tcPr>
            <w:tcW w:w="1118" w:type="pct"/>
            <w:tcBorders>
              <w:tl2br w:val="nil"/>
              <w:tr2bl w:val="nil"/>
            </w:tcBorders>
            <w:noWrap w:val="0"/>
            <w:vAlign w:val="center"/>
          </w:tcPr>
          <w:p w14:paraId="2187F35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191</w:t>
            </w:r>
          </w:p>
        </w:tc>
        <w:tc>
          <w:tcPr>
            <w:tcW w:w="1118" w:type="pct"/>
            <w:tcBorders>
              <w:tl2br w:val="nil"/>
              <w:tr2bl w:val="nil"/>
            </w:tcBorders>
            <w:noWrap w:val="0"/>
            <w:vAlign w:val="center"/>
          </w:tcPr>
          <w:p w14:paraId="341E384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160</w:t>
            </w:r>
          </w:p>
        </w:tc>
        <w:tc>
          <w:tcPr>
            <w:tcW w:w="1118" w:type="pct"/>
            <w:tcBorders>
              <w:tl2br w:val="nil"/>
              <w:tr2bl w:val="nil"/>
            </w:tcBorders>
            <w:noWrap w:val="0"/>
            <w:vAlign w:val="center"/>
          </w:tcPr>
          <w:p w14:paraId="50B0AE1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133</w:t>
            </w:r>
          </w:p>
        </w:tc>
        <w:tc>
          <w:tcPr>
            <w:tcW w:w="769" w:type="pct"/>
            <w:tcBorders>
              <w:tl2br w:val="nil"/>
              <w:tr2bl w:val="nil"/>
            </w:tcBorders>
            <w:noWrap w:val="0"/>
            <w:vAlign w:val="center"/>
          </w:tcPr>
          <w:p w14:paraId="68D1C45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6170A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3EF5AFFF">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p>
        </w:tc>
        <w:tc>
          <w:tcPr>
            <w:tcW w:w="1118" w:type="pct"/>
            <w:tcBorders>
              <w:tl2br w:val="nil"/>
              <w:tr2bl w:val="nil"/>
            </w:tcBorders>
            <w:noWrap w:val="0"/>
            <w:vAlign w:val="center"/>
          </w:tcPr>
          <w:p w14:paraId="1B9548D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104</w:t>
            </w:r>
          </w:p>
        </w:tc>
        <w:tc>
          <w:tcPr>
            <w:tcW w:w="1118" w:type="pct"/>
            <w:tcBorders>
              <w:tl2br w:val="nil"/>
              <w:tr2bl w:val="nil"/>
            </w:tcBorders>
            <w:noWrap w:val="0"/>
            <w:vAlign w:val="center"/>
          </w:tcPr>
          <w:p w14:paraId="134E850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92.3</w:t>
            </w:r>
          </w:p>
        </w:tc>
        <w:tc>
          <w:tcPr>
            <w:tcW w:w="1118" w:type="pct"/>
            <w:tcBorders>
              <w:tl2br w:val="nil"/>
              <w:tr2bl w:val="nil"/>
            </w:tcBorders>
            <w:noWrap w:val="0"/>
            <w:vAlign w:val="center"/>
          </w:tcPr>
          <w:p w14:paraId="4BFB179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84.5</w:t>
            </w:r>
          </w:p>
        </w:tc>
        <w:tc>
          <w:tcPr>
            <w:tcW w:w="769" w:type="pct"/>
            <w:tcBorders>
              <w:tl2br w:val="nil"/>
              <w:tr2bl w:val="nil"/>
            </w:tcBorders>
            <w:noWrap w:val="0"/>
            <w:vAlign w:val="center"/>
          </w:tcPr>
          <w:p w14:paraId="1B47495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5E3AA5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41ED76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w:t>
            </w:r>
            <w:r>
              <w:rPr>
                <w:rFonts w:hint="eastAsia" w:ascii="Times New Roman" w:hAnsi="Times New Roman" w:eastAsia="宋体" w:cs="Times New Roman"/>
                <w:color w:val="auto"/>
                <w:sz w:val="21"/>
                <w:szCs w:val="21"/>
                <w:highlight w:val="none"/>
                <w:lang w:val="en-US" w:eastAsia="zh-CN"/>
              </w:rPr>
              <w:t>值</w:t>
            </w:r>
          </w:p>
        </w:tc>
        <w:tc>
          <w:tcPr>
            <w:tcW w:w="1118" w:type="pct"/>
            <w:tcBorders>
              <w:tl2br w:val="nil"/>
              <w:tr2bl w:val="nil"/>
            </w:tcBorders>
            <w:noWrap w:val="0"/>
            <w:vAlign w:val="center"/>
          </w:tcPr>
          <w:p w14:paraId="7EFDFA8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7.6</w:t>
            </w:r>
          </w:p>
        </w:tc>
        <w:tc>
          <w:tcPr>
            <w:tcW w:w="1118" w:type="pct"/>
            <w:tcBorders>
              <w:tl2br w:val="nil"/>
              <w:tr2bl w:val="nil"/>
            </w:tcBorders>
            <w:noWrap w:val="0"/>
            <w:vAlign w:val="center"/>
          </w:tcPr>
          <w:p w14:paraId="293E0E1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7.5</w:t>
            </w:r>
          </w:p>
        </w:tc>
        <w:tc>
          <w:tcPr>
            <w:tcW w:w="1118" w:type="pct"/>
            <w:tcBorders>
              <w:tl2br w:val="nil"/>
              <w:tr2bl w:val="nil"/>
            </w:tcBorders>
            <w:noWrap w:val="0"/>
            <w:vAlign w:val="center"/>
          </w:tcPr>
          <w:p w14:paraId="6C0E232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7.4</w:t>
            </w:r>
          </w:p>
        </w:tc>
        <w:tc>
          <w:tcPr>
            <w:tcW w:w="769" w:type="pct"/>
            <w:tcBorders>
              <w:tl2br w:val="nil"/>
              <w:tr2bl w:val="nil"/>
            </w:tcBorders>
            <w:noWrap w:val="0"/>
            <w:vAlign w:val="center"/>
          </w:tcPr>
          <w:p w14:paraId="536EB2D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无量纲</w:t>
            </w:r>
          </w:p>
        </w:tc>
      </w:tr>
      <w:tr w14:paraId="409CC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6F5EFC9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高锰酸盐指数</w:t>
            </w:r>
          </w:p>
        </w:tc>
        <w:tc>
          <w:tcPr>
            <w:tcW w:w="1118" w:type="pct"/>
            <w:tcBorders>
              <w:tl2br w:val="nil"/>
              <w:tr2bl w:val="nil"/>
            </w:tcBorders>
            <w:noWrap w:val="0"/>
            <w:vAlign w:val="center"/>
          </w:tcPr>
          <w:p w14:paraId="13E976F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1118" w:type="pct"/>
            <w:tcBorders>
              <w:tl2br w:val="nil"/>
              <w:tr2bl w:val="nil"/>
            </w:tcBorders>
            <w:noWrap w:val="0"/>
            <w:vAlign w:val="center"/>
          </w:tcPr>
          <w:p w14:paraId="5541654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0.9</w:t>
            </w:r>
          </w:p>
        </w:tc>
        <w:tc>
          <w:tcPr>
            <w:tcW w:w="1118" w:type="pct"/>
            <w:tcBorders>
              <w:tl2br w:val="nil"/>
              <w:tr2bl w:val="nil"/>
            </w:tcBorders>
            <w:noWrap w:val="0"/>
            <w:vAlign w:val="center"/>
          </w:tcPr>
          <w:p w14:paraId="3F4FDC3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769" w:type="pct"/>
            <w:tcBorders>
              <w:tl2br w:val="nil"/>
              <w:tr2bl w:val="nil"/>
            </w:tcBorders>
            <w:noWrap w:val="0"/>
            <w:vAlign w:val="center"/>
          </w:tcPr>
          <w:p w14:paraId="62BA332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238D7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220FE787">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氨氮</w:t>
            </w:r>
          </w:p>
        </w:tc>
        <w:tc>
          <w:tcPr>
            <w:tcW w:w="1118" w:type="pct"/>
            <w:tcBorders>
              <w:tl2br w:val="nil"/>
              <w:tr2bl w:val="nil"/>
            </w:tcBorders>
            <w:noWrap w:val="0"/>
            <w:vAlign w:val="center"/>
          </w:tcPr>
          <w:p w14:paraId="12FF394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0.406</w:t>
            </w:r>
          </w:p>
        </w:tc>
        <w:tc>
          <w:tcPr>
            <w:tcW w:w="1118" w:type="pct"/>
            <w:tcBorders>
              <w:tl2br w:val="nil"/>
              <w:tr2bl w:val="nil"/>
            </w:tcBorders>
            <w:noWrap w:val="0"/>
            <w:vAlign w:val="center"/>
          </w:tcPr>
          <w:p w14:paraId="5C226C77">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0.486</w:t>
            </w:r>
          </w:p>
        </w:tc>
        <w:tc>
          <w:tcPr>
            <w:tcW w:w="1118" w:type="pct"/>
            <w:tcBorders>
              <w:tl2br w:val="nil"/>
              <w:tr2bl w:val="nil"/>
            </w:tcBorders>
            <w:noWrap w:val="0"/>
            <w:vAlign w:val="center"/>
          </w:tcPr>
          <w:p w14:paraId="44F0FF0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0.469</w:t>
            </w:r>
          </w:p>
        </w:tc>
        <w:tc>
          <w:tcPr>
            <w:tcW w:w="769" w:type="pct"/>
            <w:tcBorders>
              <w:tl2br w:val="nil"/>
              <w:tr2bl w:val="nil"/>
            </w:tcBorders>
            <w:noWrap w:val="0"/>
            <w:vAlign w:val="center"/>
          </w:tcPr>
          <w:p w14:paraId="4397E30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71AEDF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27834E82">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总硬度</w:t>
            </w:r>
          </w:p>
        </w:tc>
        <w:tc>
          <w:tcPr>
            <w:tcW w:w="1118" w:type="pct"/>
            <w:tcBorders>
              <w:tl2br w:val="nil"/>
              <w:tr2bl w:val="nil"/>
            </w:tcBorders>
            <w:noWrap w:val="0"/>
            <w:vAlign w:val="center"/>
          </w:tcPr>
          <w:p w14:paraId="725C254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386</w:t>
            </w:r>
          </w:p>
        </w:tc>
        <w:tc>
          <w:tcPr>
            <w:tcW w:w="1118" w:type="pct"/>
            <w:tcBorders>
              <w:tl2br w:val="nil"/>
              <w:tr2bl w:val="nil"/>
            </w:tcBorders>
            <w:noWrap w:val="0"/>
            <w:vAlign w:val="center"/>
          </w:tcPr>
          <w:p w14:paraId="21CFA4A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414</w:t>
            </w:r>
          </w:p>
        </w:tc>
        <w:tc>
          <w:tcPr>
            <w:tcW w:w="1118" w:type="pct"/>
            <w:tcBorders>
              <w:tl2br w:val="nil"/>
              <w:tr2bl w:val="nil"/>
            </w:tcBorders>
            <w:noWrap w:val="0"/>
            <w:vAlign w:val="center"/>
          </w:tcPr>
          <w:p w14:paraId="5D7488A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430</w:t>
            </w:r>
          </w:p>
        </w:tc>
        <w:tc>
          <w:tcPr>
            <w:tcW w:w="769" w:type="pct"/>
            <w:tcBorders>
              <w:tl2br w:val="nil"/>
              <w:tr2bl w:val="nil"/>
            </w:tcBorders>
            <w:noWrap w:val="0"/>
            <w:vAlign w:val="center"/>
          </w:tcPr>
          <w:p w14:paraId="56399532">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78781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653E39E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硝酸盐</w:t>
            </w:r>
          </w:p>
          <w:p w14:paraId="2ED3F0F7">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（以N计）</w:t>
            </w:r>
          </w:p>
        </w:tc>
        <w:tc>
          <w:tcPr>
            <w:tcW w:w="1118" w:type="pct"/>
            <w:tcBorders>
              <w:tl2br w:val="nil"/>
              <w:tr2bl w:val="nil"/>
            </w:tcBorders>
            <w:noWrap w:val="0"/>
            <w:vAlign w:val="center"/>
          </w:tcPr>
          <w:p w14:paraId="0CDA9AE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0.13</w:t>
            </w:r>
          </w:p>
        </w:tc>
        <w:tc>
          <w:tcPr>
            <w:tcW w:w="1118" w:type="pct"/>
            <w:tcBorders>
              <w:tl2br w:val="nil"/>
              <w:tr2bl w:val="nil"/>
            </w:tcBorders>
            <w:noWrap w:val="0"/>
            <w:vAlign w:val="center"/>
          </w:tcPr>
          <w:p w14:paraId="0E6FDA3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0.20</w:t>
            </w:r>
          </w:p>
        </w:tc>
        <w:tc>
          <w:tcPr>
            <w:tcW w:w="1118" w:type="pct"/>
            <w:tcBorders>
              <w:tl2br w:val="nil"/>
              <w:tr2bl w:val="nil"/>
            </w:tcBorders>
            <w:noWrap w:val="0"/>
            <w:vAlign w:val="center"/>
          </w:tcPr>
          <w:p w14:paraId="582346D5">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0.15</w:t>
            </w:r>
          </w:p>
        </w:tc>
        <w:tc>
          <w:tcPr>
            <w:tcW w:w="769" w:type="pct"/>
            <w:tcBorders>
              <w:tl2br w:val="nil"/>
              <w:tr2bl w:val="nil"/>
            </w:tcBorders>
            <w:noWrap w:val="0"/>
            <w:vAlign w:val="center"/>
          </w:tcPr>
          <w:p w14:paraId="70BA4AA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6F44AB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4CDC2C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亚硝酸盐</w:t>
            </w:r>
          </w:p>
          <w:p w14:paraId="4E8974E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（以N计）</w:t>
            </w:r>
          </w:p>
        </w:tc>
        <w:tc>
          <w:tcPr>
            <w:tcW w:w="1118" w:type="pct"/>
            <w:tcBorders>
              <w:tl2br w:val="nil"/>
              <w:tr2bl w:val="nil"/>
            </w:tcBorders>
            <w:noWrap w:val="0"/>
            <w:vAlign w:val="center"/>
          </w:tcPr>
          <w:p w14:paraId="05E5BD8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0.003L</w:t>
            </w:r>
          </w:p>
        </w:tc>
        <w:tc>
          <w:tcPr>
            <w:tcW w:w="1118" w:type="pct"/>
            <w:tcBorders>
              <w:tl2br w:val="nil"/>
              <w:tr2bl w:val="nil"/>
            </w:tcBorders>
            <w:noWrap w:val="0"/>
            <w:vAlign w:val="center"/>
          </w:tcPr>
          <w:p w14:paraId="04B255BD">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0.003L</w:t>
            </w:r>
          </w:p>
        </w:tc>
        <w:tc>
          <w:tcPr>
            <w:tcW w:w="1118" w:type="pct"/>
            <w:tcBorders>
              <w:tl2br w:val="nil"/>
              <w:tr2bl w:val="nil"/>
            </w:tcBorders>
            <w:noWrap w:val="0"/>
            <w:vAlign w:val="center"/>
          </w:tcPr>
          <w:p w14:paraId="575447ED">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0.003L</w:t>
            </w:r>
          </w:p>
        </w:tc>
        <w:tc>
          <w:tcPr>
            <w:tcW w:w="769" w:type="pct"/>
            <w:tcBorders>
              <w:tl2br w:val="nil"/>
              <w:tr2bl w:val="nil"/>
            </w:tcBorders>
            <w:noWrap w:val="0"/>
            <w:vAlign w:val="center"/>
          </w:tcPr>
          <w:p w14:paraId="7293DD2F">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1E6CAC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3F9F9EB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硫酸盐</w:t>
            </w:r>
          </w:p>
        </w:tc>
        <w:tc>
          <w:tcPr>
            <w:tcW w:w="1118" w:type="pct"/>
            <w:tcBorders>
              <w:tl2br w:val="nil"/>
              <w:tr2bl w:val="nil"/>
            </w:tcBorders>
            <w:noWrap w:val="0"/>
            <w:vAlign w:val="center"/>
          </w:tcPr>
          <w:p w14:paraId="1DB92AA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105</w:t>
            </w:r>
          </w:p>
        </w:tc>
        <w:tc>
          <w:tcPr>
            <w:tcW w:w="1118" w:type="pct"/>
            <w:tcBorders>
              <w:tl2br w:val="nil"/>
              <w:tr2bl w:val="nil"/>
            </w:tcBorders>
            <w:noWrap w:val="0"/>
            <w:vAlign w:val="center"/>
          </w:tcPr>
          <w:p w14:paraId="4C8C21F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93</w:t>
            </w:r>
          </w:p>
        </w:tc>
        <w:tc>
          <w:tcPr>
            <w:tcW w:w="1118" w:type="pct"/>
            <w:tcBorders>
              <w:tl2br w:val="nil"/>
              <w:tr2bl w:val="nil"/>
            </w:tcBorders>
            <w:noWrap w:val="0"/>
            <w:vAlign w:val="center"/>
          </w:tcPr>
          <w:p w14:paraId="1477411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84</w:t>
            </w:r>
          </w:p>
        </w:tc>
        <w:tc>
          <w:tcPr>
            <w:tcW w:w="769" w:type="pct"/>
            <w:tcBorders>
              <w:tl2br w:val="nil"/>
              <w:tr2bl w:val="nil"/>
            </w:tcBorders>
            <w:noWrap w:val="0"/>
            <w:vAlign w:val="center"/>
          </w:tcPr>
          <w:p w14:paraId="1D80DE4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748FB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C4ECF7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氯化物</w:t>
            </w:r>
          </w:p>
        </w:tc>
        <w:tc>
          <w:tcPr>
            <w:tcW w:w="1118" w:type="pct"/>
            <w:tcBorders>
              <w:tl2br w:val="nil"/>
              <w:tr2bl w:val="nil"/>
            </w:tcBorders>
            <w:noWrap w:val="0"/>
            <w:vAlign w:val="center"/>
          </w:tcPr>
          <w:p w14:paraId="24433A1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192</w:t>
            </w:r>
          </w:p>
        </w:tc>
        <w:tc>
          <w:tcPr>
            <w:tcW w:w="1118" w:type="pct"/>
            <w:tcBorders>
              <w:tl2br w:val="nil"/>
              <w:tr2bl w:val="nil"/>
            </w:tcBorders>
            <w:noWrap w:val="0"/>
            <w:vAlign w:val="center"/>
          </w:tcPr>
          <w:p w14:paraId="01362A3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160</w:t>
            </w:r>
          </w:p>
        </w:tc>
        <w:tc>
          <w:tcPr>
            <w:tcW w:w="1118" w:type="pct"/>
            <w:tcBorders>
              <w:tl2br w:val="nil"/>
              <w:tr2bl w:val="nil"/>
            </w:tcBorders>
            <w:noWrap w:val="0"/>
            <w:vAlign w:val="center"/>
          </w:tcPr>
          <w:p w14:paraId="4BCFA9D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132</w:t>
            </w:r>
          </w:p>
        </w:tc>
        <w:tc>
          <w:tcPr>
            <w:tcW w:w="769" w:type="pct"/>
            <w:tcBorders>
              <w:tl2br w:val="nil"/>
              <w:tr2bl w:val="nil"/>
            </w:tcBorders>
            <w:noWrap w:val="0"/>
            <w:vAlign w:val="center"/>
          </w:tcPr>
          <w:p w14:paraId="74099DB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057A7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11C23E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铁</w:t>
            </w:r>
          </w:p>
        </w:tc>
        <w:tc>
          <w:tcPr>
            <w:tcW w:w="1118" w:type="pct"/>
            <w:tcBorders>
              <w:tl2br w:val="nil"/>
              <w:tr2bl w:val="nil"/>
            </w:tcBorders>
            <w:noWrap w:val="0"/>
            <w:vAlign w:val="center"/>
          </w:tcPr>
          <w:p w14:paraId="71F6D94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2.71</w:t>
            </w:r>
          </w:p>
        </w:tc>
        <w:tc>
          <w:tcPr>
            <w:tcW w:w="1118" w:type="pct"/>
            <w:tcBorders>
              <w:tl2br w:val="nil"/>
              <w:tr2bl w:val="nil"/>
            </w:tcBorders>
            <w:noWrap w:val="0"/>
            <w:vAlign w:val="center"/>
          </w:tcPr>
          <w:p w14:paraId="660618A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2.35</w:t>
            </w:r>
          </w:p>
        </w:tc>
        <w:tc>
          <w:tcPr>
            <w:tcW w:w="1118" w:type="pct"/>
            <w:tcBorders>
              <w:tl2br w:val="nil"/>
              <w:tr2bl w:val="nil"/>
            </w:tcBorders>
            <w:noWrap w:val="0"/>
            <w:vAlign w:val="center"/>
          </w:tcPr>
          <w:p w14:paraId="1682149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2.76</w:t>
            </w:r>
          </w:p>
        </w:tc>
        <w:tc>
          <w:tcPr>
            <w:tcW w:w="769" w:type="pct"/>
            <w:tcBorders>
              <w:tl2br w:val="nil"/>
              <w:tr2bl w:val="nil"/>
            </w:tcBorders>
            <w:noWrap w:val="0"/>
            <w:vAlign w:val="center"/>
          </w:tcPr>
          <w:p w14:paraId="38042BE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4E0576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34C0B6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锰</w:t>
            </w:r>
          </w:p>
        </w:tc>
        <w:tc>
          <w:tcPr>
            <w:tcW w:w="1118" w:type="pct"/>
            <w:tcBorders>
              <w:tl2br w:val="nil"/>
              <w:tr2bl w:val="nil"/>
            </w:tcBorders>
            <w:noWrap w:val="0"/>
            <w:vAlign w:val="center"/>
          </w:tcPr>
          <w:p w14:paraId="012A917F">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2.10</w:t>
            </w:r>
          </w:p>
        </w:tc>
        <w:tc>
          <w:tcPr>
            <w:tcW w:w="1118" w:type="pct"/>
            <w:tcBorders>
              <w:tl2br w:val="nil"/>
              <w:tr2bl w:val="nil"/>
            </w:tcBorders>
            <w:noWrap w:val="0"/>
            <w:vAlign w:val="center"/>
          </w:tcPr>
          <w:p w14:paraId="24D00503">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2.43</w:t>
            </w:r>
          </w:p>
        </w:tc>
        <w:tc>
          <w:tcPr>
            <w:tcW w:w="1118" w:type="pct"/>
            <w:tcBorders>
              <w:tl2br w:val="nil"/>
              <w:tr2bl w:val="nil"/>
            </w:tcBorders>
            <w:noWrap w:val="0"/>
            <w:vAlign w:val="center"/>
          </w:tcPr>
          <w:p w14:paraId="0F08964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2.14</w:t>
            </w:r>
          </w:p>
        </w:tc>
        <w:tc>
          <w:tcPr>
            <w:tcW w:w="769" w:type="pct"/>
            <w:tcBorders>
              <w:tl2br w:val="nil"/>
              <w:tr2bl w:val="nil"/>
            </w:tcBorders>
            <w:noWrap w:val="0"/>
            <w:vAlign w:val="center"/>
          </w:tcPr>
          <w:p w14:paraId="0DA07CC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7EDD1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5C32442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总大肠菌群</w:t>
            </w:r>
          </w:p>
        </w:tc>
        <w:tc>
          <w:tcPr>
            <w:tcW w:w="1118" w:type="pct"/>
            <w:tcBorders>
              <w:tl2br w:val="nil"/>
              <w:tr2bl w:val="nil"/>
            </w:tcBorders>
            <w:noWrap w:val="0"/>
            <w:vAlign w:val="center"/>
          </w:tcPr>
          <w:p w14:paraId="122CEA7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2L</w:t>
            </w:r>
          </w:p>
        </w:tc>
        <w:tc>
          <w:tcPr>
            <w:tcW w:w="1118" w:type="pct"/>
            <w:tcBorders>
              <w:tl2br w:val="nil"/>
              <w:tr2bl w:val="nil"/>
            </w:tcBorders>
            <w:noWrap w:val="0"/>
            <w:vAlign w:val="center"/>
          </w:tcPr>
          <w:p w14:paraId="372D046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2L</w:t>
            </w:r>
          </w:p>
        </w:tc>
        <w:tc>
          <w:tcPr>
            <w:tcW w:w="1118" w:type="pct"/>
            <w:tcBorders>
              <w:tl2br w:val="nil"/>
              <w:tr2bl w:val="nil"/>
            </w:tcBorders>
            <w:noWrap w:val="0"/>
            <w:vAlign w:val="center"/>
          </w:tcPr>
          <w:p w14:paraId="5BAE2DC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2L</w:t>
            </w:r>
          </w:p>
        </w:tc>
        <w:tc>
          <w:tcPr>
            <w:tcW w:w="769" w:type="pct"/>
            <w:tcBorders>
              <w:tl2br w:val="nil"/>
              <w:tr2bl w:val="nil"/>
            </w:tcBorders>
            <w:noWrap w:val="0"/>
            <w:vAlign w:val="center"/>
          </w:tcPr>
          <w:p w14:paraId="38B0D34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MPN/100mL</w:t>
            </w:r>
          </w:p>
        </w:tc>
      </w:tr>
      <w:tr w14:paraId="647BE4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559E829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挥发酚（类）</w:t>
            </w:r>
          </w:p>
        </w:tc>
        <w:tc>
          <w:tcPr>
            <w:tcW w:w="1118" w:type="pct"/>
            <w:tcBorders>
              <w:tl2br w:val="nil"/>
              <w:tr2bl w:val="nil"/>
            </w:tcBorders>
            <w:noWrap w:val="0"/>
            <w:vAlign w:val="center"/>
          </w:tcPr>
          <w:p w14:paraId="09AA0AF3">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0.0003L</w:t>
            </w:r>
          </w:p>
        </w:tc>
        <w:tc>
          <w:tcPr>
            <w:tcW w:w="1118" w:type="pct"/>
            <w:tcBorders>
              <w:tl2br w:val="nil"/>
              <w:tr2bl w:val="nil"/>
            </w:tcBorders>
            <w:noWrap w:val="0"/>
            <w:vAlign w:val="center"/>
          </w:tcPr>
          <w:p w14:paraId="7EE487D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0.0003L</w:t>
            </w:r>
          </w:p>
        </w:tc>
        <w:tc>
          <w:tcPr>
            <w:tcW w:w="1118" w:type="pct"/>
            <w:tcBorders>
              <w:tl2br w:val="nil"/>
              <w:tr2bl w:val="nil"/>
            </w:tcBorders>
            <w:noWrap w:val="0"/>
            <w:vAlign w:val="center"/>
          </w:tcPr>
          <w:p w14:paraId="1C7E5B9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0.0003L</w:t>
            </w:r>
          </w:p>
        </w:tc>
        <w:tc>
          <w:tcPr>
            <w:tcW w:w="769" w:type="pct"/>
            <w:tcBorders>
              <w:tl2br w:val="nil"/>
              <w:tr2bl w:val="nil"/>
            </w:tcBorders>
            <w:noWrap w:val="0"/>
            <w:vAlign w:val="center"/>
          </w:tcPr>
          <w:p w14:paraId="6A78ECCF">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59DD55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66D4A37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氰化物</w:t>
            </w:r>
          </w:p>
        </w:tc>
        <w:tc>
          <w:tcPr>
            <w:tcW w:w="1118" w:type="pct"/>
            <w:tcBorders>
              <w:tl2br w:val="nil"/>
              <w:tr2bl w:val="nil"/>
            </w:tcBorders>
            <w:noWrap w:val="0"/>
            <w:vAlign w:val="center"/>
          </w:tcPr>
          <w:p w14:paraId="1D147926">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0.004</w:t>
            </w:r>
            <w:r>
              <w:rPr>
                <w:rFonts w:hint="default" w:ascii="Times New Roman" w:hAnsi="Times New Roman" w:eastAsia="宋体" w:cs="Times New Roman"/>
                <w:color w:val="auto"/>
                <w:sz w:val="21"/>
                <w:szCs w:val="21"/>
                <w:highlight w:val="none"/>
                <w:lang w:val="en-US" w:eastAsia="zh-CN"/>
              </w:rPr>
              <w:t>L</w:t>
            </w:r>
          </w:p>
        </w:tc>
        <w:tc>
          <w:tcPr>
            <w:tcW w:w="1118" w:type="pct"/>
            <w:tcBorders>
              <w:tl2br w:val="nil"/>
              <w:tr2bl w:val="nil"/>
            </w:tcBorders>
            <w:noWrap w:val="0"/>
            <w:vAlign w:val="center"/>
          </w:tcPr>
          <w:p w14:paraId="11277A57">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0.004</w:t>
            </w:r>
            <w:r>
              <w:rPr>
                <w:rFonts w:hint="default" w:ascii="Times New Roman" w:hAnsi="Times New Roman" w:eastAsia="宋体" w:cs="Times New Roman"/>
                <w:color w:val="auto"/>
                <w:sz w:val="21"/>
                <w:szCs w:val="21"/>
                <w:highlight w:val="none"/>
                <w:lang w:val="en-US" w:eastAsia="zh-CN"/>
              </w:rPr>
              <w:t>L</w:t>
            </w:r>
          </w:p>
        </w:tc>
        <w:tc>
          <w:tcPr>
            <w:tcW w:w="1118" w:type="pct"/>
            <w:tcBorders>
              <w:tl2br w:val="nil"/>
              <w:tr2bl w:val="nil"/>
            </w:tcBorders>
            <w:noWrap w:val="0"/>
            <w:vAlign w:val="center"/>
          </w:tcPr>
          <w:p w14:paraId="0FBC6CCB">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0.004</w:t>
            </w:r>
            <w:r>
              <w:rPr>
                <w:rFonts w:hint="default" w:ascii="Times New Roman" w:hAnsi="Times New Roman" w:eastAsia="宋体" w:cs="Times New Roman"/>
                <w:color w:val="auto"/>
                <w:sz w:val="21"/>
                <w:szCs w:val="21"/>
                <w:highlight w:val="none"/>
                <w:lang w:val="en-US" w:eastAsia="zh-CN"/>
              </w:rPr>
              <w:t>L</w:t>
            </w:r>
          </w:p>
        </w:tc>
        <w:tc>
          <w:tcPr>
            <w:tcW w:w="769" w:type="pct"/>
            <w:tcBorders>
              <w:tl2br w:val="nil"/>
              <w:tr2bl w:val="nil"/>
            </w:tcBorders>
            <w:noWrap w:val="0"/>
            <w:vAlign w:val="center"/>
          </w:tcPr>
          <w:p w14:paraId="3376AB4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495700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B8191C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砷</w:t>
            </w:r>
          </w:p>
        </w:tc>
        <w:tc>
          <w:tcPr>
            <w:tcW w:w="1118" w:type="pct"/>
            <w:tcBorders>
              <w:tl2br w:val="nil"/>
              <w:tr2bl w:val="nil"/>
            </w:tcBorders>
            <w:noWrap w:val="0"/>
            <w:vAlign w:val="center"/>
          </w:tcPr>
          <w:p w14:paraId="16F5568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0.0003L</w:t>
            </w:r>
          </w:p>
        </w:tc>
        <w:tc>
          <w:tcPr>
            <w:tcW w:w="1118" w:type="pct"/>
            <w:tcBorders>
              <w:tl2br w:val="nil"/>
              <w:tr2bl w:val="nil"/>
            </w:tcBorders>
            <w:noWrap w:val="0"/>
            <w:vAlign w:val="center"/>
          </w:tcPr>
          <w:p w14:paraId="7EF9401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0.0003L</w:t>
            </w:r>
          </w:p>
        </w:tc>
        <w:tc>
          <w:tcPr>
            <w:tcW w:w="1118" w:type="pct"/>
            <w:tcBorders>
              <w:tl2br w:val="nil"/>
              <w:tr2bl w:val="nil"/>
            </w:tcBorders>
            <w:noWrap w:val="0"/>
            <w:vAlign w:val="center"/>
          </w:tcPr>
          <w:p w14:paraId="17FFE493">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0.0003L</w:t>
            </w:r>
          </w:p>
        </w:tc>
        <w:tc>
          <w:tcPr>
            <w:tcW w:w="769" w:type="pct"/>
            <w:tcBorders>
              <w:tl2br w:val="nil"/>
              <w:tr2bl w:val="nil"/>
            </w:tcBorders>
            <w:noWrap w:val="0"/>
            <w:vAlign w:val="center"/>
          </w:tcPr>
          <w:p w14:paraId="6C309942">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5ACD3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0CF5AA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汞</w:t>
            </w:r>
          </w:p>
        </w:tc>
        <w:tc>
          <w:tcPr>
            <w:tcW w:w="1118" w:type="pct"/>
            <w:tcBorders>
              <w:tl2br w:val="nil"/>
              <w:tr2bl w:val="nil"/>
            </w:tcBorders>
            <w:noWrap w:val="0"/>
            <w:vAlign w:val="center"/>
          </w:tcPr>
          <w:p w14:paraId="7112C97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0.00004L</w:t>
            </w:r>
          </w:p>
        </w:tc>
        <w:tc>
          <w:tcPr>
            <w:tcW w:w="1118" w:type="pct"/>
            <w:tcBorders>
              <w:tl2br w:val="nil"/>
              <w:tr2bl w:val="nil"/>
            </w:tcBorders>
            <w:noWrap w:val="0"/>
            <w:vAlign w:val="center"/>
          </w:tcPr>
          <w:p w14:paraId="461C3ED7">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0.00004L</w:t>
            </w:r>
          </w:p>
        </w:tc>
        <w:tc>
          <w:tcPr>
            <w:tcW w:w="1118" w:type="pct"/>
            <w:tcBorders>
              <w:tl2br w:val="nil"/>
              <w:tr2bl w:val="nil"/>
            </w:tcBorders>
            <w:noWrap w:val="0"/>
            <w:vAlign w:val="center"/>
          </w:tcPr>
          <w:p w14:paraId="66B48F3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0.00004L</w:t>
            </w:r>
          </w:p>
        </w:tc>
        <w:tc>
          <w:tcPr>
            <w:tcW w:w="769" w:type="pct"/>
            <w:tcBorders>
              <w:tl2br w:val="nil"/>
              <w:tr2bl w:val="nil"/>
            </w:tcBorders>
            <w:noWrap w:val="0"/>
            <w:vAlign w:val="center"/>
          </w:tcPr>
          <w:p w14:paraId="0969558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67B9E2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E808D7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六价铬</w:t>
            </w:r>
          </w:p>
        </w:tc>
        <w:tc>
          <w:tcPr>
            <w:tcW w:w="1118" w:type="pct"/>
            <w:tcBorders>
              <w:tl2br w:val="nil"/>
              <w:tr2bl w:val="nil"/>
            </w:tcBorders>
            <w:noWrap w:val="0"/>
            <w:vAlign w:val="center"/>
          </w:tcPr>
          <w:p w14:paraId="3B4CC32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0.004L</w:t>
            </w:r>
          </w:p>
        </w:tc>
        <w:tc>
          <w:tcPr>
            <w:tcW w:w="1118" w:type="pct"/>
            <w:tcBorders>
              <w:tl2br w:val="nil"/>
              <w:tr2bl w:val="nil"/>
            </w:tcBorders>
            <w:noWrap w:val="0"/>
            <w:vAlign w:val="center"/>
          </w:tcPr>
          <w:p w14:paraId="74E76B0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0.004L</w:t>
            </w:r>
          </w:p>
        </w:tc>
        <w:tc>
          <w:tcPr>
            <w:tcW w:w="1118" w:type="pct"/>
            <w:tcBorders>
              <w:tl2br w:val="nil"/>
              <w:tr2bl w:val="nil"/>
            </w:tcBorders>
            <w:noWrap w:val="0"/>
            <w:vAlign w:val="center"/>
          </w:tcPr>
          <w:p w14:paraId="6B636D0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0.004L</w:t>
            </w:r>
          </w:p>
        </w:tc>
        <w:tc>
          <w:tcPr>
            <w:tcW w:w="769" w:type="pct"/>
            <w:tcBorders>
              <w:tl2br w:val="nil"/>
              <w:tr2bl w:val="nil"/>
            </w:tcBorders>
            <w:noWrap w:val="0"/>
            <w:vAlign w:val="center"/>
          </w:tcPr>
          <w:p w14:paraId="23B9D94F">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602F09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590291A2">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铅</w:t>
            </w:r>
          </w:p>
        </w:tc>
        <w:tc>
          <w:tcPr>
            <w:tcW w:w="1118" w:type="pct"/>
            <w:tcBorders>
              <w:tl2br w:val="nil"/>
              <w:tr2bl w:val="nil"/>
            </w:tcBorders>
            <w:noWrap w:val="0"/>
            <w:vAlign w:val="center"/>
          </w:tcPr>
          <w:p w14:paraId="1F61B72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0.01L</w:t>
            </w:r>
          </w:p>
        </w:tc>
        <w:tc>
          <w:tcPr>
            <w:tcW w:w="1118" w:type="pct"/>
            <w:tcBorders>
              <w:tl2br w:val="nil"/>
              <w:tr2bl w:val="nil"/>
            </w:tcBorders>
            <w:noWrap w:val="0"/>
            <w:vAlign w:val="center"/>
          </w:tcPr>
          <w:p w14:paraId="3644269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0.01L</w:t>
            </w:r>
          </w:p>
        </w:tc>
        <w:tc>
          <w:tcPr>
            <w:tcW w:w="1118" w:type="pct"/>
            <w:tcBorders>
              <w:tl2br w:val="nil"/>
              <w:tr2bl w:val="nil"/>
            </w:tcBorders>
            <w:noWrap w:val="0"/>
            <w:vAlign w:val="center"/>
          </w:tcPr>
          <w:p w14:paraId="388034B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0.01L</w:t>
            </w:r>
          </w:p>
        </w:tc>
        <w:tc>
          <w:tcPr>
            <w:tcW w:w="769" w:type="pct"/>
            <w:tcBorders>
              <w:tl2br w:val="nil"/>
              <w:tr2bl w:val="nil"/>
            </w:tcBorders>
            <w:noWrap w:val="0"/>
            <w:vAlign w:val="center"/>
          </w:tcPr>
          <w:p w14:paraId="1916219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7CE0E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27E6B353">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镉</w:t>
            </w:r>
          </w:p>
        </w:tc>
        <w:tc>
          <w:tcPr>
            <w:tcW w:w="1118" w:type="pct"/>
            <w:tcBorders>
              <w:tl2br w:val="nil"/>
              <w:tr2bl w:val="nil"/>
            </w:tcBorders>
            <w:noWrap w:val="0"/>
            <w:vAlign w:val="center"/>
          </w:tcPr>
          <w:p w14:paraId="7E56B132">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0.001L</w:t>
            </w:r>
          </w:p>
        </w:tc>
        <w:tc>
          <w:tcPr>
            <w:tcW w:w="1118" w:type="pct"/>
            <w:tcBorders>
              <w:tl2br w:val="nil"/>
              <w:tr2bl w:val="nil"/>
            </w:tcBorders>
            <w:noWrap w:val="0"/>
            <w:vAlign w:val="center"/>
          </w:tcPr>
          <w:p w14:paraId="7E1001B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0.001L</w:t>
            </w:r>
          </w:p>
        </w:tc>
        <w:tc>
          <w:tcPr>
            <w:tcW w:w="1118" w:type="pct"/>
            <w:tcBorders>
              <w:tl2br w:val="nil"/>
              <w:tr2bl w:val="nil"/>
            </w:tcBorders>
            <w:noWrap w:val="0"/>
            <w:vAlign w:val="center"/>
          </w:tcPr>
          <w:p w14:paraId="4D31B91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0.001L</w:t>
            </w:r>
          </w:p>
        </w:tc>
        <w:tc>
          <w:tcPr>
            <w:tcW w:w="769" w:type="pct"/>
            <w:tcBorders>
              <w:tl2br w:val="nil"/>
              <w:tr2bl w:val="nil"/>
            </w:tcBorders>
            <w:noWrap w:val="0"/>
            <w:vAlign w:val="center"/>
          </w:tcPr>
          <w:p w14:paraId="461557C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36EB3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6CAAB5D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氟化物</w:t>
            </w:r>
          </w:p>
        </w:tc>
        <w:tc>
          <w:tcPr>
            <w:tcW w:w="1118" w:type="pct"/>
            <w:tcBorders>
              <w:tl2br w:val="nil"/>
              <w:tr2bl w:val="nil"/>
            </w:tcBorders>
            <w:noWrap w:val="0"/>
            <w:vAlign w:val="center"/>
          </w:tcPr>
          <w:p w14:paraId="5F5541F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0.17</w:t>
            </w:r>
          </w:p>
        </w:tc>
        <w:tc>
          <w:tcPr>
            <w:tcW w:w="1118" w:type="pct"/>
            <w:tcBorders>
              <w:tl2br w:val="nil"/>
              <w:tr2bl w:val="nil"/>
            </w:tcBorders>
            <w:noWrap w:val="0"/>
            <w:vAlign w:val="center"/>
          </w:tcPr>
          <w:p w14:paraId="611D89D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0.14</w:t>
            </w:r>
          </w:p>
        </w:tc>
        <w:tc>
          <w:tcPr>
            <w:tcW w:w="1118" w:type="pct"/>
            <w:tcBorders>
              <w:tl2br w:val="nil"/>
              <w:tr2bl w:val="nil"/>
            </w:tcBorders>
            <w:noWrap w:val="0"/>
            <w:vAlign w:val="center"/>
          </w:tcPr>
          <w:p w14:paraId="76058DB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0.13</w:t>
            </w:r>
          </w:p>
        </w:tc>
        <w:tc>
          <w:tcPr>
            <w:tcW w:w="769" w:type="pct"/>
            <w:tcBorders>
              <w:tl2br w:val="nil"/>
              <w:tr2bl w:val="nil"/>
            </w:tcBorders>
            <w:noWrap w:val="0"/>
            <w:vAlign w:val="center"/>
          </w:tcPr>
          <w:p w14:paraId="0C006FE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45CBE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0EA813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溶解性总固体</w:t>
            </w:r>
          </w:p>
        </w:tc>
        <w:tc>
          <w:tcPr>
            <w:tcW w:w="1118" w:type="pct"/>
            <w:tcBorders>
              <w:tl2br w:val="nil"/>
              <w:tr2bl w:val="nil"/>
            </w:tcBorders>
            <w:noWrap w:val="0"/>
            <w:vAlign w:val="center"/>
          </w:tcPr>
          <w:p w14:paraId="563AF861">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887</w:t>
            </w:r>
          </w:p>
        </w:tc>
        <w:tc>
          <w:tcPr>
            <w:tcW w:w="1118" w:type="pct"/>
            <w:tcBorders>
              <w:tl2br w:val="nil"/>
              <w:tr2bl w:val="nil"/>
            </w:tcBorders>
            <w:noWrap w:val="0"/>
            <w:vAlign w:val="center"/>
          </w:tcPr>
          <w:p w14:paraId="163BC6F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923</w:t>
            </w:r>
          </w:p>
        </w:tc>
        <w:tc>
          <w:tcPr>
            <w:tcW w:w="1118" w:type="pct"/>
            <w:tcBorders>
              <w:tl2br w:val="nil"/>
              <w:tr2bl w:val="nil"/>
            </w:tcBorders>
            <w:noWrap w:val="0"/>
            <w:vAlign w:val="center"/>
          </w:tcPr>
          <w:p w14:paraId="23A8B2C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973</w:t>
            </w:r>
          </w:p>
        </w:tc>
        <w:tc>
          <w:tcPr>
            <w:tcW w:w="769" w:type="pct"/>
            <w:tcBorders>
              <w:tl2br w:val="nil"/>
              <w:tr2bl w:val="nil"/>
            </w:tcBorders>
            <w:noWrap w:val="0"/>
            <w:vAlign w:val="center"/>
          </w:tcPr>
          <w:p w14:paraId="1BB73D33">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14D78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29A96869">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细菌总数</w:t>
            </w:r>
          </w:p>
        </w:tc>
        <w:tc>
          <w:tcPr>
            <w:tcW w:w="1118" w:type="pct"/>
            <w:tcBorders>
              <w:tl2br w:val="nil"/>
              <w:tr2bl w:val="nil"/>
            </w:tcBorders>
            <w:noWrap w:val="0"/>
            <w:vAlign w:val="center"/>
          </w:tcPr>
          <w:p w14:paraId="70FA0645">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w:t>
            </w:r>
          </w:p>
        </w:tc>
        <w:tc>
          <w:tcPr>
            <w:tcW w:w="1118" w:type="pct"/>
            <w:tcBorders>
              <w:tl2br w:val="nil"/>
              <w:tr2bl w:val="nil"/>
            </w:tcBorders>
            <w:noWrap w:val="0"/>
            <w:vAlign w:val="center"/>
          </w:tcPr>
          <w:p w14:paraId="39CC0FD7">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w:t>
            </w:r>
          </w:p>
        </w:tc>
        <w:tc>
          <w:tcPr>
            <w:tcW w:w="1118" w:type="pct"/>
            <w:tcBorders>
              <w:tl2br w:val="nil"/>
              <w:tr2bl w:val="nil"/>
            </w:tcBorders>
            <w:noWrap w:val="0"/>
            <w:vAlign w:val="center"/>
          </w:tcPr>
          <w:p w14:paraId="4066E29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w:t>
            </w:r>
          </w:p>
        </w:tc>
        <w:tc>
          <w:tcPr>
            <w:tcW w:w="769" w:type="pct"/>
            <w:tcBorders>
              <w:tl2br w:val="nil"/>
              <w:tr2bl w:val="nil"/>
            </w:tcBorders>
            <w:noWrap w:val="0"/>
            <w:vAlign w:val="center"/>
          </w:tcPr>
          <w:p w14:paraId="45C8367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CFU/mL</w:t>
            </w:r>
          </w:p>
        </w:tc>
      </w:tr>
      <w:tr w14:paraId="4EC2ED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FA811DD">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1118" w:type="pct"/>
            <w:tcBorders>
              <w:tl2br w:val="nil"/>
              <w:tr2bl w:val="nil"/>
            </w:tcBorders>
            <w:noWrap w:val="0"/>
            <w:vAlign w:val="center"/>
          </w:tcPr>
          <w:p w14:paraId="4B5E00E2">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eastAsia" w:ascii="Times New Roman" w:hAnsi="Times New Roman" w:eastAsia="宋体" w:cs="Times New Roman"/>
                <w:color w:val="auto"/>
                <w:sz w:val="21"/>
                <w:szCs w:val="21"/>
                <w:highlight w:val="none"/>
                <w:lang w:val="en-US" w:eastAsia="zh-CN"/>
              </w:rPr>
              <w:t>1L</w:t>
            </w:r>
          </w:p>
        </w:tc>
        <w:tc>
          <w:tcPr>
            <w:tcW w:w="1118" w:type="pct"/>
            <w:tcBorders>
              <w:tl2br w:val="nil"/>
              <w:tr2bl w:val="nil"/>
            </w:tcBorders>
            <w:noWrap w:val="0"/>
            <w:vAlign w:val="center"/>
          </w:tcPr>
          <w:p w14:paraId="5BD1105B">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eastAsia" w:ascii="Times New Roman" w:hAnsi="Times New Roman" w:eastAsia="宋体" w:cs="Times New Roman"/>
                <w:color w:val="auto"/>
                <w:sz w:val="21"/>
                <w:szCs w:val="21"/>
                <w:highlight w:val="none"/>
                <w:lang w:val="en-US" w:eastAsia="zh-CN"/>
              </w:rPr>
              <w:t>1L</w:t>
            </w:r>
          </w:p>
        </w:tc>
        <w:tc>
          <w:tcPr>
            <w:tcW w:w="1118" w:type="pct"/>
            <w:tcBorders>
              <w:tl2br w:val="nil"/>
              <w:tr2bl w:val="nil"/>
            </w:tcBorders>
            <w:noWrap w:val="0"/>
            <w:vAlign w:val="center"/>
          </w:tcPr>
          <w:p w14:paraId="31167492">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eastAsia" w:ascii="Times New Roman" w:hAnsi="Times New Roman" w:eastAsia="宋体" w:cs="Times New Roman"/>
                <w:color w:val="auto"/>
                <w:sz w:val="21"/>
                <w:szCs w:val="21"/>
                <w:highlight w:val="none"/>
                <w:lang w:val="en-US" w:eastAsia="zh-CN"/>
              </w:rPr>
              <w:t>1L</w:t>
            </w:r>
          </w:p>
        </w:tc>
        <w:tc>
          <w:tcPr>
            <w:tcW w:w="769" w:type="pct"/>
            <w:tcBorders>
              <w:tl2br w:val="nil"/>
              <w:tr2bl w:val="nil"/>
            </w:tcBorders>
            <w:noWrap w:val="0"/>
            <w:vAlign w:val="center"/>
          </w:tcPr>
          <w:p w14:paraId="1979FB34">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15773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56221646">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总磷</w:t>
            </w:r>
          </w:p>
        </w:tc>
        <w:tc>
          <w:tcPr>
            <w:tcW w:w="1118" w:type="pct"/>
            <w:tcBorders>
              <w:tl2br w:val="nil"/>
              <w:tr2bl w:val="nil"/>
            </w:tcBorders>
            <w:noWrap w:val="0"/>
            <w:vAlign w:val="center"/>
          </w:tcPr>
          <w:p w14:paraId="607E946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0.01L</w:t>
            </w:r>
          </w:p>
        </w:tc>
        <w:tc>
          <w:tcPr>
            <w:tcW w:w="1118" w:type="pct"/>
            <w:tcBorders>
              <w:tl2br w:val="nil"/>
              <w:tr2bl w:val="nil"/>
            </w:tcBorders>
            <w:noWrap w:val="0"/>
            <w:vAlign w:val="center"/>
          </w:tcPr>
          <w:p w14:paraId="5F5DE6C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0.01L</w:t>
            </w:r>
          </w:p>
        </w:tc>
        <w:tc>
          <w:tcPr>
            <w:tcW w:w="1118" w:type="pct"/>
            <w:tcBorders>
              <w:tl2br w:val="nil"/>
              <w:tr2bl w:val="nil"/>
            </w:tcBorders>
            <w:noWrap w:val="0"/>
            <w:vAlign w:val="center"/>
          </w:tcPr>
          <w:p w14:paraId="2019FCEF">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0.01L</w:t>
            </w:r>
          </w:p>
        </w:tc>
        <w:tc>
          <w:tcPr>
            <w:tcW w:w="769" w:type="pct"/>
            <w:tcBorders>
              <w:tl2br w:val="nil"/>
              <w:tr2bl w:val="nil"/>
            </w:tcBorders>
            <w:noWrap w:val="0"/>
            <w:vAlign w:val="center"/>
          </w:tcPr>
          <w:p w14:paraId="1F76520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03D60F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7FEBF8D7">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总氮</w:t>
            </w:r>
          </w:p>
        </w:tc>
        <w:tc>
          <w:tcPr>
            <w:tcW w:w="1118" w:type="pct"/>
            <w:tcBorders>
              <w:tl2br w:val="nil"/>
              <w:tr2bl w:val="nil"/>
            </w:tcBorders>
            <w:noWrap w:val="0"/>
            <w:vAlign w:val="center"/>
          </w:tcPr>
          <w:p w14:paraId="6FBD49C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1.39</w:t>
            </w:r>
          </w:p>
        </w:tc>
        <w:tc>
          <w:tcPr>
            <w:tcW w:w="1118" w:type="pct"/>
            <w:tcBorders>
              <w:tl2br w:val="nil"/>
              <w:tr2bl w:val="nil"/>
            </w:tcBorders>
            <w:noWrap w:val="0"/>
            <w:vAlign w:val="center"/>
          </w:tcPr>
          <w:p w14:paraId="0247BC6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1.24</w:t>
            </w:r>
          </w:p>
        </w:tc>
        <w:tc>
          <w:tcPr>
            <w:tcW w:w="1118" w:type="pct"/>
            <w:tcBorders>
              <w:tl2br w:val="nil"/>
              <w:tr2bl w:val="nil"/>
            </w:tcBorders>
            <w:noWrap w:val="0"/>
            <w:vAlign w:val="center"/>
          </w:tcPr>
          <w:p w14:paraId="2B642CC8">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1.02</w:t>
            </w:r>
          </w:p>
        </w:tc>
        <w:tc>
          <w:tcPr>
            <w:tcW w:w="769" w:type="pct"/>
            <w:tcBorders>
              <w:tl2br w:val="nil"/>
              <w:tr2bl w:val="nil"/>
            </w:tcBorders>
            <w:noWrap w:val="0"/>
            <w:vAlign w:val="center"/>
          </w:tcPr>
          <w:p w14:paraId="359820E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34A850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64C6F07">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化学需氧量</w:t>
            </w:r>
          </w:p>
        </w:tc>
        <w:tc>
          <w:tcPr>
            <w:tcW w:w="1118" w:type="pct"/>
            <w:tcBorders>
              <w:tl2br w:val="nil"/>
              <w:tr2bl w:val="nil"/>
            </w:tcBorders>
            <w:noWrap w:val="0"/>
            <w:vAlign w:val="center"/>
          </w:tcPr>
          <w:p w14:paraId="7EC1EC8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4L</w:t>
            </w:r>
          </w:p>
        </w:tc>
        <w:tc>
          <w:tcPr>
            <w:tcW w:w="1118" w:type="pct"/>
            <w:tcBorders>
              <w:tl2br w:val="nil"/>
              <w:tr2bl w:val="nil"/>
            </w:tcBorders>
            <w:noWrap w:val="0"/>
            <w:vAlign w:val="center"/>
          </w:tcPr>
          <w:p w14:paraId="61ADABA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4L</w:t>
            </w:r>
          </w:p>
        </w:tc>
        <w:tc>
          <w:tcPr>
            <w:tcW w:w="1118" w:type="pct"/>
            <w:tcBorders>
              <w:tl2br w:val="nil"/>
              <w:tr2bl w:val="nil"/>
            </w:tcBorders>
            <w:noWrap w:val="0"/>
            <w:vAlign w:val="center"/>
          </w:tcPr>
          <w:p w14:paraId="2627351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4L</w:t>
            </w:r>
          </w:p>
        </w:tc>
        <w:tc>
          <w:tcPr>
            <w:tcW w:w="769" w:type="pct"/>
            <w:tcBorders>
              <w:tl2br w:val="nil"/>
              <w:tr2bl w:val="nil"/>
            </w:tcBorders>
            <w:noWrap w:val="0"/>
            <w:vAlign w:val="center"/>
          </w:tcPr>
          <w:p w14:paraId="68671C1A">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14:paraId="0A93C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5F26DD5F">
            <w:pPr>
              <w:spacing w:line="32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生化需氧量</w:t>
            </w:r>
          </w:p>
        </w:tc>
        <w:tc>
          <w:tcPr>
            <w:tcW w:w="1118" w:type="pct"/>
            <w:tcBorders>
              <w:tl2br w:val="nil"/>
              <w:tr2bl w:val="nil"/>
            </w:tcBorders>
            <w:noWrap w:val="0"/>
            <w:vAlign w:val="center"/>
          </w:tcPr>
          <w:p w14:paraId="1479F89E">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0.5L</w:t>
            </w:r>
          </w:p>
        </w:tc>
        <w:tc>
          <w:tcPr>
            <w:tcW w:w="1118" w:type="pct"/>
            <w:tcBorders>
              <w:tl2br w:val="nil"/>
              <w:tr2bl w:val="nil"/>
            </w:tcBorders>
            <w:noWrap w:val="0"/>
            <w:vAlign w:val="center"/>
          </w:tcPr>
          <w:p w14:paraId="756DF7CC">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0.5L</w:t>
            </w:r>
          </w:p>
        </w:tc>
        <w:tc>
          <w:tcPr>
            <w:tcW w:w="1118" w:type="pct"/>
            <w:tcBorders>
              <w:tl2br w:val="nil"/>
              <w:tr2bl w:val="nil"/>
            </w:tcBorders>
            <w:noWrap w:val="0"/>
            <w:vAlign w:val="center"/>
          </w:tcPr>
          <w:p w14:paraId="01487DD6">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0.5L</w:t>
            </w:r>
          </w:p>
        </w:tc>
        <w:tc>
          <w:tcPr>
            <w:tcW w:w="769" w:type="pct"/>
            <w:tcBorders>
              <w:tl2br w:val="nil"/>
              <w:tr2bl w:val="nil"/>
            </w:tcBorders>
            <w:noWrap w:val="0"/>
            <w:vAlign w:val="center"/>
          </w:tcPr>
          <w:p w14:paraId="6DB7BCB0">
            <w:pPr>
              <w:spacing w:line="32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bl>
    <w:p w14:paraId="3AD92CE9">
      <w:pPr>
        <w:adjustRightInd/>
        <w:snapToGrid/>
        <w:ind w:firstLine="482"/>
        <w:rPr>
          <w:rFonts w:cs="Times New Roman"/>
          <w:b/>
          <w:color w:val="auto"/>
          <w:highlight w:val="none"/>
        </w:rPr>
      </w:pPr>
      <w:r>
        <w:rPr>
          <w:rFonts w:cs="Times New Roman"/>
          <w:b/>
          <w:snapToGrid w:val="0"/>
          <w:color w:val="auto"/>
          <w:kern w:val="0"/>
          <w:highlight w:val="none"/>
        </w:rPr>
        <w:t>6、</w:t>
      </w:r>
      <w:r>
        <w:rPr>
          <w:rFonts w:cs="Times New Roman"/>
          <w:b/>
          <w:color w:val="auto"/>
          <w:highlight w:val="none"/>
        </w:rPr>
        <w:t>地下水现状评价</w:t>
      </w:r>
    </w:p>
    <w:p w14:paraId="060DC166">
      <w:pPr>
        <w:adjustRightInd/>
        <w:snapToGrid/>
        <w:rPr>
          <w:rFonts w:cs="Times New Roman"/>
          <w:color w:val="auto"/>
          <w:highlight w:val="none"/>
        </w:rPr>
      </w:pPr>
      <w:r>
        <w:rPr>
          <w:rFonts w:cs="Times New Roman"/>
          <w:color w:val="auto"/>
          <w:highlight w:val="none"/>
        </w:rPr>
        <w:t>（1）评价标准</w:t>
      </w:r>
    </w:p>
    <w:p w14:paraId="59386372">
      <w:pPr>
        <w:adjustRightInd/>
        <w:snapToGrid/>
        <w:rPr>
          <w:rFonts w:cs="Times New Roman"/>
          <w:color w:val="auto"/>
          <w:highlight w:val="none"/>
        </w:rPr>
      </w:pPr>
      <w:r>
        <w:rPr>
          <w:rFonts w:cs="Times New Roman"/>
          <w:color w:val="auto"/>
          <w:highlight w:val="none"/>
        </w:rPr>
        <w:t>根据评价区地下水水质状况和使用功能，地下水评价执行《地下水质量标准》(GB/T14848-2017)Ⅲ类标准，具体指标的评价标准见下表。</w:t>
      </w:r>
    </w:p>
    <w:p w14:paraId="66CD7F6D">
      <w:pPr>
        <w:adjustRightInd/>
        <w:snapToGrid/>
        <w:spacing w:line="240" w:lineRule="auto"/>
        <w:ind w:firstLine="0" w:firstLineChars="0"/>
        <w:jc w:val="center"/>
        <w:rPr>
          <w:rFonts w:cs="Times New Roman"/>
          <w:b/>
          <w:color w:val="auto"/>
          <w:szCs w:val="24"/>
          <w:highlight w:val="none"/>
        </w:rPr>
      </w:pPr>
      <w:r>
        <w:rPr>
          <w:rFonts w:cs="Times New Roman"/>
          <w:b/>
          <w:color w:val="auto"/>
          <w:szCs w:val="24"/>
          <w:highlight w:val="none"/>
        </w:rPr>
        <w:t>表4-2-11  地下水质量标准表</w:t>
      </w:r>
    </w:p>
    <w:tbl>
      <w:tblPr>
        <w:tblStyle w:val="47"/>
        <w:tblW w:w="498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95"/>
        <w:gridCol w:w="1210"/>
        <w:gridCol w:w="1127"/>
        <w:gridCol w:w="1061"/>
        <w:gridCol w:w="1510"/>
        <w:gridCol w:w="1294"/>
      </w:tblGrid>
      <w:tr w14:paraId="2BEA0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350" w:type="pct"/>
            <w:vAlign w:val="center"/>
          </w:tcPr>
          <w:p w14:paraId="01E46BF2">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项目</w:t>
            </w:r>
          </w:p>
        </w:tc>
        <w:tc>
          <w:tcPr>
            <w:tcW w:w="712" w:type="pct"/>
            <w:vAlign w:val="center"/>
          </w:tcPr>
          <w:p w14:paraId="6DE172B9">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I类</w:t>
            </w:r>
          </w:p>
        </w:tc>
        <w:tc>
          <w:tcPr>
            <w:tcW w:w="663" w:type="pct"/>
            <w:vAlign w:val="center"/>
          </w:tcPr>
          <w:p w14:paraId="7F6A55BA">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II类</w:t>
            </w:r>
          </w:p>
        </w:tc>
        <w:tc>
          <w:tcPr>
            <w:tcW w:w="624" w:type="pct"/>
            <w:vAlign w:val="center"/>
          </w:tcPr>
          <w:p w14:paraId="0505091C">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III类</w:t>
            </w:r>
          </w:p>
        </w:tc>
        <w:tc>
          <w:tcPr>
            <w:tcW w:w="888" w:type="pct"/>
            <w:vAlign w:val="center"/>
          </w:tcPr>
          <w:p w14:paraId="39788EE2">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IV类</w:t>
            </w:r>
          </w:p>
        </w:tc>
        <w:tc>
          <w:tcPr>
            <w:tcW w:w="761" w:type="pct"/>
            <w:vAlign w:val="center"/>
          </w:tcPr>
          <w:p w14:paraId="02B48D8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V类</w:t>
            </w:r>
          </w:p>
        </w:tc>
      </w:tr>
      <w:tr w14:paraId="036BD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1350" w:type="pct"/>
            <w:vAlign w:val="center"/>
          </w:tcPr>
          <w:p w14:paraId="5C8E4165">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pH值</w:t>
            </w:r>
          </w:p>
        </w:tc>
        <w:tc>
          <w:tcPr>
            <w:tcW w:w="1999" w:type="pct"/>
            <w:gridSpan w:val="3"/>
            <w:vAlign w:val="center"/>
          </w:tcPr>
          <w:p w14:paraId="3EAD1CB0">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6.5～8.5</w:t>
            </w:r>
          </w:p>
        </w:tc>
        <w:tc>
          <w:tcPr>
            <w:tcW w:w="888" w:type="pct"/>
            <w:vAlign w:val="center"/>
          </w:tcPr>
          <w:p w14:paraId="54FF340A">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5.5～6.5，8.5～9</w:t>
            </w:r>
          </w:p>
        </w:tc>
        <w:tc>
          <w:tcPr>
            <w:tcW w:w="761" w:type="pct"/>
            <w:vAlign w:val="center"/>
          </w:tcPr>
          <w:p w14:paraId="4F99853B">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&lt;5.5，&gt;9</w:t>
            </w:r>
          </w:p>
        </w:tc>
      </w:tr>
      <w:tr w14:paraId="37D235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779A232A">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氨氮</w:t>
            </w:r>
          </w:p>
        </w:tc>
        <w:tc>
          <w:tcPr>
            <w:tcW w:w="712" w:type="pct"/>
            <w:vAlign w:val="center"/>
          </w:tcPr>
          <w:p w14:paraId="0746F79C">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≤0.02</w:t>
            </w:r>
          </w:p>
        </w:tc>
        <w:tc>
          <w:tcPr>
            <w:tcW w:w="663" w:type="pct"/>
            <w:vAlign w:val="center"/>
          </w:tcPr>
          <w:p w14:paraId="175F85F8">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≤0.10</w:t>
            </w:r>
          </w:p>
        </w:tc>
        <w:tc>
          <w:tcPr>
            <w:tcW w:w="624" w:type="pct"/>
            <w:vAlign w:val="center"/>
          </w:tcPr>
          <w:p w14:paraId="22464C48">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≤0.50</w:t>
            </w:r>
          </w:p>
        </w:tc>
        <w:tc>
          <w:tcPr>
            <w:tcW w:w="888" w:type="pct"/>
            <w:vAlign w:val="center"/>
          </w:tcPr>
          <w:p w14:paraId="7D36459B">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≤1.5</w:t>
            </w:r>
          </w:p>
        </w:tc>
        <w:tc>
          <w:tcPr>
            <w:tcW w:w="761" w:type="pct"/>
            <w:vAlign w:val="center"/>
          </w:tcPr>
          <w:p w14:paraId="12371B92">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&gt;1.5</w:t>
            </w:r>
          </w:p>
        </w:tc>
      </w:tr>
      <w:tr w14:paraId="4485F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3E0F5FDC">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硝酸盐氮</w:t>
            </w:r>
          </w:p>
        </w:tc>
        <w:tc>
          <w:tcPr>
            <w:tcW w:w="712" w:type="pct"/>
            <w:vAlign w:val="center"/>
          </w:tcPr>
          <w:p w14:paraId="7CE0E21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≤2.0</w:t>
            </w:r>
          </w:p>
        </w:tc>
        <w:tc>
          <w:tcPr>
            <w:tcW w:w="663" w:type="pct"/>
            <w:vAlign w:val="center"/>
          </w:tcPr>
          <w:p w14:paraId="743EB19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≤5.0</w:t>
            </w:r>
          </w:p>
        </w:tc>
        <w:tc>
          <w:tcPr>
            <w:tcW w:w="624" w:type="pct"/>
            <w:vAlign w:val="center"/>
          </w:tcPr>
          <w:p w14:paraId="0ACE9AA3">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≤20</w:t>
            </w:r>
          </w:p>
        </w:tc>
        <w:tc>
          <w:tcPr>
            <w:tcW w:w="888" w:type="pct"/>
            <w:vAlign w:val="center"/>
          </w:tcPr>
          <w:p w14:paraId="075D5D37">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≤30</w:t>
            </w:r>
          </w:p>
        </w:tc>
        <w:tc>
          <w:tcPr>
            <w:tcW w:w="761" w:type="pct"/>
            <w:vAlign w:val="center"/>
          </w:tcPr>
          <w:p w14:paraId="7BA002C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&gt;30</w:t>
            </w:r>
          </w:p>
        </w:tc>
      </w:tr>
      <w:tr w14:paraId="680FE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4015337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亚硝酸盐氮</w:t>
            </w:r>
          </w:p>
        </w:tc>
        <w:tc>
          <w:tcPr>
            <w:tcW w:w="712" w:type="pct"/>
            <w:vAlign w:val="center"/>
          </w:tcPr>
          <w:p w14:paraId="283FC06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≤0.01</w:t>
            </w:r>
          </w:p>
        </w:tc>
        <w:tc>
          <w:tcPr>
            <w:tcW w:w="663" w:type="pct"/>
            <w:vAlign w:val="center"/>
          </w:tcPr>
          <w:p w14:paraId="6B480F3C">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≤0.10</w:t>
            </w:r>
          </w:p>
        </w:tc>
        <w:tc>
          <w:tcPr>
            <w:tcW w:w="624" w:type="pct"/>
            <w:vAlign w:val="center"/>
          </w:tcPr>
          <w:p w14:paraId="0A15A624">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≤1.00</w:t>
            </w:r>
          </w:p>
        </w:tc>
        <w:tc>
          <w:tcPr>
            <w:tcW w:w="888" w:type="pct"/>
            <w:vAlign w:val="center"/>
          </w:tcPr>
          <w:p w14:paraId="2FBE7BB2">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≤4.80</w:t>
            </w:r>
          </w:p>
        </w:tc>
        <w:tc>
          <w:tcPr>
            <w:tcW w:w="761" w:type="pct"/>
            <w:vAlign w:val="center"/>
          </w:tcPr>
          <w:p w14:paraId="722AE65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&gt;4.80</w:t>
            </w:r>
          </w:p>
        </w:tc>
      </w:tr>
      <w:tr w14:paraId="7B3B7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4085A708">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挥发酚</w:t>
            </w:r>
          </w:p>
        </w:tc>
        <w:tc>
          <w:tcPr>
            <w:tcW w:w="712" w:type="pct"/>
            <w:vAlign w:val="center"/>
          </w:tcPr>
          <w:p w14:paraId="794FC321">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≤0.001</w:t>
            </w:r>
          </w:p>
        </w:tc>
        <w:tc>
          <w:tcPr>
            <w:tcW w:w="663" w:type="pct"/>
            <w:vAlign w:val="center"/>
          </w:tcPr>
          <w:p w14:paraId="60C1E2AE">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≤0.001</w:t>
            </w:r>
          </w:p>
        </w:tc>
        <w:tc>
          <w:tcPr>
            <w:tcW w:w="624" w:type="pct"/>
            <w:vAlign w:val="center"/>
          </w:tcPr>
          <w:p w14:paraId="297A2037">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≤0.002</w:t>
            </w:r>
          </w:p>
        </w:tc>
        <w:tc>
          <w:tcPr>
            <w:tcW w:w="888" w:type="pct"/>
            <w:vAlign w:val="center"/>
          </w:tcPr>
          <w:p w14:paraId="57C3811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≤0.01</w:t>
            </w:r>
          </w:p>
        </w:tc>
        <w:tc>
          <w:tcPr>
            <w:tcW w:w="761" w:type="pct"/>
            <w:vAlign w:val="center"/>
          </w:tcPr>
          <w:p w14:paraId="2D293AE0">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&gt;0.01</w:t>
            </w:r>
          </w:p>
        </w:tc>
      </w:tr>
      <w:tr w14:paraId="4F77A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00396E5F">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氟化物</w:t>
            </w:r>
          </w:p>
        </w:tc>
        <w:tc>
          <w:tcPr>
            <w:tcW w:w="712" w:type="pct"/>
            <w:vAlign w:val="center"/>
          </w:tcPr>
          <w:p w14:paraId="2F50CA8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≤1.0</w:t>
            </w:r>
          </w:p>
        </w:tc>
        <w:tc>
          <w:tcPr>
            <w:tcW w:w="663" w:type="pct"/>
            <w:vAlign w:val="center"/>
          </w:tcPr>
          <w:p w14:paraId="57EF06A9">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≤1.0</w:t>
            </w:r>
          </w:p>
        </w:tc>
        <w:tc>
          <w:tcPr>
            <w:tcW w:w="624" w:type="pct"/>
            <w:vAlign w:val="center"/>
          </w:tcPr>
          <w:p w14:paraId="46056BFE">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≤1.0</w:t>
            </w:r>
          </w:p>
        </w:tc>
        <w:tc>
          <w:tcPr>
            <w:tcW w:w="888" w:type="pct"/>
            <w:vAlign w:val="center"/>
          </w:tcPr>
          <w:p w14:paraId="1A60E47F">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≤2.0</w:t>
            </w:r>
          </w:p>
        </w:tc>
        <w:tc>
          <w:tcPr>
            <w:tcW w:w="761" w:type="pct"/>
            <w:vAlign w:val="center"/>
          </w:tcPr>
          <w:p w14:paraId="5F89F8D5">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&gt;2.0</w:t>
            </w:r>
          </w:p>
        </w:tc>
      </w:tr>
      <w:tr w14:paraId="33D397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316696E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汞</w:t>
            </w:r>
          </w:p>
        </w:tc>
        <w:tc>
          <w:tcPr>
            <w:tcW w:w="712" w:type="pct"/>
            <w:vAlign w:val="center"/>
          </w:tcPr>
          <w:p w14:paraId="355F987A">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≤0.0001</w:t>
            </w:r>
          </w:p>
        </w:tc>
        <w:tc>
          <w:tcPr>
            <w:tcW w:w="663" w:type="pct"/>
            <w:vAlign w:val="center"/>
          </w:tcPr>
          <w:p w14:paraId="49B3E9B1">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≤0.0001</w:t>
            </w:r>
          </w:p>
        </w:tc>
        <w:tc>
          <w:tcPr>
            <w:tcW w:w="624" w:type="pct"/>
            <w:vAlign w:val="center"/>
          </w:tcPr>
          <w:p w14:paraId="601FCCC9">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≤0.001</w:t>
            </w:r>
          </w:p>
        </w:tc>
        <w:tc>
          <w:tcPr>
            <w:tcW w:w="888" w:type="pct"/>
            <w:vAlign w:val="center"/>
          </w:tcPr>
          <w:p w14:paraId="5886C17E">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≤0.002</w:t>
            </w:r>
          </w:p>
        </w:tc>
        <w:tc>
          <w:tcPr>
            <w:tcW w:w="761" w:type="pct"/>
            <w:vAlign w:val="center"/>
          </w:tcPr>
          <w:p w14:paraId="13062D2D">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&gt;0.002</w:t>
            </w:r>
          </w:p>
        </w:tc>
      </w:tr>
      <w:tr w14:paraId="7217C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350" w:type="pct"/>
            <w:vAlign w:val="center"/>
          </w:tcPr>
          <w:p w14:paraId="218036E8">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砷</w:t>
            </w:r>
          </w:p>
        </w:tc>
        <w:tc>
          <w:tcPr>
            <w:tcW w:w="712" w:type="pct"/>
            <w:vAlign w:val="center"/>
          </w:tcPr>
          <w:p w14:paraId="28DBC021">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≤0.001</w:t>
            </w:r>
          </w:p>
        </w:tc>
        <w:tc>
          <w:tcPr>
            <w:tcW w:w="663" w:type="pct"/>
            <w:vAlign w:val="center"/>
          </w:tcPr>
          <w:p w14:paraId="12837FF2">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≤0.001</w:t>
            </w:r>
          </w:p>
        </w:tc>
        <w:tc>
          <w:tcPr>
            <w:tcW w:w="624" w:type="pct"/>
            <w:vAlign w:val="center"/>
          </w:tcPr>
          <w:p w14:paraId="13634F93">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≤0.01</w:t>
            </w:r>
          </w:p>
        </w:tc>
        <w:tc>
          <w:tcPr>
            <w:tcW w:w="888" w:type="pct"/>
            <w:vAlign w:val="center"/>
          </w:tcPr>
          <w:p w14:paraId="7612C9FD">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≤0.05</w:t>
            </w:r>
          </w:p>
        </w:tc>
        <w:tc>
          <w:tcPr>
            <w:tcW w:w="761" w:type="pct"/>
            <w:vAlign w:val="center"/>
          </w:tcPr>
          <w:p w14:paraId="5097F4C5">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&gt;0.05</w:t>
            </w:r>
          </w:p>
        </w:tc>
      </w:tr>
      <w:tr w14:paraId="0D9FD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2F1607CF">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铁</w:t>
            </w:r>
          </w:p>
        </w:tc>
        <w:tc>
          <w:tcPr>
            <w:tcW w:w="712" w:type="pct"/>
            <w:vAlign w:val="center"/>
          </w:tcPr>
          <w:p w14:paraId="0787708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≤0.1</w:t>
            </w:r>
          </w:p>
        </w:tc>
        <w:tc>
          <w:tcPr>
            <w:tcW w:w="663" w:type="pct"/>
            <w:vAlign w:val="center"/>
          </w:tcPr>
          <w:p w14:paraId="575BF9A8">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≤0.2</w:t>
            </w:r>
          </w:p>
        </w:tc>
        <w:tc>
          <w:tcPr>
            <w:tcW w:w="624" w:type="pct"/>
            <w:vAlign w:val="center"/>
          </w:tcPr>
          <w:p w14:paraId="4AD1210B">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≤0.3</w:t>
            </w:r>
          </w:p>
        </w:tc>
        <w:tc>
          <w:tcPr>
            <w:tcW w:w="888" w:type="pct"/>
            <w:vAlign w:val="center"/>
          </w:tcPr>
          <w:p w14:paraId="049699F9">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≤2.0</w:t>
            </w:r>
          </w:p>
        </w:tc>
        <w:tc>
          <w:tcPr>
            <w:tcW w:w="761" w:type="pct"/>
            <w:vAlign w:val="center"/>
          </w:tcPr>
          <w:p w14:paraId="5F51D43D">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&gt;2.0</w:t>
            </w:r>
          </w:p>
        </w:tc>
      </w:tr>
      <w:tr w14:paraId="6A61DE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68E01F97">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锰</w:t>
            </w:r>
          </w:p>
        </w:tc>
        <w:tc>
          <w:tcPr>
            <w:tcW w:w="712" w:type="pct"/>
            <w:vAlign w:val="center"/>
          </w:tcPr>
          <w:p w14:paraId="5B5B1465">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≤0.05</w:t>
            </w:r>
          </w:p>
        </w:tc>
        <w:tc>
          <w:tcPr>
            <w:tcW w:w="663" w:type="pct"/>
            <w:vAlign w:val="center"/>
          </w:tcPr>
          <w:p w14:paraId="6ACF1F9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≤0.05</w:t>
            </w:r>
          </w:p>
        </w:tc>
        <w:tc>
          <w:tcPr>
            <w:tcW w:w="624" w:type="pct"/>
            <w:vAlign w:val="center"/>
          </w:tcPr>
          <w:p w14:paraId="60547FD3">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≤0.10</w:t>
            </w:r>
          </w:p>
        </w:tc>
        <w:tc>
          <w:tcPr>
            <w:tcW w:w="888" w:type="pct"/>
            <w:vAlign w:val="center"/>
          </w:tcPr>
          <w:p w14:paraId="636B068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≤1.50</w:t>
            </w:r>
          </w:p>
        </w:tc>
        <w:tc>
          <w:tcPr>
            <w:tcW w:w="761" w:type="pct"/>
            <w:vAlign w:val="center"/>
          </w:tcPr>
          <w:p w14:paraId="5BFCF241">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&gt;1.50</w:t>
            </w:r>
          </w:p>
        </w:tc>
      </w:tr>
      <w:tr w14:paraId="3FB9C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556C7BE3">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铅</w:t>
            </w:r>
          </w:p>
        </w:tc>
        <w:tc>
          <w:tcPr>
            <w:tcW w:w="712" w:type="pct"/>
            <w:vAlign w:val="center"/>
          </w:tcPr>
          <w:p w14:paraId="04DC813F">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≤0.005</w:t>
            </w:r>
          </w:p>
        </w:tc>
        <w:tc>
          <w:tcPr>
            <w:tcW w:w="663" w:type="pct"/>
            <w:vAlign w:val="center"/>
          </w:tcPr>
          <w:p w14:paraId="5BF45B8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≤0.005</w:t>
            </w:r>
          </w:p>
        </w:tc>
        <w:tc>
          <w:tcPr>
            <w:tcW w:w="624" w:type="pct"/>
            <w:vAlign w:val="center"/>
          </w:tcPr>
          <w:p w14:paraId="7A08C2CA">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≤0.01</w:t>
            </w:r>
          </w:p>
        </w:tc>
        <w:tc>
          <w:tcPr>
            <w:tcW w:w="888" w:type="pct"/>
            <w:vAlign w:val="center"/>
          </w:tcPr>
          <w:p w14:paraId="0B151892">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≤0.10</w:t>
            </w:r>
          </w:p>
        </w:tc>
        <w:tc>
          <w:tcPr>
            <w:tcW w:w="761" w:type="pct"/>
            <w:vAlign w:val="center"/>
          </w:tcPr>
          <w:p w14:paraId="60C5290E">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&gt;0.10</w:t>
            </w:r>
          </w:p>
        </w:tc>
      </w:tr>
      <w:tr w14:paraId="2DCD6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0C01C9C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镉</w:t>
            </w:r>
          </w:p>
        </w:tc>
        <w:tc>
          <w:tcPr>
            <w:tcW w:w="712" w:type="pct"/>
            <w:vAlign w:val="center"/>
          </w:tcPr>
          <w:p w14:paraId="34E40DD8">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≤0.0001</w:t>
            </w:r>
          </w:p>
        </w:tc>
        <w:tc>
          <w:tcPr>
            <w:tcW w:w="663" w:type="pct"/>
            <w:vAlign w:val="center"/>
          </w:tcPr>
          <w:p w14:paraId="7246644B">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≤0.001</w:t>
            </w:r>
          </w:p>
        </w:tc>
        <w:tc>
          <w:tcPr>
            <w:tcW w:w="624" w:type="pct"/>
            <w:vAlign w:val="center"/>
          </w:tcPr>
          <w:p w14:paraId="51B20450">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≤0.005</w:t>
            </w:r>
          </w:p>
        </w:tc>
        <w:tc>
          <w:tcPr>
            <w:tcW w:w="888" w:type="pct"/>
            <w:vAlign w:val="center"/>
          </w:tcPr>
          <w:p w14:paraId="7EF01D2F">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≤0.01</w:t>
            </w:r>
          </w:p>
        </w:tc>
        <w:tc>
          <w:tcPr>
            <w:tcW w:w="761" w:type="pct"/>
            <w:vAlign w:val="center"/>
          </w:tcPr>
          <w:p w14:paraId="4A3006A9">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&gt;0.01</w:t>
            </w:r>
          </w:p>
        </w:tc>
      </w:tr>
      <w:tr w14:paraId="6568FE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05DC49DC">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氰化物</w:t>
            </w:r>
          </w:p>
        </w:tc>
        <w:tc>
          <w:tcPr>
            <w:tcW w:w="712" w:type="pct"/>
            <w:vAlign w:val="center"/>
          </w:tcPr>
          <w:p w14:paraId="088F190B">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≤0.001</w:t>
            </w:r>
          </w:p>
        </w:tc>
        <w:tc>
          <w:tcPr>
            <w:tcW w:w="663" w:type="pct"/>
            <w:vAlign w:val="center"/>
          </w:tcPr>
          <w:p w14:paraId="3AEEF0BB">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≤0.01</w:t>
            </w:r>
          </w:p>
        </w:tc>
        <w:tc>
          <w:tcPr>
            <w:tcW w:w="624" w:type="pct"/>
            <w:vAlign w:val="center"/>
          </w:tcPr>
          <w:p w14:paraId="71EB498C">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≤0.05</w:t>
            </w:r>
          </w:p>
        </w:tc>
        <w:tc>
          <w:tcPr>
            <w:tcW w:w="888" w:type="pct"/>
            <w:vAlign w:val="center"/>
          </w:tcPr>
          <w:p w14:paraId="5E8F0372">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≤0.1</w:t>
            </w:r>
          </w:p>
        </w:tc>
        <w:tc>
          <w:tcPr>
            <w:tcW w:w="761" w:type="pct"/>
            <w:vAlign w:val="center"/>
          </w:tcPr>
          <w:p w14:paraId="074A8573">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&gt;0.1</w:t>
            </w:r>
          </w:p>
        </w:tc>
      </w:tr>
      <w:tr w14:paraId="3CA38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1C84072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总硬度</w:t>
            </w:r>
          </w:p>
        </w:tc>
        <w:tc>
          <w:tcPr>
            <w:tcW w:w="712" w:type="pct"/>
            <w:vAlign w:val="center"/>
          </w:tcPr>
          <w:p w14:paraId="40CECE93">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≤150</w:t>
            </w:r>
          </w:p>
        </w:tc>
        <w:tc>
          <w:tcPr>
            <w:tcW w:w="663" w:type="pct"/>
            <w:vAlign w:val="center"/>
          </w:tcPr>
          <w:p w14:paraId="0A301583">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≤300</w:t>
            </w:r>
          </w:p>
        </w:tc>
        <w:tc>
          <w:tcPr>
            <w:tcW w:w="624" w:type="pct"/>
            <w:vAlign w:val="center"/>
          </w:tcPr>
          <w:p w14:paraId="74D9DEDA">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≤450</w:t>
            </w:r>
          </w:p>
        </w:tc>
        <w:tc>
          <w:tcPr>
            <w:tcW w:w="888" w:type="pct"/>
            <w:vAlign w:val="center"/>
          </w:tcPr>
          <w:p w14:paraId="6B008B0D">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≤650</w:t>
            </w:r>
          </w:p>
        </w:tc>
        <w:tc>
          <w:tcPr>
            <w:tcW w:w="761" w:type="pct"/>
            <w:vAlign w:val="center"/>
          </w:tcPr>
          <w:p w14:paraId="7B4FD8FE">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&gt;650</w:t>
            </w:r>
          </w:p>
        </w:tc>
      </w:tr>
      <w:tr w14:paraId="04134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2C81D899">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硫酸盐</w:t>
            </w:r>
          </w:p>
        </w:tc>
        <w:tc>
          <w:tcPr>
            <w:tcW w:w="712" w:type="pct"/>
            <w:vAlign w:val="center"/>
          </w:tcPr>
          <w:p w14:paraId="231CE418">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≤50</w:t>
            </w:r>
          </w:p>
        </w:tc>
        <w:tc>
          <w:tcPr>
            <w:tcW w:w="663" w:type="pct"/>
            <w:vAlign w:val="center"/>
          </w:tcPr>
          <w:p w14:paraId="1081836D">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≤150</w:t>
            </w:r>
          </w:p>
        </w:tc>
        <w:tc>
          <w:tcPr>
            <w:tcW w:w="624" w:type="pct"/>
            <w:vAlign w:val="center"/>
          </w:tcPr>
          <w:p w14:paraId="1A1FE520">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≤250</w:t>
            </w:r>
          </w:p>
        </w:tc>
        <w:tc>
          <w:tcPr>
            <w:tcW w:w="888" w:type="pct"/>
            <w:vAlign w:val="center"/>
          </w:tcPr>
          <w:p w14:paraId="478ED152">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≤350</w:t>
            </w:r>
          </w:p>
        </w:tc>
        <w:tc>
          <w:tcPr>
            <w:tcW w:w="761" w:type="pct"/>
            <w:vAlign w:val="center"/>
          </w:tcPr>
          <w:p w14:paraId="63D3F07D">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&gt;350</w:t>
            </w:r>
          </w:p>
        </w:tc>
      </w:tr>
      <w:tr w14:paraId="2E3BCD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5A11D6BB">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六价铬</w:t>
            </w:r>
          </w:p>
        </w:tc>
        <w:tc>
          <w:tcPr>
            <w:tcW w:w="712" w:type="pct"/>
            <w:vAlign w:val="center"/>
          </w:tcPr>
          <w:p w14:paraId="5E224C10">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≤0.005</w:t>
            </w:r>
          </w:p>
        </w:tc>
        <w:tc>
          <w:tcPr>
            <w:tcW w:w="663" w:type="pct"/>
            <w:vAlign w:val="center"/>
          </w:tcPr>
          <w:p w14:paraId="662DB55E">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≤0.01</w:t>
            </w:r>
          </w:p>
        </w:tc>
        <w:tc>
          <w:tcPr>
            <w:tcW w:w="624" w:type="pct"/>
            <w:vAlign w:val="center"/>
          </w:tcPr>
          <w:p w14:paraId="2284FF4D">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≤0.05</w:t>
            </w:r>
          </w:p>
        </w:tc>
        <w:tc>
          <w:tcPr>
            <w:tcW w:w="888" w:type="pct"/>
            <w:vAlign w:val="center"/>
          </w:tcPr>
          <w:p w14:paraId="5ECF24BA">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≤0.10</w:t>
            </w:r>
          </w:p>
        </w:tc>
        <w:tc>
          <w:tcPr>
            <w:tcW w:w="761" w:type="pct"/>
            <w:vAlign w:val="center"/>
          </w:tcPr>
          <w:p w14:paraId="68DD5A8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&gt;0.10</w:t>
            </w:r>
          </w:p>
        </w:tc>
      </w:tr>
      <w:tr w14:paraId="09923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6F0D60A6">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氯化物</w:t>
            </w:r>
          </w:p>
        </w:tc>
        <w:tc>
          <w:tcPr>
            <w:tcW w:w="712" w:type="pct"/>
            <w:vAlign w:val="center"/>
          </w:tcPr>
          <w:p w14:paraId="54C9DC47">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≤50</w:t>
            </w:r>
          </w:p>
        </w:tc>
        <w:tc>
          <w:tcPr>
            <w:tcW w:w="663" w:type="pct"/>
            <w:vAlign w:val="center"/>
          </w:tcPr>
          <w:p w14:paraId="0ADB597B">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≤150</w:t>
            </w:r>
          </w:p>
        </w:tc>
        <w:tc>
          <w:tcPr>
            <w:tcW w:w="624" w:type="pct"/>
            <w:vAlign w:val="center"/>
          </w:tcPr>
          <w:p w14:paraId="759F2DA6">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≤250</w:t>
            </w:r>
          </w:p>
        </w:tc>
        <w:tc>
          <w:tcPr>
            <w:tcW w:w="888" w:type="pct"/>
            <w:vAlign w:val="center"/>
          </w:tcPr>
          <w:p w14:paraId="05B44265">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≤350</w:t>
            </w:r>
          </w:p>
        </w:tc>
        <w:tc>
          <w:tcPr>
            <w:tcW w:w="761" w:type="pct"/>
            <w:vAlign w:val="center"/>
          </w:tcPr>
          <w:p w14:paraId="5E886383">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&gt;350</w:t>
            </w:r>
          </w:p>
        </w:tc>
      </w:tr>
      <w:tr w14:paraId="0B1DB8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6A90F4A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溶解性总固体</w:t>
            </w:r>
          </w:p>
        </w:tc>
        <w:tc>
          <w:tcPr>
            <w:tcW w:w="712" w:type="pct"/>
            <w:vAlign w:val="center"/>
          </w:tcPr>
          <w:p w14:paraId="5913E16F">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≤300</w:t>
            </w:r>
          </w:p>
        </w:tc>
        <w:tc>
          <w:tcPr>
            <w:tcW w:w="663" w:type="pct"/>
            <w:vAlign w:val="center"/>
          </w:tcPr>
          <w:p w14:paraId="59C9A9D2">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≤500</w:t>
            </w:r>
          </w:p>
        </w:tc>
        <w:tc>
          <w:tcPr>
            <w:tcW w:w="624" w:type="pct"/>
            <w:vAlign w:val="center"/>
          </w:tcPr>
          <w:p w14:paraId="4B2C6CD3">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≤1000</w:t>
            </w:r>
          </w:p>
        </w:tc>
        <w:tc>
          <w:tcPr>
            <w:tcW w:w="888" w:type="pct"/>
            <w:vAlign w:val="center"/>
          </w:tcPr>
          <w:p w14:paraId="4CD91DAA">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≤2000</w:t>
            </w:r>
          </w:p>
        </w:tc>
        <w:tc>
          <w:tcPr>
            <w:tcW w:w="761" w:type="pct"/>
            <w:vAlign w:val="center"/>
          </w:tcPr>
          <w:p w14:paraId="1DA221A0">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&gt;2000</w:t>
            </w:r>
          </w:p>
        </w:tc>
      </w:tr>
      <w:tr w14:paraId="40960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6838BDF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耗氧量（COD</w:t>
            </w:r>
            <w:r>
              <w:rPr>
                <w:rFonts w:cs="Times New Roman"/>
                <w:bCs/>
                <w:color w:val="auto"/>
                <w:sz w:val="21"/>
                <w:szCs w:val="21"/>
                <w:highlight w:val="none"/>
                <w:vertAlign w:val="subscript"/>
              </w:rPr>
              <w:t>Mn</w:t>
            </w:r>
            <w:r>
              <w:rPr>
                <w:rFonts w:cs="Times New Roman"/>
                <w:bCs/>
                <w:color w:val="auto"/>
                <w:sz w:val="21"/>
                <w:szCs w:val="21"/>
                <w:highlight w:val="none"/>
              </w:rPr>
              <w:t>计）</w:t>
            </w:r>
          </w:p>
        </w:tc>
        <w:tc>
          <w:tcPr>
            <w:tcW w:w="712" w:type="pct"/>
            <w:vAlign w:val="center"/>
          </w:tcPr>
          <w:p w14:paraId="45930A0B">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≤1.0</w:t>
            </w:r>
          </w:p>
        </w:tc>
        <w:tc>
          <w:tcPr>
            <w:tcW w:w="663" w:type="pct"/>
            <w:vAlign w:val="center"/>
          </w:tcPr>
          <w:p w14:paraId="7329D6B7">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≤2.0</w:t>
            </w:r>
          </w:p>
        </w:tc>
        <w:tc>
          <w:tcPr>
            <w:tcW w:w="624" w:type="pct"/>
            <w:vAlign w:val="center"/>
          </w:tcPr>
          <w:p w14:paraId="68F23D95">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≤3.0</w:t>
            </w:r>
          </w:p>
        </w:tc>
        <w:tc>
          <w:tcPr>
            <w:tcW w:w="888" w:type="pct"/>
            <w:vAlign w:val="center"/>
          </w:tcPr>
          <w:p w14:paraId="7786988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≤10</w:t>
            </w:r>
          </w:p>
        </w:tc>
        <w:tc>
          <w:tcPr>
            <w:tcW w:w="761" w:type="pct"/>
            <w:vAlign w:val="center"/>
          </w:tcPr>
          <w:p w14:paraId="39488D9D">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&gt;10</w:t>
            </w:r>
          </w:p>
        </w:tc>
      </w:tr>
      <w:tr w14:paraId="17EF0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50" w:type="pct"/>
            <w:vAlign w:val="center"/>
          </w:tcPr>
          <w:p w14:paraId="6DCD3B47">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总大肠菌群</w:t>
            </w:r>
          </w:p>
        </w:tc>
        <w:tc>
          <w:tcPr>
            <w:tcW w:w="712" w:type="pct"/>
            <w:vAlign w:val="center"/>
          </w:tcPr>
          <w:p w14:paraId="11FDE941">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≤3.0</w:t>
            </w:r>
          </w:p>
        </w:tc>
        <w:tc>
          <w:tcPr>
            <w:tcW w:w="663" w:type="pct"/>
            <w:vAlign w:val="center"/>
          </w:tcPr>
          <w:p w14:paraId="5B4D3891">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≤3.0</w:t>
            </w:r>
          </w:p>
        </w:tc>
        <w:tc>
          <w:tcPr>
            <w:tcW w:w="624" w:type="pct"/>
            <w:vAlign w:val="center"/>
          </w:tcPr>
          <w:p w14:paraId="5036CD32">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≤3.0</w:t>
            </w:r>
          </w:p>
        </w:tc>
        <w:tc>
          <w:tcPr>
            <w:tcW w:w="888" w:type="pct"/>
            <w:vAlign w:val="center"/>
          </w:tcPr>
          <w:p w14:paraId="64221D2D">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≤100</w:t>
            </w:r>
          </w:p>
        </w:tc>
        <w:tc>
          <w:tcPr>
            <w:tcW w:w="761" w:type="pct"/>
            <w:vAlign w:val="center"/>
          </w:tcPr>
          <w:p w14:paraId="680303C5">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&gt;100</w:t>
            </w:r>
          </w:p>
        </w:tc>
      </w:tr>
      <w:tr w14:paraId="51ED57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350" w:type="pct"/>
            <w:vAlign w:val="center"/>
          </w:tcPr>
          <w:p w14:paraId="25EFE6FC">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细菌总数</w:t>
            </w:r>
          </w:p>
        </w:tc>
        <w:tc>
          <w:tcPr>
            <w:tcW w:w="712" w:type="pct"/>
            <w:vAlign w:val="center"/>
          </w:tcPr>
          <w:p w14:paraId="1430DA9B">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≤100</w:t>
            </w:r>
          </w:p>
        </w:tc>
        <w:tc>
          <w:tcPr>
            <w:tcW w:w="663" w:type="pct"/>
            <w:vAlign w:val="center"/>
          </w:tcPr>
          <w:p w14:paraId="595D9EC1">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≤100</w:t>
            </w:r>
          </w:p>
        </w:tc>
        <w:tc>
          <w:tcPr>
            <w:tcW w:w="624" w:type="pct"/>
            <w:vAlign w:val="center"/>
          </w:tcPr>
          <w:p w14:paraId="03000B7B">
            <w:pPr>
              <w:adjustRightInd/>
              <w:snapToGrid/>
              <w:spacing w:line="360" w:lineRule="exact"/>
              <w:ind w:firstLine="0" w:firstLineChars="0"/>
              <w:jc w:val="center"/>
              <w:rPr>
                <w:rFonts w:cs="Times New Roman"/>
                <w:b/>
                <w:bCs/>
                <w:color w:val="auto"/>
                <w:sz w:val="21"/>
                <w:szCs w:val="21"/>
                <w:highlight w:val="none"/>
              </w:rPr>
            </w:pPr>
            <w:r>
              <w:rPr>
                <w:rFonts w:cs="Times New Roman"/>
                <w:b/>
                <w:bCs/>
                <w:color w:val="auto"/>
                <w:sz w:val="21"/>
                <w:szCs w:val="21"/>
                <w:highlight w:val="none"/>
              </w:rPr>
              <w:t>≤100</w:t>
            </w:r>
          </w:p>
        </w:tc>
        <w:tc>
          <w:tcPr>
            <w:tcW w:w="888" w:type="pct"/>
            <w:vAlign w:val="center"/>
          </w:tcPr>
          <w:p w14:paraId="32B45234">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≤1000</w:t>
            </w:r>
          </w:p>
        </w:tc>
        <w:tc>
          <w:tcPr>
            <w:tcW w:w="761" w:type="pct"/>
            <w:vAlign w:val="center"/>
          </w:tcPr>
          <w:p w14:paraId="60FC232A">
            <w:pPr>
              <w:adjustRightInd/>
              <w:snapToGrid/>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&gt;1000</w:t>
            </w:r>
          </w:p>
        </w:tc>
      </w:tr>
    </w:tbl>
    <w:p w14:paraId="1BDB2113">
      <w:pPr>
        <w:adjustRightInd/>
        <w:snapToGrid/>
        <w:spacing w:line="240" w:lineRule="auto"/>
        <w:ind w:firstLine="0" w:firstLineChars="0"/>
        <w:rPr>
          <w:rFonts w:cs="Times New Roman"/>
          <w:b/>
          <w:color w:val="auto"/>
          <w:sz w:val="21"/>
          <w:szCs w:val="21"/>
          <w:highlight w:val="none"/>
        </w:rPr>
      </w:pPr>
      <w:r>
        <w:rPr>
          <w:rFonts w:cs="Times New Roman"/>
          <w:b/>
          <w:color w:val="auto"/>
          <w:sz w:val="21"/>
          <w:szCs w:val="21"/>
          <w:highlight w:val="none"/>
        </w:rPr>
        <w:t>（注：单位为mg/L，pH无量纲，总大肠菌群单位为MPN</w:t>
      </w:r>
      <w:r>
        <w:rPr>
          <w:rFonts w:cs="Times New Roman"/>
          <w:b/>
          <w:color w:val="auto"/>
          <w:sz w:val="21"/>
          <w:szCs w:val="21"/>
          <w:highlight w:val="none"/>
          <w:vertAlign w:val="superscript"/>
        </w:rPr>
        <w:t>b</w:t>
      </w:r>
      <w:r>
        <w:rPr>
          <w:rFonts w:cs="Times New Roman"/>
          <w:b/>
          <w:color w:val="auto"/>
          <w:sz w:val="21"/>
          <w:szCs w:val="21"/>
          <w:highlight w:val="none"/>
        </w:rPr>
        <w:t>/100mL，细菌总数单位为CFU/mL）</w:t>
      </w:r>
    </w:p>
    <w:p w14:paraId="3EB2831A">
      <w:pPr>
        <w:adjustRightInd/>
        <w:snapToGrid/>
        <w:rPr>
          <w:rFonts w:cs="Times New Roman"/>
          <w:color w:val="auto"/>
          <w:highlight w:val="none"/>
        </w:rPr>
      </w:pPr>
      <w:r>
        <w:rPr>
          <w:rFonts w:cs="Times New Roman"/>
          <w:color w:val="auto"/>
          <w:highlight w:val="none"/>
        </w:rPr>
        <w:t>（2）评价模式</w:t>
      </w:r>
    </w:p>
    <w:p w14:paraId="77D9C672">
      <w:pPr>
        <w:adjustRightInd/>
        <w:snapToGrid/>
        <w:rPr>
          <w:rFonts w:cs="Times New Roman"/>
          <w:color w:val="auto"/>
          <w:highlight w:val="none"/>
        </w:rPr>
      </w:pPr>
      <w:r>
        <w:rPr>
          <w:rFonts w:cs="Times New Roman"/>
          <w:color w:val="auto"/>
          <w:highlight w:val="none"/>
        </w:rPr>
        <w:t>地下水现状评价采用标准指数法。标准指数计算结果大于1，表明该水质因子已经超标，标准指数越大，超标越严重。标准指数法计算公式如下：</w:t>
      </w:r>
    </w:p>
    <w:p w14:paraId="0D5B8FB4">
      <w:pPr>
        <w:adjustRightInd/>
        <w:snapToGrid/>
        <w:spacing w:line="240" w:lineRule="auto"/>
        <w:ind w:firstLine="0" w:firstLineChars="0"/>
        <w:jc w:val="center"/>
        <w:rPr>
          <w:rFonts w:cs="Times New Roman"/>
          <w:color w:val="auto"/>
          <w:highlight w:val="none"/>
        </w:rPr>
      </w:pPr>
      <w:r>
        <w:rPr>
          <w:rFonts w:cs="Times New Roman"/>
          <w:color w:val="auto"/>
          <w:position w:val="-30"/>
          <w:highlight w:val="none"/>
        </w:rPr>
        <w:object>
          <v:shape id="_x0000_i1025" o:spt="75" type="#_x0000_t75" style="height:36pt;width:47.55pt;" o:ole="t" filled="f" o:preferrelative="t" stroked="f" coordsize="21600,21600">
            <v:path/>
            <v:fill on="f" focussize="0,0"/>
            <v:stroke on="f" joinstyle="miter"/>
            <v:imagedata r:id="rId32" o:title=""/>
            <o:lock v:ext="edit" aspectratio="t"/>
            <w10:wrap type="none"/>
            <w10:anchorlock/>
          </v:shape>
          <o:OLEObject Type="Embed" ProgID="Equation.3" ShapeID="_x0000_i1025" DrawAspect="Content" ObjectID="_1468075725" r:id="rId31">
            <o:LockedField>false</o:LockedField>
          </o:OLEObject>
        </w:object>
      </w:r>
    </w:p>
    <w:p w14:paraId="0D349C32">
      <w:pPr>
        <w:adjustRightInd/>
        <w:snapToGrid/>
        <w:rPr>
          <w:rFonts w:cs="Times New Roman"/>
          <w:color w:val="auto"/>
          <w:highlight w:val="none"/>
        </w:rPr>
      </w:pPr>
      <w:r>
        <w:rPr>
          <w:rFonts w:cs="Times New Roman"/>
          <w:color w:val="auto"/>
          <w:highlight w:val="none"/>
        </w:rPr>
        <w:t>式中：P</w:t>
      </w:r>
      <w:r>
        <w:rPr>
          <w:rFonts w:cs="Times New Roman"/>
          <w:color w:val="auto"/>
          <w:highlight w:val="none"/>
          <w:vertAlign w:val="subscript"/>
        </w:rPr>
        <w:t>i</w:t>
      </w:r>
      <w:r>
        <w:rPr>
          <w:rFonts w:cs="Times New Roman"/>
          <w:color w:val="auto"/>
          <w:highlight w:val="none"/>
        </w:rPr>
        <w:t>－第i个水质因子的标准指数，无量纲；</w:t>
      </w:r>
    </w:p>
    <w:p w14:paraId="4B1ABFE7">
      <w:pPr>
        <w:adjustRightInd/>
        <w:snapToGrid/>
        <w:ind w:firstLine="1180" w:firstLineChars="492"/>
        <w:rPr>
          <w:rFonts w:cs="Times New Roman"/>
          <w:color w:val="auto"/>
          <w:highlight w:val="none"/>
        </w:rPr>
      </w:pPr>
      <w:r>
        <w:rPr>
          <w:rFonts w:cs="Times New Roman"/>
          <w:color w:val="auto"/>
          <w:highlight w:val="none"/>
        </w:rPr>
        <w:t>C</w:t>
      </w:r>
      <w:r>
        <w:rPr>
          <w:rFonts w:cs="Times New Roman"/>
          <w:color w:val="auto"/>
          <w:highlight w:val="none"/>
          <w:vertAlign w:val="subscript"/>
        </w:rPr>
        <w:t>i</w:t>
      </w:r>
      <w:r>
        <w:rPr>
          <w:rFonts w:cs="Times New Roman"/>
          <w:color w:val="auto"/>
          <w:highlight w:val="none"/>
        </w:rPr>
        <w:t>－第i个水质因子的监测浓度值，mg/L；</w:t>
      </w:r>
    </w:p>
    <w:p w14:paraId="339E0DC1">
      <w:pPr>
        <w:adjustRightInd/>
        <w:snapToGrid/>
        <w:ind w:firstLine="1180" w:firstLineChars="492"/>
        <w:rPr>
          <w:rFonts w:cs="Times New Roman"/>
          <w:color w:val="auto"/>
          <w:highlight w:val="none"/>
        </w:rPr>
      </w:pPr>
      <w:r>
        <w:rPr>
          <w:rFonts w:cs="Times New Roman"/>
          <w:color w:val="auto"/>
          <w:highlight w:val="none"/>
        </w:rPr>
        <w:t>C</w:t>
      </w:r>
      <w:r>
        <w:rPr>
          <w:rFonts w:cs="Times New Roman"/>
          <w:color w:val="auto"/>
          <w:highlight w:val="none"/>
          <w:vertAlign w:val="subscript"/>
        </w:rPr>
        <w:t>si</w:t>
      </w:r>
      <w:r>
        <w:rPr>
          <w:rFonts w:cs="Times New Roman"/>
          <w:color w:val="auto"/>
          <w:highlight w:val="none"/>
        </w:rPr>
        <w:t>－第i个水质因子的标准浓度值，mg/L。</w:t>
      </w:r>
    </w:p>
    <w:p w14:paraId="5714C4CF">
      <w:pPr>
        <w:adjustRightInd/>
        <w:snapToGrid/>
        <w:rPr>
          <w:rFonts w:cs="Times New Roman"/>
          <w:color w:val="auto"/>
          <w:highlight w:val="none"/>
          <w:lang w:val="zh-CN"/>
        </w:rPr>
      </w:pPr>
      <w:r>
        <w:rPr>
          <w:rFonts w:cs="Times New Roman"/>
          <w:color w:val="auto"/>
          <w:highlight w:val="none"/>
        </w:rPr>
        <w:drawing>
          <wp:anchor distT="0" distB="0" distL="114300" distR="114300" simplePos="0" relativeHeight="251744256" behindDoc="0" locked="0" layoutInCell="1" allowOverlap="1">
            <wp:simplePos x="0" y="0"/>
            <wp:positionH relativeFrom="column">
              <wp:posOffset>1626870</wp:posOffset>
            </wp:positionH>
            <wp:positionV relativeFrom="paragraph">
              <wp:posOffset>293370</wp:posOffset>
            </wp:positionV>
            <wp:extent cx="1136650" cy="365125"/>
            <wp:effectExtent l="0" t="0" r="6350" b="15875"/>
            <wp:wrapNone/>
            <wp:docPr id="4" name="图片 4" descr="C:/Users/Administrator/AppData/Local/Temp/picturecompress_20211105115811/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Local/Temp/picturecompress_20211105115811/output_2.pngoutput_2"/>
                    <pic:cNvPicPr>
                      <a:picLocks noChangeAspect="1"/>
                    </pic:cNvPicPr>
                  </pic:nvPicPr>
                  <pic:blipFill>
                    <a:blip r:embed="rId33"/>
                    <a:stretch>
                      <a:fillRect/>
                    </a:stretch>
                  </pic:blipFill>
                  <pic:spPr>
                    <a:xfrm>
                      <a:off x="0" y="0"/>
                      <a:ext cx="1136650" cy="365125"/>
                    </a:xfrm>
                    <a:prstGeom prst="rect">
                      <a:avLst/>
                    </a:prstGeom>
                  </pic:spPr>
                </pic:pic>
              </a:graphicData>
            </a:graphic>
          </wp:anchor>
        </w:drawing>
      </w:r>
      <w:r>
        <w:rPr>
          <w:rFonts w:cs="Times New Roman"/>
          <w:color w:val="auto"/>
          <w:highlight w:val="none"/>
          <w:lang w:val="zh-CN"/>
        </w:rPr>
        <w:t>pH的标准指数公式：</w:t>
      </w:r>
    </w:p>
    <w:p w14:paraId="3A78F552">
      <w:pPr>
        <w:adjustRightInd/>
        <w:snapToGrid/>
        <w:ind w:firstLine="3585" w:firstLineChars="1494"/>
        <w:rPr>
          <w:rFonts w:cs="Times New Roman"/>
          <w:color w:val="auto"/>
          <w:highlight w:val="none"/>
          <w:lang w:val="zh-CN"/>
        </w:rPr>
      </w:pPr>
      <w:r>
        <w:rPr>
          <w:rFonts w:cs="Times New Roman"/>
          <w:color w:val="auto"/>
          <w:highlight w:val="none"/>
          <w:lang w:val="zh-CN"/>
        </w:rPr>
        <w:t xml:space="preserve">          pH≤7时</w:t>
      </w:r>
    </w:p>
    <w:p w14:paraId="4F93D9C3">
      <w:pPr>
        <w:adjustRightInd/>
        <w:snapToGrid/>
        <w:ind w:firstLine="2505" w:firstLineChars="1044"/>
        <w:rPr>
          <w:rFonts w:cs="Times New Roman"/>
          <w:color w:val="auto"/>
          <w:highlight w:val="none"/>
          <w:lang w:val="zh-CN"/>
        </w:rPr>
      </w:pPr>
      <w:r>
        <w:rPr>
          <w:rFonts w:cs="Times New Roman"/>
          <w:color w:val="auto"/>
          <w:highlight w:val="none"/>
        </w:rPr>
        <w:drawing>
          <wp:anchor distT="0" distB="0" distL="114300" distR="114300" simplePos="0" relativeHeight="251745280" behindDoc="0" locked="0" layoutInCell="1" allowOverlap="1">
            <wp:simplePos x="0" y="0"/>
            <wp:positionH relativeFrom="column">
              <wp:posOffset>1626870</wp:posOffset>
            </wp:positionH>
            <wp:positionV relativeFrom="paragraph">
              <wp:posOffset>201930</wp:posOffset>
            </wp:positionV>
            <wp:extent cx="1119505" cy="369570"/>
            <wp:effectExtent l="0" t="0" r="4445" b="11430"/>
            <wp:wrapNone/>
            <wp:docPr id="5" name="图片 5" descr="C:/Users/Administrator/AppData/Local/Temp/picturecompress_20211105115811/output_3.pngoutpu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Local/Temp/picturecompress_20211105115811/output_3.pngoutput_3"/>
                    <pic:cNvPicPr>
                      <a:picLocks noChangeAspect="1"/>
                    </pic:cNvPicPr>
                  </pic:nvPicPr>
                  <pic:blipFill>
                    <a:blip r:embed="rId34"/>
                    <a:stretch>
                      <a:fillRect/>
                    </a:stretch>
                  </pic:blipFill>
                  <pic:spPr>
                    <a:xfrm>
                      <a:off x="0" y="0"/>
                      <a:ext cx="1119505" cy="369570"/>
                    </a:xfrm>
                    <a:prstGeom prst="rect">
                      <a:avLst/>
                    </a:prstGeom>
                  </pic:spPr>
                </pic:pic>
              </a:graphicData>
            </a:graphic>
          </wp:anchor>
        </w:drawing>
      </w:r>
      <w:r>
        <w:rPr>
          <w:rFonts w:cs="Times New Roman"/>
          <w:color w:val="auto"/>
          <w:highlight w:val="none"/>
          <w:lang w:val="zh-CN"/>
        </w:rPr>
        <w:t xml:space="preserve"> </w:t>
      </w:r>
    </w:p>
    <w:p w14:paraId="77C7CD97">
      <w:pPr>
        <w:adjustRightInd/>
        <w:snapToGrid/>
        <w:ind w:firstLine="3465" w:firstLineChars="1444"/>
        <w:rPr>
          <w:rFonts w:cs="Times New Roman"/>
          <w:color w:val="auto"/>
          <w:highlight w:val="none"/>
          <w:lang w:val="zh-CN"/>
        </w:rPr>
      </w:pPr>
      <w:r>
        <w:rPr>
          <w:rFonts w:cs="Times New Roman"/>
          <w:color w:val="auto"/>
          <w:highlight w:val="none"/>
          <w:lang w:val="zh-CN"/>
        </w:rPr>
        <w:t xml:space="preserve">           pH＞7时</w:t>
      </w:r>
    </w:p>
    <w:p w14:paraId="619C9463">
      <w:pPr>
        <w:adjustRightInd/>
        <w:snapToGrid/>
        <w:rPr>
          <w:rFonts w:cs="Times New Roman"/>
          <w:color w:val="auto"/>
          <w:highlight w:val="none"/>
        </w:rPr>
      </w:pPr>
      <w:r>
        <w:rPr>
          <w:rFonts w:cs="Times New Roman"/>
          <w:color w:val="auto"/>
          <w:highlight w:val="none"/>
        </w:rPr>
        <w:t>式中：P</w:t>
      </w:r>
      <w:r>
        <w:rPr>
          <w:rFonts w:cs="Times New Roman"/>
          <w:color w:val="auto"/>
          <w:highlight w:val="none"/>
          <w:vertAlign w:val="subscript"/>
        </w:rPr>
        <w:t>pH</w:t>
      </w:r>
      <w:r>
        <w:rPr>
          <w:rFonts w:cs="Times New Roman"/>
          <w:color w:val="auto"/>
          <w:highlight w:val="none"/>
        </w:rPr>
        <w:t>——pH的标准指数；</w:t>
      </w:r>
    </w:p>
    <w:p w14:paraId="0F20184E">
      <w:pPr>
        <w:adjustRightInd/>
        <w:snapToGrid/>
        <w:ind w:firstLine="1185" w:firstLineChars="494"/>
        <w:rPr>
          <w:rFonts w:cs="Times New Roman"/>
          <w:color w:val="auto"/>
          <w:highlight w:val="none"/>
        </w:rPr>
      </w:pPr>
      <w:r>
        <w:rPr>
          <w:rFonts w:cs="Times New Roman"/>
          <w:color w:val="auto"/>
          <w:highlight w:val="none"/>
        </w:rPr>
        <w:t>pH——pH监测值；</w:t>
      </w:r>
    </w:p>
    <w:p w14:paraId="7AAB66B8">
      <w:pPr>
        <w:adjustRightInd/>
        <w:snapToGrid/>
        <w:ind w:firstLine="1185" w:firstLineChars="494"/>
        <w:rPr>
          <w:rFonts w:cs="Times New Roman"/>
          <w:color w:val="auto"/>
          <w:highlight w:val="none"/>
        </w:rPr>
      </w:pPr>
      <w:r>
        <w:rPr>
          <w:rFonts w:cs="Times New Roman"/>
          <w:color w:val="auto"/>
          <w:highlight w:val="none"/>
        </w:rPr>
        <w:t>pH</w:t>
      </w:r>
      <w:r>
        <w:rPr>
          <w:rFonts w:cs="Times New Roman"/>
          <w:color w:val="auto"/>
          <w:highlight w:val="none"/>
          <w:vertAlign w:val="subscript"/>
        </w:rPr>
        <w:t>su</w:t>
      </w:r>
      <w:r>
        <w:rPr>
          <w:rFonts w:cs="Times New Roman"/>
          <w:color w:val="auto"/>
          <w:highlight w:val="none"/>
        </w:rPr>
        <w:t>——标准中pH的上限值；</w:t>
      </w:r>
    </w:p>
    <w:p w14:paraId="512A71E5">
      <w:pPr>
        <w:adjustRightInd/>
        <w:snapToGrid/>
        <w:ind w:firstLine="1200" w:firstLineChars="500"/>
        <w:rPr>
          <w:rFonts w:cs="Times New Roman"/>
          <w:color w:val="auto"/>
          <w:highlight w:val="none"/>
        </w:rPr>
      </w:pPr>
      <w:r>
        <w:rPr>
          <w:rFonts w:cs="Times New Roman"/>
          <w:color w:val="auto"/>
          <w:highlight w:val="none"/>
        </w:rPr>
        <w:t>pH</w:t>
      </w:r>
      <w:r>
        <w:rPr>
          <w:rFonts w:cs="Times New Roman"/>
          <w:color w:val="auto"/>
          <w:highlight w:val="none"/>
          <w:vertAlign w:val="subscript"/>
        </w:rPr>
        <w:t>sd</w:t>
      </w:r>
      <w:r>
        <w:rPr>
          <w:rFonts w:cs="Times New Roman"/>
          <w:color w:val="auto"/>
          <w:highlight w:val="none"/>
        </w:rPr>
        <w:t>——标准中pH的下限值。</w:t>
      </w:r>
    </w:p>
    <w:p w14:paraId="3FA2A6D5">
      <w:pPr>
        <w:adjustRightInd/>
        <w:snapToGrid/>
        <w:rPr>
          <w:rFonts w:cs="Times New Roman"/>
          <w:color w:val="auto"/>
          <w:highlight w:val="none"/>
        </w:rPr>
      </w:pPr>
      <w:r>
        <w:rPr>
          <w:rFonts w:cs="Times New Roman"/>
          <w:color w:val="auto"/>
          <w:highlight w:val="none"/>
        </w:rPr>
        <w:t>（3）评价结果及分析</w:t>
      </w:r>
    </w:p>
    <w:p w14:paraId="2ADA909A">
      <w:pPr>
        <w:adjustRightInd/>
        <w:snapToGrid/>
        <w:rPr>
          <w:rFonts w:cs="Times New Roman"/>
          <w:color w:val="auto"/>
          <w:sz w:val="21"/>
          <w:szCs w:val="21"/>
          <w:highlight w:val="none"/>
        </w:rPr>
      </w:pPr>
      <w:r>
        <w:rPr>
          <w:rFonts w:cs="Times New Roman"/>
          <w:color w:val="auto"/>
          <w:highlight w:val="none"/>
        </w:rPr>
        <w:t>根据监测数据和评价标准，按上述模式计算的结果见下表。</w:t>
      </w:r>
    </w:p>
    <w:p w14:paraId="790D381A">
      <w:pPr>
        <w:adjustRightInd/>
        <w:snapToGrid/>
        <w:spacing w:line="240" w:lineRule="auto"/>
        <w:ind w:firstLine="0" w:firstLineChars="0"/>
        <w:jc w:val="center"/>
        <w:rPr>
          <w:rFonts w:cs="Times New Roman"/>
          <w:b/>
          <w:color w:val="auto"/>
          <w:szCs w:val="24"/>
          <w:highlight w:val="none"/>
        </w:rPr>
      </w:pPr>
      <w:r>
        <w:rPr>
          <w:rFonts w:cs="Times New Roman"/>
          <w:b/>
          <w:color w:val="auto"/>
          <w:szCs w:val="24"/>
          <w:highlight w:val="none"/>
        </w:rPr>
        <w:t>表4-2-12  地下水污染指数计算结果</w:t>
      </w:r>
    </w:p>
    <w:tbl>
      <w:tblPr>
        <w:tblStyle w:val="47"/>
        <w:tblW w:w="500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005"/>
        <w:gridCol w:w="2185"/>
        <w:gridCol w:w="2062"/>
        <w:gridCol w:w="2067"/>
      </w:tblGrid>
      <w:tr w14:paraId="4EDEBE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Merge w:val="restart"/>
            <w:vAlign w:val="center"/>
          </w:tcPr>
          <w:p w14:paraId="181E3066">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评价因子</w:t>
            </w:r>
          </w:p>
        </w:tc>
        <w:tc>
          <w:tcPr>
            <w:tcW w:w="3794" w:type="pct"/>
            <w:gridSpan w:val="3"/>
          </w:tcPr>
          <w:p w14:paraId="27AFA06B">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监测点位</w:t>
            </w:r>
          </w:p>
        </w:tc>
      </w:tr>
      <w:tr w14:paraId="1D32F0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Merge w:val="continue"/>
            <w:vAlign w:val="center"/>
          </w:tcPr>
          <w:p w14:paraId="1B673049">
            <w:pPr>
              <w:spacing w:line="240" w:lineRule="auto"/>
              <w:ind w:firstLine="0" w:firstLineChars="0"/>
              <w:jc w:val="center"/>
              <w:rPr>
                <w:rFonts w:cs="Times New Roman"/>
                <w:color w:val="auto"/>
                <w:sz w:val="21"/>
                <w:szCs w:val="21"/>
                <w:highlight w:val="none"/>
              </w:rPr>
            </w:pPr>
          </w:p>
        </w:tc>
        <w:tc>
          <w:tcPr>
            <w:tcW w:w="1313" w:type="pct"/>
            <w:vAlign w:val="center"/>
          </w:tcPr>
          <w:p w14:paraId="2B387EE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1239" w:type="pct"/>
            <w:vAlign w:val="center"/>
          </w:tcPr>
          <w:p w14:paraId="19D20F8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2#</w:t>
            </w:r>
          </w:p>
        </w:tc>
        <w:tc>
          <w:tcPr>
            <w:tcW w:w="1242" w:type="pct"/>
            <w:vAlign w:val="center"/>
          </w:tcPr>
          <w:p w14:paraId="57EC7F70">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3#</w:t>
            </w:r>
          </w:p>
        </w:tc>
      </w:tr>
      <w:tr w14:paraId="0C7FF7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12B87C73">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pH值（无量纲）</w:t>
            </w:r>
          </w:p>
        </w:tc>
        <w:tc>
          <w:tcPr>
            <w:tcW w:w="1313" w:type="pct"/>
            <w:vAlign w:val="center"/>
          </w:tcPr>
          <w:p w14:paraId="2C8CF4B7">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0.30</w:t>
            </w:r>
          </w:p>
        </w:tc>
        <w:tc>
          <w:tcPr>
            <w:tcW w:w="1239" w:type="pct"/>
            <w:vAlign w:val="center"/>
          </w:tcPr>
          <w:p w14:paraId="5C1DE6D5">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0.25</w:t>
            </w:r>
          </w:p>
        </w:tc>
        <w:tc>
          <w:tcPr>
            <w:tcW w:w="1242" w:type="pct"/>
            <w:vAlign w:val="center"/>
          </w:tcPr>
          <w:p w14:paraId="0F90D2F7">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0.20</w:t>
            </w:r>
          </w:p>
        </w:tc>
      </w:tr>
      <w:tr w14:paraId="3170C4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0EEE226E">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氨氮</w:t>
            </w:r>
          </w:p>
        </w:tc>
        <w:tc>
          <w:tcPr>
            <w:tcW w:w="1313" w:type="pct"/>
            <w:vAlign w:val="center"/>
          </w:tcPr>
          <w:p w14:paraId="73D8C6A6">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0.81</w:t>
            </w:r>
          </w:p>
        </w:tc>
        <w:tc>
          <w:tcPr>
            <w:tcW w:w="1239" w:type="pct"/>
            <w:vAlign w:val="center"/>
          </w:tcPr>
          <w:p w14:paraId="108F6C77">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0.97</w:t>
            </w:r>
          </w:p>
        </w:tc>
        <w:tc>
          <w:tcPr>
            <w:tcW w:w="1242" w:type="pct"/>
            <w:vAlign w:val="center"/>
          </w:tcPr>
          <w:p w14:paraId="0C3EF703">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0.94</w:t>
            </w:r>
          </w:p>
        </w:tc>
      </w:tr>
      <w:tr w14:paraId="14F3E9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5E2EB00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硝酸盐氮</w:t>
            </w:r>
          </w:p>
        </w:tc>
        <w:tc>
          <w:tcPr>
            <w:tcW w:w="1313" w:type="pct"/>
            <w:vAlign w:val="center"/>
          </w:tcPr>
          <w:p w14:paraId="31AAC75B">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0.0065</w:t>
            </w:r>
          </w:p>
        </w:tc>
        <w:tc>
          <w:tcPr>
            <w:tcW w:w="1239" w:type="pct"/>
            <w:vAlign w:val="center"/>
          </w:tcPr>
          <w:p w14:paraId="0ACFA9EA">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0.10</w:t>
            </w:r>
          </w:p>
        </w:tc>
        <w:tc>
          <w:tcPr>
            <w:tcW w:w="1242" w:type="pct"/>
            <w:vAlign w:val="center"/>
          </w:tcPr>
          <w:p w14:paraId="04EC5DE5">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0.0075</w:t>
            </w:r>
          </w:p>
        </w:tc>
      </w:tr>
      <w:tr w14:paraId="5B624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750D0F2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亚硝酸盐氮</w:t>
            </w:r>
          </w:p>
        </w:tc>
        <w:tc>
          <w:tcPr>
            <w:tcW w:w="1313" w:type="pct"/>
            <w:vAlign w:val="center"/>
          </w:tcPr>
          <w:p w14:paraId="01B3C58B">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39" w:type="pct"/>
            <w:vAlign w:val="center"/>
          </w:tcPr>
          <w:p w14:paraId="3F3A6E2A">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42" w:type="pct"/>
            <w:vAlign w:val="center"/>
          </w:tcPr>
          <w:p w14:paraId="5B9A2BF6">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5925F0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4100652B">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挥发酚</w:t>
            </w:r>
          </w:p>
        </w:tc>
        <w:tc>
          <w:tcPr>
            <w:tcW w:w="1313" w:type="pct"/>
            <w:vAlign w:val="center"/>
          </w:tcPr>
          <w:p w14:paraId="7C64B98A">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39" w:type="pct"/>
            <w:vAlign w:val="center"/>
          </w:tcPr>
          <w:p w14:paraId="0BEADEE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42" w:type="pct"/>
            <w:vAlign w:val="center"/>
          </w:tcPr>
          <w:p w14:paraId="508189A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1D1C8F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2480F3B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氟化物</w:t>
            </w:r>
          </w:p>
        </w:tc>
        <w:tc>
          <w:tcPr>
            <w:tcW w:w="1313" w:type="pct"/>
            <w:vAlign w:val="center"/>
          </w:tcPr>
          <w:p w14:paraId="017221A1">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0.17</w:t>
            </w:r>
          </w:p>
        </w:tc>
        <w:tc>
          <w:tcPr>
            <w:tcW w:w="1239" w:type="pct"/>
            <w:vAlign w:val="center"/>
          </w:tcPr>
          <w:p w14:paraId="38C86004">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0.14</w:t>
            </w:r>
          </w:p>
        </w:tc>
        <w:tc>
          <w:tcPr>
            <w:tcW w:w="1242" w:type="pct"/>
            <w:vAlign w:val="center"/>
          </w:tcPr>
          <w:p w14:paraId="5830D4F3">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0.13</w:t>
            </w:r>
          </w:p>
        </w:tc>
      </w:tr>
      <w:tr w14:paraId="28141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6E20F19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汞</w:t>
            </w:r>
          </w:p>
        </w:tc>
        <w:tc>
          <w:tcPr>
            <w:tcW w:w="1313" w:type="pct"/>
            <w:vAlign w:val="center"/>
          </w:tcPr>
          <w:p w14:paraId="0D6DA469">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39" w:type="pct"/>
            <w:vAlign w:val="center"/>
          </w:tcPr>
          <w:p w14:paraId="107FDE07">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42" w:type="pct"/>
            <w:vAlign w:val="center"/>
          </w:tcPr>
          <w:p w14:paraId="11CF8AF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2B80ED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199F027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砷</w:t>
            </w:r>
          </w:p>
        </w:tc>
        <w:tc>
          <w:tcPr>
            <w:tcW w:w="1313" w:type="pct"/>
            <w:vAlign w:val="center"/>
          </w:tcPr>
          <w:p w14:paraId="52EC527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39" w:type="pct"/>
            <w:vAlign w:val="center"/>
          </w:tcPr>
          <w:p w14:paraId="2F9EDD99">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42" w:type="pct"/>
            <w:vAlign w:val="center"/>
          </w:tcPr>
          <w:p w14:paraId="6A4A13D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07961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7889222B">
            <w:pPr>
              <w:spacing w:line="240" w:lineRule="auto"/>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铁</w:t>
            </w:r>
          </w:p>
        </w:tc>
        <w:tc>
          <w:tcPr>
            <w:tcW w:w="1313" w:type="pct"/>
            <w:vAlign w:val="center"/>
          </w:tcPr>
          <w:p w14:paraId="6A287EA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9.03</w:t>
            </w:r>
          </w:p>
        </w:tc>
        <w:tc>
          <w:tcPr>
            <w:tcW w:w="1239" w:type="pct"/>
            <w:vAlign w:val="center"/>
          </w:tcPr>
          <w:p w14:paraId="739D32C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7.83</w:t>
            </w:r>
          </w:p>
        </w:tc>
        <w:tc>
          <w:tcPr>
            <w:tcW w:w="1242" w:type="pct"/>
            <w:vAlign w:val="center"/>
          </w:tcPr>
          <w:p w14:paraId="2198A43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9.20</w:t>
            </w:r>
          </w:p>
        </w:tc>
      </w:tr>
      <w:tr w14:paraId="641101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6F1B924B">
            <w:pPr>
              <w:spacing w:line="240" w:lineRule="auto"/>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锰</w:t>
            </w:r>
          </w:p>
        </w:tc>
        <w:tc>
          <w:tcPr>
            <w:tcW w:w="1313" w:type="pct"/>
            <w:vAlign w:val="center"/>
          </w:tcPr>
          <w:p w14:paraId="21004B4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21.0</w:t>
            </w:r>
          </w:p>
        </w:tc>
        <w:tc>
          <w:tcPr>
            <w:tcW w:w="1239" w:type="pct"/>
            <w:vAlign w:val="center"/>
          </w:tcPr>
          <w:p w14:paraId="6C99484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24.3</w:t>
            </w:r>
          </w:p>
        </w:tc>
        <w:tc>
          <w:tcPr>
            <w:tcW w:w="1242" w:type="pct"/>
            <w:vAlign w:val="center"/>
          </w:tcPr>
          <w:p w14:paraId="4DC2453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21.4</w:t>
            </w:r>
          </w:p>
        </w:tc>
      </w:tr>
      <w:tr w14:paraId="6AB55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7C13232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铅</w:t>
            </w:r>
          </w:p>
        </w:tc>
        <w:tc>
          <w:tcPr>
            <w:tcW w:w="1313" w:type="pct"/>
            <w:vAlign w:val="center"/>
          </w:tcPr>
          <w:p w14:paraId="5DD163F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39" w:type="pct"/>
            <w:vAlign w:val="center"/>
          </w:tcPr>
          <w:p w14:paraId="0E4F983E">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42" w:type="pct"/>
            <w:vAlign w:val="center"/>
          </w:tcPr>
          <w:p w14:paraId="72123A6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0EFB9D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0A393669">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镉</w:t>
            </w:r>
          </w:p>
        </w:tc>
        <w:tc>
          <w:tcPr>
            <w:tcW w:w="1313" w:type="pct"/>
            <w:vAlign w:val="center"/>
          </w:tcPr>
          <w:p w14:paraId="3E44020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39" w:type="pct"/>
            <w:vAlign w:val="center"/>
          </w:tcPr>
          <w:p w14:paraId="280A15C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42" w:type="pct"/>
            <w:vAlign w:val="center"/>
          </w:tcPr>
          <w:p w14:paraId="4510591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608A3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7D640CF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氰化物</w:t>
            </w:r>
          </w:p>
        </w:tc>
        <w:tc>
          <w:tcPr>
            <w:tcW w:w="1313" w:type="pct"/>
            <w:vAlign w:val="center"/>
          </w:tcPr>
          <w:p w14:paraId="48B6C40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39" w:type="pct"/>
            <w:vAlign w:val="center"/>
          </w:tcPr>
          <w:p w14:paraId="57093F4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42" w:type="pct"/>
            <w:vAlign w:val="center"/>
          </w:tcPr>
          <w:p w14:paraId="69179A5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1C8069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2562D69E">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总硬度</w:t>
            </w:r>
          </w:p>
        </w:tc>
        <w:tc>
          <w:tcPr>
            <w:tcW w:w="1313" w:type="pct"/>
            <w:vAlign w:val="center"/>
          </w:tcPr>
          <w:p w14:paraId="1F10E5DA">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0.86</w:t>
            </w:r>
          </w:p>
        </w:tc>
        <w:tc>
          <w:tcPr>
            <w:tcW w:w="1239" w:type="pct"/>
            <w:vAlign w:val="center"/>
          </w:tcPr>
          <w:p w14:paraId="59AB9B03">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0.92</w:t>
            </w:r>
          </w:p>
        </w:tc>
        <w:tc>
          <w:tcPr>
            <w:tcW w:w="1242" w:type="pct"/>
            <w:vAlign w:val="center"/>
          </w:tcPr>
          <w:p w14:paraId="6D070566">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0.96</w:t>
            </w:r>
          </w:p>
        </w:tc>
      </w:tr>
      <w:tr w14:paraId="6B372E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75787A32">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硫酸盐</w:t>
            </w:r>
          </w:p>
        </w:tc>
        <w:tc>
          <w:tcPr>
            <w:tcW w:w="1313" w:type="pct"/>
            <w:vAlign w:val="center"/>
          </w:tcPr>
          <w:p w14:paraId="2584E075">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0.42</w:t>
            </w:r>
          </w:p>
        </w:tc>
        <w:tc>
          <w:tcPr>
            <w:tcW w:w="1239" w:type="pct"/>
            <w:vAlign w:val="center"/>
          </w:tcPr>
          <w:p w14:paraId="6F82BE88">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0.37</w:t>
            </w:r>
          </w:p>
        </w:tc>
        <w:tc>
          <w:tcPr>
            <w:tcW w:w="1242" w:type="pct"/>
            <w:vAlign w:val="center"/>
          </w:tcPr>
          <w:p w14:paraId="4DA9E3A5">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0.34</w:t>
            </w:r>
          </w:p>
        </w:tc>
      </w:tr>
      <w:tr w14:paraId="5EDFC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71DA3B8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六价铬</w:t>
            </w:r>
          </w:p>
        </w:tc>
        <w:tc>
          <w:tcPr>
            <w:tcW w:w="1313" w:type="pct"/>
            <w:vAlign w:val="center"/>
          </w:tcPr>
          <w:p w14:paraId="670A12B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39" w:type="pct"/>
            <w:vAlign w:val="center"/>
          </w:tcPr>
          <w:p w14:paraId="63A05B4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42" w:type="pct"/>
            <w:vAlign w:val="center"/>
          </w:tcPr>
          <w:p w14:paraId="4F72564E">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003E4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7750D5D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氯化物</w:t>
            </w:r>
          </w:p>
        </w:tc>
        <w:tc>
          <w:tcPr>
            <w:tcW w:w="1313" w:type="pct"/>
            <w:vAlign w:val="center"/>
          </w:tcPr>
          <w:p w14:paraId="22BBF20B">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0.77</w:t>
            </w:r>
          </w:p>
        </w:tc>
        <w:tc>
          <w:tcPr>
            <w:tcW w:w="1239" w:type="pct"/>
            <w:vAlign w:val="center"/>
          </w:tcPr>
          <w:p w14:paraId="73DF86BE">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0.64</w:t>
            </w:r>
          </w:p>
        </w:tc>
        <w:tc>
          <w:tcPr>
            <w:tcW w:w="1242" w:type="pct"/>
            <w:vAlign w:val="center"/>
          </w:tcPr>
          <w:p w14:paraId="208B54F4">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0.53</w:t>
            </w:r>
          </w:p>
        </w:tc>
      </w:tr>
      <w:tr w14:paraId="02317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741B37D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溶解性总固体</w:t>
            </w:r>
          </w:p>
        </w:tc>
        <w:tc>
          <w:tcPr>
            <w:tcW w:w="1313" w:type="pct"/>
            <w:vAlign w:val="center"/>
          </w:tcPr>
          <w:p w14:paraId="295EC19F">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0.89</w:t>
            </w:r>
          </w:p>
        </w:tc>
        <w:tc>
          <w:tcPr>
            <w:tcW w:w="1239" w:type="pct"/>
            <w:vAlign w:val="center"/>
          </w:tcPr>
          <w:p w14:paraId="55EBE828">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0.92</w:t>
            </w:r>
          </w:p>
        </w:tc>
        <w:tc>
          <w:tcPr>
            <w:tcW w:w="1242" w:type="pct"/>
            <w:vAlign w:val="center"/>
          </w:tcPr>
          <w:p w14:paraId="1601D723">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0.97</w:t>
            </w:r>
          </w:p>
        </w:tc>
      </w:tr>
      <w:tr w14:paraId="6DFC3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5439656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耗氧量（CODMn计）</w:t>
            </w:r>
          </w:p>
        </w:tc>
        <w:tc>
          <w:tcPr>
            <w:tcW w:w="1313" w:type="pct"/>
            <w:vAlign w:val="center"/>
          </w:tcPr>
          <w:p w14:paraId="65FA66D0">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0.37</w:t>
            </w:r>
          </w:p>
        </w:tc>
        <w:tc>
          <w:tcPr>
            <w:tcW w:w="1239" w:type="pct"/>
            <w:vAlign w:val="center"/>
          </w:tcPr>
          <w:p w14:paraId="7A6C66E6">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0.30</w:t>
            </w:r>
          </w:p>
        </w:tc>
        <w:tc>
          <w:tcPr>
            <w:tcW w:w="1242" w:type="pct"/>
            <w:vAlign w:val="center"/>
          </w:tcPr>
          <w:p w14:paraId="5EFC3B9D">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0.33</w:t>
            </w:r>
          </w:p>
        </w:tc>
      </w:tr>
      <w:tr w14:paraId="7696A6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3DA93E3E">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总大肠菌群</w:t>
            </w:r>
          </w:p>
        </w:tc>
        <w:tc>
          <w:tcPr>
            <w:tcW w:w="1313" w:type="pct"/>
            <w:vAlign w:val="center"/>
          </w:tcPr>
          <w:p w14:paraId="0CACCBE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39" w:type="pct"/>
            <w:vAlign w:val="center"/>
          </w:tcPr>
          <w:p w14:paraId="68FFB5E3">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242" w:type="pct"/>
            <w:vAlign w:val="center"/>
          </w:tcPr>
          <w:p w14:paraId="3DAC84B3">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45F3E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05" w:type="pct"/>
            <w:vAlign w:val="center"/>
          </w:tcPr>
          <w:p w14:paraId="6870E8B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细菌总数</w:t>
            </w:r>
          </w:p>
        </w:tc>
        <w:tc>
          <w:tcPr>
            <w:tcW w:w="1313" w:type="pct"/>
            <w:shd w:val="clear" w:color="auto" w:fill="auto"/>
            <w:vAlign w:val="center"/>
          </w:tcPr>
          <w:p w14:paraId="4C67B973">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0.36</w:t>
            </w:r>
          </w:p>
        </w:tc>
        <w:tc>
          <w:tcPr>
            <w:tcW w:w="1239" w:type="pct"/>
            <w:shd w:val="clear" w:color="auto" w:fill="auto"/>
            <w:vAlign w:val="center"/>
          </w:tcPr>
          <w:p w14:paraId="579D645C">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0.32</w:t>
            </w:r>
          </w:p>
        </w:tc>
        <w:tc>
          <w:tcPr>
            <w:tcW w:w="1242" w:type="pct"/>
            <w:shd w:val="clear" w:color="auto" w:fill="auto"/>
            <w:vAlign w:val="center"/>
          </w:tcPr>
          <w:p w14:paraId="147A4A26">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0.28</w:t>
            </w:r>
          </w:p>
        </w:tc>
      </w:tr>
    </w:tbl>
    <w:p w14:paraId="115E25AD">
      <w:pPr>
        <w:rPr>
          <w:rFonts w:cs="Times New Roman"/>
          <w:color w:val="auto"/>
          <w:highlight w:val="none"/>
        </w:rPr>
      </w:pPr>
      <w:r>
        <w:rPr>
          <w:rFonts w:cs="Times New Roman"/>
          <w:color w:val="auto"/>
          <w:highlight w:val="none"/>
        </w:rPr>
        <w:t>（4）地下水化学类型</w:t>
      </w:r>
    </w:p>
    <w:p w14:paraId="6EC00D0F">
      <w:pPr>
        <w:ind w:firstLine="528" w:firstLineChars="0"/>
        <w:rPr>
          <w:rFonts w:cs="Times New Roman"/>
          <w:color w:val="auto"/>
          <w:spacing w:val="12"/>
          <w:highlight w:val="none"/>
        </w:rPr>
      </w:pPr>
      <w:r>
        <w:rPr>
          <w:rFonts w:cs="Times New Roman"/>
          <w:color w:val="auto"/>
          <w:spacing w:val="12"/>
          <w:highlight w:val="none"/>
        </w:rPr>
        <w:t>用舒卡列夫分类法对地下水化学类型进行评价，其主要作用有两点，一是查明地下水化学类型，二是查验检测结果的准确性。地下水化学类型的舒卡列夫分类是根据地下水中7种主要离子（Na</w:t>
      </w:r>
      <w:r>
        <w:rPr>
          <w:rFonts w:cs="Times New Roman"/>
          <w:color w:val="auto"/>
          <w:spacing w:val="12"/>
          <w:highlight w:val="none"/>
          <w:vertAlign w:val="superscript"/>
        </w:rPr>
        <w:t>+</w:t>
      </w:r>
      <w:r>
        <w:rPr>
          <w:rFonts w:cs="Times New Roman"/>
          <w:color w:val="auto"/>
          <w:spacing w:val="12"/>
          <w:highlight w:val="none"/>
        </w:rPr>
        <w:t>、C</w:t>
      </w:r>
      <w:r>
        <w:rPr>
          <w:rFonts w:cs="Times New Roman"/>
          <w:color w:val="auto"/>
          <w:spacing w:val="12"/>
          <w:highlight w:val="none"/>
          <w:vertAlign w:val="subscript"/>
        </w:rPr>
        <w:t>a</w:t>
      </w:r>
      <w:r>
        <w:rPr>
          <w:rFonts w:cs="Times New Roman"/>
          <w:color w:val="auto"/>
          <w:spacing w:val="12"/>
          <w:highlight w:val="none"/>
          <w:vertAlign w:val="superscript"/>
        </w:rPr>
        <w:t>2+</w:t>
      </w:r>
      <w:r>
        <w:rPr>
          <w:rFonts w:cs="Times New Roman"/>
          <w:color w:val="auto"/>
          <w:spacing w:val="12"/>
          <w:highlight w:val="none"/>
        </w:rPr>
        <w:t>、Mg</w:t>
      </w:r>
      <w:r>
        <w:rPr>
          <w:rFonts w:cs="Times New Roman"/>
          <w:color w:val="auto"/>
          <w:spacing w:val="12"/>
          <w:highlight w:val="none"/>
          <w:vertAlign w:val="superscript"/>
        </w:rPr>
        <w:t>2+</w:t>
      </w:r>
      <w:r>
        <w:rPr>
          <w:rFonts w:cs="Times New Roman"/>
          <w:color w:val="auto"/>
          <w:spacing w:val="12"/>
          <w:highlight w:val="none"/>
        </w:rPr>
        <w:t>、HCO</w:t>
      </w:r>
      <w:r>
        <w:rPr>
          <w:rFonts w:cs="Times New Roman"/>
          <w:color w:val="auto"/>
          <w:spacing w:val="12"/>
          <w:highlight w:val="none"/>
          <w:vertAlign w:val="subscript"/>
        </w:rPr>
        <w:t>3</w:t>
      </w:r>
      <w:r>
        <w:rPr>
          <w:rFonts w:cs="Times New Roman"/>
          <w:color w:val="auto"/>
          <w:spacing w:val="12"/>
          <w:highlight w:val="none"/>
          <w:vertAlign w:val="superscript"/>
        </w:rPr>
        <w:t>-</w:t>
      </w:r>
      <w:r>
        <w:rPr>
          <w:rFonts w:cs="Times New Roman"/>
          <w:color w:val="auto"/>
          <w:spacing w:val="12"/>
          <w:highlight w:val="none"/>
        </w:rPr>
        <w:t>、SO</w:t>
      </w:r>
      <w:r>
        <w:rPr>
          <w:rFonts w:cs="Times New Roman"/>
          <w:color w:val="auto"/>
          <w:spacing w:val="12"/>
          <w:highlight w:val="none"/>
          <w:vertAlign w:val="subscript"/>
        </w:rPr>
        <w:t>4</w:t>
      </w:r>
      <w:r>
        <w:rPr>
          <w:rFonts w:cs="Times New Roman"/>
          <w:color w:val="auto"/>
          <w:spacing w:val="12"/>
          <w:highlight w:val="none"/>
          <w:vertAlign w:val="superscript"/>
        </w:rPr>
        <w:t>2-</w:t>
      </w:r>
      <w:r>
        <w:rPr>
          <w:rFonts w:cs="Times New Roman"/>
          <w:color w:val="auto"/>
          <w:spacing w:val="12"/>
          <w:highlight w:val="none"/>
        </w:rPr>
        <w:t>、Cl</w:t>
      </w:r>
      <w:r>
        <w:rPr>
          <w:rFonts w:cs="Times New Roman"/>
          <w:color w:val="auto"/>
          <w:spacing w:val="12"/>
          <w:highlight w:val="none"/>
          <w:vertAlign w:val="superscript"/>
        </w:rPr>
        <w:t>-</w:t>
      </w:r>
      <w:r>
        <w:rPr>
          <w:rFonts w:cs="Times New Roman"/>
          <w:color w:val="auto"/>
          <w:spacing w:val="12"/>
          <w:highlight w:val="none"/>
        </w:rPr>
        <w:t>，K</w:t>
      </w:r>
      <w:r>
        <w:rPr>
          <w:rFonts w:cs="Times New Roman"/>
          <w:color w:val="auto"/>
          <w:spacing w:val="12"/>
          <w:highlight w:val="none"/>
          <w:vertAlign w:val="superscript"/>
        </w:rPr>
        <w:t>+</w:t>
      </w:r>
      <w:r>
        <w:rPr>
          <w:rFonts w:cs="Times New Roman"/>
          <w:color w:val="auto"/>
          <w:spacing w:val="12"/>
          <w:highlight w:val="none"/>
        </w:rPr>
        <w:t>合并于Na</w:t>
      </w:r>
      <w:r>
        <w:rPr>
          <w:rFonts w:cs="Times New Roman"/>
          <w:color w:val="auto"/>
          <w:spacing w:val="12"/>
          <w:highlight w:val="none"/>
          <w:vertAlign w:val="superscript"/>
        </w:rPr>
        <w:t>+</w:t>
      </w:r>
      <w:r>
        <w:rPr>
          <w:rFonts w:cs="Times New Roman"/>
          <w:color w:val="auto"/>
          <w:spacing w:val="12"/>
          <w:highlight w:val="none"/>
        </w:rPr>
        <w:t>）。具体步骤如下：</w:t>
      </w:r>
    </w:p>
    <w:p w14:paraId="5F56A73D">
      <w:pPr>
        <w:ind w:firstLine="528" w:firstLineChars="0"/>
        <w:rPr>
          <w:rFonts w:cs="Times New Roman"/>
          <w:color w:val="auto"/>
          <w:spacing w:val="12"/>
          <w:highlight w:val="none"/>
        </w:rPr>
      </w:pPr>
      <w:r>
        <w:rPr>
          <w:rFonts w:cs="Times New Roman"/>
          <w:color w:val="auto"/>
          <w:spacing w:val="12"/>
          <w:highlight w:val="none"/>
        </w:rPr>
        <w:t>将7种主要离子中含量大于25</w:t>
      </w:r>
      <w:r>
        <w:rPr>
          <w:rFonts w:hint="eastAsia" w:cs="Times New Roman"/>
          <w:color w:val="auto"/>
          <w:spacing w:val="12"/>
          <w:highlight w:val="none"/>
        </w:rPr>
        <w:t>%</w:t>
      </w:r>
      <w:r>
        <w:rPr>
          <w:rFonts w:cs="Times New Roman"/>
          <w:color w:val="auto"/>
          <w:spacing w:val="12"/>
          <w:highlight w:val="none"/>
        </w:rPr>
        <w:t>毫克当量的阴离子和阳离子进行组合，可组合出49型水，并将每型用一个阿拉伯数字作为代号，见下表。</w:t>
      </w:r>
    </w:p>
    <w:p w14:paraId="48CF6989">
      <w:pPr>
        <w:adjustRightInd/>
        <w:snapToGrid/>
        <w:spacing w:line="240" w:lineRule="auto"/>
        <w:ind w:firstLine="0" w:firstLineChars="0"/>
        <w:jc w:val="center"/>
        <w:rPr>
          <w:rFonts w:cs="Times New Roman"/>
          <w:b/>
          <w:color w:val="auto"/>
          <w:szCs w:val="24"/>
          <w:highlight w:val="none"/>
        </w:rPr>
      </w:pPr>
      <w:r>
        <w:rPr>
          <w:rFonts w:cs="Times New Roman"/>
          <w:b/>
          <w:color w:val="auto"/>
          <w:szCs w:val="24"/>
          <w:highlight w:val="none"/>
        </w:rPr>
        <w:t>表4-2-13  舒卡列夫分类图表</w:t>
      </w:r>
    </w:p>
    <w:tbl>
      <w:tblPr>
        <w:tblStyle w:val="47"/>
        <w:tblW w:w="507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8"/>
        <w:gridCol w:w="868"/>
        <w:gridCol w:w="1001"/>
        <w:gridCol w:w="1003"/>
        <w:gridCol w:w="1001"/>
        <w:gridCol w:w="1004"/>
        <w:gridCol w:w="1004"/>
        <w:gridCol w:w="1007"/>
      </w:tblGrid>
      <w:tr w14:paraId="30BF4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9" w:hRule="atLeast"/>
          <w:jc w:val="center"/>
        </w:trPr>
        <w:tc>
          <w:tcPr>
            <w:tcW w:w="1021" w:type="pct"/>
            <w:vAlign w:val="center"/>
          </w:tcPr>
          <w:p w14:paraId="368582DC">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超过25%毫克当量的离子</w:t>
            </w:r>
          </w:p>
        </w:tc>
        <w:tc>
          <w:tcPr>
            <w:tcW w:w="501" w:type="pct"/>
            <w:vAlign w:val="center"/>
          </w:tcPr>
          <w:p w14:paraId="14934D2F">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perscript"/>
              </w:rPr>
              <w:t>3-</w:t>
            </w:r>
          </w:p>
        </w:tc>
        <w:tc>
          <w:tcPr>
            <w:tcW w:w="578" w:type="pct"/>
            <w:vAlign w:val="center"/>
          </w:tcPr>
          <w:p w14:paraId="58FC6283">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vertAlign w:val="superscript"/>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w:t>
            </w:r>
          </w:p>
          <w:p w14:paraId="695DE023">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tc>
        <w:tc>
          <w:tcPr>
            <w:tcW w:w="579" w:type="pct"/>
            <w:vAlign w:val="center"/>
          </w:tcPr>
          <w:p w14:paraId="583BA7CC">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w:t>
            </w:r>
          </w:p>
          <w:p w14:paraId="72BDB14A">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p w14:paraId="57BE0A24">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c>
          <w:tcPr>
            <w:tcW w:w="578" w:type="pct"/>
            <w:vAlign w:val="center"/>
          </w:tcPr>
          <w:p w14:paraId="0BA16885">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vertAlign w:val="superscript"/>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w:t>
            </w:r>
          </w:p>
          <w:p w14:paraId="22C07D4C">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c>
          <w:tcPr>
            <w:tcW w:w="580" w:type="pct"/>
            <w:vAlign w:val="center"/>
          </w:tcPr>
          <w:p w14:paraId="2D2B3EF4">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tc>
        <w:tc>
          <w:tcPr>
            <w:tcW w:w="580" w:type="pct"/>
            <w:vAlign w:val="center"/>
          </w:tcPr>
          <w:p w14:paraId="7CBBE7A8">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p w14:paraId="42739B46">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c>
          <w:tcPr>
            <w:tcW w:w="581" w:type="pct"/>
            <w:vAlign w:val="center"/>
          </w:tcPr>
          <w:p w14:paraId="6FFE7BF8">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r>
      <w:tr w14:paraId="204EA7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021" w:type="pct"/>
            <w:vAlign w:val="center"/>
          </w:tcPr>
          <w:p w14:paraId="29DC6DD7">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p>
        </w:tc>
        <w:tc>
          <w:tcPr>
            <w:tcW w:w="501" w:type="pct"/>
            <w:vAlign w:val="center"/>
          </w:tcPr>
          <w:p w14:paraId="77B6F065">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w:t>
            </w:r>
          </w:p>
        </w:tc>
        <w:tc>
          <w:tcPr>
            <w:tcW w:w="578" w:type="pct"/>
            <w:vAlign w:val="center"/>
          </w:tcPr>
          <w:p w14:paraId="0DB18CB6">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8</w:t>
            </w:r>
          </w:p>
        </w:tc>
        <w:tc>
          <w:tcPr>
            <w:tcW w:w="579" w:type="pct"/>
            <w:vAlign w:val="center"/>
          </w:tcPr>
          <w:p w14:paraId="30D3078F">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15</w:t>
            </w:r>
          </w:p>
        </w:tc>
        <w:tc>
          <w:tcPr>
            <w:tcW w:w="578" w:type="pct"/>
            <w:vAlign w:val="center"/>
          </w:tcPr>
          <w:p w14:paraId="11442E72">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22</w:t>
            </w:r>
          </w:p>
        </w:tc>
        <w:tc>
          <w:tcPr>
            <w:tcW w:w="580" w:type="pct"/>
            <w:vAlign w:val="center"/>
          </w:tcPr>
          <w:p w14:paraId="34F8BA92">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29</w:t>
            </w:r>
          </w:p>
        </w:tc>
        <w:tc>
          <w:tcPr>
            <w:tcW w:w="580" w:type="pct"/>
            <w:vAlign w:val="center"/>
          </w:tcPr>
          <w:p w14:paraId="63D5DFDF">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36</w:t>
            </w:r>
          </w:p>
        </w:tc>
        <w:tc>
          <w:tcPr>
            <w:tcW w:w="581" w:type="pct"/>
            <w:vAlign w:val="center"/>
          </w:tcPr>
          <w:p w14:paraId="51622A09">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43</w:t>
            </w:r>
          </w:p>
        </w:tc>
      </w:tr>
      <w:tr w14:paraId="3CA5E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021" w:type="pct"/>
            <w:vAlign w:val="center"/>
          </w:tcPr>
          <w:p w14:paraId="4D872693">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501" w:type="pct"/>
            <w:vAlign w:val="center"/>
          </w:tcPr>
          <w:p w14:paraId="161F72DD">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w:t>
            </w:r>
          </w:p>
        </w:tc>
        <w:tc>
          <w:tcPr>
            <w:tcW w:w="578" w:type="pct"/>
            <w:vAlign w:val="center"/>
          </w:tcPr>
          <w:p w14:paraId="4EFFA731">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9</w:t>
            </w:r>
          </w:p>
        </w:tc>
        <w:tc>
          <w:tcPr>
            <w:tcW w:w="579" w:type="pct"/>
            <w:vAlign w:val="center"/>
          </w:tcPr>
          <w:p w14:paraId="2B276359">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16</w:t>
            </w:r>
          </w:p>
        </w:tc>
        <w:tc>
          <w:tcPr>
            <w:tcW w:w="578" w:type="pct"/>
            <w:vAlign w:val="center"/>
          </w:tcPr>
          <w:p w14:paraId="3C44A542">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23</w:t>
            </w:r>
          </w:p>
        </w:tc>
        <w:tc>
          <w:tcPr>
            <w:tcW w:w="580" w:type="pct"/>
            <w:vAlign w:val="center"/>
          </w:tcPr>
          <w:p w14:paraId="4EB60206">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30</w:t>
            </w:r>
          </w:p>
        </w:tc>
        <w:tc>
          <w:tcPr>
            <w:tcW w:w="580" w:type="pct"/>
            <w:vAlign w:val="center"/>
          </w:tcPr>
          <w:p w14:paraId="1C28B76A">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37</w:t>
            </w:r>
          </w:p>
        </w:tc>
        <w:tc>
          <w:tcPr>
            <w:tcW w:w="581" w:type="pct"/>
            <w:vAlign w:val="center"/>
          </w:tcPr>
          <w:p w14:paraId="5D895D1A">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44</w:t>
            </w:r>
          </w:p>
        </w:tc>
      </w:tr>
      <w:tr w14:paraId="7D8F1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021" w:type="pct"/>
            <w:vAlign w:val="center"/>
          </w:tcPr>
          <w:p w14:paraId="2C528D4C">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501" w:type="pct"/>
            <w:vAlign w:val="center"/>
          </w:tcPr>
          <w:p w14:paraId="4772982E">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w:t>
            </w:r>
          </w:p>
        </w:tc>
        <w:tc>
          <w:tcPr>
            <w:tcW w:w="578" w:type="pct"/>
            <w:vAlign w:val="center"/>
          </w:tcPr>
          <w:p w14:paraId="5C4F5F7F">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10</w:t>
            </w:r>
          </w:p>
        </w:tc>
        <w:tc>
          <w:tcPr>
            <w:tcW w:w="579" w:type="pct"/>
            <w:vAlign w:val="center"/>
          </w:tcPr>
          <w:p w14:paraId="4716A6EF">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17</w:t>
            </w:r>
          </w:p>
        </w:tc>
        <w:tc>
          <w:tcPr>
            <w:tcW w:w="578" w:type="pct"/>
            <w:vAlign w:val="center"/>
          </w:tcPr>
          <w:p w14:paraId="00F2C70F">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24</w:t>
            </w:r>
          </w:p>
        </w:tc>
        <w:tc>
          <w:tcPr>
            <w:tcW w:w="580" w:type="pct"/>
            <w:vAlign w:val="center"/>
          </w:tcPr>
          <w:p w14:paraId="0D10778B">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31</w:t>
            </w:r>
          </w:p>
        </w:tc>
        <w:tc>
          <w:tcPr>
            <w:tcW w:w="580" w:type="pct"/>
            <w:vAlign w:val="center"/>
          </w:tcPr>
          <w:p w14:paraId="30CB660D">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38</w:t>
            </w:r>
          </w:p>
        </w:tc>
        <w:tc>
          <w:tcPr>
            <w:tcW w:w="581" w:type="pct"/>
            <w:vAlign w:val="center"/>
          </w:tcPr>
          <w:p w14:paraId="2319689F">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45</w:t>
            </w:r>
          </w:p>
        </w:tc>
      </w:tr>
      <w:tr w14:paraId="2AE51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021" w:type="pct"/>
            <w:vAlign w:val="center"/>
          </w:tcPr>
          <w:p w14:paraId="38F1D740">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p>
        </w:tc>
        <w:tc>
          <w:tcPr>
            <w:tcW w:w="501" w:type="pct"/>
            <w:vAlign w:val="center"/>
          </w:tcPr>
          <w:p w14:paraId="08402FC6">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w:t>
            </w:r>
          </w:p>
        </w:tc>
        <w:tc>
          <w:tcPr>
            <w:tcW w:w="578" w:type="pct"/>
            <w:vAlign w:val="center"/>
          </w:tcPr>
          <w:p w14:paraId="00D6F67E">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11</w:t>
            </w:r>
          </w:p>
        </w:tc>
        <w:tc>
          <w:tcPr>
            <w:tcW w:w="579" w:type="pct"/>
            <w:vAlign w:val="center"/>
          </w:tcPr>
          <w:p w14:paraId="02F2FAC3">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18</w:t>
            </w:r>
          </w:p>
        </w:tc>
        <w:tc>
          <w:tcPr>
            <w:tcW w:w="578" w:type="pct"/>
            <w:vAlign w:val="center"/>
          </w:tcPr>
          <w:p w14:paraId="42FD4A2C">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25</w:t>
            </w:r>
          </w:p>
        </w:tc>
        <w:tc>
          <w:tcPr>
            <w:tcW w:w="580" w:type="pct"/>
            <w:vAlign w:val="center"/>
          </w:tcPr>
          <w:p w14:paraId="10517AEE">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32</w:t>
            </w:r>
          </w:p>
        </w:tc>
        <w:tc>
          <w:tcPr>
            <w:tcW w:w="580" w:type="pct"/>
            <w:vAlign w:val="center"/>
          </w:tcPr>
          <w:p w14:paraId="13EBA968">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39</w:t>
            </w:r>
          </w:p>
        </w:tc>
        <w:tc>
          <w:tcPr>
            <w:tcW w:w="581" w:type="pct"/>
            <w:vAlign w:val="center"/>
          </w:tcPr>
          <w:p w14:paraId="238EEBC2">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46</w:t>
            </w:r>
          </w:p>
        </w:tc>
      </w:tr>
      <w:tr w14:paraId="7A4D6B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021" w:type="pct"/>
            <w:vAlign w:val="center"/>
          </w:tcPr>
          <w:p w14:paraId="038B6BD1">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501" w:type="pct"/>
            <w:vAlign w:val="center"/>
          </w:tcPr>
          <w:p w14:paraId="1924DC81">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5</w:t>
            </w:r>
          </w:p>
        </w:tc>
        <w:tc>
          <w:tcPr>
            <w:tcW w:w="578" w:type="pct"/>
            <w:vAlign w:val="center"/>
          </w:tcPr>
          <w:p w14:paraId="340C262E">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12</w:t>
            </w:r>
          </w:p>
        </w:tc>
        <w:tc>
          <w:tcPr>
            <w:tcW w:w="579" w:type="pct"/>
            <w:vAlign w:val="center"/>
          </w:tcPr>
          <w:p w14:paraId="37F3B0F5">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19</w:t>
            </w:r>
          </w:p>
        </w:tc>
        <w:tc>
          <w:tcPr>
            <w:tcW w:w="578" w:type="pct"/>
            <w:vAlign w:val="center"/>
          </w:tcPr>
          <w:p w14:paraId="77EAB343">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26</w:t>
            </w:r>
          </w:p>
        </w:tc>
        <w:tc>
          <w:tcPr>
            <w:tcW w:w="580" w:type="pct"/>
            <w:vAlign w:val="center"/>
          </w:tcPr>
          <w:p w14:paraId="408CE0A6">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33</w:t>
            </w:r>
          </w:p>
        </w:tc>
        <w:tc>
          <w:tcPr>
            <w:tcW w:w="580" w:type="pct"/>
            <w:vAlign w:val="center"/>
          </w:tcPr>
          <w:p w14:paraId="0E7CD4A8">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40</w:t>
            </w:r>
          </w:p>
        </w:tc>
        <w:tc>
          <w:tcPr>
            <w:tcW w:w="581" w:type="pct"/>
            <w:vAlign w:val="center"/>
          </w:tcPr>
          <w:p w14:paraId="3C7380CE">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47</w:t>
            </w:r>
          </w:p>
        </w:tc>
      </w:tr>
      <w:tr w14:paraId="15059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021" w:type="pct"/>
            <w:vAlign w:val="center"/>
          </w:tcPr>
          <w:p w14:paraId="7C9455C1">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501" w:type="pct"/>
            <w:vAlign w:val="center"/>
          </w:tcPr>
          <w:p w14:paraId="71FF35DF">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6</w:t>
            </w:r>
          </w:p>
        </w:tc>
        <w:tc>
          <w:tcPr>
            <w:tcW w:w="578" w:type="pct"/>
            <w:vAlign w:val="center"/>
          </w:tcPr>
          <w:p w14:paraId="18F71EA6">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13</w:t>
            </w:r>
          </w:p>
        </w:tc>
        <w:tc>
          <w:tcPr>
            <w:tcW w:w="579" w:type="pct"/>
            <w:vAlign w:val="center"/>
          </w:tcPr>
          <w:p w14:paraId="7462EA0C">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20</w:t>
            </w:r>
          </w:p>
        </w:tc>
        <w:tc>
          <w:tcPr>
            <w:tcW w:w="578" w:type="pct"/>
            <w:vAlign w:val="center"/>
          </w:tcPr>
          <w:p w14:paraId="33F44634">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27</w:t>
            </w:r>
          </w:p>
        </w:tc>
        <w:tc>
          <w:tcPr>
            <w:tcW w:w="580" w:type="pct"/>
            <w:vAlign w:val="center"/>
          </w:tcPr>
          <w:p w14:paraId="326CD6A1">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34</w:t>
            </w:r>
          </w:p>
        </w:tc>
        <w:tc>
          <w:tcPr>
            <w:tcW w:w="580" w:type="pct"/>
            <w:vAlign w:val="center"/>
          </w:tcPr>
          <w:p w14:paraId="7282A04D">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41</w:t>
            </w:r>
          </w:p>
        </w:tc>
        <w:tc>
          <w:tcPr>
            <w:tcW w:w="581" w:type="pct"/>
            <w:vAlign w:val="center"/>
          </w:tcPr>
          <w:p w14:paraId="2D08C677">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48</w:t>
            </w:r>
          </w:p>
        </w:tc>
      </w:tr>
      <w:tr w14:paraId="6B1B7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021" w:type="pct"/>
            <w:vAlign w:val="center"/>
          </w:tcPr>
          <w:p w14:paraId="5013F604">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p>
        </w:tc>
        <w:tc>
          <w:tcPr>
            <w:tcW w:w="501" w:type="pct"/>
            <w:vAlign w:val="center"/>
          </w:tcPr>
          <w:p w14:paraId="02CC86EA">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7</w:t>
            </w:r>
          </w:p>
        </w:tc>
        <w:tc>
          <w:tcPr>
            <w:tcW w:w="578" w:type="pct"/>
            <w:vAlign w:val="center"/>
          </w:tcPr>
          <w:p w14:paraId="7A11B287">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14</w:t>
            </w:r>
          </w:p>
        </w:tc>
        <w:tc>
          <w:tcPr>
            <w:tcW w:w="579" w:type="pct"/>
            <w:vAlign w:val="center"/>
          </w:tcPr>
          <w:p w14:paraId="5BAE364C">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21</w:t>
            </w:r>
          </w:p>
        </w:tc>
        <w:tc>
          <w:tcPr>
            <w:tcW w:w="578" w:type="pct"/>
            <w:vAlign w:val="center"/>
          </w:tcPr>
          <w:p w14:paraId="5FB799AE">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28</w:t>
            </w:r>
          </w:p>
        </w:tc>
        <w:tc>
          <w:tcPr>
            <w:tcW w:w="580" w:type="pct"/>
            <w:vAlign w:val="center"/>
          </w:tcPr>
          <w:p w14:paraId="47A3882E">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35</w:t>
            </w:r>
          </w:p>
        </w:tc>
        <w:tc>
          <w:tcPr>
            <w:tcW w:w="580" w:type="pct"/>
            <w:vAlign w:val="center"/>
          </w:tcPr>
          <w:p w14:paraId="29DDC96F">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42</w:t>
            </w:r>
          </w:p>
        </w:tc>
        <w:tc>
          <w:tcPr>
            <w:tcW w:w="581" w:type="pct"/>
            <w:vAlign w:val="center"/>
          </w:tcPr>
          <w:p w14:paraId="38D1E47C">
            <w:pPr>
              <w:autoSpaceDE w:val="0"/>
              <w:autoSpaceDN w:val="0"/>
              <w:snapToGrid/>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49</w:t>
            </w:r>
          </w:p>
        </w:tc>
      </w:tr>
    </w:tbl>
    <w:p w14:paraId="6DE82B1A">
      <w:pPr>
        <w:adjustRightInd/>
        <w:snapToGrid/>
        <w:ind w:firstLine="528" w:firstLineChars="0"/>
        <w:rPr>
          <w:rFonts w:cs="Times New Roman"/>
          <w:color w:val="auto"/>
          <w:spacing w:val="12"/>
          <w:highlight w:val="none"/>
        </w:rPr>
      </w:pPr>
      <w:r>
        <w:rPr>
          <w:rFonts w:cs="Times New Roman"/>
          <w:color w:val="auto"/>
          <w:spacing w:val="12"/>
          <w:highlight w:val="none"/>
        </w:rPr>
        <w:t>离子毫克当量百分比计算结果见下表。</w:t>
      </w:r>
    </w:p>
    <w:p w14:paraId="63E0018D">
      <w:pPr>
        <w:adjustRightInd/>
        <w:snapToGrid/>
        <w:spacing w:line="240" w:lineRule="auto"/>
        <w:ind w:firstLine="0" w:firstLineChars="0"/>
        <w:jc w:val="center"/>
        <w:rPr>
          <w:rFonts w:cs="Times New Roman"/>
          <w:b/>
          <w:color w:val="auto"/>
          <w:szCs w:val="24"/>
          <w:highlight w:val="none"/>
        </w:rPr>
      </w:pPr>
      <w:r>
        <w:rPr>
          <w:rFonts w:cs="Times New Roman"/>
          <w:b/>
          <w:color w:val="auto"/>
          <w:szCs w:val="24"/>
          <w:highlight w:val="none"/>
        </w:rPr>
        <w:t>表4-2-14  离子毫克当量百分比计算结果</w:t>
      </w:r>
    </w:p>
    <w:tbl>
      <w:tblPr>
        <w:tblStyle w:val="47"/>
        <w:tblW w:w="96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52"/>
        <w:gridCol w:w="668"/>
        <w:gridCol w:w="567"/>
        <w:gridCol w:w="640"/>
        <w:gridCol w:w="644"/>
        <w:gridCol w:w="669"/>
        <w:gridCol w:w="752"/>
        <w:gridCol w:w="705"/>
        <w:gridCol w:w="750"/>
        <w:gridCol w:w="690"/>
        <w:gridCol w:w="690"/>
        <w:gridCol w:w="975"/>
        <w:gridCol w:w="1554"/>
      </w:tblGrid>
      <w:tr w14:paraId="4CAEE1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80" w:hRule="atLeast"/>
          <w:jc w:val="center"/>
        </w:trPr>
        <w:tc>
          <w:tcPr>
            <w:tcW w:w="352" w:type="dxa"/>
            <w:vAlign w:val="center"/>
          </w:tcPr>
          <w:p w14:paraId="4E5A9D94">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监测点</w:t>
            </w:r>
          </w:p>
        </w:tc>
        <w:tc>
          <w:tcPr>
            <w:tcW w:w="668" w:type="dxa"/>
            <w:vAlign w:val="center"/>
          </w:tcPr>
          <w:p w14:paraId="77460F92">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浓度</w:t>
            </w:r>
          </w:p>
        </w:tc>
        <w:tc>
          <w:tcPr>
            <w:tcW w:w="567" w:type="dxa"/>
            <w:vAlign w:val="center"/>
          </w:tcPr>
          <w:p w14:paraId="6866218B">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K</w:t>
            </w:r>
            <w:r>
              <w:rPr>
                <w:rFonts w:cs="Times New Roman"/>
                <w:snapToGrid w:val="0"/>
                <w:color w:val="auto"/>
                <w:spacing w:val="16"/>
                <w:sz w:val="21"/>
                <w:szCs w:val="21"/>
                <w:highlight w:val="none"/>
                <w:vertAlign w:val="superscript"/>
              </w:rPr>
              <w:t>+</w:t>
            </w:r>
          </w:p>
        </w:tc>
        <w:tc>
          <w:tcPr>
            <w:tcW w:w="640" w:type="dxa"/>
            <w:vAlign w:val="center"/>
          </w:tcPr>
          <w:p w14:paraId="1DE1391C">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p>
        </w:tc>
        <w:tc>
          <w:tcPr>
            <w:tcW w:w="644" w:type="dxa"/>
            <w:vAlign w:val="center"/>
          </w:tcPr>
          <w:p w14:paraId="34D1D9C6">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p>
        </w:tc>
        <w:tc>
          <w:tcPr>
            <w:tcW w:w="669" w:type="dxa"/>
            <w:vAlign w:val="center"/>
          </w:tcPr>
          <w:p w14:paraId="51D46368">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752" w:type="dxa"/>
            <w:vAlign w:val="center"/>
          </w:tcPr>
          <w:p w14:paraId="0916C902">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总计</w:t>
            </w:r>
          </w:p>
        </w:tc>
        <w:tc>
          <w:tcPr>
            <w:tcW w:w="705" w:type="dxa"/>
            <w:vAlign w:val="center"/>
          </w:tcPr>
          <w:p w14:paraId="1A751FE5">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2-</w:t>
            </w:r>
          </w:p>
        </w:tc>
        <w:tc>
          <w:tcPr>
            <w:tcW w:w="750" w:type="dxa"/>
            <w:vAlign w:val="center"/>
          </w:tcPr>
          <w:p w14:paraId="49728BA3">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w:t>
            </w:r>
          </w:p>
        </w:tc>
        <w:tc>
          <w:tcPr>
            <w:tcW w:w="690" w:type="dxa"/>
            <w:vAlign w:val="center"/>
          </w:tcPr>
          <w:p w14:paraId="51F9EEE4">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c>
          <w:tcPr>
            <w:tcW w:w="690" w:type="dxa"/>
            <w:vAlign w:val="center"/>
          </w:tcPr>
          <w:p w14:paraId="11502087">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tc>
        <w:tc>
          <w:tcPr>
            <w:tcW w:w="975" w:type="dxa"/>
            <w:vAlign w:val="center"/>
          </w:tcPr>
          <w:p w14:paraId="4CBA54F2">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总计</w:t>
            </w:r>
          </w:p>
        </w:tc>
        <w:tc>
          <w:tcPr>
            <w:tcW w:w="1554" w:type="dxa"/>
            <w:vAlign w:val="center"/>
          </w:tcPr>
          <w:p w14:paraId="3787BE44">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水化学类型</w:t>
            </w:r>
          </w:p>
        </w:tc>
      </w:tr>
      <w:tr w14:paraId="10772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0" w:hRule="atLeast"/>
          <w:jc w:val="center"/>
        </w:trPr>
        <w:tc>
          <w:tcPr>
            <w:tcW w:w="352" w:type="dxa"/>
            <w:vMerge w:val="restart"/>
            <w:vAlign w:val="center"/>
          </w:tcPr>
          <w:p w14:paraId="773E95EC">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w:t>
            </w:r>
          </w:p>
        </w:tc>
        <w:tc>
          <w:tcPr>
            <w:tcW w:w="668" w:type="dxa"/>
            <w:vAlign w:val="center"/>
          </w:tcPr>
          <w:p w14:paraId="78EFDFB3">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mg/l</w:t>
            </w:r>
          </w:p>
        </w:tc>
        <w:tc>
          <w:tcPr>
            <w:tcW w:w="567" w:type="dxa"/>
            <w:vAlign w:val="center"/>
          </w:tcPr>
          <w:p w14:paraId="5473545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3.04</w:t>
            </w:r>
          </w:p>
        </w:tc>
        <w:tc>
          <w:tcPr>
            <w:tcW w:w="640" w:type="dxa"/>
            <w:vAlign w:val="center"/>
          </w:tcPr>
          <w:p w14:paraId="2F67DEBC">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46.0</w:t>
            </w:r>
          </w:p>
        </w:tc>
        <w:tc>
          <w:tcPr>
            <w:tcW w:w="644" w:type="dxa"/>
            <w:vAlign w:val="center"/>
          </w:tcPr>
          <w:p w14:paraId="2209052A">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76.4</w:t>
            </w:r>
          </w:p>
        </w:tc>
        <w:tc>
          <w:tcPr>
            <w:tcW w:w="669" w:type="dxa"/>
            <w:vAlign w:val="center"/>
          </w:tcPr>
          <w:p w14:paraId="50319204">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44.8</w:t>
            </w:r>
          </w:p>
        </w:tc>
        <w:tc>
          <w:tcPr>
            <w:tcW w:w="752" w:type="dxa"/>
            <w:vAlign w:val="center"/>
          </w:tcPr>
          <w:p w14:paraId="3E97F5FB">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170.24</w:t>
            </w:r>
          </w:p>
        </w:tc>
        <w:tc>
          <w:tcPr>
            <w:tcW w:w="705" w:type="dxa"/>
            <w:vAlign w:val="center"/>
          </w:tcPr>
          <w:p w14:paraId="5BC30B66">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55D0972A">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109</w:t>
            </w:r>
          </w:p>
        </w:tc>
        <w:tc>
          <w:tcPr>
            <w:tcW w:w="690" w:type="dxa"/>
            <w:vAlign w:val="center"/>
          </w:tcPr>
          <w:p w14:paraId="14898BD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191</w:t>
            </w:r>
          </w:p>
        </w:tc>
        <w:tc>
          <w:tcPr>
            <w:tcW w:w="690" w:type="dxa"/>
            <w:vAlign w:val="center"/>
          </w:tcPr>
          <w:p w14:paraId="7E80F3C0">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104</w:t>
            </w:r>
          </w:p>
        </w:tc>
        <w:tc>
          <w:tcPr>
            <w:tcW w:w="975" w:type="dxa"/>
            <w:vAlign w:val="center"/>
          </w:tcPr>
          <w:p w14:paraId="0FB1146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404</w:t>
            </w:r>
          </w:p>
        </w:tc>
        <w:tc>
          <w:tcPr>
            <w:tcW w:w="1554" w:type="dxa"/>
            <w:vMerge w:val="restart"/>
            <w:vAlign w:val="center"/>
          </w:tcPr>
          <w:p w14:paraId="123F05CB">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hint="eastAsia" w:cs="Times New Roman"/>
                <w:snapToGrid w:val="0"/>
                <w:color w:val="auto"/>
                <w:spacing w:val="16"/>
                <w:sz w:val="21"/>
                <w:szCs w:val="21"/>
                <w:highlight w:val="none"/>
                <w:lang w:val="en-US" w:eastAsia="zh-CN"/>
              </w:rPr>
              <w:t> </w:t>
            </w:r>
            <w:r>
              <w:rPr>
                <w:rFonts w:hint="default" w:cs="Times New Roman"/>
                <w:snapToGrid w:val="0"/>
                <w:color w:val="auto"/>
                <w:spacing w:val="16"/>
                <w:sz w:val="21"/>
                <w:szCs w:val="21"/>
                <w:highlight w:val="none"/>
                <w:lang w:val="en-US" w:eastAsia="zh-CN"/>
              </w:rPr>
              <w:t>Cl⁻—Ca²⁺</w:t>
            </w:r>
            <w:r>
              <w:rPr>
                <w:rFonts w:hint="eastAsia" w:cs="Times New Roman"/>
                <w:snapToGrid w:val="0"/>
                <w:color w:val="auto"/>
                <w:spacing w:val="16"/>
                <w:sz w:val="21"/>
                <w:szCs w:val="21"/>
                <w:highlight w:val="none"/>
                <w:lang w:val="en-US" w:eastAsia="zh-CN"/>
              </w:rPr>
              <w:t>、</w:t>
            </w:r>
            <w:r>
              <w:rPr>
                <w:rFonts w:hint="default" w:cs="Times New Roman"/>
                <w:snapToGrid w:val="0"/>
                <w:color w:val="auto"/>
                <w:spacing w:val="16"/>
                <w:sz w:val="21"/>
                <w:szCs w:val="21"/>
                <w:highlight w:val="none"/>
                <w:lang w:val="en-US" w:eastAsia="zh-CN"/>
              </w:rPr>
              <w:t>Mg²⁺</w:t>
            </w:r>
          </w:p>
        </w:tc>
      </w:tr>
      <w:tr w14:paraId="5E3CC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0" w:hRule="atLeast"/>
          <w:jc w:val="center"/>
        </w:trPr>
        <w:tc>
          <w:tcPr>
            <w:tcW w:w="352" w:type="dxa"/>
            <w:vMerge w:val="continue"/>
            <w:vAlign w:val="center"/>
          </w:tcPr>
          <w:p w14:paraId="69597999">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1004FD6F">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meq/l</w:t>
            </w:r>
          </w:p>
        </w:tc>
        <w:tc>
          <w:tcPr>
            <w:tcW w:w="567" w:type="dxa"/>
            <w:vAlign w:val="center"/>
          </w:tcPr>
          <w:p w14:paraId="28923FA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0.08</w:t>
            </w:r>
          </w:p>
        </w:tc>
        <w:tc>
          <w:tcPr>
            <w:tcW w:w="640" w:type="dxa"/>
            <w:vAlign w:val="center"/>
          </w:tcPr>
          <w:p w14:paraId="20C7E440">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2.00</w:t>
            </w:r>
          </w:p>
        </w:tc>
        <w:tc>
          <w:tcPr>
            <w:tcW w:w="644" w:type="dxa"/>
            <w:vAlign w:val="center"/>
          </w:tcPr>
          <w:p w14:paraId="07F4A14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3.82</w:t>
            </w:r>
          </w:p>
        </w:tc>
        <w:tc>
          <w:tcPr>
            <w:tcW w:w="669" w:type="dxa"/>
            <w:vAlign w:val="center"/>
          </w:tcPr>
          <w:p w14:paraId="62368068">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3.69</w:t>
            </w:r>
          </w:p>
        </w:tc>
        <w:tc>
          <w:tcPr>
            <w:tcW w:w="752" w:type="dxa"/>
            <w:vAlign w:val="center"/>
          </w:tcPr>
          <w:p w14:paraId="7CDA192C">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9.58</w:t>
            </w:r>
          </w:p>
        </w:tc>
        <w:tc>
          <w:tcPr>
            <w:tcW w:w="705" w:type="dxa"/>
            <w:vAlign w:val="center"/>
          </w:tcPr>
          <w:p w14:paraId="04DA46FF">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562B5D4A">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1.79</w:t>
            </w:r>
          </w:p>
        </w:tc>
        <w:tc>
          <w:tcPr>
            <w:tcW w:w="690" w:type="dxa"/>
            <w:vAlign w:val="center"/>
          </w:tcPr>
          <w:p w14:paraId="379EED55">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5.38</w:t>
            </w:r>
          </w:p>
        </w:tc>
        <w:tc>
          <w:tcPr>
            <w:tcW w:w="690" w:type="dxa"/>
            <w:vAlign w:val="center"/>
          </w:tcPr>
          <w:p w14:paraId="730F8DEA">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2.17</w:t>
            </w:r>
          </w:p>
        </w:tc>
        <w:tc>
          <w:tcPr>
            <w:tcW w:w="975" w:type="dxa"/>
            <w:vAlign w:val="center"/>
          </w:tcPr>
          <w:p w14:paraId="37104CF3">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9.33</w:t>
            </w:r>
          </w:p>
        </w:tc>
        <w:tc>
          <w:tcPr>
            <w:tcW w:w="1554" w:type="dxa"/>
            <w:vMerge w:val="continue"/>
            <w:vAlign w:val="center"/>
          </w:tcPr>
          <w:p w14:paraId="50C6E152">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r>
      <w:tr w14:paraId="6DC7C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0" w:hRule="atLeast"/>
          <w:jc w:val="center"/>
        </w:trPr>
        <w:tc>
          <w:tcPr>
            <w:tcW w:w="352" w:type="dxa"/>
            <w:vMerge w:val="continue"/>
            <w:vAlign w:val="center"/>
          </w:tcPr>
          <w:p w14:paraId="27C114A6">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56E0C876">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w:t>
            </w:r>
          </w:p>
        </w:tc>
        <w:tc>
          <w:tcPr>
            <w:tcW w:w="567" w:type="dxa"/>
            <w:vAlign w:val="center"/>
          </w:tcPr>
          <w:p w14:paraId="6381F237">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0.81</w:t>
            </w:r>
          </w:p>
        </w:tc>
        <w:tc>
          <w:tcPr>
            <w:tcW w:w="640" w:type="dxa"/>
            <w:vAlign w:val="center"/>
          </w:tcPr>
          <w:p w14:paraId="1E656C40">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20.86</w:t>
            </w:r>
          </w:p>
        </w:tc>
        <w:tc>
          <w:tcPr>
            <w:tcW w:w="644" w:type="dxa"/>
            <w:vAlign w:val="center"/>
          </w:tcPr>
          <w:p w14:paraId="10E4FEE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39.84</w:t>
            </w:r>
          </w:p>
        </w:tc>
        <w:tc>
          <w:tcPr>
            <w:tcW w:w="669" w:type="dxa"/>
            <w:vAlign w:val="center"/>
          </w:tcPr>
          <w:p w14:paraId="7F11E21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38.47</w:t>
            </w:r>
          </w:p>
        </w:tc>
        <w:tc>
          <w:tcPr>
            <w:tcW w:w="752" w:type="dxa"/>
            <w:vAlign w:val="center"/>
          </w:tcPr>
          <w:p w14:paraId="2B129D8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705" w:type="dxa"/>
            <w:vAlign w:val="center"/>
          </w:tcPr>
          <w:p w14:paraId="34814635">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1E433A57">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19.14</w:t>
            </w:r>
          </w:p>
        </w:tc>
        <w:tc>
          <w:tcPr>
            <w:tcW w:w="690" w:type="dxa"/>
            <w:vAlign w:val="center"/>
          </w:tcPr>
          <w:p w14:paraId="6E0B22CA">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57.64</w:t>
            </w:r>
          </w:p>
        </w:tc>
        <w:tc>
          <w:tcPr>
            <w:tcW w:w="690" w:type="dxa"/>
            <w:vAlign w:val="center"/>
          </w:tcPr>
          <w:p w14:paraId="373A30A7">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23.21</w:t>
            </w:r>
          </w:p>
        </w:tc>
        <w:tc>
          <w:tcPr>
            <w:tcW w:w="975" w:type="dxa"/>
            <w:vAlign w:val="center"/>
          </w:tcPr>
          <w:p w14:paraId="44EC5D95">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1554" w:type="dxa"/>
            <w:vMerge w:val="continue"/>
            <w:vAlign w:val="center"/>
          </w:tcPr>
          <w:p w14:paraId="4322DBA3">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r>
      <w:tr w14:paraId="170BF0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0" w:hRule="atLeast"/>
          <w:jc w:val="center"/>
        </w:trPr>
        <w:tc>
          <w:tcPr>
            <w:tcW w:w="352" w:type="dxa"/>
            <w:vMerge w:val="restart"/>
            <w:vAlign w:val="center"/>
          </w:tcPr>
          <w:p w14:paraId="2EAD6948">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w:t>
            </w:r>
          </w:p>
        </w:tc>
        <w:tc>
          <w:tcPr>
            <w:tcW w:w="668" w:type="dxa"/>
            <w:vAlign w:val="center"/>
          </w:tcPr>
          <w:p w14:paraId="4C59114F">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mg/l</w:t>
            </w:r>
          </w:p>
        </w:tc>
        <w:tc>
          <w:tcPr>
            <w:tcW w:w="567" w:type="dxa"/>
            <w:vAlign w:val="center"/>
          </w:tcPr>
          <w:p w14:paraId="55B0E8E3">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2.76</w:t>
            </w:r>
          </w:p>
        </w:tc>
        <w:tc>
          <w:tcPr>
            <w:tcW w:w="640" w:type="dxa"/>
            <w:vAlign w:val="center"/>
          </w:tcPr>
          <w:p w14:paraId="012AE1B6">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36.33</w:t>
            </w:r>
          </w:p>
        </w:tc>
        <w:tc>
          <w:tcPr>
            <w:tcW w:w="644" w:type="dxa"/>
            <w:vAlign w:val="center"/>
          </w:tcPr>
          <w:p w14:paraId="2FEB4874">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68.0</w:t>
            </w:r>
          </w:p>
        </w:tc>
        <w:tc>
          <w:tcPr>
            <w:tcW w:w="669" w:type="dxa"/>
            <w:vAlign w:val="center"/>
          </w:tcPr>
          <w:p w14:paraId="2CFF6B9B">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32.6</w:t>
            </w:r>
          </w:p>
        </w:tc>
        <w:tc>
          <w:tcPr>
            <w:tcW w:w="752" w:type="dxa"/>
            <w:vAlign w:val="center"/>
          </w:tcPr>
          <w:p w14:paraId="3701C5DA">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139.69</w:t>
            </w:r>
          </w:p>
        </w:tc>
        <w:tc>
          <w:tcPr>
            <w:tcW w:w="705" w:type="dxa"/>
            <w:vAlign w:val="center"/>
          </w:tcPr>
          <w:p w14:paraId="40E7C3C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2BFADB75">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w:t>
            </w:r>
          </w:p>
        </w:tc>
        <w:tc>
          <w:tcPr>
            <w:tcW w:w="690" w:type="dxa"/>
            <w:vAlign w:val="center"/>
          </w:tcPr>
          <w:p w14:paraId="0089E6A7">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160</w:t>
            </w:r>
          </w:p>
        </w:tc>
        <w:tc>
          <w:tcPr>
            <w:tcW w:w="690" w:type="dxa"/>
            <w:vAlign w:val="center"/>
          </w:tcPr>
          <w:p w14:paraId="6A29986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92.3</w:t>
            </w:r>
          </w:p>
        </w:tc>
        <w:tc>
          <w:tcPr>
            <w:tcW w:w="975" w:type="dxa"/>
            <w:vAlign w:val="center"/>
          </w:tcPr>
          <w:p w14:paraId="0B411D1C">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352.3</w:t>
            </w:r>
          </w:p>
        </w:tc>
        <w:tc>
          <w:tcPr>
            <w:tcW w:w="1554" w:type="dxa"/>
            <w:vMerge w:val="restart"/>
            <w:vAlign w:val="center"/>
          </w:tcPr>
          <w:p w14:paraId="25D2237D">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hint="default" w:cs="Times New Roman"/>
                <w:snapToGrid w:val="0"/>
                <w:color w:val="auto"/>
                <w:spacing w:val="16"/>
                <w:sz w:val="21"/>
                <w:szCs w:val="21"/>
                <w:highlight w:val="none"/>
                <w:lang w:val="en-US" w:eastAsia="zh-CN"/>
              </w:rPr>
              <w:t>Cl⁻</w:t>
            </w:r>
            <w:r>
              <w:rPr>
                <w:rFonts w:cs="Times New Roman"/>
                <w:color w:val="auto"/>
                <w:kern w:val="0"/>
                <w:sz w:val="21"/>
                <w:szCs w:val="21"/>
                <w:highlight w:val="none"/>
              </w:rPr>
              <w:t>—</w:t>
            </w:r>
            <w:r>
              <w:rPr>
                <w:rFonts w:cs="Times New Roman"/>
                <w:color w:val="auto"/>
                <w:sz w:val="21"/>
                <w:szCs w:val="21"/>
                <w:highlight w:val="none"/>
              </w:rPr>
              <w:t>Ca</w:t>
            </w:r>
            <w:r>
              <w:rPr>
                <w:rFonts w:cs="Times New Roman"/>
                <w:color w:val="auto"/>
                <w:sz w:val="21"/>
                <w:szCs w:val="21"/>
                <w:highlight w:val="none"/>
                <w:vertAlign w:val="superscript"/>
              </w:rPr>
              <w:t>2+</w:t>
            </w:r>
            <w:r>
              <w:rPr>
                <w:rFonts w:cs="Times New Roman"/>
                <w:color w:val="auto"/>
                <w:sz w:val="21"/>
                <w:szCs w:val="21"/>
                <w:highlight w:val="none"/>
              </w:rPr>
              <w:t>、</w:t>
            </w: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r>
      <w:tr w14:paraId="1A28F7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0" w:hRule="atLeast"/>
          <w:jc w:val="center"/>
        </w:trPr>
        <w:tc>
          <w:tcPr>
            <w:tcW w:w="352" w:type="dxa"/>
            <w:vMerge w:val="continue"/>
            <w:vAlign w:val="center"/>
          </w:tcPr>
          <w:p w14:paraId="4F9BB341">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3E22B346">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meq/l</w:t>
            </w:r>
          </w:p>
        </w:tc>
        <w:tc>
          <w:tcPr>
            <w:tcW w:w="567" w:type="dxa"/>
            <w:vAlign w:val="center"/>
          </w:tcPr>
          <w:p w14:paraId="6337261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0.07</w:t>
            </w:r>
          </w:p>
        </w:tc>
        <w:tc>
          <w:tcPr>
            <w:tcW w:w="640" w:type="dxa"/>
            <w:vAlign w:val="center"/>
          </w:tcPr>
          <w:p w14:paraId="11A21A30">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1.58</w:t>
            </w:r>
          </w:p>
        </w:tc>
        <w:tc>
          <w:tcPr>
            <w:tcW w:w="644" w:type="dxa"/>
            <w:vAlign w:val="center"/>
          </w:tcPr>
          <w:p w14:paraId="30FA9AA9">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3.40</w:t>
            </w:r>
          </w:p>
        </w:tc>
        <w:tc>
          <w:tcPr>
            <w:tcW w:w="669" w:type="dxa"/>
            <w:vAlign w:val="center"/>
          </w:tcPr>
          <w:p w14:paraId="216F286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2.68</w:t>
            </w:r>
          </w:p>
        </w:tc>
        <w:tc>
          <w:tcPr>
            <w:tcW w:w="752" w:type="dxa"/>
            <w:vAlign w:val="center"/>
          </w:tcPr>
          <w:p w14:paraId="307948C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7.73</w:t>
            </w:r>
          </w:p>
        </w:tc>
        <w:tc>
          <w:tcPr>
            <w:tcW w:w="705" w:type="dxa"/>
            <w:vAlign w:val="center"/>
          </w:tcPr>
          <w:p w14:paraId="0F9CBA4B">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0890A95E">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1.64</w:t>
            </w:r>
          </w:p>
        </w:tc>
        <w:tc>
          <w:tcPr>
            <w:tcW w:w="690" w:type="dxa"/>
            <w:vAlign w:val="center"/>
          </w:tcPr>
          <w:p w14:paraId="7707C3F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4.51</w:t>
            </w:r>
          </w:p>
        </w:tc>
        <w:tc>
          <w:tcPr>
            <w:tcW w:w="690" w:type="dxa"/>
            <w:vAlign w:val="center"/>
          </w:tcPr>
          <w:p w14:paraId="472D1B47">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1.92</w:t>
            </w:r>
          </w:p>
        </w:tc>
        <w:tc>
          <w:tcPr>
            <w:tcW w:w="975" w:type="dxa"/>
            <w:vAlign w:val="center"/>
          </w:tcPr>
          <w:p w14:paraId="76C8BCAC">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8.07</w:t>
            </w:r>
          </w:p>
        </w:tc>
        <w:tc>
          <w:tcPr>
            <w:tcW w:w="1554" w:type="dxa"/>
            <w:vMerge w:val="continue"/>
            <w:vAlign w:val="center"/>
          </w:tcPr>
          <w:p w14:paraId="2CBD97F6">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r>
      <w:tr w14:paraId="6F914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0" w:hRule="atLeast"/>
          <w:jc w:val="center"/>
        </w:trPr>
        <w:tc>
          <w:tcPr>
            <w:tcW w:w="352" w:type="dxa"/>
            <w:vMerge w:val="continue"/>
            <w:vAlign w:val="center"/>
          </w:tcPr>
          <w:p w14:paraId="3A901C4C">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2B390400">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w:t>
            </w:r>
          </w:p>
        </w:tc>
        <w:tc>
          <w:tcPr>
            <w:tcW w:w="567" w:type="dxa"/>
            <w:vAlign w:val="center"/>
          </w:tcPr>
          <w:p w14:paraId="1649C0DD">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0.91</w:t>
            </w:r>
          </w:p>
        </w:tc>
        <w:tc>
          <w:tcPr>
            <w:tcW w:w="640" w:type="dxa"/>
            <w:vAlign w:val="center"/>
          </w:tcPr>
          <w:p w14:paraId="31F8119A">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20.41</w:t>
            </w:r>
          </w:p>
        </w:tc>
        <w:tc>
          <w:tcPr>
            <w:tcW w:w="644" w:type="dxa"/>
            <w:vAlign w:val="center"/>
          </w:tcPr>
          <w:p w14:paraId="0F412CA9">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43.97</w:t>
            </w:r>
          </w:p>
        </w:tc>
        <w:tc>
          <w:tcPr>
            <w:tcW w:w="669" w:type="dxa"/>
            <w:vAlign w:val="center"/>
          </w:tcPr>
          <w:p w14:paraId="4A9BA339">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34.70</w:t>
            </w:r>
          </w:p>
        </w:tc>
        <w:tc>
          <w:tcPr>
            <w:tcW w:w="752" w:type="dxa"/>
            <w:vAlign w:val="center"/>
          </w:tcPr>
          <w:p w14:paraId="75FF85A4">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705" w:type="dxa"/>
            <w:vAlign w:val="center"/>
          </w:tcPr>
          <w:p w14:paraId="2E9FBFD0">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0E0B7020">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20.32</w:t>
            </w:r>
          </w:p>
        </w:tc>
        <w:tc>
          <w:tcPr>
            <w:tcW w:w="690" w:type="dxa"/>
            <w:vAlign w:val="center"/>
          </w:tcPr>
          <w:p w14:paraId="66A278EF">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55.86</w:t>
            </w:r>
          </w:p>
        </w:tc>
        <w:tc>
          <w:tcPr>
            <w:tcW w:w="690" w:type="dxa"/>
            <w:vAlign w:val="center"/>
          </w:tcPr>
          <w:p w14:paraId="6D36172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23.83</w:t>
            </w:r>
          </w:p>
        </w:tc>
        <w:tc>
          <w:tcPr>
            <w:tcW w:w="975" w:type="dxa"/>
            <w:vAlign w:val="center"/>
          </w:tcPr>
          <w:p w14:paraId="775DABE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1554" w:type="dxa"/>
            <w:vMerge w:val="continue"/>
            <w:vAlign w:val="center"/>
          </w:tcPr>
          <w:p w14:paraId="53922CDD">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r>
      <w:tr w14:paraId="1BEE6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0" w:hRule="atLeast"/>
          <w:jc w:val="center"/>
        </w:trPr>
        <w:tc>
          <w:tcPr>
            <w:tcW w:w="352" w:type="dxa"/>
            <w:vMerge w:val="restart"/>
            <w:vAlign w:val="center"/>
          </w:tcPr>
          <w:p w14:paraId="442E4A1B">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w:t>
            </w:r>
          </w:p>
        </w:tc>
        <w:tc>
          <w:tcPr>
            <w:tcW w:w="668" w:type="dxa"/>
            <w:vAlign w:val="center"/>
          </w:tcPr>
          <w:p w14:paraId="6C064D4E">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mg/l</w:t>
            </w:r>
          </w:p>
        </w:tc>
        <w:tc>
          <w:tcPr>
            <w:tcW w:w="567" w:type="dxa"/>
            <w:vAlign w:val="center"/>
          </w:tcPr>
          <w:p w14:paraId="1021108A">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2.37</w:t>
            </w:r>
          </w:p>
        </w:tc>
        <w:tc>
          <w:tcPr>
            <w:tcW w:w="640" w:type="dxa"/>
            <w:vAlign w:val="center"/>
          </w:tcPr>
          <w:p w14:paraId="7A6C5B43">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36.3</w:t>
            </w:r>
          </w:p>
        </w:tc>
        <w:tc>
          <w:tcPr>
            <w:tcW w:w="644" w:type="dxa"/>
            <w:vAlign w:val="center"/>
          </w:tcPr>
          <w:p w14:paraId="130C5A54">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68.5</w:t>
            </w:r>
          </w:p>
        </w:tc>
        <w:tc>
          <w:tcPr>
            <w:tcW w:w="669" w:type="dxa"/>
            <w:vAlign w:val="center"/>
          </w:tcPr>
          <w:p w14:paraId="21B68106">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30.4</w:t>
            </w:r>
          </w:p>
        </w:tc>
        <w:tc>
          <w:tcPr>
            <w:tcW w:w="752" w:type="dxa"/>
            <w:vAlign w:val="center"/>
          </w:tcPr>
          <w:p w14:paraId="01797E69">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137.57</w:t>
            </w:r>
          </w:p>
        </w:tc>
        <w:tc>
          <w:tcPr>
            <w:tcW w:w="705" w:type="dxa"/>
            <w:vAlign w:val="center"/>
          </w:tcPr>
          <w:p w14:paraId="5E301E8C">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0629AB1D">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136</w:t>
            </w:r>
          </w:p>
        </w:tc>
        <w:tc>
          <w:tcPr>
            <w:tcW w:w="690" w:type="dxa"/>
            <w:vAlign w:val="center"/>
          </w:tcPr>
          <w:p w14:paraId="06957DB0">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133</w:t>
            </w:r>
          </w:p>
        </w:tc>
        <w:tc>
          <w:tcPr>
            <w:tcW w:w="690" w:type="dxa"/>
            <w:vAlign w:val="center"/>
          </w:tcPr>
          <w:p w14:paraId="6FA15D50">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84.5</w:t>
            </w:r>
          </w:p>
        </w:tc>
        <w:tc>
          <w:tcPr>
            <w:tcW w:w="975" w:type="dxa"/>
            <w:vAlign w:val="center"/>
          </w:tcPr>
          <w:p w14:paraId="40E11427">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353.5</w:t>
            </w:r>
          </w:p>
        </w:tc>
        <w:tc>
          <w:tcPr>
            <w:tcW w:w="1554" w:type="dxa"/>
            <w:vMerge w:val="restart"/>
            <w:vAlign w:val="center"/>
          </w:tcPr>
          <w:p w14:paraId="75433683">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hint="default" w:cs="Times New Roman"/>
                <w:color w:val="auto"/>
                <w:sz w:val="21"/>
                <w:szCs w:val="21"/>
                <w:highlight w:val="none"/>
              </w:rPr>
              <w:t>Cl⁻·HCO₃⁻—Ca²⁺</w:t>
            </w:r>
            <w:r>
              <w:rPr>
                <w:rFonts w:hint="eastAsia" w:cs="Times New Roman"/>
                <w:color w:val="auto"/>
                <w:sz w:val="21"/>
                <w:szCs w:val="21"/>
                <w:highlight w:val="none"/>
                <w:lang w:eastAsia="zh-CN"/>
              </w:rPr>
              <w:t>、</w:t>
            </w:r>
            <w:r>
              <w:rPr>
                <w:rFonts w:hint="default" w:cs="Times New Roman"/>
                <w:color w:val="auto"/>
                <w:sz w:val="21"/>
                <w:szCs w:val="21"/>
                <w:highlight w:val="none"/>
              </w:rPr>
              <w:t>Mg²⁺</w:t>
            </w:r>
          </w:p>
        </w:tc>
      </w:tr>
      <w:tr w14:paraId="49B9C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00" w:hRule="atLeast"/>
          <w:jc w:val="center"/>
        </w:trPr>
        <w:tc>
          <w:tcPr>
            <w:tcW w:w="352" w:type="dxa"/>
            <w:vMerge w:val="continue"/>
            <w:vAlign w:val="center"/>
          </w:tcPr>
          <w:p w14:paraId="25CDBD05">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59E8A027">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meq/l</w:t>
            </w:r>
          </w:p>
        </w:tc>
        <w:tc>
          <w:tcPr>
            <w:tcW w:w="567" w:type="dxa"/>
            <w:vAlign w:val="center"/>
          </w:tcPr>
          <w:p w14:paraId="560EA15F">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0.06</w:t>
            </w:r>
          </w:p>
        </w:tc>
        <w:tc>
          <w:tcPr>
            <w:tcW w:w="640" w:type="dxa"/>
            <w:vAlign w:val="center"/>
          </w:tcPr>
          <w:p w14:paraId="019E225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1.58</w:t>
            </w:r>
          </w:p>
        </w:tc>
        <w:tc>
          <w:tcPr>
            <w:tcW w:w="644" w:type="dxa"/>
            <w:vAlign w:val="center"/>
          </w:tcPr>
          <w:p w14:paraId="70A3A1AD">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3.43</w:t>
            </w:r>
          </w:p>
        </w:tc>
        <w:tc>
          <w:tcPr>
            <w:tcW w:w="669" w:type="dxa"/>
            <w:vAlign w:val="center"/>
          </w:tcPr>
          <w:p w14:paraId="156C23C8">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2.50</w:t>
            </w:r>
          </w:p>
        </w:tc>
        <w:tc>
          <w:tcPr>
            <w:tcW w:w="752" w:type="dxa"/>
            <w:vAlign w:val="center"/>
          </w:tcPr>
          <w:p w14:paraId="1F241B0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7.57</w:t>
            </w:r>
          </w:p>
        </w:tc>
        <w:tc>
          <w:tcPr>
            <w:tcW w:w="705" w:type="dxa"/>
            <w:shd w:val="clear" w:color="auto" w:fill="auto"/>
            <w:vAlign w:val="center"/>
          </w:tcPr>
          <w:p w14:paraId="2DC26D5B">
            <w:pPr>
              <w:autoSpaceDE w:val="0"/>
              <w:autoSpaceDN w:val="0"/>
              <w:spacing w:line="360" w:lineRule="exact"/>
              <w:ind w:firstLine="0" w:firstLineChars="0"/>
              <w:jc w:val="center"/>
              <w:textAlignment w:val="bottom"/>
              <w:rPr>
                <w:rFonts w:hint="default" w:ascii="Times New Roman" w:hAnsi="Times New Roman" w:eastAsia="宋体" w:cs="Times New Roman"/>
                <w:snapToGrid w:val="0"/>
                <w:color w:val="auto"/>
                <w:spacing w:val="16"/>
                <w:kern w:val="2"/>
                <w:sz w:val="21"/>
                <w:szCs w:val="21"/>
                <w:highlight w:val="none"/>
                <w:lang w:val="en-US" w:eastAsia="zh-CN" w:bidi="ar-SA"/>
              </w:rPr>
            </w:pPr>
            <w:r>
              <w:rPr>
                <w:rFonts w:hint="eastAsia" w:cs="Times New Roman"/>
                <w:snapToGrid w:val="0"/>
                <w:color w:val="auto"/>
                <w:spacing w:val="16"/>
                <w:sz w:val="21"/>
                <w:szCs w:val="21"/>
                <w:highlight w:val="none"/>
                <w:lang w:val="en-US" w:eastAsia="zh-CN"/>
              </w:rPr>
              <w:t>0.00</w:t>
            </w:r>
          </w:p>
        </w:tc>
        <w:tc>
          <w:tcPr>
            <w:tcW w:w="750" w:type="dxa"/>
            <w:shd w:val="clear" w:color="auto" w:fill="auto"/>
            <w:vAlign w:val="center"/>
          </w:tcPr>
          <w:p w14:paraId="22A9E8B3">
            <w:pPr>
              <w:autoSpaceDE w:val="0"/>
              <w:autoSpaceDN w:val="0"/>
              <w:spacing w:line="360" w:lineRule="exact"/>
              <w:ind w:firstLine="0" w:firstLineChars="0"/>
              <w:jc w:val="center"/>
              <w:textAlignment w:val="bottom"/>
              <w:rPr>
                <w:rFonts w:hint="default" w:ascii="Times New Roman" w:hAnsi="Times New Roman" w:eastAsia="宋体" w:cs="Times New Roman"/>
                <w:snapToGrid w:val="0"/>
                <w:color w:val="auto"/>
                <w:spacing w:val="16"/>
                <w:kern w:val="2"/>
                <w:sz w:val="21"/>
                <w:szCs w:val="21"/>
                <w:highlight w:val="none"/>
                <w:lang w:val="en-US" w:eastAsia="zh-CN" w:bidi="ar-SA"/>
              </w:rPr>
            </w:pPr>
            <w:r>
              <w:rPr>
                <w:rFonts w:hint="eastAsia" w:cs="Times New Roman"/>
                <w:snapToGrid w:val="0"/>
                <w:color w:val="auto"/>
                <w:spacing w:val="16"/>
                <w:sz w:val="21"/>
                <w:szCs w:val="21"/>
                <w:highlight w:val="none"/>
                <w:lang w:val="en-US" w:eastAsia="zh-CN"/>
              </w:rPr>
              <w:t>2.23</w:t>
            </w:r>
          </w:p>
        </w:tc>
        <w:tc>
          <w:tcPr>
            <w:tcW w:w="690" w:type="dxa"/>
            <w:shd w:val="clear" w:color="auto" w:fill="auto"/>
            <w:vAlign w:val="center"/>
          </w:tcPr>
          <w:p w14:paraId="460E0584">
            <w:pPr>
              <w:autoSpaceDE w:val="0"/>
              <w:autoSpaceDN w:val="0"/>
              <w:spacing w:line="360" w:lineRule="exact"/>
              <w:ind w:firstLine="0" w:firstLineChars="0"/>
              <w:jc w:val="center"/>
              <w:textAlignment w:val="bottom"/>
              <w:rPr>
                <w:rFonts w:hint="default" w:ascii="Times New Roman" w:hAnsi="Times New Roman" w:eastAsia="宋体" w:cs="Times New Roman"/>
                <w:snapToGrid w:val="0"/>
                <w:color w:val="auto"/>
                <w:spacing w:val="16"/>
                <w:kern w:val="2"/>
                <w:sz w:val="21"/>
                <w:szCs w:val="21"/>
                <w:highlight w:val="none"/>
                <w:lang w:val="en-US" w:eastAsia="zh-CN" w:bidi="ar-SA"/>
              </w:rPr>
            </w:pPr>
            <w:r>
              <w:rPr>
                <w:rFonts w:hint="eastAsia" w:cs="Times New Roman"/>
                <w:snapToGrid w:val="0"/>
                <w:color w:val="auto"/>
                <w:spacing w:val="16"/>
                <w:sz w:val="21"/>
                <w:szCs w:val="21"/>
                <w:highlight w:val="none"/>
                <w:lang w:val="en-US" w:eastAsia="zh-CN"/>
              </w:rPr>
              <w:t>3.75</w:t>
            </w:r>
          </w:p>
        </w:tc>
        <w:tc>
          <w:tcPr>
            <w:tcW w:w="690" w:type="dxa"/>
            <w:shd w:val="clear" w:color="auto" w:fill="auto"/>
            <w:vAlign w:val="center"/>
          </w:tcPr>
          <w:p w14:paraId="2C37E003">
            <w:pPr>
              <w:autoSpaceDE w:val="0"/>
              <w:autoSpaceDN w:val="0"/>
              <w:spacing w:line="360" w:lineRule="exact"/>
              <w:ind w:firstLine="0" w:firstLineChars="0"/>
              <w:jc w:val="center"/>
              <w:textAlignment w:val="bottom"/>
              <w:rPr>
                <w:rFonts w:hint="default" w:ascii="Times New Roman" w:hAnsi="Times New Roman" w:eastAsia="宋体" w:cs="Times New Roman"/>
                <w:snapToGrid w:val="0"/>
                <w:color w:val="auto"/>
                <w:spacing w:val="16"/>
                <w:kern w:val="2"/>
                <w:sz w:val="21"/>
                <w:szCs w:val="21"/>
                <w:highlight w:val="none"/>
                <w:lang w:val="en-US" w:eastAsia="zh-CN" w:bidi="ar-SA"/>
              </w:rPr>
            </w:pPr>
            <w:r>
              <w:rPr>
                <w:rFonts w:hint="eastAsia" w:cs="Times New Roman"/>
                <w:snapToGrid w:val="0"/>
                <w:color w:val="auto"/>
                <w:spacing w:val="16"/>
                <w:sz w:val="21"/>
                <w:szCs w:val="21"/>
                <w:highlight w:val="none"/>
                <w:lang w:val="en-US" w:eastAsia="zh-CN"/>
              </w:rPr>
              <w:t>1.76</w:t>
            </w:r>
          </w:p>
        </w:tc>
        <w:tc>
          <w:tcPr>
            <w:tcW w:w="975" w:type="dxa"/>
            <w:vAlign w:val="center"/>
          </w:tcPr>
          <w:p w14:paraId="72F38538">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7.74</w:t>
            </w:r>
          </w:p>
        </w:tc>
        <w:tc>
          <w:tcPr>
            <w:tcW w:w="1554" w:type="dxa"/>
            <w:vMerge w:val="continue"/>
            <w:vAlign w:val="center"/>
          </w:tcPr>
          <w:p w14:paraId="7E9B4E56">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r>
      <w:tr w14:paraId="0949A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83" w:hRule="atLeast"/>
          <w:jc w:val="center"/>
        </w:trPr>
        <w:tc>
          <w:tcPr>
            <w:tcW w:w="352" w:type="dxa"/>
            <w:vMerge w:val="continue"/>
            <w:vAlign w:val="center"/>
          </w:tcPr>
          <w:p w14:paraId="21313850">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1DB4CE35">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w:t>
            </w:r>
          </w:p>
        </w:tc>
        <w:tc>
          <w:tcPr>
            <w:tcW w:w="567" w:type="dxa"/>
            <w:vAlign w:val="center"/>
          </w:tcPr>
          <w:p w14:paraId="02DB50F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0.80</w:t>
            </w:r>
          </w:p>
        </w:tc>
        <w:tc>
          <w:tcPr>
            <w:tcW w:w="640" w:type="dxa"/>
            <w:vAlign w:val="center"/>
          </w:tcPr>
          <w:p w14:paraId="05AC0ACF">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20.86</w:t>
            </w:r>
          </w:p>
        </w:tc>
        <w:tc>
          <w:tcPr>
            <w:tcW w:w="644" w:type="dxa"/>
            <w:vAlign w:val="center"/>
          </w:tcPr>
          <w:p w14:paraId="3E6B95C1">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45.26</w:t>
            </w:r>
          </w:p>
        </w:tc>
        <w:tc>
          <w:tcPr>
            <w:tcW w:w="669" w:type="dxa"/>
            <w:vAlign w:val="center"/>
          </w:tcPr>
          <w:p w14:paraId="11F6D618">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33.07</w:t>
            </w:r>
          </w:p>
        </w:tc>
        <w:tc>
          <w:tcPr>
            <w:tcW w:w="752" w:type="dxa"/>
            <w:vAlign w:val="center"/>
          </w:tcPr>
          <w:p w14:paraId="7037B77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705" w:type="dxa"/>
            <w:vAlign w:val="center"/>
          </w:tcPr>
          <w:p w14:paraId="7F98EA8B">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68708ED2">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28.82</w:t>
            </w:r>
          </w:p>
        </w:tc>
        <w:tc>
          <w:tcPr>
            <w:tcW w:w="690" w:type="dxa"/>
            <w:vAlign w:val="center"/>
          </w:tcPr>
          <w:p w14:paraId="1EB1DDCE">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48.43</w:t>
            </w:r>
          </w:p>
        </w:tc>
        <w:tc>
          <w:tcPr>
            <w:tcW w:w="690" w:type="dxa"/>
            <w:vAlign w:val="center"/>
          </w:tcPr>
          <w:p w14:paraId="42ECBBCA">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22.75</w:t>
            </w:r>
          </w:p>
        </w:tc>
        <w:tc>
          <w:tcPr>
            <w:tcW w:w="975" w:type="dxa"/>
            <w:vAlign w:val="center"/>
          </w:tcPr>
          <w:p w14:paraId="5D22140C">
            <w:pPr>
              <w:autoSpaceDE w:val="0"/>
              <w:autoSpaceDN w:val="0"/>
              <w:spacing w:line="360" w:lineRule="exact"/>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1554" w:type="dxa"/>
            <w:vMerge w:val="continue"/>
            <w:vAlign w:val="center"/>
          </w:tcPr>
          <w:p w14:paraId="3DF863CA">
            <w:pPr>
              <w:autoSpaceDE w:val="0"/>
              <w:autoSpaceDN w:val="0"/>
              <w:spacing w:line="360" w:lineRule="exact"/>
              <w:ind w:firstLine="0" w:firstLineChars="0"/>
              <w:jc w:val="center"/>
              <w:textAlignment w:val="bottom"/>
              <w:rPr>
                <w:rFonts w:cs="Times New Roman"/>
                <w:snapToGrid w:val="0"/>
                <w:color w:val="auto"/>
                <w:spacing w:val="16"/>
                <w:sz w:val="21"/>
                <w:szCs w:val="21"/>
                <w:highlight w:val="none"/>
              </w:rPr>
            </w:pPr>
          </w:p>
        </w:tc>
      </w:tr>
    </w:tbl>
    <w:p w14:paraId="5019DF47">
      <w:pPr>
        <w:rPr>
          <w:rFonts w:cs="Times New Roman"/>
          <w:color w:val="auto"/>
          <w:highlight w:val="none"/>
        </w:rPr>
      </w:pPr>
      <w:r>
        <w:rPr>
          <w:rFonts w:cs="Times New Roman"/>
          <w:color w:val="auto"/>
          <w:kern w:val="0"/>
          <w:highlight w:val="none"/>
          <w:lang w:val="zh-CN"/>
        </w:rPr>
        <w:t>按舒卡列夫分类，评价范围内地下水水化学类型为</w:t>
      </w:r>
      <w:r>
        <w:rPr>
          <w:rFonts w:cs="Times New Roman"/>
          <w:snapToGrid w:val="0"/>
          <w:color w:val="auto"/>
          <w:spacing w:val="16"/>
          <w:highlight w:val="none"/>
        </w:rPr>
        <w:t>HCO</w:t>
      </w:r>
      <w:r>
        <w:rPr>
          <w:rFonts w:cs="Times New Roman"/>
          <w:snapToGrid w:val="0"/>
          <w:color w:val="auto"/>
          <w:spacing w:val="16"/>
          <w:highlight w:val="none"/>
          <w:vertAlign w:val="subscript"/>
        </w:rPr>
        <w:t>3</w:t>
      </w:r>
      <w:r>
        <w:rPr>
          <w:rFonts w:cs="Times New Roman"/>
          <w:snapToGrid w:val="0"/>
          <w:color w:val="auto"/>
          <w:spacing w:val="16"/>
          <w:highlight w:val="none"/>
          <w:vertAlign w:val="superscript"/>
        </w:rPr>
        <w:t>-</w:t>
      </w:r>
      <w:r>
        <w:rPr>
          <w:rFonts w:cs="Times New Roman"/>
          <w:snapToGrid w:val="0"/>
          <w:color w:val="auto"/>
          <w:spacing w:val="16"/>
          <w:highlight w:val="none"/>
        </w:rPr>
        <w:t>—Ca</w:t>
      </w:r>
      <w:r>
        <w:rPr>
          <w:rFonts w:cs="Times New Roman"/>
          <w:snapToGrid w:val="0"/>
          <w:color w:val="auto"/>
          <w:spacing w:val="16"/>
          <w:highlight w:val="none"/>
          <w:vertAlign w:val="superscript"/>
        </w:rPr>
        <w:t>2+</w:t>
      </w:r>
      <w:r>
        <w:rPr>
          <w:rFonts w:cs="Times New Roman"/>
          <w:snapToGrid w:val="0"/>
          <w:color w:val="auto"/>
          <w:spacing w:val="16"/>
          <w:highlight w:val="none"/>
        </w:rPr>
        <w:t>、Mg</w:t>
      </w:r>
      <w:r>
        <w:rPr>
          <w:rFonts w:cs="Times New Roman"/>
          <w:snapToGrid w:val="0"/>
          <w:color w:val="auto"/>
          <w:spacing w:val="16"/>
          <w:highlight w:val="none"/>
          <w:vertAlign w:val="superscript"/>
        </w:rPr>
        <w:t>2+</w:t>
      </w:r>
      <w:r>
        <w:rPr>
          <w:rFonts w:cs="Times New Roman"/>
          <w:color w:val="auto"/>
          <w:kern w:val="0"/>
          <w:highlight w:val="none"/>
          <w:lang w:val="zh-CN"/>
        </w:rPr>
        <w:t>型水</w:t>
      </w:r>
      <w:r>
        <w:rPr>
          <w:rFonts w:hint="eastAsia" w:cs="Times New Roman"/>
          <w:color w:val="auto"/>
          <w:kern w:val="0"/>
          <w:sz w:val="24"/>
          <w:szCs w:val="24"/>
          <w:highlight w:val="none"/>
          <w:lang w:val="en-US" w:eastAsia="zh-CN"/>
        </w:rPr>
        <w:t>及</w:t>
      </w:r>
      <w:r>
        <w:rPr>
          <w:rFonts w:hint="default" w:cs="Times New Roman"/>
          <w:color w:val="auto"/>
          <w:sz w:val="24"/>
          <w:szCs w:val="24"/>
          <w:highlight w:val="none"/>
        </w:rPr>
        <w:t>Cl⁻·HCO₃⁻—Ca²⁺</w:t>
      </w:r>
      <w:r>
        <w:rPr>
          <w:rFonts w:hint="eastAsia" w:cs="Times New Roman"/>
          <w:color w:val="auto"/>
          <w:sz w:val="24"/>
          <w:szCs w:val="24"/>
          <w:highlight w:val="none"/>
          <w:lang w:eastAsia="zh-CN"/>
        </w:rPr>
        <w:t>、</w:t>
      </w:r>
      <w:r>
        <w:rPr>
          <w:rFonts w:hint="default" w:cs="Times New Roman"/>
          <w:color w:val="auto"/>
          <w:sz w:val="24"/>
          <w:szCs w:val="24"/>
          <w:highlight w:val="none"/>
        </w:rPr>
        <w:t>Mg²⁺</w:t>
      </w:r>
      <w:r>
        <w:rPr>
          <w:rFonts w:hint="eastAsia" w:cs="Times New Roman"/>
          <w:color w:val="auto"/>
          <w:sz w:val="24"/>
          <w:szCs w:val="24"/>
          <w:highlight w:val="none"/>
          <w:lang w:val="en-US" w:eastAsia="zh-CN"/>
        </w:rPr>
        <w:t>型水</w:t>
      </w:r>
      <w:r>
        <w:rPr>
          <w:rFonts w:cs="Times New Roman"/>
          <w:color w:val="auto"/>
          <w:kern w:val="0"/>
          <w:sz w:val="24"/>
          <w:szCs w:val="24"/>
          <w:highlight w:val="none"/>
          <w:lang w:val="zh-CN"/>
        </w:rPr>
        <w:t>。</w:t>
      </w:r>
    </w:p>
    <w:p w14:paraId="2953157A">
      <w:pPr>
        <w:rPr>
          <w:rFonts w:cs="Times New Roman"/>
          <w:color w:val="auto"/>
          <w:kern w:val="0"/>
          <w:highlight w:val="none"/>
          <w:lang w:val="zh-CN"/>
        </w:rPr>
      </w:pPr>
      <w:r>
        <w:rPr>
          <w:rFonts w:cs="Times New Roman"/>
          <w:color w:val="auto"/>
          <w:kern w:val="0"/>
          <w:highlight w:val="none"/>
        </w:rPr>
        <w:t>（5）</w:t>
      </w:r>
      <w:r>
        <w:rPr>
          <w:rFonts w:cs="Times New Roman"/>
          <w:color w:val="auto"/>
          <w:kern w:val="0"/>
          <w:highlight w:val="none"/>
          <w:lang w:val="zh-CN"/>
        </w:rPr>
        <w:t>地下水现状评价结论</w:t>
      </w:r>
    </w:p>
    <w:p w14:paraId="3639A826">
      <w:pPr>
        <w:rPr>
          <w:rFonts w:cs="Times New Roman"/>
          <w:color w:val="auto"/>
          <w:highlight w:val="none"/>
        </w:rPr>
      </w:pPr>
      <w:r>
        <w:rPr>
          <w:rFonts w:cs="Times New Roman"/>
          <w:color w:val="auto"/>
          <w:kern w:val="0"/>
          <w:highlight w:val="none"/>
          <w:lang w:val="zh-CN"/>
        </w:rPr>
        <w:t>评价范围内地下水水化学</w:t>
      </w:r>
      <w:r>
        <w:rPr>
          <w:rFonts w:cs="Times New Roman"/>
          <w:color w:val="auto"/>
          <w:kern w:val="0"/>
          <w:sz w:val="24"/>
          <w:szCs w:val="24"/>
          <w:highlight w:val="none"/>
          <w:lang w:val="zh-CN"/>
        </w:rPr>
        <w:t>类型为</w:t>
      </w:r>
      <w:r>
        <w:rPr>
          <w:rFonts w:hint="default" w:cs="Times New Roman"/>
          <w:snapToGrid w:val="0"/>
          <w:color w:val="auto"/>
          <w:spacing w:val="16"/>
          <w:sz w:val="24"/>
          <w:szCs w:val="24"/>
          <w:highlight w:val="none"/>
          <w:lang w:val="en-US" w:eastAsia="zh-CN"/>
        </w:rPr>
        <w:t>Cl⁻—Ca²⁺</w:t>
      </w:r>
      <w:r>
        <w:rPr>
          <w:rFonts w:hint="eastAsia" w:cs="Times New Roman"/>
          <w:snapToGrid w:val="0"/>
          <w:color w:val="auto"/>
          <w:spacing w:val="16"/>
          <w:sz w:val="24"/>
          <w:szCs w:val="24"/>
          <w:highlight w:val="none"/>
          <w:lang w:val="en-US" w:eastAsia="zh-CN"/>
        </w:rPr>
        <w:t>、</w:t>
      </w:r>
      <w:r>
        <w:rPr>
          <w:rFonts w:hint="default" w:cs="Times New Roman"/>
          <w:snapToGrid w:val="0"/>
          <w:color w:val="auto"/>
          <w:spacing w:val="16"/>
          <w:sz w:val="24"/>
          <w:szCs w:val="24"/>
          <w:highlight w:val="none"/>
          <w:lang w:val="en-US" w:eastAsia="zh-CN"/>
        </w:rPr>
        <w:t>Mg²⁺</w:t>
      </w:r>
      <w:r>
        <w:rPr>
          <w:rFonts w:cs="Times New Roman"/>
          <w:color w:val="auto"/>
          <w:kern w:val="0"/>
          <w:sz w:val="24"/>
          <w:szCs w:val="24"/>
          <w:highlight w:val="none"/>
          <w:lang w:val="zh-CN"/>
        </w:rPr>
        <w:t>型水</w:t>
      </w:r>
      <w:r>
        <w:rPr>
          <w:rFonts w:hint="eastAsia" w:cs="Times New Roman"/>
          <w:color w:val="auto"/>
          <w:kern w:val="0"/>
          <w:sz w:val="24"/>
          <w:szCs w:val="24"/>
          <w:highlight w:val="none"/>
          <w:lang w:val="en-US" w:eastAsia="zh-CN"/>
        </w:rPr>
        <w:t>及</w:t>
      </w:r>
      <w:r>
        <w:rPr>
          <w:rFonts w:hint="default" w:cs="Times New Roman"/>
          <w:color w:val="auto"/>
          <w:sz w:val="24"/>
          <w:szCs w:val="24"/>
          <w:highlight w:val="none"/>
        </w:rPr>
        <w:t>Cl⁻·HCO₃⁻—Ca²⁺</w:t>
      </w:r>
      <w:r>
        <w:rPr>
          <w:rFonts w:hint="eastAsia" w:cs="Times New Roman"/>
          <w:color w:val="auto"/>
          <w:sz w:val="24"/>
          <w:szCs w:val="24"/>
          <w:highlight w:val="none"/>
          <w:lang w:eastAsia="zh-CN"/>
        </w:rPr>
        <w:t>、</w:t>
      </w:r>
      <w:r>
        <w:rPr>
          <w:rFonts w:hint="default" w:cs="Times New Roman"/>
          <w:color w:val="auto"/>
          <w:sz w:val="24"/>
          <w:szCs w:val="24"/>
          <w:highlight w:val="none"/>
        </w:rPr>
        <w:t>Mg²⁺</w:t>
      </w:r>
      <w:r>
        <w:rPr>
          <w:rFonts w:hint="eastAsia" w:cs="Times New Roman"/>
          <w:color w:val="auto"/>
          <w:sz w:val="24"/>
          <w:szCs w:val="24"/>
          <w:highlight w:val="none"/>
          <w:lang w:val="en-US" w:eastAsia="zh-CN"/>
        </w:rPr>
        <w:t>型水</w:t>
      </w:r>
      <w:r>
        <w:rPr>
          <w:rFonts w:cs="Times New Roman"/>
          <w:color w:val="auto"/>
          <w:kern w:val="0"/>
          <w:sz w:val="24"/>
          <w:szCs w:val="24"/>
          <w:highlight w:val="none"/>
          <w:lang w:val="zh-CN"/>
        </w:rPr>
        <w:t>。</w:t>
      </w:r>
      <w:r>
        <w:rPr>
          <w:rFonts w:cs="Times New Roman"/>
          <w:color w:val="auto"/>
          <w:highlight w:val="none"/>
        </w:rPr>
        <w:t>由上表可知，</w:t>
      </w:r>
      <w:r>
        <w:rPr>
          <w:rFonts w:hint="eastAsia" w:cs="Times New Roman"/>
          <w:color w:val="auto"/>
          <w:highlight w:val="none"/>
          <w:lang w:val="en-US" w:eastAsia="zh-CN"/>
        </w:rPr>
        <w:t>地下水</w:t>
      </w:r>
      <w:r>
        <w:rPr>
          <w:rFonts w:hint="eastAsia"/>
          <w:color w:val="auto"/>
          <w:sz w:val="24"/>
          <w:highlight w:val="none"/>
        </w:rPr>
        <w:t>监测点水质整体较好，铁</w:t>
      </w:r>
      <w:r>
        <w:rPr>
          <w:rFonts w:hint="eastAsia"/>
          <w:color w:val="auto"/>
          <w:sz w:val="24"/>
          <w:highlight w:val="none"/>
          <w:lang w:eastAsia="zh-CN"/>
        </w:rPr>
        <w:t>、</w:t>
      </w:r>
      <w:r>
        <w:rPr>
          <w:rFonts w:hint="eastAsia"/>
          <w:color w:val="auto"/>
          <w:sz w:val="24"/>
          <w:highlight w:val="none"/>
        </w:rPr>
        <w:t>锰超标为天然本底值超标，为</w:t>
      </w:r>
      <w:r>
        <w:rPr>
          <w:rFonts w:hint="eastAsia"/>
          <w:color w:val="auto"/>
          <w:sz w:val="24"/>
          <w:highlight w:val="none"/>
          <w:lang w:val="en-US" w:eastAsia="zh-CN"/>
        </w:rPr>
        <w:t>原生地质</w:t>
      </w:r>
      <w:r>
        <w:rPr>
          <w:rFonts w:hint="eastAsia"/>
          <w:color w:val="auto"/>
          <w:sz w:val="24"/>
          <w:highlight w:val="none"/>
        </w:rPr>
        <w:t>原因，除铁</w:t>
      </w:r>
      <w:r>
        <w:rPr>
          <w:rFonts w:hint="eastAsia"/>
          <w:color w:val="auto"/>
          <w:sz w:val="24"/>
          <w:highlight w:val="none"/>
          <w:lang w:eastAsia="zh-CN"/>
        </w:rPr>
        <w:t>、</w:t>
      </w:r>
      <w:r>
        <w:rPr>
          <w:rFonts w:hint="eastAsia"/>
          <w:color w:val="auto"/>
          <w:sz w:val="24"/>
          <w:highlight w:val="none"/>
        </w:rPr>
        <w:t>锰外的</w:t>
      </w:r>
      <w:r>
        <w:rPr>
          <w:rFonts w:hint="eastAsia"/>
          <w:color w:val="auto"/>
          <w:sz w:val="24"/>
          <w:highlight w:val="none"/>
          <w:lang w:val="en-US" w:eastAsia="zh-CN"/>
        </w:rPr>
        <w:t>地下水</w:t>
      </w:r>
      <w:r>
        <w:rPr>
          <w:rFonts w:hint="eastAsia"/>
          <w:color w:val="auto"/>
          <w:sz w:val="24"/>
          <w:highlight w:val="none"/>
        </w:rPr>
        <w:t>监测因子均符合《地下水质量标准》（GB/T14848-93）中的Ⅲ类标准</w:t>
      </w:r>
      <w:r>
        <w:rPr>
          <w:rFonts w:hint="eastAsia"/>
          <w:color w:val="auto"/>
          <w:sz w:val="24"/>
          <w:highlight w:val="none"/>
          <w:lang w:eastAsia="zh-CN"/>
        </w:rPr>
        <w:t>。</w:t>
      </w:r>
      <w:r>
        <w:rPr>
          <w:rFonts w:hint="eastAsia"/>
          <w:color w:val="auto"/>
          <w:sz w:val="24"/>
          <w:highlight w:val="none"/>
          <w:lang w:val="en-US" w:eastAsia="zh-CN"/>
        </w:rPr>
        <w:t>其中本项目特征污染物生化需氧量、化学需氧量、总磷、石油类均未检出，总氮浓度为1.02mg/L~1.39mg/L之前，</w:t>
      </w:r>
      <w:r>
        <w:rPr>
          <w:rFonts w:hint="eastAsia" w:ascii="Times New Roman" w:hAnsi="Times New Roman" w:eastAsia="宋体"/>
          <w:color w:val="auto"/>
          <w:sz w:val="24"/>
          <w:highlight w:val="none"/>
          <w:lang w:val="en-US" w:eastAsia="zh-CN"/>
        </w:rPr>
        <w:t>可用作本</w:t>
      </w:r>
      <w:r>
        <w:rPr>
          <w:rFonts w:hint="eastAsia"/>
          <w:color w:val="auto"/>
          <w:sz w:val="24"/>
          <w:highlight w:val="none"/>
          <w:lang w:val="en-US" w:eastAsia="zh-CN"/>
        </w:rPr>
        <w:t>项目地下水本底值，日后与地下水例行监测数据对比，可判断本项目的运行对地下水是否产生污染。</w:t>
      </w:r>
    </w:p>
    <w:p w14:paraId="021828EC">
      <w:pPr>
        <w:pStyle w:val="4"/>
        <w:spacing w:after="163"/>
        <w:rPr>
          <w:rFonts w:cs="Times New Roman"/>
          <w:color w:val="auto"/>
          <w:highlight w:val="none"/>
          <w:lang w:val="zh-CN"/>
        </w:rPr>
      </w:pPr>
      <w:bookmarkStart w:id="263" w:name="_Toc30780"/>
      <w:r>
        <w:rPr>
          <w:rFonts w:cs="Times New Roman"/>
          <w:color w:val="auto"/>
          <w:highlight w:val="none"/>
          <w:lang w:val="zh-CN"/>
        </w:rPr>
        <w:t>4.2.</w:t>
      </w:r>
      <w:r>
        <w:rPr>
          <w:rFonts w:cs="Times New Roman"/>
          <w:color w:val="auto"/>
          <w:highlight w:val="none"/>
        </w:rPr>
        <w:t>4</w:t>
      </w:r>
      <w:r>
        <w:rPr>
          <w:rFonts w:cs="Times New Roman"/>
          <w:color w:val="auto"/>
          <w:highlight w:val="none"/>
          <w:lang w:val="zh-CN"/>
        </w:rPr>
        <w:t xml:space="preserve"> 声环境质量现状监测与评价</w:t>
      </w:r>
      <w:bookmarkEnd w:id="263"/>
    </w:p>
    <w:p w14:paraId="1F5980B2">
      <w:pPr>
        <w:rPr>
          <w:rFonts w:ascii="Times New Roman" w:hAnsi="Times New Roman" w:eastAsia="宋体" w:cs="Times New Roman"/>
          <w:color w:val="auto"/>
          <w:highlight w:val="none"/>
        </w:rPr>
      </w:pPr>
      <w:r>
        <w:rPr>
          <w:rFonts w:cs="Times New Roman"/>
          <w:color w:val="auto"/>
          <w:highlight w:val="none"/>
        </w:rPr>
        <w:t>本次环评声环境质量现状评</w:t>
      </w:r>
      <w:r>
        <w:rPr>
          <w:rFonts w:ascii="Times New Roman" w:hAnsi="Times New Roman" w:eastAsia="宋体" w:cs="Times New Roman"/>
          <w:color w:val="auto"/>
          <w:highlight w:val="none"/>
        </w:rPr>
        <w:t>价委托</w:t>
      </w:r>
      <w:r>
        <w:rPr>
          <w:rFonts w:hint="eastAsia" w:ascii="Times New Roman" w:hAnsi="Times New Roman" w:eastAsia="宋体" w:cs="Times New Roman"/>
          <w:color w:val="auto"/>
          <w:highlight w:val="none"/>
          <w:lang w:eastAsia="zh-CN"/>
        </w:rPr>
        <w:t>黑龙江汉风环境检测技术有限公司</w:t>
      </w:r>
      <w:r>
        <w:rPr>
          <w:rFonts w:ascii="Times New Roman" w:hAnsi="Times New Roman" w:eastAsia="宋体" w:cs="Times New Roman"/>
          <w:color w:val="auto"/>
          <w:highlight w:val="none"/>
        </w:rPr>
        <w:t>进行监测。</w:t>
      </w:r>
    </w:p>
    <w:p w14:paraId="169FC9DF">
      <w:pPr>
        <w:ind w:firstLine="482"/>
        <w:rPr>
          <w:rFonts w:cs="Times New Roman"/>
          <w:b/>
          <w:bCs/>
          <w:color w:val="auto"/>
          <w:highlight w:val="none"/>
        </w:rPr>
      </w:pPr>
      <w:r>
        <w:rPr>
          <w:rFonts w:cs="Times New Roman"/>
          <w:b/>
          <w:bCs/>
          <w:color w:val="auto"/>
          <w:highlight w:val="none"/>
        </w:rPr>
        <w:t>1、监测点位</w:t>
      </w:r>
    </w:p>
    <w:p w14:paraId="548EA683">
      <w:pPr>
        <w:rPr>
          <w:rFonts w:cs="Times New Roman"/>
          <w:color w:val="auto"/>
          <w:highlight w:val="none"/>
        </w:rPr>
      </w:pPr>
      <w:r>
        <w:rPr>
          <w:rFonts w:cs="Times New Roman"/>
          <w:color w:val="auto"/>
          <w:highlight w:val="none"/>
        </w:rPr>
        <w:t>根据本工程所处具体位置、厂区总平面布置、主要噪声源位置及周边环境状况，本次评价厂区围共布设</w:t>
      </w:r>
      <w:r>
        <w:rPr>
          <w:rFonts w:hint="eastAsia" w:cs="Times New Roman"/>
          <w:color w:val="auto"/>
          <w:highlight w:val="none"/>
          <w:lang w:val="en-US" w:eastAsia="zh-CN"/>
        </w:rPr>
        <w:t>5</w:t>
      </w:r>
      <w:r>
        <w:rPr>
          <w:rFonts w:cs="Times New Roman"/>
          <w:color w:val="auto"/>
          <w:highlight w:val="none"/>
        </w:rPr>
        <w:t>个监测点，具体位置见下表和图4-2-1。</w:t>
      </w:r>
    </w:p>
    <w:p w14:paraId="677200B6">
      <w:pPr>
        <w:adjustRightInd/>
        <w:snapToGrid/>
        <w:spacing w:line="240" w:lineRule="auto"/>
        <w:ind w:firstLine="0" w:firstLineChars="0"/>
        <w:jc w:val="both"/>
        <w:rPr>
          <w:rFonts w:cs="Times New Roman"/>
          <w:b/>
          <w:color w:val="auto"/>
          <w:szCs w:val="24"/>
          <w:highlight w:val="none"/>
        </w:rPr>
      </w:pPr>
    </w:p>
    <w:p w14:paraId="3560D298">
      <w:pPr>
        <w:adjustRightInd/>
        <w:snapToGrid/>
        <w:spacing w:line="240" w:lineRule="auto"/>
        <w:ind w:firstLine="0" w:firstLineChars="0"/>
        <w:jc w:val="center"/>
        <w:rPr>
          <w:rFonts w:cs="Times New Roman"/>
          <w:b/>
          <w:color w:val="auto"/>
          <w:szCs w:val="24"/>
          <w:highlight w:val="none"/>
        </w:rPr>
      </w:pPr>
      <w:r>
        <w:rPr>
          <w:rFonts w:cs="Times New Roman"/>
          <w:b/>
          <w:color w:val="auto"/>
          <w:szCs w:val="24"/>
          <w:highlight w:val="none"/>
        </w:rPr>
        <w:t>表4-2-15  噪声监测布点一览表</w:t>
      </w:r>
    </w:p>
    <w:tbl>
      <w:tblPr>
        <w:tblStyle w:val="47"/>
        <w:tblW w:w="867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50"/>
        <w:gridCol w:w="2902"/>
        <w:gridCol w:w="3626"/>
      </w:tblGrid>
      <w:tr w14:paraId="23D93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1" w:hRule="atLeast"/>
        </w:trPr>
        <w:tc>
          <w:tcPr>
            <w:tcW w:w="2150" w:type="dxa"/>
            <w:vAlign w:val="center"/>
          </w:tcPr>
          <w:p w14:paraId="277C7D4A">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测点编号</w:t>
            </w:r>
          </w:p>
        </w:tc>
        <w:tc>
          <w:tcPr>
            <w:tcW w:w="2902" w:type="dxa"/>
            <w:vAlign w:val="center"/>
          </w:tcPr>
          <w:p w14:paraId="332C41DB">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测点名称</w:t>
            </w:r>
          </w:p>
        </w:tc>
        <w:tc>
          <w:tcPr>
            <w:tcW w:w="3626" w:type="dxa"/>
            <w:vAlign w:val="center"/>
          </w:tcPr>
          <w:p w14:paraId="4BECAC1A">
            <w:pPr>
              <w:pStyle w:val="459"/>
              <w:autoSpaceDE w:val="0"/>
              <w:autoSpaceDN w:val="0"/>
              <w:adjustRightInd w:val="0"/>
              <w:snapToGrid w:val="0"/>
              <w:spacing w:line="360" w:lineRule="exact"/>
              <w:textAlignment w:val="bottom"/>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测点位置</w:t>
            </w:r>
          </w:p>
        </w:tc>
      </w:tr>
      <w:tr w14:paraId="31AD1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8" w:hRule="atLeast"/>
        </w:trPr>
        <w:tc>
          <w:tcPr>
            <w:tcW w:w="2150" w:type="dxa"/>
            <w:vAlign w:val="center"/>
          </w:tcPr>
          <w:p w14:paraId="0983A7A0">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1#</w:t>
            </w:r>
          </w:p>
        </w:tc>
        <w:tc>
          <w:tcPr>
            <w:tcW w:w="2902" w:type="dxa"/>
            <w:vAlign w:val="center"/>
          </w:tcPr>
          <w:p w14:paraId="6F60FCFE">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北侧厂界</w:t>
            </w:r>
          </w:p>
        </w:tc>
        <w:tc>
          <w:tcPr>
            <w:tcW w:w="3626" w:type="dxa"/>
            <w:vAlign w:val="center"/>
          </w:tcPr>
          <w:p w14:paraId="16768DE4">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厂界外1m处</w:t>
            </w:r>
          </w:p>
        </w:tc>
      </w:tr>
      <w:tr w14:paraId="3563F8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8" w:hRule="atLeast"/>
        </w:trPr>
        <w:tc>
          <w:tcPr>
            <w:tcW w:w="2150" w:type="dxa"/>
            <w:vAlign w:val="center"/>
          </w:tcPr>
          <w:p w14:paraId="028EEC05">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2#</w:t>
            </w:r>
          </w:p>
        </w:tc>
        <w:tc>
          <w:tcPr>
            <w:tcW w:w="2902" w:type="dxa"/>
            <w:vAlign w:val="center"/>
          </w:tcPr>
          <w:p w14:paraId="29979471">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东侧厂界</w:t>
            </w:r>
          </w:p>
        </w:tc>
        <w:tc>
          <w:tcPr>
            <w:tcW w:w="3626" w:type="dxa"/>
            <w:vAlign w:val="center"/>
          </w:tcPr>
          <w:p w14:paraId="299577FC">
            <w:pPr>
              <w:pStyle w:val="459"/>
              <w:autoSpaceDE w:val="0"/>
              <w:autoSpaceDN w:val="0"/>
              <w:adjustRightInd w:val="0"/>
              <w:snapToGrid w:val="0"/>
              <w:spacing w:line="360" w:lineRule="exact"/>
              <w:textAlignment w:val="bottom"/>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厂界外1m处</w:t>
            </w:r>
          </w:p>
        </w:tc>
      </w:tr>
      <w:tr w14:paraId="3D292E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8" w:hRule="atLeast"/>
        </w:trPr>
        <w:tc>
          <w:tcPr>
            <w:tcW w:w="2150" w:type="dxa"/>
            <w:vAlign w:val="center"/>
          </w:tcPr>
          <w:p w14:paraId="43F7E8E8">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3#</w:t>
            </w:r>
          </w:p>
        </w:tc>
        <w:tc>
          <w:tcPr>
            <w:tcW w:w="2902" w:type="dxa"/>
            <w:vAlign w:val="center"/>
          </w:tcPr>
          <w:p w14:paraId="6063BF7D">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南侧厂界</w:t>
            </w:r>
          </w:p>
        </w:tc>
        <w:tc>
          <w:tcPr>
            <w:tcW w:w="3626" w:type="dxa"/>
            <w:vAlign w:val="center"/>
          </w:tcPr>
          <w:p w14:paraId="41C3F1E2">
            <w:pPr>
              <w:pStyle w:val="460"/>
              <w:autoSpaceDE w:val="0"/>
              <w:autoSpaceDN w:val="0"/>
              <w:spacing w:line="360" w:lineRule="exact"/>
              <w:textAlignment w:val="bottom"/>
              <w:rPr>
                <w:rFonts w:ascii="Times New Roman" w:hAnsi="Times New Roman" w:eastAsia="宋体"/>
                <w:color w:val="auto"/>
                <w:kern w:val="2"/>
                <w:sz w:val="21"/>
                <w:szCs w:val="21"/>
                <w:highlight w:val="none"/>
              </w:rPr>
            </w:pPr>
            <w:r>
              <w:rPr>
                <w:rFonts w:ascii="Times New Roman" w:hAnsi="Times New Roman" w:eastAsia="宋体"/>
                <w:color w:val="auto"/>
                <w:kern w:val="2"/>
                <w:sz w:val="21"/>
                <w:szCs w:val="21"/>
                <w:highlight w:val="none"/>
              </w:rPr>
              <w:t>厂界外1m处</w:t>
            </w:r>
          </w:p>
        </w:tc>
      </w:tr>
      <w:tr w14:paraId="4D21E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2" w:hRule="atLeast"/>
        </w:trPr>
        <w:tc>
          <w:tcPr>
            <w:tcW w:w="2150" w:type="dxa"/>
            <w:vAlign w:val="center"/>
          </w:tcPr>
          <w:p w14:paraId="4A8A6DF3">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4#</w:t>
            </w:r>
          </w:p>
        </w:tc>
        <w:tc>
          <w:tcPr>
            <w:tcW w:w="2902" w:type="dxa"/>
            <w:vAlign w:val="center"/>
          </w:tcPr>
          <w:p w14:paraId="687C7580">
            <w:pPr>
              <w:autoSpaceDE w:val="0"/>
              <w:autoSpaceDN w:val="0"/>
              <w:spacing w:line="360" w:lineRule="exact"/>
              <w:ind w:firstLine="0" w:firstLineChars="0"/>
              <w:jc w:val="center"/>
              <w:textAlignment w:val="bottom"/>
              <w:rPr>
                <w:rFonts w:cs="Times New Roman"/>
                <w:color w:val="auto"/>
                <w:sz w:val="21"/>
                <w:szCs w:val="21"/>
                <w:highlight w:val="none"/>
              </w:rPr>
            </w:pPr>
            <w:r>
              <w:rPr>
                <w:rFonts w:cs="Times New Roman"/>
                <w:color w:val="auto"/>
                <w:sz w:val="21"/>
                <w:szCs w:val="21"/>
                <w:highlight w:val="none"/>
              </w:rPr>
              <w:t>西侧厂界</w:t>
            </w:r>
          </w:p>
        </w:tc>
        <w:tc>
          <w:tcPr>
            <w:tcW w:w="3626" w:type="dxa"/>
            <w:vAlign w:val="center"/>
          </w:tcPr>
          <w:p w14:paraId="64FBADBC">
            <w:pPr>
              <w:pStyle w:val="460"/>
              <w:autoSpaceDE w:val="0"/>
              <w:autoSpaceDN w:val="0"/>
              <w:spacing w:line="360" w:lineRule="exact"/>
              <w:textAlignment w:val="bottom"/>
              <w:rPr>
                <w:rFonts w:ascii="Times New Roman" w:hAnsi="Times New Roman" w:eastAsia="宋体"/>
                <w:color w:val="auto"/>
                <w:kern w:val="2"/>
                <w:sz w:val="21"/>
                <w:szCs w:val="21"/>
                <w:highlight w:val="none"/>
              </w:rPr>
            </w:pPr>
            <w:r>
              <w:rPr>
                <w:rFonts w:ascii="Times New Roman" w:hAnsi="Times New Roman" w:eastAsia="宋体"/>
                <w:color w:val="auto"/>
                <w:kern w:val="2"/>
                <w:sz w:val="21"/>
                <w:szCs w:val="21"/>
                <w:highlight w:val="none"/>
              </w:rPr>
              <w:t>厂界外1m处</w:t>
            </w:r>
          </w:p>
        </w:tc>
      </w:tr>
      <w:tr w14:paraId="31742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2" w:hRule="atLeast"/>
        </w:trPr>
        <w:tc>
          <w:tcPr>
            <w:tcW w:w="2150" w:type="dxa"/>
            <w:vAlign w:val="center"/>
          </w:tcPr>
          <w:p w14:paraId="557A53C7">
            <w:pPr>
              <w:autoSpaceDE w:val="0"/>
              <w:autoSpaceDN w:val="0"/>
              <w:spacing w:line="360" w:lineRule="exact"/>
              <w:ind w:firstLine="0" w:firstLineChars="0"/>
              <w:jc w:val="center"/>
              <w:textAlignment w:val="bottom"/>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2902" w:type="dxa"/>
            <w:vAlign w:val="center"/>
          </w:tcPr>
          <w:p w14:paraId="38032135">
            <w:pPr>
              <w:autoSpaceDE w:val="0"/>
              <w:autoSpaceDN w:val="0"/>
              <w:spacing w:line="360" w:lineRule="exact"/>
              <w:ind w:firstLine="0" w:firstLineChars="0"/>
              <w:jc w:val="center"/>
              <w:textAlignment w:val="bottom"/>
              <w:rPr>
                <w:rFonts w:cs="Times New Roman"/>
                <w:color w:val="auto"/>
                <w:sz w:val="21"/>
                <w:szCs w:val="21"/>
                <w:highlight w:val="none"/>
              </w:rPr>
            </w:pPr>
            <w:r>
              <w:rPr>
                <w:rFonts w:ascii="Times New Roman" w:hAnsi="Times New Roman" w:eastAsia="宋体" w:cs="Times New Roman"/>
                <w:color w:val="auto"/>
                <w:sz w:val="21"/>
                <w:szCs w:val="21"/>
                <w:highlight w:val="none"/>
              </w:rPr>
              <w:t>厂界</w:t>
            </w:r>
            <w:r>
              <w:rPr>
                <w:rFonts w:hint="eastAsia" w:ascii="Times New Roman" w:hAnsi="Times New Roman" w:eastAsia="宋体" w:cs="Times New Roman"/>
                <w:color w:val="auto"/>
                <w:sz w:val="21"/>
                <w:szCs w:val="21"/>
                <w:highlight w:val="none"/>
                <w:lang w:val="en-US" w:eastAsia="zh-CN"/>
              </w:rPr>
              <w:t>西侧居民</w:t>
            </w:r>
          </w:p>
        </w:tc>
        <w:tc>
          <w:tcPr>
            <w:tcW w:w="3626" w:type="dxa"/>
            <w:vAlign w:val="center"/>
          </w:tcPr>
          <w:p w14:paraId="1B685377">
            <w:pPr>
              <w:pStyle w:val="460"/>
              <w:autoSpaceDE w:val="0"/>
              <w:autoSpaceDN w:val="0"/>
              <w:spacing w:line="360" w:lineRule="exact"/>
              <w:textAlignment w:val="bottom"/>
              <w:rPr>
                <w:rFonts w:hint="default" w:ascii="Times New Roman" w:hAnsi="Times New Roman" w:eastAsia="宋体"/>
                <w:color w:val="auto"/>
                <w:kern w:val="2"/>
                <w:sz w:val="21"/>
                <w:szCs w:val="21"/>
                <w:highlight w:val="none"/>
                <w:lang w:val="en-US" w:eastAsia="zh-CN"/>
              </w:rPr>
            </w:pPr>
            <w:r>
              <w:rPr>
                <w:rFonts w:hint="eastAsia" w:ascii="Times New Roman" w:hAnsi="Times New Roman" w:eastAsia="宋体"/>
                <w:color w:val="auto"/>
                <w:kern w:val="2"/>
                <w:sz w:val="21"/>
                <w:szCs w:val="21"/>
                <w:highlight w:val="none"/>
                <w:lang w:val="en-US" w:eastAsia="zh-CN"/>
              </w:rPr>
              <w:t>居民区</w:t>
            </w:r>
          </w:p>
        </w:tc>
      </w:tr>
    </w:tbl>
    <w:p w14:paraId="7DD5E0CA">
      <w:pPr>
        <w:spacing w:before="163" w:beforeLines="50"/>
        <w:ind w:firstLine="482"/>
        <w:rPr>
          <w:rFonts w:cs="Times New Roman"/>
          <w:b/>
          <w:bCs/>
          <w:color w:val="auto"/>
          <w:kern w:val="0"/>
          <w:highlight w:val="none"/>
          <w:lang w:val="zh-CN"/>
        </w:rPr>
      </w:pPr>
      <w:r>
        <w:rPr>
          <w:rFonts w:cs="Times New Roman"/>
          <w:b/>
          <w:bCs/>
          <w:color w:val="auto"/>
          <w:highlight w:val="none"/>
        </w:rPr>
        <w:t>2、监测时间和频率</w:t>
      </w:r>
    </w:p>
    <w:p w14:paraId="21F0C5AD">
      <w:pPr>
        <w:rPr>
          <w:rFonts w:hint="eastAsia" w:eastAsia="宋体" w:cs="Times New Roman"/>
          <w:color w:val="auto"/>
          <w:kern w:val="0"/>
          <w:highlight w:val="none"/>
          <w:lang w:eastAsia="zh-CN"/>
        </w:rPr>
      </w:pPr>
      <w:r>
        <w:rPr>
          <w:rFonts w:cs="Times New Roman"/>
          <w:color w:val="auto"/>
          <w:highlight w:val="none"/>
        </w:rPr>
        <w:t>202</w:t>
      </w:r>
      <w:r>
        <w:rPr>
          <w:rFonts w:hint="eastAsia" w:cs="Times New Roman"/>
          <w:color w:val="auto"/>
          <w:highlight w:val="none"/>
          <w:lang w:val="en-US" w:eastAsia="zh-CN"/>
        </w:rPr>
        <w:t>5</w:t>
      </w:r>
      <w:r>
        <w:rPr>
          <w:rFonts w:cs="Times New Roman"/>
          <w:color w:val="auto"/>
          <w:highlight w:val="none"/>
        </w:rPr>
        <w:t>年</w:t>
      </w:r>
      <w:r>
        <w:rPr>
          <w:rFonts w:hint="eastAsia" w:cs="Times New Roman"/>
          <w:color w:val="auto"/>
          <w:highlight w:val="none"/>
          <w:lang w:val="en-US" w:eastAsia="zh-CN"/>
        </w:rPr>
        <w:t>8</w:t>
      </w:r>
      <w:r>
        <w:rPr>
          <w:rFonts w:cs="Times New Roman"/>
          <w:color w:val="auto"/>
          <w:highlight w:val="none"/>
        </w:rPr>
        <w:t>月</w:t>
      </w:r>
      <w:r>
        <w:rPr>
          <w:rFonts w:hint="eastAsia" w:cs="Times New Roman"/>
          <w:color w:val="auto"/>
          <w:highlight w:val="none"/>
          <w:lang w:val="en-US" w:eastAsia="zh-CN"/>
        </w:rPr>
        <w:t>16</w:t>
      </w:r>
      <w:r>
        <w:rPr>
          <w:rFonts w:cs="Times New Roman"/>
          <w:color w:val="auto"/>
          <w:highlight w:val="none"/>
        </w:rPr>
        <w:t>日~</w:t>
      </w:r>
      <w:r>
        <w:rPr>
          <w:rFonts w:hint="eastAsia" w:cs="Times New Roman"/>
          <w:color w:val="auto"/>
          <w:highlight w:val="none"/>
          <w:lang w:val="en-US" w:eastAsia="zh-CN"/>
        </w:rPr>
        <w:t>17</w:t>
      </w:r>
      <w:r>
        <w:rPr>
          <w:rFonts w:cs="Times New Roman"/>
          <w:color w:val="auto"/>
          <w:highlight w:val="none"/>
        </w:rPr>
        <w:t>日进行，连续监测2天，昼夜各</w:t>
      </w:r>
      <w:r>
        <w:rPr>
          <w:rFonts w:hint="eastAsia" w:cs="Times New Roman"/>
          <w:color w:val="auto"/>
          <w:highlight w:val="none"/>
          <w:lang w:val="en-US" w:eastAsia="zh-CN"/>
        </w:rPr>
        <w:t>1</w:t>
      </w:r>
      <w:r>
        <w:rPr>
          <w:rFonts w:cs="Times New Roman"/>
          <w:color w:val="auto"/>
          <w:highlight w:val="none"/>
        </w:rPr>
        <w:t>次</w:t>
      </w:r>
      <w:r>
        <w:rPr>
          <w:rFonts w:hint="eastAsia" w:cs="Times New Roman"/>
          <w:color w:val="auto"/>
          <w:highlight w:val="none"/>
          <w:lang w:eastAsia="zh-CN"/>
        </w:rPr>
        <w:t>。</w:t>
      </w:r>
    </w:p>
    <w:p w14:paraId="5980055F">
      <w:pPr>
        <w:ind w:firstLine="482"/>
        <w:rPr>
          <w:rFonts w:cs="Times New Roman"/>
          <w:b/>
          <w:bCs/>
          <w:color w:val="auto"/>
          <w:highlight w:val="none"/>
        </w:rPr>
      </w:pPr>
      <w:r>
        <w:rPr>
          <w:rFonts w:cs="Times New Roman"/>
          <w:b/>
          <w:bCs/>
          <w:color w:val="auto"/>
          <w:highlight w:val="none"/>
        </w:rPr>
        <w:t>3、监测结果及评价</w:t>
      </w:r>
    </w:p>
    <w:p w14:paraId="51098863">
      <w:pPr>
        <w:pStyle w:val="458"/>
        <w:keepNext w:val="0"/>
        <w:keepLines w:val="0"/>
        <w:pageBreakBefore w:val="0"/>
        <w:widowControl w:val="0"/>
        <w:kinsoku/>
        <w:wordWrap/>
        <w:overflowPunct/>
        <w:topLinePunct w:val="0"/>
        <w:autoSpaceDE/>
        <w:autoSpaceDN/>
        <w:bidi w:val="0"/>
        <w:spacing w:line="520" w:lineRule="atLeast"/>
        <w:textAlignment w:val="auto"/>
        <w:rPr>
          <w:rFonts w:cs="Times New Roman"/>
          <w:color w:val="auto"/>
          <w:highlight w:val="none"/>
        </w:rPr>
      </w:pPr>
      <w:r>
        <w:rPr>
          <w:rFonts w:cs="Times New Roman"/>
          <w:color w:val="auto"/>
          <w:highlight w:val="none"/>
        </w:rPr>
        <w:t>环境噪声监测结果见下表。</w:t>
      </w:r>
    </w:p>
    <w:p w14:paraId="153F648D">
      <w:pPr>
        <w:keepNext w:val="0"/>
        <w:keepLines w:val="0"/>
        <w:pageBreakBefore w:val="0"/>
        <w:widowControl w:val="0"/>
        <w:kinsoku/>
        <w:wordWrap/>
        <w:overflowPunct/>
        <w:topLinePunct w:val="0"/>
        <w:autoSpaceDE/>
        <w:autoSpaceDN/>
        <w:bidi w:val="0"/>
        <w:adjustRightInd/>
        <w:snapToGrid/>
        <w:spacing w:line="520" w:lineRule="atLeast"/>
        <w:ind w:firstLine="0" w:firstLineChars="0"/>
        <w:jc w:val="center"/>
        <w:textAlignment w:val="auto"/>
        <w:rPr>
          <w:rFonts w:cs="Times New Roman"/>
          <w:b/>
          <w:color w:val="auto"/>
          <w:szCs w:val="24"/>
          <w:highlight w:val="none"/>
        </w:rPr>
      </w:pPr>
      <w:r>
        <w:rPr>
          <w:rFonts w:cs="Times New Roman"/>
          <w:b/>
          <w:color w:val="auto"/>
          <w:szCs w:val="24"/>
          <w:highlight w:val="none"/>
        </w:rPr>
        <w:t>表4-2-16  环境噪声现状监测结果表        单位：dB(A)</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1780"/>
        <w:gridCol w:w="1479"/>
        <w:gridCol w:w="1480"/>
        <w:gridCol w:w="1482"/>
        <w:gridCol w:w="1480"/>
      </w:tblGrid>
      <w:tr w14:paraId="1A9000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blHeader/>
          <w:jc w:val="center"/>
        </w:trPr>
        <w:tc>
          <w:tcPr>
            <w:tcW w:w="483" w:type="pct"/>
            <w:vMerge w:val="restart"/>
            <w:tcBorders>
              <w:tl2br w:val="nil"/>
              <w:tr2bl w:val="nil"/>
            </w:tcBorders>
            <w:noWrap w:val="0"/>
            <w:vAlign w:val="center"/>
          </w:tcPr>
          <w:p w14:paraId="31651B0E">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序号</w:t>
            </w:r>
          </w:p>
        </w:tc>
        <w:tc>
          <w:tcPr>
            <w:tcW w:w="1044" w:type="pct"/>
            <w:vMerge w:val="restart"/>
            <w:tcBorders>
              <w:tl2br w:val="nil"/>
              <w:tr2bl w:val="nil"/>
            </w:tcBorders>
            <w:noWrap w:val="0"/>
            <w:vAlign w:val="center"/>
          </w:tcPr>
          <w:p w14:paraId="76F6ED95">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采样点位</w:t>
            </w:r>
          </w:p>
        </w:tc>
        <w:tc>
          <w:tcPr>
            <w:tcW w:w="1735" w:type="pct"/>
            <w:gridSpan w:val="2"/>
            <w:tcBorders>
              <w:tl2br w:val="nil"/>
              <w:tr2bl w:val="nil"/>
            </w:tcBorders>
            <w:noWrap w:val="0"/>
            <w:vAlign w:val="center"/>
          </w:tcPr>
          <w:p w14:paraId="139FECD3">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检测结果</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dB（A）</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2025.08.16</w:t>
            </w:r>
          </w:p>
        </w:tc>
        <w:tc>
          <w:tcPr>
            <w:tcW w:w="1737" w:type="pct"/>
            <w:gridSpan w:val="2"/>
            <w:tcBorders>
              <w:tl2br w:val="nil"/>
              <w:tr2bl w:val="nil"/>
            </w:tcBorders>
            <w:noWrap w:val="0"/>
            <w:vAlign w:val="center"/>
          </w:tcPr>
          <w:p w14:paraId="7E1FC579">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检测结果</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dB（A）</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2025.08.1</w:t>
            </w:r>
            <w:r>
              <w:rPr>
                <w:rFonts w:hint="eastAsia" w:ascii="Times New Roman" w:hAnsi="Times New Roman" w:eastAsia="宋体" w:cs="Times New Roman"/>
                <w:color w:val="auto"/>
                <w:sz w:val="21"/>
                <w:szCs w:val="21"/>
                <w:highlight w:val="none"/>
                <w:lang w:val="en-US" w:eastAsia="zh-CN"/>
              </w:rPr>
              <w:t>7</w:t>
            </w:r>
          </w:p>
        </w:tc>
      </w:tr>
      <w:tr w14:paraId="3A099E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83" w:type="pct"/>
            <w:vMerge w:val="continue"/>
            <w:tcBorders>
              <w:tl2br w:val="nil"/>
              <w:tr2bl w:val="nil"/>
            </w:tcBorders>
            <w:noWrap w:val="0"/>
            <w:vAlign w:val="center"/>
          </w:tcPr>
          <w:p w14:paraId="238FE81E">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rPr>
            </w:pPr>
          </w:p>
        </w:tc>
        <w:tc>
          <w:tcPr>
            <w:tcW w:w="1044" w:type="pct"/>
            <w:vMerge w:val="continue"/>
            <w:tcBorders>
              <w:tl2br w:val="nil"/>
              <w:tr2bl w:val="nil"/>
            </w:tcBorders>
            <w:noWrap w:val="0"/>
            <w:vAlign w:val="center"/>
          </w:tcPr>
          <w:p w14:paraId="4217507B">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eastAsia="zh-CN"/>
              </w:rPr>
            </w:pPr>
          </w:p>
        </w:tc>
        <w:tc>
          <w:tcPr>
            <w:tcW w:w="867" w:type="pct"/>
            <w:tcBorders>
              <w:tl2br w:val="nil"/>
              <w:tr2bl w:val="nil"/>
            </w:tcBorders>
            <w:noWrap w:val="0"/>
            <w:vAlign w:val="center"/>
          </w:tcPr>
          <w:p w14:paraId="2470C723">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昼间</w:t>
            </w:r>
          </w:p>
        </w:tc>
        <w:tc>
          <w:tcPr>
            <w:tcW w:w="867" w:type="pct"/>
            <w:tcBorders>
              <w:tl2br w:val="nil"/>
              <w:tr2bl w:val="nil"/>
            </w:tcBorders>
            <w:noWrap w:val="0"/>
            <w:vAlign w:val="center"/>
          </w:tcPr>
          <w:p w14:paraId="29C43F00">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夜间</w:t>
            </w:r>
          </w:p>
        </w:tc>
        <w:tc>
          <w:tcPr>
            <w:tcW w:w="869" w:type="pct"/>
            <w:tcBorders>
              <w:tl2br w:val="nil"/>
              <w:tr2bl w:val="nil"/>
            </w:tcBorders>
            <w:noWrap w:val="0"/>
            <w:vAlign w:val="center"/>
          </w:tcPr>
          <w:p w14:paraId="2A3FD2B1">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昼间</w:t>
            </w:r>
          </w:p>
        </w:tc>
        <w:tc>
          <w:tcPr>
            <w:tcW w:w="867" w:type="pct"/>
            <w:tcBorders>
              <w:tl2br w:val="nil"/>
              <w:tr2bl w:val="nil"/>
            </w:tcBorders>
            <w:noWrap w:val="0"/>
            <w:vAlign w:val="center"/>
          </w:tcPr>
          <w:p w14:paraId="75E01846">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夜间</w:t>
            </w:r>
          </w:p>
        </w:tc>
      </w:tr>
      <w:tr w14:paraId="14050C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tl2br w:val="nil"/>
              <w:tr2bl w:val="nil"/>
            </w:tcBorders>
            <w:noWrap w:val="0"/>
            <w:vAlign w:val="center"/>
          </w:tcPr>
          <w:p w14:paraId="083B4704">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w:t>
            </w:r>
          </w:p>
        </w:tc>
        <w:tc>
          <w:tcPr>
            <w:tcW w:w="1044" w:type="pct"/>
            <w:tcBorders>
              <w:tl2br w:val="nil"/>
              <w:tr2bl w:val="nil"/>
            </w:tcBorders>
            <w:noWrap w:val="0"/>
            <w:vAlign w:val="center"/>
          </w:tcPr>
          <w:p w14:paraId="1E3F92AD">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厂界</w:t>
            </w:r>
            <w:r>
              <w:rPr>
                <w:rFonts w:hint="eastAsia" w:ascii="Times New Roman" w:hAnsi="Times New Roman" w:eastAsia="宋体" w:cs="Times New Roman"/>
                <w:color w:val="auto"/>
                <w:sz w:val="21"/>
                <w:szCs w:val="21"/>
                <w:highlight w:val="none"/>
                <w:lang w:val="en-US" w:eastAsia="zh-CN"/>
              </w:rPr>
              <w:t>北侧</w:t>
            </w:r>
          </w:p>
        </w:tc>
        <w:tc>
          <w:tcPr>
            <w:tcW w:w="867" w:type="pct"/>
            <w:tcBorders>
              <w:tl2br w:val="nil"/>
              <w:tr2bl w:val="nil"/>
            </w:tcBorders>
            <w:noWrap w:val="0"/>
            <w:vAlign w:val="center"/>
          </w:tcPr>
          <w:p w14:paraId="40F91C61">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c>
          <w:tcPr>
            <w:tcW w:w="867" w:type="pct"/>
            <w:tcBorders>
              <w:tl2br w:val="nil"/>
              <w:tr2bl w:val="nil"/>
            </w:tcBorders>
            <w:noWrap w:val="0"/>
            <w:vAlign w:val="center"/>
          </w:tcPr>
          <w:p w14:paraId="062E0B2F">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w:t>
            </w:r>
          </w:p>
        </w:tc>
        <w:tc>
          <w:tcPr>
            <w:tcW w:w="869" w:type="pct"/>
            <w:tcBorders>
              <w:tl2br w:val="nil"/>
              <w:tr2bl w:val="nil"/>
            </w:tcBorders>
            <w:noWrap w:val="0"/>
            <w:vAlign w:val="center"/>
          </w:tcPr>
          <w:p w14:paraId="406E56C0">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56</w:t>
            </w:r>
          </w:p>
        </w:tc>
        <w:tc>
          <w:tcPr>
            <w:tcW w:w="867" w:type="pct"/>
            <w:tcBorders>
              <w:tl2br w:val="nil"/>
              <w:tr2bl w:val="nil"/>
            </w:tcBorders>
            <w:noWrap w:val="0"/>
            <w:vAlign w:val="center"/>
          </w:tcPr>
          <w:p w14:paraId="576B1489">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48</w:t>
            </w:r>
          </w:p>
        </w:tc>
      </w:tr>
      <w:tr w14:paraId="458DCC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tl2br w:val="nil"/>
              <w:tr2bl w:val="nil"/>
            </w:tcBorders>
            <w:noWrap w:val="0"/>
            <w:vAlign w:val="center"/>
          </w:tcPr>
          <w:p w14:paraId="33AE1FAA">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w:t>
            </w:r>
          </w:p>
        </w:tc>
        <w:tc>
          <w:tcPr>
            <w:tcW w:w="1044" w:type="pct"/>
            <w:tcBorders>
              <w:tl2br w:val="nil"/>
              <w:tr2bl w:val="nil"/>
            </w:tcBorders>
            <w:noWrap w:val="0"/>
            <w:vAlign w:val="center"/>
          </w:tcPr>
          <w:p w14:paraId="00595B9B">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厂界</w:t>
            </w:r>
            <w:r>
              <w:rPr>
                <w:rFonts w:hint="eastAsia" w:ascii="Times New Roman" w:hAnsi="Times New Roman" w:eastAsia="宋体" w:cs="Times New Roman"/>
                <w:color w:val="auto"/>
                <w:sz w:val="21"/>
                <w:szCs w:val="21"/>
                <w:highlight w:val="none"/>
                <w:lang w:val="en-US" w:eastAsia="zh-CN"/>
              </w:rPr>
              <w:t>东侧</w:t>
            </w:r>
          </w:p>
        </w:tc>
        <w:tc>
          <w:tcPr>
            <w:tcW w:w="867" w:type="pct"/>
            <w:tcBorders>
              <w:tl2br w:val="nil"/>
              <w:tr2bl w:val="nil"/>
            </w:tcBorders>
            <w:noWrap w:val="0"/>
            <w:vAlign w:val="center"/>
          </w:tcPr>
          <w:p w14:paraId="20AEBD34">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53</w:t>
            </w:r>
          </w:p>
        </w:tc>
        <w:tc>
          <w:tcPr>
            <w:tcW w:w="867" w:type="pct"/>
            <w:tcBorders>
              <w:tl2br w:val="nil"/>
              <w:tr2bl w:val="nil"/>
            </w:tcBorders>
            <w:noWrap w:val="0"/>
            <w:vAlign w:val="center"/>
          </w:tcPr>
          <w:p w14:paraId="542727D4">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w:t>
            </w:r>
          </w:p>
        </w:tc>
        <w:tc>
          <w:tcPr>
            <w:tcW w:w="869" w:type="pct"/>
            <w:tcBorders>
              <w:tl2br w:val="nil"/>
              <w:tr2bl w:val="nil"/>
            </w:tcBorders>
            <w:noWrap w:val="0"/>
            <w:vAlign w:val="center"/>
          </w:tcPr>
          <w:p w14:paraId="3D102B1E">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54</w:t>
            </w:r>
          </w:p>
        </w:tc>
        <w:tc>
          <w:tcPr>
            <w:tcW w:w="867" w:type="pct"/>
            <w:tcBorders>
              <w:tl2br w:val="nil"/>
              <w:tr2bl w:val="nil"/>
            </w:tcBorders>
            <w:noWrap w:val="0"/>
            <w:vAlign w:val="center"/>
          </w:tcPr>
          <w:p w14:paraId="3733BCFC">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w:t>
            </w:r>
          </w:p>
        </w:tc>
      </w:tr>
      <w:tr w14:paraId="32FCA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tl2br w:val="nil"/>
              <w:tr2bl w:val="nil"/>
            </w:tcBorders>
            <w:noWrap w:val="0"/>
            <w:vAlign w:val="center"/>
          </w:tcPr>
          <w:p w14:paraId="410F1E09">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w:t>
            </w:r>
          </w:p>
        </w:tc>
        <w:tc>
          <w:tcPr>
            <w:tcW w:w="1044" w:type="pct"/>
            <w:tcBorders>
              <w:tl2br w:val="nil"/>
              <w:tr2bl w:val="nil"/>
            </w:tcBorders>
            <w:noWrap w:val="0"/>
            <w:vAlign w:val="center"/>
          </w:tcPr>
          <w:p w14:paraId="1F2090B6">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厂界</w:t>
            </w:r>
            <w:r>
              <w:rPr>
                <w:rFonts w:hint="eastAsia" w:ascii="Times New Roman" w:hAnsi="Times New Roman" w:eastAsia="宋体" w:cs="Times New Roman"/>
                <w:color w:val="auto"/>
                <w:sz w:val="21"/>
                <w:szCs w:val="21"/>
                <w:highlight w:val="none"/>
                <w:lang w:val="en-US" w:eastAsia="zh-CN"/>
              </w:rPr>
              <w:t>南侧</w:t>
            </w:r>
          </w:p>
        </w:tc>
        <w:tc>
          <w:tcPr>
            <w:tcW w:w="867" w:type="pct"/>
            <w:tcBorders>
              <w:tl2br w:val="nil"/>
              <w:tr2bl w:val="nil"/>
            </w:tcBorders>
            <w:noWrap w:val="0"/>
            <w:vAlign w:val="center"/>
          </w:tcPr>
          <w:p w14:paraId="2F5EDBD1">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w:t>
            </w:r>
          </w:p>
        </w:tc>
        <w:tc>
          <w:tcPr>
            <w:tcW w:w="867" w:type="pct"/>
            <w:tcBorders>
              <w:tl2br w:val="nil"/>
              <w:tr2bl w:val="nil"/>
            </w:tcBorders>
            <w:noWrap w:val="0"/>
            <w:vAlign w:val="center"/>
          </w:tcPr>
          <w:p w14:paraId="7AA9F313">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w:t>
            </w:r>
          </w:p>
        </w:tc>
        <w:tc>
          <w:tcPr>
            <w:tcW w:w="869" w:type="pct"/>
            <w:tcBorders>
              <w:tl2br w:val="nil"/>
              <w:tr2bl w:val="nil"/>
            </w:tcBorders>
            <w:noWrap w:val="0"/>
            <w:vAlign w:val="center"/>
          </w:tcPr>
          <w:p w14:paraId="05C47CBD">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w:t>
            </w:r>
          </w:p>
        </w:tc>
        <w:tc>
          <w:tcPr>
            <w:tcW w:w="867" w:type="pct"/>
            <w:tcBorders>
              <w:tl2br w:val="nil"/>
              <w:tr2bl w:val="nil"/>
            </w:tcBorders>
            <w:noWrap w:val="0"/>
            <w:vAlign w:val="center"/>
          </w:tcPr>
          <w:p w14:paraId="2522DCC9">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w:t>
            </w:r>
          </w:p>
        </w:tc>
      </w:tr>
      <w:tr w14:paraId="3B515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tl2br w:val="nil"/>
              <w:tr2bl w:val="nil"/>
            </w:tcBorders>
            <w:noWrap w:val="0"/>
            <w:vAlign w:val="center"/>
          </w:tcPr>
          <w:p w14:paraId="587530D5">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4#</w:t>
            </w:r>
          </w:p>
        </w:tc>
        <w:tc>
          <w:tcPr>
            <w:tcW w:w="1044" w:type="pct"/>
            <w:tcBorders>
              <w:tl2br w:val="nil"/>
              <w:tr2bl w:val="nil"/>
            </w:tcBorders>
            <w:noWrap w:val="0"/>
            <w:vAlign w:val="center"/>
          </w:tcPr>
          <w:p w14:paraId="6145300C">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厂界</w:t>
            </w:r>
            <w:r>
              <w:rPr>
                <w:rFonts w:hint="eastAsia" w:ascii="Times New Roman" w:hAnsi="Times New Roman" w:eastAsia="宋体" w:cs="Times New Roman"/>
                <w:color w:val="auto"/>
                <w:sz w:val="21"/>
                <w:szCs w:val="21"/>
                <w:highlight w:val="none"/>
                <w:lang w:val="en-US" w:eastAsia="zh-CN"/>
              </w:rPr>
              <w:t>西侧</w:t>
            </w:r>
          </w:p>
        </w:tc>
        <w:tc>
          <w:tcPr>
            <w:tcW w:w="867" w:type="pct"/>
            <w:tcBorders>
              <w:tl2br w:val="nil"/>
              <w:tr2bl w:val="nil"/>
            </w:tcBorders>
            <w:noWrap w:val="0"/>
            <w:vAlign w:val="center"/>
          </w:tcPr>
          <w:p w14:paraId="4EA2DDAE">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54</w:t>
            </w:r>
          </w:p>
        </w:tc>
        <w:tc>
          <w:tcPr>
            <w:tcW w:w="867" w:type="pct"/>
            <w:tcBorders>
              <w:tl2br w:val="nil"/>
              <w:tr2bl w:val="nil"/>
            </w:tcBorders>
            <w:noWrap w:val="0"/>
            <w:vAlign w:val="center"/>
          </w:tcPr>
          <w:p w14:paraId="0BB1DCBE">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47</w:t>
            </w:r>
          </w:p>
        </w:tc>
        <w:tc>
          <w:tcPr>
            <w:tcW w:w="869" w:type="pct"/>
            <w:tcBorders>
              <w:tl2br w:val="nil"/>
              <w:tr2bl w:val="nil"/>
            </w:tcBorders>
            <w:noWrap w:val="0"/>
            <w:vAlign w:val="center"/>
          </w:tcPr>
          <w:p w14:paraId="1FAAD2FE">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54</w:t>
            </w:r>
          </w:p>
        </w:tc>
        <w:tc>
          <w:tcPr>
            <w:tcW w:w="867" w:type="pct"/>
            <w:tcBorders>
              <w:tl2br w:val="nil"/>
              <w:tr2bl w:val="nil"/>
            </w:tcBorders>
            <w:noWrap w:val="0"/>
            <w:vAlign w:val="center"/>
          </w:tcPr>
          <w:p w14:paraId="5B2786CE">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47</w:t>
            </w:r>
          </w:p>
        </w:tc>
      </w:tr>
      <w:tr w14:paraId="411BC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tl2br w:val="nil"/>
              <w:tr2bl w:val="nil"/>
            </w:tcBorders>
            <w:noWrap w:val="0"/>
            <w:vAlign w:val="center"/>
          </w:tcPr>
          <w:p w14:paraId="39593E15">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w:t>
            </w:r>
          </w:p>
        </w:tc>
        <w:tc>
          <w:tcPr>
            <w:tcW w:w="1044" w:type="pct"/>
            <w:tcBorders>
              <w:tl2br w:val="nil"/>
              <w:tr2bl w:val="nil"/>
            </w:tcBorders>
            <w:noWrap w:val="0"/>
            <w:vAlign w:val="center"/>
          </w:tcPr>
          <w:p w14:paraId="4CF9EB5F">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厂界</w:t>
            </w:r>
            <w:r>
              <w:rPr>
                <w:rFonts w:hint="eastAsia" w:ascii="Times New Roman" w:hAnsi="Times New Roman" w:eastAsia="宋体" w:cs="Times New Roman"/>
                <w:color w:val="auto"/>
                <w:sz w:val="21"/>
                <w:szCs w:val="21"/>
                <w:highlight w:val="none"/>
                <w:lang w:val="en-US" w:eastAsia="zh-CN"/>
              </w:rPr>
              <w:t>西侧居民</w:t>
            </w:r>
          </w:p>
        </w:tc>
        <w:tc>
          <w:tcPr>
            <w:tcW w:w="867" w:type="pct"/>
            <w:tcBorders>
              <w:tl2br w:val="nil"/>
              <w:tr2bl w:val="nil"/>
            </w:tcBorders>
            <w:noWrap w:val="0"/>
            <w:vAlign w:val="center"/>
          </w:tcPr>
          <w:p w14:paraId="78B07A09">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w:t>
            </w:r>
          </w:p>
        </w:tc>
        <w:tc>
          <w:tcPr>
            <w:tcW w:w="867" w:type="pct"/>
            <w:tcBorders>
              <w:tl2br w:val="nil"/>
              <w:tr2bl w:val="nil"/>
            </w:tcBorders>
            <w:noWrap w:val="0"/>
            <w:vAlign w:val="center"/>
          </w:tcPr>
          <w:p w14:paraId="5AECB9F5">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w:t>
            </w:r>
          </w:p>
        </w:tc>
        <w:tc>
          <w:tcPr>
            <w:tcW w:w="869" w:type="pct"/>
            <w:tcBorders>
              <w:tl2br w:val="nil"/>
              <w:tr2bl w:val="nil"/>
            </w:tcBorders>
            <w:noWrap w:val="0"/>
            <w:vAlign w:val="center"/>
          </w:tcPr>
          <w:p w14:paraId="3BC9D187">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53</w:t>
            </w:r>
          </w:p>
        </w:tc>
        <w:tc>
          <w:tcPr>
            <w:tcW w:w="867" w:type="pct"/>
            <w:tcBorders>
              <w:tl2br w:val="nil"/>
              <w:tr2bl w:val="nil"/>
            </w:tcBorders>
            <w:noWrap w:val="0"/>
            <w:vAlign w:val="center"/>
          </w:tcPr>
          <w:p w14:paraId="6356C7E8">
            <w:pPr>
              <w:autoSpaceDE w:val="0"/>
              <w:autoSpaceDN w:val="0"/>
              <w:spacing w:line="360" w:lineRule="exact"/>
              <w:ind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w:t>
            </w:r>
          </w:p>
        </w:tc>
      </w:tr>
    </w:tbl>
    <w:p w14:paraId="027640FE">
      <w:pPr>
        <w:keepNext w:val="0"/>
        <w:keepLines w:val="0"/>
        <w:pageBreakBefore w:val="0"/>
        <w:widowControl w:val="0"/>
        <w:kinsoku/>
        <w:wordWrap/>
        <w:overflowPunct/>
        <w:topLinePunct w:val="0"/>
        <w:autoSpaceDE/>
        <w:autoSpaceDN/>
        <w:bidi w:val="0"/>
        <w:adjustRightInd w:val="0"/>
        <w:snapToGrid w:val="0"/>
        <w:spacing w:before="164" w:beforeLines="50"/>
        <w:textAlignment w:val="auto"/>
        <w:rPr>
          <w:rFonts w:cs="Times New Roman"/>
          <w:color w:val="auto"/>
          <w:highlight w:val="none"/>
        </w:rPr>
      </w:pPr>
      <w:r>
        <w:rPr>
          <w:rFonts w:cs="Times New Roman"/>
          <w:color w:val="auto"/>
          <w:highlight w:val="none"/>
        </w:rPr>
        <w:t>由监测数据可知，</w:t>
      </w:r>
      <w:r>
        <w:rPr>
          <w:rFonts w:hint="eastAsia" w:cs="Times New Roman"/>
          <w:color w:val="auto"/>
          <w:highlight w:val="none"/>
          <w:lang w:val="en-US" w:eastAsia="zh-CN"/>
        </w:rPr>
        <w:t>项目</w:t>
      </w:r>
      <w:r>
        <w:rPr>
          <w:rFonts w:hint="eastAsia"/>
          <w:color w:val="auto"/>
          <w:highlight w:val="none"/>
          <w:lang w:val="en-US" w:eastAsia="zh-CN"/>
        </w:rPr>
        <w:t>厂界</w:t>
      </w:r>
      <w:r>
        <w:rPr>
          <w:rFonts w:cs="Times New Roman"/>
          <w:color w:val="auto"/>
          <w:highlight w:val="none"/>
        </w:rPr>
        <w:t>各监测点位昼夜噪声值均满足《声环境质量标准》（GB3096-2008）</w:t>
      </w:r>
      <w:r>
        <w:rPr>
          <w:rFonts w:hint="eastAsia" w:cs="Times New Roman"/>
          <w:color w:val="auto"/>
          <w:highlight w:val="none"/>
          <w:lang w:val="en-US" w:eastAsia="zh-CN"/>
        </w:rPr>
        <w:t>2</w:t>
      </w:r>
      <w:r>
        <w:rPr>
          <w:rFonts w:cs="Times New Roman"/>
          <w:color w:val="auto"/>
          <w:highlight w:val="none"/>
        </w:rPr>
        <w:t>类标准要求，</w:t>
      </w:r>
      <w:r>
        <w:rPr>
          <w:rFonts w:hint="eastAsia" w:cs="Times New Roman"/>
          <w:color w:val="auto"/>
          <w:highlight w:val="none"/>
          <w:lang w:val="en-US" w:eastAsia="zh-CN"/>
        </w:rPr>
        <w:t>本项目西侧居民区敏感点噪声昼夜噪声值均满足</w:t>
      </w:r>
      <w:r>
        <w:rPr>
          <w:rFonts w:cs="Times New Roman"/>
          <w:color w:val="auto"/>
          <w:highlight w:val="none"/>
        </w:rPr>
        <w:t>《声环境质量标准》（GB3096-2008）</w:t>
      </w:r>
      <w:r>
        <w:rPr>
          <w:rFonts w:hint="eastAsia" w:cs="Times New Roman"/>
          <w:color w:val="auto"/>
          <w:highlight w:val="none"/>
          <w:lang w:val="en-US" w:eastAsia="zh-CN"/>
        </w:rPr>
        <w:t>2</w:t>
      </w:r>
      <w:r>
        <w:rPr>
          <w:rFonts w:cs="Times New Roman"/>
          <w:color w:val="auto"/>
          <w:highlight w:val="none"/>
        </w:rPr>
        <w:t>类标准</w:t>
      </w:r>
      <w:r>
        <w:rPr>
          <w:rFonts w:cs="Times New Roman"/>
          <w:color w:val="auto"/>
          <w:highlight w:val="none"/>
        </w:rPr>
        <w:t>要求</w:t>
      </w:r>
      <w:r>
        <w:rPr>
          <w:rFonts w:hint="eastAsia" w:cs="Times New Roman"/>
          <w:color w:val="auto"/>
          <w:highlight w:val="none"/>
          <w:lang w:eastAsia="zh-CN"/>
        </w:rPr>
        <w:t>。</w:t>
      </w:r>
      <w:r>
        <w:rPr>
          <w:rFonts w:cs="Times New Roman"/>
          <w:color w:val="auto"/>
          <w:highlight w:val="none"/>
        </w:rPr>
        <w:t>项目所在地声环境质量良好。</w:t>
      </w:r>
    </w:p>
    <w:p w14:paraId="7BCC2D15">
      <w:pPr>
        <w:pStyle w:val="3"/>
        <w:spacing w:before="163" w:after="163"/>
        <w:rPr>
          <w:rFonts w:cs="Times New Roman"/>
          <w:color w:val="auto"/>
          <w:highlight w:val="none"/>
        </w:rPr>
      </w:pPr>
      <w:bookmarkStart w:id="264" w:name="_Toc30017"/>
      <w:bookmarkStart w:id="265" w:name="_Toc57412932"/>
      <w:r>
        <w:rPr>
          <w:rFonts w:cs="Times New Roman"/>
          <w:color w:val="auto"/>
          <w:highlight w:val="none"/>
        </w:rPr>
        <w:t>4.3环境保护目标调查</w:t>
      </w:r>
      <w:bookmarkEnd w:id="264"/>
      <w:bookmarkEnd w:id="265"/>
    </w:p>
    <w:p w14:paraId="7EF1E138">
      <w:pPr>
        <w:pStyle w:val="4"/>
        <w:spacing w:after="163"/>
        <w:rPr>
          <w:rFonts w:hint="eastAsia" w:cs="Times New Roman"/>
          <w:color w:val="auto"/>
          <w:highlight w:val="none"/>
          <w:lang w:val="en-US" w:eastAsia="zh-CN"/>
        </w:rPr>
      </w:pPr>
      <w:r>
        <w:rPr>
          <w:rFonts w:cs="Times New Roman"/>
          <w:color w:val="auto"/>
          <w:highlight w:val="none"/>
        </w:rPr>
        <w:t>4.</w:t>
      </w:r>
      <w:r>
        <w:rPr>
          <w:rFonts w:hint="eastAsia" w:cs="Times New Roman"/>
          <w:color w:val="auto"/>
          <w:highlight w:val="none"/>
          <w:lang w:val="en-US" w:eastAsia="zh-CN"/>
        </w:rPr>
        <w:t>3</w:t>
      </w:r>
      <w:r>
        <w:rPr>
          <w:rFonts w:cs="Times New Roman"/>
          <w:color w:val="auto"/>
          <w:highlight w:val="none"/>
        </w:rPr>
        <w:t>.1</w:t>
      </w:r>
      <w:r>
        <w:rPr>
          <w:rFonts w:hint="eastAsia" w:cs="Times New Roman"/>
          <w:color w:val="auto"/>
          <w:highlight w:val="none"/>
          <w:lang w:val="en-US" w:eastAsia="zh-CN"/>
        </w:rPr>
        <w:t>羊鼻山森林公园</w:t>
      </w:r>
    </w:p>
    <w:p w14:paraId="3401420E">
      <w:pPr>
        <w:rPr>
          <w:rFonts w:hint="eastAsia" w:eastAsia="宋体" w:cs="Times New Roman"/>
          <w:color w:val="auto"/>
          <w:highlight w:val="none"/>
          <w:lang w:eastAsia="zh-CN"/>
        </w:rPr>
      </w:pPr>
      <w:r>
        <w:rPr>
          <w:rFonts w:cs="Times New Roman"/>
          <w:color w:val="auto"/>
          <w:highlight w:val="none"/>
        </w:rPr>
        <w:t>羊鼻山森林公园位于双鸭山市岭东区西南，距市中心15千米，总面积为101.69平方公里。2002年被列为市级天然次生森林自然保护区，现为省级森林公园，是双鸭山市最具有代表性、典型性、自然性的生态森林旅游区之一</w:t>
      </w:r>
      <w:r>
        <w:rPr>
          <w:rFonts w:hint="default" w:cs="Times New Roman"/>
          <w:color w:val="auto"/>
          <w:highlight w:val="none"/>
        </w:rPr>
        <w:t>。公园以大、小羊鼻山突兀地貌和美人湖、马蹄河等水域景观为特色，以天然次生林景观为主，形成崖险、峰翠、洞奇、石美的山岳景观</w:t>
      </w:r>
      <w:r>
        <w:rPr>
          <w:rFonts w:hint="eastAsia" w:cs="Times New Roman"/>
          <w:color w:val="auto"/>
          <w:highlight w:val="none"/>
          <w:lang w:eastAsia="zh-CN"/>
        </w:rPr>
        <w:t>。</w:t>
      </w:r>
    </w:p>
    <w:p w14:paraId="34236B1A">
      <w:pPr>
        <w:rPr>
          <w:rFonts w:hint="eastAsia" w:eastAsia="宋体" w:cs="Times New Roman"/>
          <w:color w:val="auto"/>
          <w:highlight w:val="none"/>
          <w:lang w:val="en-US" w:eastAsia="zh-CN"/>
        </w:rPr>
      </w:pPr>
      <w:r>
        <w:rPr>
          <w:rFonts w:cs="Times New Roman"/>
          <w:color w:val="auto"/>
          <w:highlight w:val="none"/>
        </w:rPr>
        <w:t>羊鼻山森林公园位于本项目</w:t>
      </w:r>
      <w:r>
        <w:rPr>
          <w:rFonts w:hint="eastAsia" w:cs="Times New Roman"/>
          <w:color w:val="auto"/>
          <w:highlight w:val="none"/>
          <w:lang w:val="en-US" w:eastAsia="zh-CN"/>
        </w:rPr>
        <w:t>西侧</w:t>
      </w:r>
      <w:r>
        <w:rPr>
          <w:rFonts w:cs="Times New Roman"/>
          <w:color w:val="auto"/>
          <w:highlight w:val="none"/>
        </w:rPr>
        <w:t>，距离本项目最近距离约</w:t>
      </w:r>
      <w:r>
        <w:rPr>
          <w:rFonts w:hint="eastAsia" w:cs="Times New Roman"/>
          <w:color w:val="auto"/>
          <w:highlight w:val="none"/>
          <w:lang w:val="en-US" w:eastAsia="zh-CN"/>
        </w:rPr>
        <w:t>6.268</w:t>
      </w:r>
      <w:r>
        <w:rPr>
          <w:rFonts w:cs="Times New Roman"/>
          <w:color w:val="auto"/>
          <w:highlight w:val="none"/>
        </w:rPr>
        <w:t>km。本项目与羊鼻山森林公园位置关系见图4-2-4。</w:t>
      </w:r>
      <w:r>
        <w:rPr>
          <w:rFonts w:hint="eastAsia" w:cs="Times New Roman"/>
          <w:color w:val="auto"/>
          <w:highlight w:val="none"/>
          <w:lang w:val="en-US" w:eastAsia="zh-CN"/>
        </w:rPr>
        <w:t xml:space="preserve"> </w:t>
      </w:r>
    </w:p>
    <w:p w14:paraId="02B01CF5">
      <w:pPr>
        <w:pStyle w:val="4"/>
        <w:spacing w:after="163"/>
        <w:rPr>
          <w:rFonts w:cs="Times New Roman"/>
          <w:color w:val="auto"/>
          <w:highlight w:val="none"/>
        </w:rPr>
      </w:pPr>
      <w:r>
        <w:rPr>
          <w:rFonts w:cs="Times New Roman"/>
          <w:color w:val="auto"/>
          <w:highlight w:val="none"/>
        </w:rPr>
        <w:t>4.2.2青山国家森林公园</w:t>
      </w:r>
    </w:p>
    <w:p w14:paraId="6C5703EF">
      <w:pPr>
        <w:rPr>
          <w:rFonts w:cs="Times New Roman"/>
          <w:color w:val="auto"/>
          <w:szCs w:val="24"/>
          <w:highlight w:val="none"/>
        </w:rPr>
      </w:pPr>
      <w:r>
        <w:rPr>
          <w:rFonts w:hint="default" w:cs="Times New Roman"/>
          <w:color w:val="auto"/>
          <w:szCs w:val="24"/>
          <w:highlight w:val="none"/>
          <w:lang w:val="en-US" w:eastAsia="zh-CN"/>
        </w:rPr>
        <w:t>黑龙江青山国家森林公园位于黑龙江省双鸭山市岭东区，地理坐标为东经130°56′13″-132°0′28″、北纬46°7′37″-46°35′2″，距市区18公里，总面积28485公顷。始建于1985年，2002年被评为国家森林公园，现为国家AAAA级旅游景区。公园划分为青山旅游区、鸭嘴石景区和安邦河红松母树林三大区域。</w:t>
      </w:r>
    </w:p>
    <w:p w14:paraId="0E7083B1">
      <w:pPr>
        <w:rPr>
          <w:rFonts w:hint="default" w:cs="Times New Roman"/>
          <w:color w:val="auto"/>
          <w:szCs w:val="24"/>
          <w:highlight w:val="none"/>
          <w:lang w:val="en-US" w:eastAsia="zh-CN"/>
        </w:rPr>
      </w:pPr>
      <w:r>
        <w:rPr>
          <w:rFonts w:hint="default" w:cs="Times New Roman"/>
          <w:color w:val="auto"/>
          <w:szCs w:val="24"/>
          <w:highlight w:val="none"/>
          <w:lang w:val="en-US" w:eastAsia="zh-CN"/>
        </w:rPr>
        <w:t>地处完达山脉北坡，最高峰石佛山海拔680米，森林覆盖率达82%。属温带大陆性季风气候，年平均气温4.4℃，年降水量400毫米。园内山峰错落，泉溪纵横，设有九峰禅寺、星月湖、万米阳光浴场等景观设施，并拥有红松原始林和针阔混交林植被。</w:t>
      </w:r>
    </w:p>
    <w:p w14:paraId="01E8889D">
      <w:pPr>
        <w:pStyle w:val="27"/>
        <w:rPr>
          <w:rFonts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cs="Times New Roman"/>
          <w:color w:val="auto"/>
          <w:szCs w:val="24"/>
          <w:highlight w:val="none"/>
          <w:lang w:val="en-US" w:eastAsia="zh-CN"/>
        </w:rPr>
        <w:t>青山国家森林公园</w:t>
      </w:r>
      <w:r>
        <w:rPr>
          <w:rFonts w:cs="Times New Roman"/>
          <w:color w:val="auto"/>
          <w:highlight w:val="none"/>
        </w:rPr>
        <w:t>位于本项目</w:t>
      </w:r>
      <w:r>
        <w:rPr>
          <w:rFonts w:hint="eastAsia" w:cs="Times New Roman"/>
          <w:color w:val="auto"/>
          <w:highlight w:val="none"/>
          <w:lang w:val="en-US" w:eastAsia="zh-CN"/>
        </w:rPr>
        <w:t>西南侧</w:t>
      </w:r>
      <w:r>
        <w:rPr>
          <w:rFonts w:cs="Times New Roman"/>
          <w:color w:val="auto"/>
          <w:highlight w:val="none"/>
        </w:rPr>
        <w:t>，距离本项目最近距离约</w:t>
      </w:r>
      <w:r>
        <w:rPr>
          <w:rFonts w:hint="eastAsia" w:cs="Times New Roman"/>
          <w:color w:val="auto"/>
          <w:highlight w:val="none"/>
          <w:lang w:val="en-US" w:eastAsia="zh-CN"/>
        </w:rPr>
        <w:t>2.331</w:t>
      </w:r>
      <w:r>
        <w:rPr>
          <w:rFonts w:cs="Times New Roman"/>
          <w:color w:val="auto"/>
          <w:highlight w:val="none"/>
        </w:rPr>
        <w:t>km。本项目与</w:t>
      </w:r>
      <w:r>
        <w:rPr>
          <w:rFonts w:hint="default" w:cs="Times New Roman"/>
          <w:color w:val="auto"/>
          <w:szCs w:val="24"/>
          <w:highlight w:val="none"/>
          <w:lang w:val="en-US" w:eastAsia="zh-CN"/>
        </w:rPr>
        <w:t>青山国家森林公园</w:t>
      </w:r>
      <w:r>
        <w:rPr>
          <w:rFonts w:cs="Times New Roman"/>
          <w:color w:val="auto"/>
          <w:highlight w:val="none"/>
        </w:rPr>
        <w:t>位置关系见图4-2-4。</w:t>
      </w:r>
    </w:p>
    <w:p w14:paraId="4968269C">
      <w:pPr>
        <w:rPr>
          <w:rFonts w:hint="default" w:cs="Times New Roman"/>
          <w:color w:val="auto"/>
          <w:szCs w:val="24"/>
          <w:highlight w:val="none"/>
          <w:lang w:val="en-US" w:eastAsia="zh-CN"/>
        </w:rPr>
      </w:pPr>
      <w:r>
        <w:rPr>
          <w:color w:val="auto"/>
          <w:highlight w:val="none"/>
        </w:rPr>
        <w:drawing>
          <wp:anchor distT="0" distB="0" distL="114300" distR="114300" simplePos="0" relativeHeight="251715584" behindDoc="1" locked="0" layoutInCell="1" allowOverlap="1">
            <wp:simplePos x="0" y="0"/>
            <wp:positionH relativeFrom="column">
              <wp:posOffset>-41275</wp:posOffset>
            </wp:positionH>
            <wp:positionV relativeFrom="paragraph">
              <wp:posOffset>113030</wp:posOffset>
            </wp:positionV>
            <wp:extent cx="9056370" cy="4501515"/>
            <wp:effectExtent l="0" t="0" r="11430" b="13335"/>
            <wp:wrapNone/>
            <wp:docPr id="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pic:cNvPicPr>
                      <a:picLocks noChangeAspect="1"/>
                    </pic:cNvPicPr>
                  </pic:nvPicPr>
                  <pic:blipFill>
                    <a:blip r:embed="rId35"/>
                    <a:stretch>
                      <a:fillRect/>
                    </a:stretch>
                  </pic:blipFill>
                  <pic:spPr>
                    <a:xfrm>
                      <a:off x="0" y="0"/>
                      <a:ext cx="9056370" cy="4501515"/>
                    </a:xfrm>
                    <a:prstGeom prst="rect">
                      <a:avLst/>
                    </a:prstGeom>
                    <a:noFill/>
                    <a:ln>
                      <a:noFill/>
                    </a:ln>
                  </pic:spPr>
                </pic:pic>
              </a:graphicData>
            </a:graphic>
          </wp:anchor>
        </w:drawing>
      </w:r>
      <w:r>
        <w:rPr>
          <w:color w:val="auto"/>
          <w:sz w:val="24"/>
          <w:highlight w:val="none"/>
        </w:rPr>
        <w:drawing>
          <wp:anchor distT="0" distB="0" distL="114300" distR="114300" simplePos="0" relativeHeight="251678720" behindDoc="0" locked="0" layoutInCell="1" allowOverlap="1">
            <wp:simplePos x="0" y="0"/>
            <wp:positionH relativeFrom="column">
              <wp:posOffset>8381365</wp:posOffset>
            </wp:positionH>
            <wp:positionV relativeFrom="paragraph">
              <wp:posOffset>147955</wp:posOffset>
            </wp:positionV>
            <wp:extent cx="628015" cy="635635"/>
            <wp:effectExtent l="0" t="0" r="635" b="12065"/>
            <wp:wrapNone/>
            <wp:docPr id="1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0"/>
                    <pic:cNvPicPr>
                      <a:picLocks noChangeAspect="1"/>
                    </pic:cNvPicPr>
                  </pic:nvPicPr>
                  <pic:blipFill>
                    <a:blip r:embed="rId22"/>
                    <a:stretch>
                      <a:fillRect/>
                    </a:stretch>
                  </pic:blipFill>
                  <pic:spPr>
                    <a:xfrm>
                      <a:off x="5596255" y="4658360"/>
                      <a:ext cx="628015" cy="635635"/>
                    </a:xfrm>
                    <a:prstGeom prst="rect">
                      <a:avLst/>
                    </a:prstGeom>
                    <a:noFill/>
                    <a:ln>
                      <a:noFill/>
                    </a:ln>
                  </pic:spPr>
                </pic:pic>
              </a:graphicData>
            </a:graphic>
          </wp:anchor>
        </w:drawing>
      </w:r>
    </w:p>
    <w:p w14:paraId="5171B310">
      <w:pPr>
        <w:rPr>
          <w:rFonts w:hint="default" w:cs="Times New Roman"/>
          <w:color w:val="auto"/>
          <w:szCs w:val="24"/>
          <w:highlight w:val="none"/>
          <w:lang w:val="en-US" w:eastAsia="zh-CN"/>
        </w:rPr>
      </w:pPr>
    </w:p>
    <w:p w14:paraId="5D99D855">
      <w:pPr>
        <w:rPr>
          <w:rFonts w:hint="default" w:cs="Times New Roman"/>
          <w:color w:val="auto"/>
          <w:szCs w:val="24"/>
          <w:highlight w:val="none"/>
          <w:lang w:val="en-US" w:eastAsia="zh-CN"/>
        </w:rPr>
      </w:pPr>
    </w:p>
    <w:p w14:paraId="6E75B2FE">
      <w:pPr>
        <w:rPr>
          <w:rFonts w:hint="default" w:cs="Times New Roman"/>
          <w:color w:val="auto"/>
          <w:szCs w:val="24"/>
          <w:highlight w:val="none"/>
          <w:lang w:val="en-US" w:eastAsia="zh-CN"/>
        </w:rPr>
      </w:pPr>
    </w:p>
    <w:p w14:paraId="24B49F79">
      <w:pPr>
        <w:rPr>
          <w:rFonts w:hint="default" w:cs="Times New Roman"/>
          <w:color w:val="auto"/>
          <w:szCs w:val="24"/>
          <w:highlight w:val="none"/>
          <w:lang w:val="en-US" w:eastAsia="zh-CN"/>
        </w:rPr>
      </w:pPr>
    </w:p>
    <w:p w14:paraId="31378F47">
      <w:pPr>
        <w:rPr>
          <w:rFonts w:hint="default" w:cs="Times New Roman"/>
          <w:color w:val="auto"/>
          <w:szCs w:val="24"/>
          <w:highlight w:val="none"/>
          <w:lang w:val="en-US" w:eastAsia="zh-CN"/>
        </w:rPr>
      </w:pPr>
    </w:p>
    <w:p w14:paraId="015CE7C3">
      <w:pPr>
        <w:rPr>
          <w:rFonts w:hint="default" w:cs="Times New Roman"/>
          <w:color w:val="auto"/>
          <w:szCs w:val="24"/>
          <w:highlight w:val="none"/>
          <w:lang w:val="en-US" w:eastAsia="zh-CN"/>
        </w:rPr>
      </w:pPr>
      <w:r>
        <w:rPr>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6462395</wp:posOffset>
                </wp:positionH>
                <wp:positionV relativeFrom="paragraph">
                  <wp:posOffset>314960</wp:posOffset>
                </wp:positionV>
                <wp:extent cx="233680" cy="208280"/>
                <wp:effectExtent l="4445" t="4445" r="9525" b="15875"/>
                <wp:wrapNone/>
                <wp:docPr id="96" name="五角星 96"/>
                <wp:cNvGraphicFramePr/>
                <a:graphic xmlns:a="http://schemas.openxmlformats.org/drawingml/2006/main">
                  <a:graphicData uri="http://schemas.microsoft.com/office/word/2010/wordprocessingShape">
                    <wps:wsp>
                      <wps:cNvSpPr/>
                      <wps:spPr>
                        <a:xfrm>
                          <a:off x="7420610" y="3430270"/>
                          <a:ext cx="233680" cy="208280"/>
                        </a:xfrm>
                        <a:prstGeom prst="star5">
                          <a:avLst/>
                        </a:prstGeom>
                        <a:solidFill>
                          <a:srgbClr val="FF0000"/>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08.85pt;margin-top:24.8pt;height:16.4pt;width:18.4pt;z-index:251714560;v-text-anchor:middle;mso-width-relative:page;mso-height-relative:page;" fillcolor="#FF0000" filled="t" stroked="t" coordsize="233680,208280" o:gfxdata="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KP1Gg2AAAAAsBAAAPAAAAAAAAAAEAIAAAACIAAABkcnMvZG93&#10;bnJldi54bWxQSwECFAAUAAAACACHTuJAC4ODknICAADtBAAADgAAAAAAAAABACAAAAAnAQAAZHJz&#10;L2Uyb0RvYy54bWxQSwUGAAAAAAYABgBZAQAACwYAAAAA&#10;" path="m0,79555l89258,79556,116840,0,144421,79556,233679,79555,161468,128723,189050,208279,116840,159110,44629,208279,72211,128723xe">
                <v:path o:connectlocs="116840,0;0,79555;44629,208279;189050,208279;233679,79555" o:connectangles="247,164,82,82,0"/>
                <v:fill on="t" focussize="0,0"/>
                <v:stroke weight="0.25pt" color="#FF0000 [3204]" joinstyle="round"/>
                <v:imagedata o:title=""/>
                <o:lock v:ext="edit" aspectratio="f"/>
              </v:shape>
            </w:pict>
          </mc:Fallback>
        </mc:AlternateContent>
      </w:r>
    </w:p>
    <w:p w14:paraId="3F9FFFC7">
      <w:pPr>
        <w:rPr>
          <w:rFonts w:hint="default" w:cs="Times New Roman"/>
          <w:color w:val="auto"/>
          <w:szCs w:val="24"/>
          <w:highlight w:val="none"/>
          <w:lang w:val="en-US" w:eastAsia="zh-CN"/>
        </w:rPr>
      </w:pPr>
    </w:p>
    <w:p w14:paraId="7A43C1CA">
      <w:pPr>
        <w:rPr>
          <w:rFonts w:hint="default" w:cs="Times New Roman"/>
          <w:color w:val="auto"/>
          <w:szCs w:val="24"/>
          <w:highlight w:val="none"/>
          <w:lang w:val="en-US" w:eastAsia="zh-CN"/>
        </w:rPr>
      </w:pPr>
      <w:r>
        <w:rPr>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7363460</wp:posOffset>
                </wp:positionH>
                <wp:positionV relativeFrom="paragraph">
                  <wp:posOffset>295275</wp:posOffset>
                </wp:positionV>
                <wp:extent cx="1654175" cy="1774825"/>
                <wp:effectExtent l="4445" t="4445" r="17780" b="11430"/>
                <wp:wrapNone/>
                <wp:docPr id="110" name="文本框 110"/>
                <wp:cNvGraphicFramePr/>
                <a:graphic xmlns:a="http://schemas.openxmlformats.org/drawingml/2006/main">
                  <a:graphicData uri="http://schemas.microsoft.com/office/word/2010/wordprocessingShape">
                    <wps:wsp>
                      <wps:cNvSpPr txBox="1"/>
                      <wps:spPr>
                        <a:xfrm>
                          <a:off x="8277860" y="3976370"/>
                          <a:ext cx="1654175" cy="17748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11BA92D">
                            <w:pPr>
                              <w:ind w:left="0" w:leftChars="0" w:firstLine="0" w:firstLineChars="0"/>
                              <w:jc w:val="center"/>
                              <w:rPr>
                                <w:rFonts w:hint="eastAsia"/>
                                <w:sz w:val="21"/>
                                <w:szCs w:val="20"/>
                                <w:lang w:val="en-US" w:eastAsia="zh-CN"/>
                              </w:rPr>
                            </w:pPr>
                            <w:r>
                              <w:rPr>
                                <w:rFonts w:hint="eastAsia"/>
                                <w:sz w:val="21"/>
                                <w:szCs w:val="20"/>
                                <w:lang w:val="en-US" w:eastAsia="zh-CN"/>
                              </w:rPr>
                              <w:t>图例</w:t>
                            </w:r>
                          </w:p>
                          <w:p w14:paraId="7BE179EA">
                            <w:pPr>
                              <w:ind w:left="0" w:leftChars="0" w:firstLine="0" w:firstLineChars="0"/>
                              <w:jc w:val="both"/>
                              <w:rPr>
                                <w:rFonts w:hint="eastAsia"/>
                                <w:sz w:val="21"/>
                                <w:szCs w:val="20"/>
                                <w:lang w:val="en-US" w:eastAsia="zh-CN"/>
                              </w:rPr>
                            </w:pPr>
                            <w:r>
                              <w:rPr>
                                <w:rFonts w:hint="eastAsia"/>
                                <w:sz w:val="21"/>
                                <w:szCs w:val="20"/>
                                <w:lang w:val="en-US" w:eastAsia="zh-CN"/>
                              </w:rPr>
                              <w:t xml:space="preserve">   ：本项目</w:t>
                            </w:r>
                          </w:p>
                          <w:p w14:paraId="07C0BD59">
                            <w:pPr>
                              <w:ind w:left="0" w:leftChars="0" w:firstLine="0" w:firstLineChars="0"/>
                              <w:jc w:val="both"/>
                              <w:rPr>
                                <w:rFonts w:hint="default"/>
                                <w:sz w:val="21"/>
                                <w:szCs w:val="20"/>
                                <w:lang w:val="en-US" w:eastAsia="zh-CN"/>
                              </w:rPr>
                            </w:pPr>
                            <w:r>
                              <w:rPr>
                                <w:rFonts w:hint="eastAsia"/>
                                <w:sz w:val="21"/>
                                <w:szCs w:val="20"/>
                                <w:lang w:val="en-US" w:eastAsia="zh-CN"/>
                              </w:rPr>
                              <w:t xml:space="preserve">   ：</w:t>
                            </w:r>
                            <w:r>
                              <w:rPr>
                                <w:rFonts w:hint="default"/>
                                <w:sz w:val="21"/>
                                <w:szCs w:val="20"/>
                                <w:lang w:val="en-US" w:eastAsia="zh-CN"/>
                              </w:rPr>
                              <w:t>青山国家森林公园</w:t>
                            </w:r>
                          </w:p>
                          <w:p w14:paraId="3B417848">
                            <w:pPr>
                              <w:ind w:left="0" w:leftChars="0" w:firstLine="0" w:firstLineChars="0"/>
                              <w:jc w:val="both"/>
                              <w:rPr>
                                <w:rFonts w:hint="default"/>
                                <w:sz w:val="21"/>
                                <w:szCs w:val="20"/>
                                <w:lang w:val="en-US" w:eastAsia="zh-CN"/>
                              </w:rPr>
                            </w:pPr>
                            <w:r>
                              <w:rPr>
                                <w:rFonts w:hint="eastAsia"/>
                                <w:sz w:val="21"/>
                                <w:szCs w:val="20"/>
                                <w:lang w:val="en-US" w:eastAsia="zh-CN"/>
                              </w:rPr>
                              <w:t xml:space="preserve">   ：</w:t>
                            </w:r>
                            <w:r>
                              <w:rPr>
                                <w:rFonts w:hint="default"/>
                                <w:sz w:val="21"/>
                                <w:szCs w:val="20"/>
                                <w:lang w:val="en-US" w:eastAsia="zh-CN"/>
                              </w:rPr>
                              <w:t>羊鼻山森林公园</w:t>
                            </w:r>
                          </w:p>
                          <w:p w14:paraId="630562CB">
                            <w:pPr>
                              <w:ind w:left="0" w:leftChars="0" w:firstLine="0" w:firstLineChars="0"/>
                              <w:jc w:val="both"/>
                              <w:rPr>
                                <w:rFonts w:hint="default"/>
                                <w:sz w:val="21"/>
                                <w:szCs w:val="2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9.8pt;margin-top:23.25pt;height:139.75pt;width:130.25pt;z-index:251716608;mso-width-relative:page;mso-height-relative:page;" fillcolor="#FFFFFF [3201]" filled="t" stroked="t" coordsize="21600,21600" o:gfxdata="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boiFNcAAAAMAQAADwAAAAAAAAABACAAAAAiAAAAZHJzL2Rvd25yZXYueG1sUEsBAhQA&#10;FAAAAAgAh07iQH02vodlAgAAyAQAAA4AAAAAAAAAAQAgAAAAJgEAAGRycy9lMm9Eb2MueG1sUEsF&#10;BgAAAAAGAAYAWQEAAP0FAAAAAA==&#10;">
                <v:fill on="t" focussize="0,0"/>
                <v:stroke weight="0.5pt" color="#000000 [3204]" joinstyle="round"/>
                <v:imagedata o:title=""/>
                <o:lock v:ext="edit" aspectratio="f"/>
                <v:textbox>
                  <w:txbxContent>
                    <w:p w14:paraId="511BA92D">
                      <w:pPr>
                        <w:ind w:left="0" w:leftChars="0" w:firstLine="0" w:firstLineChars="0"/>
                        <w:jc w:val="center"/>
                        <w:rPr>
                          <w:rFonts w:hint="eastAsia"/>
                          <w:sz w:val="21"/>
                          <w:szCs w:val="20"/>
                          <w:lang w:val="en-US" w:eastAsia="zh-CN"/>
                        </w:rPr>
                      </w:pPr>
                      <w:r>
                        <w:rPr>
                          <w:rFonts w:hint="eastAsia"/>
                          <w:sz w:val="21"/>
                          <w:szCs w:val="20"/>
                          <w:lang w:val="en-US" w:eastAsia="zh-CN"/>
                        </w:rPr>
                        <w:t>图例</w:t>
                      </w:r>
                    </w:p>
                    <w:p w14:paraId="7BE179EA">
                      <w:pPr>
                        <w:ind w:left="0" w:leftChars="0" w:firstLine="0" w:firstLineChars="0"/>
                        <w:jc w:val="both"/>
                        <w:rPr>
                          <w:rFonts w:hint="eastAsia"/>
                          <w:sz w:val="21"/>
                          <w:szCs w:val="20"/>
                          <w:lang w:val="en-US" w:eastAsia="zh-CN"/>
                        </w:rPr>
                      </w:pPr>
                      <w:r>
                        <w:rPr>
                          <w:rFonts w:hint="eastAsia"/>
                          <w:sz w:val="21"/>
                          <w:szCs w:val="20"/>
                          <w:lang w:val="en-US" w:eastAsia="zh-CN"/>
                        </w:rPr>
                        <w:t xml:space="preserve">   ：本项目</w:t>
                      </w:r>
                    </w:p>
                    <w:p w14:paraId="07C0BD59">
                      <w:pPr>
                        <w:ind w:left="0" w:leftChars="0" w:firstLine="0" w:firstLineChars="0"/>
                        <w:jc w:val="both"/>
                        <w:rPr>
                          <w:rFonts w:hint="default"/>
                          <w:sz w:val="21"/>
                          <w:szCs w:val="20"/>
                          <w:lang w:val="en-US" w:eastAsia="zh-CN"/>
                        </w:rPr>
                      </w:pPr>
                      <w:r>
                        <w:rPr>
                          <w:rFonts w:hint="eastAsia"/>
                          <w:sz w:val="21"/>
                          <w:szCs w:val="20"/>
                          <w:lang w:val="en-US" w:eastAsia="zh-CN"/>
                        </w:rPr>
                        <w:t xml:space="preserve">   ：</w:t>
                      </w:r>
                      <w:r>
                        <w:rPr>
                          <w:rFonts w:hint="default"/>
                          <w:sz w:val="21"/>
                          <w:szCs w:val="20"/>
                          <w:lang w:val="en-US" w:eastAsia="zh-CN"/>
                        </w:rPr>
                        <w:t>青山国家森林公园</w:t>
                      </w:r>
                    </w:p>
                    <w:p w14:paraId="3B417848">
                      <w:pPr>
                        <w:ind w:left="0" w:leftChars="0" w:firstLine="0" w:firstLineChars="0"/>
                        <w:jc w:val="both"/>
                        <w:rPr>
                          <w:rFonts w:hint="default"/>
                          <w:sz w:val="21"/>
                          <w:szCs w:val="20"/>
                          <w:lang w:val="en-US" w:eastAsia="zh-CN"/>
                        </w:rPr>
                      </w:pPr>
                      <w:r>
                        <w:rPr>
                          <w:rFonts w:hint="eastAsia"/>
                          <w:sz w:val="21"/>
                          <w:szCs w:val="20"/>
                          <w:lang w:val="en-US" w:eastAsia="zh-CN"/>
                        </w:rPr>
                        <w:t xml:space="preserve">   ：</w:t>
                      </w:r>
                      <w:r>
                        <w:rPr>
                          <w:rFonts w:hint="default"/>
                          <w:sz w:val="21"/>
                          <w:szCs w:val="20"/>
                          <w:lang w:val="en-US" w:eastAsia="zh-CN"/>
                        </w:rPr>
                        <w:t>羊鼻山森林公园</w:t>
                      </w:r>
                    </w:p>
                    <w:p w14:paraId="630562CB">
                      <w:pPr>
                        <w:ind w:left="0" w:leftChars="0" w:firstLine="0" w:firstLineChars="0"/>
                        <w:jc w:val="both"/>
                        <w:rPr>
                          <w:rFonts w:hint="default"/>
                          <w:sz w:val="21"/>
                          <w:szCs w:val="20"/>
                          <w:lang w:val="en-US" w:eastAsia="zh-CN"/>
                        </w:rPr>
                      </w:pPr>
                    </w:p>
                  </w:txbxContent>
                </v:textbox>
              </v:shape>
            </w:pict>
          </mc:Fallback>
        </mc:AlternateContent>
      </w:r>
    </w:p>
    <w:p w14:paraId="5D010BB3">
      <w:pPr>
        <w:rPr>
          <w:rFonts w:hint="default" w:cs="Times New Roman"/>
          <w:color w:val="auto"/>
          <w:szCs w:val="24"/>
          <w:highlight w:val="none"/>
          <w:lang w:val="en-US" w:eastAsia="zh-CN"/>
        </w:rPr>
      </w:pPr>
    </w:p>
    <w:p w14:paraId="3B183877">
      <w:pPr>
        <w:rPr>
          <w:color w:val="auto"/>
          <w:sz w:val="24"/>
          <w:highlight w:val="none"/>
        </w:rPr>
      </w:pPr>
      <w:r>
        <w:rPr>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7428865</wp:posOffset>
                </wp:positionH>
                <wp:positionV relativeFrom="paragraph">
                  <wp:posOffset>760730</wp:posOffset>
                </wp:positionV>
                <wp:extent cx="207645" cy="190500"/>
                <wp:effectExtent l="4445" t="4445" r="16510" b="14605"/>
                <wp:wrapNone/>
                <wp:docPr id="124" name="矩形 124"/>
                <wp:cNvGraphicFramePr/>
                <a:graphic xmlns:a="http://schemas.openxmlformats.org/drawingml/2006/main">
                  <a:graphicData uri="http://schemas.microsoft.com/office/word/2010/wordprocessingShape">
                    <wps:wsp>
                      <wps:cNvSpPr/>
                      <wps:spPr>
                        <a:xfrm>
                          <a:off x="0" y="0"/>
                          <a:ext cx="207645" cy="190500"/>
                        </a:xfrm>
                        <a:prstGeom prst="rect">
                          <a:avLst/>
                        </a:prstGeom>
                        <a:solidFill>
                          <a:srgbClr val="78BA73"/>
                        </a:solidFill>
                        <a:ln w="3175">
                          <a:solidFill>
                            <a:srgbClr val="78BA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4.95pt;margin-top:59.9pt;height:15pt;width:16.35pt;z-index:251719680;v-text-anchor:middle;mso-width-relative:page;mso-height-relative:page;" fillcolor="#78BA73" filled="t" stroked="t" coordsize="21600,21600" o:gfxdata="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zYhptkAAAANAQAADwAAAAAAAAABACAAAAAiAAAAZHJzL2Rvd25yZXYueG1sUEsBAhQA&#10;FAAAAAgAh07iQLZ/fy1jAgAA3wQAAA4AAAAAAAAAAQAgAAAAKAEAAGRycy9lMm9Eb2MueG1sUEsF&#10;BgAAAAAGAAYAWQEAAP0FAAAAAA==&#10;">
                <v:fill on="t" focussize="0,0"/>
                <v:stroke weight="0.25pt" color="#78BA73 [3204]"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7423785</wp:posOffset>
                </wp:positionH>
                <wp:positionV relativeFrom="paragraph">
                  <wp:posOffset>444500</wp:posOffset>
                </wp:positionV>
                <wp:extent cx="207645" cy="190500"/>
                <wp:effectExtent l="4445" t="4445" r="16510" b="14605"/>
                <wp:wrapNone/>
                <wp:docPr id="123" name="矩形 123"/>
                <wp:cNvGraphicFramePr/>
                <a:graphic xmlns:a="http://schemas.openxmlformats.org/drawingml/2006/main">
                  <a:graphicData uri="http://schemas.microsoft.com/office/word/2010/wordprocessingShape">
                    <wps:wsp>
                      <wps:cNvSpPr/>
                      <wps:spPr>
                        <a:xfrm>
                          <a:off x="8355965" y="4794885"/>
                          <a:ext cx="207645" cy="190500"/>
                        </a:xfrm>
                        <a:prstGeom prst="rect">
                          <a:avLst/>
                        </a:prstGeom>
                        <a:solidFill>
                          <a:srgbClr val="18674C"/>
                        </a:solidFill>
                        <a:ln w="3175">
                          <a:solidFill>
                            <a:srgbClr val="18674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4.55pt;margin-top:35pt;height:15pt;width:16.35pt;z-index:251718656;v-text-anchor:middle;mso-width-relative:page;mso-height-relative:page;" fillcolor="#18674C" filled="t" stroked="t" coordsize="21600,21600" o:gfxdata="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HAq5T1wAAAAwBAAAPAAAAAAAAAAEAIAAAACIAAABkcnMvZG93bnJl&#10;di54bWxQSwECFAAUAAAACACHTuJAoSRPVXACAADrBAAADgAAAAAAAAABACAAAAAmAQAAZHJzL2Uy&#10;b0RvYy54bWxQSwUGAAAAAAYABgBZAQAACAYAAAAA&#10;">
                <v:fill on="t" focussize="0,0"/>
                <v:stroke weight="0.25pt" color="#18674C [3204]"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7411085</wp:posOffset>
                </wp:positionH>
                <wp:positionV relativeFrom="paragraph">
                  <wp:posOffset>115570</wp:posOffset>
                </wp:positionV>
                <wp:extent cx="233680" cy="208280"/>
                <wp:effectExtent l="4445" t="4445" r="9525" b="15875"/>
                <wp:wrapNone/>
                <wp:docPr id="112" name="五角星 112"/>
                <wp:cNvGraphicFramePr/>
                <a:graphic xmlns:a="http://schemas.openxmlformats.org/drawingml/2006/main">
                  <a:graphicData uri="http://schemas.microsoft.com/office/word/2010/wordprocessingShape">
                    <wps:wsp>
                      <wps:cNvSpPr/>
                      <wps:spPr>
                        <a:xfrm>
                          <a:off x="0" y="0"/>
                          <a:ext cx="233680" cy="208280"/>
                        </a:xfrm>
                        <a:prstGeom prst="star5">
                          <a:avLst/>
                        </a:prstGeom>
                        <a:solidFill>
                          <a:srgbClr val="FF0000"/>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83.55pt;margin-top:9.1pt;height:16.4pt;width:18.4pt;z-index:251717632;v-text-anchor:middle;mso-width-relative:page;mso-height-relative:page;" fillcolor="#FF0000" filled="t" stroked="t" coordsize="233680,208280" o:gfxdata="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VtHW7WAAAACwEAAA8AAAAAAAAAAQAgAAAAIgAAAGRycy9kb3ducmV2LnhtbFBLAQIU&#10;ABQAAAAIAIdO4kDzQ0JXZwIAAOMEAAAOAAAAAAAAAAEAIAAAACUBAABkcnMvZTJvRG9jLnhtbFBL&#10;BQYAAAAABgAGAFkBAAD+BQAAAAA=&#10;" path="m0,79555l89258,79556,116840,0,144421,79556,233679,79555,161468,128723,189050,208279,116840,159110,44629,208279,72211,128723xe">
                <v:path o:connectlocs="116840,0;0,79555;44629,208279;189050,208279;233679,79555" o:connectangles="247,164,82,82,0"/>
                <v:fill on="t" focussize="0,0"/>
                <v:stroke weight="0.25pt" color="#FF0000 [3204]" joinstyle="round"/>
                <v:imagedata o:title=""/>
                <o:lock v:ext="edit" aspectratio="f"/>
              </v:shape>
            </w:pict>
          </mc:Fallback>
        </mc:AlternateContent>
      </w:r>
    </w:p>
    <w:p w14:paraId="4AF569A5">
      <w:pPr>
        <w:bidi w:val="0"/>
        <w:rPr>
          <w:rFonts w:hint="default" w:ascii="Times New Roman" w:hAnsi="Times New Roman" w:eastAsia="宋体" w:cstheme="minorBidi"/>
          <w:color w:val="auto"/>
          <w:kern w:val="2"/>
          <w:sz w:val="24"/>
          <w:szCs w:val="22"/>
          <w:highlight w:val="none"/>
          <w:lang w:val="en-US" w:eastAsia="zh-CN" w:bidi="ar-SA"/>
        </w:rPr>
      </w:pPr>
    </w:p>
    <w:p w14:paraId="4F5A96D3">
      <w:pPr>
        <w:bidi w:val="0"/>
        <w:rPr>
          <w:rFonts w:hint="default"/>
          <w:color w:val="auto"/>
          <w:highlight w:val="none"/>
          <w:lang w:val="en-US" w:eastAsia="zh-CN"/>
        </w:rPr>
      </w:pPr>
    </w:p>
    <w:p w14:paraId="0704F6C7">
      <w:pPr>
        <w:bidi w:val="0"/>
        <w:rPr>
          <w:rFonts w:hint="default"/>
          <w:color w:val="auto"/>
          <w:highlight w:val="none"/>
          <w:lang w:val="en-US" w:eastAsia="zh-CN"/>
        </w:rPr>
      </w:pPr>
    </w:p>
    <w:p w14:paraId="064EC069">
      <w:pPr>
        <w:bidi w:val="0"/>
        <w:rPr>
          <w:rFonts w:hint="default"/>
          <w:color w:val="auto"/>
          <w:highlight w:val="none"/>
          <w:lang w:val="en-US" w:eastAsia="zh-CN"/>
        </w:rPr>
      </w:pPr>
    </w:p>
    <w:p w14:paraId="33116B1E">
      <w:pPr>
        <w:tabs>
          <w:tab w:val="left" w:pos="3442"/>
        </w:tabs>
        <w:bidi w:val="0"/>
        <w:ind w:left="0" w:leftChars="0" w:firstLine="0" w:firstLineChars="0"/>
        <w:jc w:val="center"/>
        <w:rPr>
          <w:rFonts w:hint="eastAsia" w:eastAsia="宋体"/>
          <w:b/>
          <w:bCs/>
          <w:color w:val="auto"/>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eastAsia"/>
          <w:b/>
          <w:bCs/>
          <w:color w:val="auto"/>
          <w:highlight w:val="none"/>
          <w:lang w:val="en-US" w:eastAsia="zh-CN"/>
        </w:rPr>
        <w:t>图4-2-4</w:t>
      </w:r>
      <w:r>
        <w:rPr>
          <w:rFonts w:cs="Times New Roman"/>
          <w:b/>
          <w:bCs/>
          <w:color w:val="auto"/>
          <w:highlight w:val="none"/>
        </w:rPr>
        <w:t>环境保护目标</w:t>
      </w:r>
      <w:r>
        <w:rPr>
          <w:rFonts w:hint="eastAsia" w:cs="Times New Roman"/>
          <w:b/>
          <w:bCs/>
          <w:color w:val="auto"/>
          <w:highlight w:val="none"/>
          <w:lang w:val="en-US" w:eastAsia="zh-CN"/>
        </w:rPr>
        <w:t>距离本项目示意图</w:t>
      </w:r>
    </w:p>
    <w:p w14:paraId="2A19C19D">
      <w:pPr>
        <w:keepNext/>
        <w:keepLines/>
        <w:ind w:firstLine="0" w:firstLineChars="0"/>
        <w:jc w:val="left"/>
        <w:outlineLvl w:val="1"/>
        <w:rPr>
          <w:rFonts w:eastAsia="黑体" w:cs="Times New Roman"/>
          <w:bCs/>
          <w:snapToGrid w:val="0"/>
          <w:color w:val="auto"/>
          <w:kern w:val="0"/>
          <w:sz w:val="28"/>
          <w:szCs w:val="32"/>
          <w:highlight w:val="none"/>
        </w:rPr>
      </w:pPr>
      <w:bookmarkStart w:id="266" w:name="_Toc10585"/>
      <w:r>
        <w:rPr>
          <w:rFonts w:eastAsia="黑体" w:cs="Times New Roman"/>
          <w:bCs/>
          <w:snapToGrid w:val="0"/>
          <w:color w:val="auto"/>
          <w:kern w:val="0"/>
          <w:sz w:val="28"/>
          <w:szCs w:val="32"/>
          <w:highlight w:val="none"/>
        </w:rPr>
        <w:t>4.4区域污染源调查内容</w:t>
      </w:r>
      <w:bookmarkEnd w:id="266"/>
    </w:p>
    <w:p w14:paraId="1514326A">
      <w:pPr>
        <w:rPr>
          <w:rFonts w:cs="Times New Roman"/>
          <w:color w:val="auto"/>
          <w:szCs w:val="24"/>
          <w:highlight w:val="none"/>
        </w:rPr>
      </w:pPr>
      <w:r>
        <w:rPr>
          <w:rFonts w:cs="Times New Roman"/>
          <w:color w:val="auto"/>
          <w:szCs w:val="24"/>
          <w:highlight w:val="none"/>
        </w:rPr>
        <w:t>本项目</w:t>
      </w:r>
      <w:r>
        <w:rPr>
          <w:rFonts w:ascii="Times New Roman" w:hAnsi="Times New Roman" w:cs="Times New Roman"/>
          <w:snapToGrid w:val="0"/>
          <w:color w:val="auto"/>
          <w:kern w:val="0"/>
          <w:szCs w:val="24"/>
          <w:highlight w:val="none"/>
        </w:rPr>
        <w:t>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ascii="Times New Roman" w:hAnsi="Times New Roman" w:cs="Times New Roman"/>
          <w:snapToGrid w:val="0"/>
          <w:color w:val="auto"/>
          <w:kern w:val="0"/>
          <w:szCs w:val="24"/>
          <w:highlight w:val="none"/>
        </w:rPr>
        <w:t>，项目东</w:t>
      </w:r>
      <w:r>
        <w:rPr>
          <w:rFonts w:hint="eastAsia" w:ascii="Times New Roman" w:hAnsi="Times New Roman" w:cs="Times New Roman"/>
          <w:snapToGrid w:val="0"/>
          <w:color w:val="auto"/>
          <w:kern w:val="0"/>
          <w:szCs w:val="24"/>
          <w:highlight w:val="none"/>
          <w:lang w:val="en-US" w:eastAsia="zh-CN"/>
        </w:rPr>
        <w:t>侧、南侧均为空地，北侧隔路为废弃平房</w:t>
      </w:r>
      <w:r>
        <w:rPr>
          <w:rFonts w:ascii="Times New Roman" w:hAnsi="Times New Roman" w:cs="Times New Roman"/>
          <w:snapToGrid w:val="0"/>
          <w:color w:val="auto"/>
          <w:kern w:val="0"/>
          <w:szCs w:val="24"/>
          <w:highlight w:val="none"/>
        </w:rPr>
        <w:t>，西侧</w:t>
      </w:r>
      <w:r>
        <w:rPr>
          <w:rFonts w:hint="eastAsia" w:ascii="Times New Roman" w:hAnsi="Times New Roman" w:cs="Times New Roman"/>
          <w:snapToGrid w:val="0"/>
          <w:color w:val="auto"/>
          <w:kern w:val="0"/>
          <w:szCs w:val="24"/>
          <w:highlight w:val="none"/>
          <w:lang w:val="en-US" w:eastAsia="zh-CN"/>
        </w:rPr>
        <w:t>隔路为金诺恒业机械制造有限公司以及居民</w:t>
      </w:r>
      <w:r>
        <w:rPr>
          <w:rFonts w:cs="Times New Roman"/>
          <w:color w:val="auto"/>
          <w:szCs w:val="24"/>
          <w:highlight w:val="none"/>
        </w:rPr>
        <w:t>。</w:t>
      </w:r>
    </w:p>
    <w:p w14:paraId="1FD9266E">
      <w:pPr>
        <w:pStyle w:val="4"/>
        <w:spacing w:after="163"/>
        <w:rPr>
          <w:rFonts w:cs="Times New Roman"/>
          <w:color w:val="auto"/>
          <w:highlight w:val="none"/>
        </w:rPr>
      </w:pPr>
      <w:r>
        <w:rPr>
          <w:rFonts w:cs="Times New Roman"/>
          <w:color w:val="auto"/>
          <w:highlight w:val="none"/>
        </w:rPr>
        <w:t>4.4.1大气污染源调查</w:t>
      </w:r>
    </w:p>
    <w:p w14:paraId="36A90756">
      <w:pPr>
        <w:rPr>
          <w:rFonts w:cs="Times New Roman"/>
          <w:color w:val="auto"/>
          <w:highlight w:val="none"/>
        </w:rPr>
      </w:pPr>
      <w:r>
        <w:rPr>
          <w:rFonts w:hint="eastAsia" w:cs="Times New Roman"/>
          <w:color w:val="auto"/>
          <w:highlight w:val="none"/>
          <w:lang w:val="en-US" w:eastAsia="zh-CN"/>
        </w:rPr>
        <w:t>经调查，本项目与西侧金诺恒业机械制造有限公司直线距离50m，该企业</w:t>
      </w:r>
      <w:r>
        <w:rPr>
          <w:rFonts w:cs="Times New Roman"/>
          <w:color w:val="auto"/>
          <w:highlight w:val="none"/>
        </w:rPr>
        <w:t>经营范围包括机械制造、机械修理；带式输送机、工业自动控制系统装置制造、设计、销售、安装；矿用机电设备及配件</w:t>
      </w:r>
      <w:r>
        <w:rPr>
          <w:rFonts w:hint="eastAsia" w:cs="Times New Roman"/>
          <w:color w:val="auto"/>
          <w:highlight w:val="none"/>
          <w:lang w:val="en-US" w:eastAsia="zh-CN"/>
        </w:rPr>
        <w:t>等，主要污染物为TSP，不涉及本项目排放的特征因子，无需叠加污染物浓度。</w:t>
      </w:r>
      <w:r>
        <w:rPr>
          <w:rFonts w:cs="Times New Roman"/>
          <w:color w:val="auto"/>
          <w:highlight w:val="none"/>
        </w:rPr>
        <w:t>根据大气评价等级判定结果，本项目为二级评价项目，根据《环境影响评价技术导则 大气环境 》（HJ 2.2-2018）中“7污染源调查 7.1.2 二级评价项目，参照 7.1.1.1 和 7.1.1.2 调查本项目现有及新增污染源和拟被替代的污染源”，本项目为新建项目，且无拟被替代的污染源，因此本项目需要调查本项目新增污染源，详见3.4工程污染源强分析小节。</w:t>
      </w:r>
    </w:p>
    <w:p w14:paraId="53572295">
      <w:pPr>
        <w:pStyle w:val="4"/>
        <w:spacing w:after="163"/>
        <w:rPr>
          <w:rFonts w:cs="Times New Roman"/>
          <w:color w:val="auto"/>
          <w:highlight w:val="none"/>
        </w:rPr>
      </w:pPr>
      <w:r>
        <w:rPr>
          <w:rFonts w:cs="Times New Roman"/>
          <w:color w:val="auto"/>
          <w:highlight w:val="none"/>
        </w:rPr>
        <w:t>4.4.2地表水污染源调查</w:t>
      </w:r>
    </w:p>
    <w:p w14:paraId="0791FAED">
      <w:pPr>
        <w:ind w:firstLine="528"/>
        <w:rPr>
          <w:rFonts w:hint="eastAsia" w:cs="Times New Roman"/>
          <w:snapToGrid w:val="0"/>
          <w:color w:val="auto"/>
          <w:highlight w:val="none"/>
          <w:lang w:eastAsia="zh-CN"/>
        </w:rPr>
      </w:pPr>
      <w:r>
        <w:rPr>
          <w:rFonts w:cs="Times New Roman"/>
          <w:color w:val="auto"/>
          <w:spacing w:val="12"/>
          <w:szCs w:val="24"/>
          <w:highlight w:val="none"/>
        </w:rPr>
        <w:t>根据《环境影响评价技术导则 地表水环境》（HJ 2.3-2018）“6.6.2 区域水污染源调查</w:t>
      </w:r>
      <w:r>
        <w:rPr>
          <w:rFonts w:hint="eastAsia" w:cs="Times New Roman"/>
          <w:color w:val="auto"/>
          <w:spacing w:val="12"/>
          <w:szCs w:val="24"/>
          <w:highlight w:val="none"/>
          <w:lang w:val="en-US" w:eastAsia="zh-CN"/>
        </w:rPr>
        <w:t xml:space="preserve"> </w:t>
      </w:r>
      <w:r>
        <w:rPr>
          <w:rFonts w:cs="Times New Roman"/>
          <w:color w:val="auto"/>
          <w:spacing w:val="12"/>
          <w:szCs w:val="24"/>
          <w:highlight w:val="none"/>
        </w:rPr>
        <w:t>d）水污染影响型三级B评价，可不开展区域污染源调查，主要调查依托污水处理站的日处理能力、处理工艺、设计进水水质、处理后的废水稳定达标排放情况，同时应调查依托污水处理站执行的排放标准是否涵盖建设项目排放的有毒有害的特征水污染物”</w:t>
      </w:r>
      <w:r>
        <w:rPr>
          <w:rFonts w:cs="Times New Roman"/>
          <w:color w:val="auto"/>
          <w:spacing w:val="12"/>
          <w:szCs w:val="24"/>
          <w:highlight w:val="none"/>
        </w:rPr>
        <w:t>。</w:t>
      </w:r>
      <w:r>
        <w:rPr>
          <w:rFonts w:hint="eastAsia" w:cs="Times New Roman"/>
          <w:snapToGrid w:val="0"/>
          <w:color w:val="auto"/>
          <w:highlight w:val="none"/>
          <w:lang w:eastAsia="zh-CN"/>
        </w:rPr>
        <w:t>项目区地表水为居民生活污水。</w:t>
      </w:r>
    </w:p>
    <w:p w14:paraId="168A4163">
      <w:pPr>
        <w:ind w:firstLine="528"/>
        <w:rPr>
          <w:rFonts w:cs="Times New Roman"/>
          <w:color w:val="auto"/>
          <w:highlight w:val="none"/>
        </w:rPr>
      </w:pPr>
      <w:r>
        <w:rPr>
          <w:rFonts w:hint="eastAsia" w:cs="Times New Roman"/>
          <w:snapToGrid w:val="0"/>
          <w:color w:val="auto"/>
          <w:highlight w:val="none"/>
          <w:lang w:eastAsia="zh-CN"/>
        </w:rPr>
        <w:t>本项目废水主要为生活污水、屠宰废水、车辆冲洗废水</w:t>
      </w:r>
      <w:r>
        <w:rPr>
          <w:rFonts w:hint="eastAsia" w:cs="Times New Roman"/>
          <w:snapToGrid w:val="0"/>
          <w:color w:val="auto"/>
          <w:highlight w:val="none"/>
          <w:lang w:val="en-US" w:eastAsia="zh-CN"/>
        </w:rPr>
        <w:t>及</w:t>
      </w:r>
      <w:r>
        <w:rPr>
          <w:rFonts w:hint="eastAsia" w:cs="Times New Roman"/>
          <w:snapToGrid w:val="0"/>
          <w:color w:val="auto"/>
          <w:highlight w:val="none"/>
          <w:lang w:eastAsia="zh-CN"/>
        </w:rPr>
        <w:t>冷库排酸废水，屠宰废水、车辆冲洗废水及冷库排酸废水经污水处理站处理后满足</w:t>
      </w:r>
      <w:r>
        <w:rPr>
          <w:rFonts w:cs="Times New Roman"/>
          <w:snapToGrid w:val="0"/>
          <w:color w:val="auto"/>
          <w:highlight w:val="none"/>
          <w:lang w:val="en-GB"/>
        </w:rPr>
        <w:t>《肉类加工工业水污</w:t>
      </w:r>
      <w:r>
        <w:rPr>
          <w:rFonts w:cs="Times New Roman"/>
          <w:snapToGrid w:val="0"/>
          <w:color w:val="auto"/>
          <w:highlight w:val="none"/>
          <w:lang w:val="en-US"/>
        </w:rPr>
        <w:t xml:space="preserve"> </w:t>
      </w:r>
      <w:r>
        <w:rPr>
          <w:rFonts w:cs="Times New Roman"/>
          <w:snapToGrid w:val="0"/>
          <w:color w:val="auto"/>
          <w:highlight w:val="none"/>
          <w:lang w:val="en-GB"/>
        </w:rPr>
        <w:t>染物排放标准》（GB13457-92）中畜类屠宰加工三级标准，并满足</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进水水质要求</w:t>
      </w:r>
      <w:r>
        <w:rPr>
          <w:rFonts w:hint="eastAsia" w:cs="Times New Roman"/>
          <w:snapToGrid w:val="0"/>
          <w:color w:val="auto"/>
          <w:highlight w:val="none"/>
          <w:lang w:val="en-GB" w:eastAsia="zh-CN"/>
        </w:rPr>
        <w:t>《</w:t>
      </w:r>
      <w:r>
        <w:rPr>
          <w:rFonts w:cs="Times New Roman"/>
          <w:snapToGrid w:val="0"/>
          <w:color w:val="auto"/>
          <w:highlight w:val="none"/>
          <w:lang w:val="en-GB"/>
        </w:rPr>
        <w:fldChar w:fldCharType="begin"/>
      </w:r>
      <w:r>
        <w:rPr>
          <w:rFonts w:cs="Times New Roman"/>
          <w:snapToGrid w:val="0"/>
          <w:color w:val="auto"/>
          <w:highlight w:val="none"/>
          <w:lang w:val="en-GB"/>
        </w:rPr>
        <w:instrText xml:space="preserve"> HYPERLINK "https://www.mee.gov.cn/ywgz/fgbz/bz/bzwb/shjbh/swrwpfbz/199801/W020061027521858212955.pdf" \t "https://www.mee.gov.cn/ywgz/fgbz/bz/bzwb/shjbh/swrwpfbz/199801/_self" </w:instrText>
      </w:r>
      <w:r>
        <w:rPr>
          <w:rFonts w:cs="Times New Roman"/>
          <w:snapToGrid w:val="0"/>
          <w:color w:val="auto"/>
          <w:highlight w:val="none"/>
          <w:lang w:val="en-GB"/>
        </w:rPr>
        <w:fldChar w:fldCharType="separate"/>
      </w:r>
      <w:r>
        <w:rPr>
          <w:rFonts w:hint="eastAsia" w:cs="Times New Roman"/>
          <w:snapToGrid w:val="0"/>
          <w:color w:val="auto"/>
          <w:highlight w:val="none"/>
          <w:lang w:val="en-GB"/>
        </w:rPr>
        <w:t>污水综合排放标准</w:t>
      </w:r>
      <w:r>
        <w:rPr>
          <w:rFonts w:hint="eastAsia" w:cs="Times New Roman"/>
          <w:snapToGrid w:val="0"/>
          <w:color w:val="auto"/>
          <w:highlight w:val="none"/>
          <w:lang w:val="en-GB" w:eastAsia="zh-CN"/>
        </w:rPr>
        <w:t>》</w:t>
      </w:r>
      <w:r>
        <w:rPr>
          <w:rFonts w:hint="eastAsia" w:cs="Times New Roman"/>
          <w:snapToGrid w:val="0"/>
          <w:color w:val="auto"/>
          <w:highlight w:val="none"/>
          <w:lang w:val="en-GB"/>
        </w:rPr>
        <w:t>（GB 8978-1996 ）</w:t>
      </w:r>
      <w:r>
        <w:rPr>
          <w:rFonts w:hint="eastAsia" w:cs="Times New Roman"/>
          <w:snapToGrid w:val="0"/>
          <w:color w:val="auto"/>
          <w:highlight w:val="none"/>
          <w:lang w:val="en-GB"/>
        </w:rPr>
        <w:fldChar w:fldCharType="end"/>
      </w:r>
      <w:r>
        <w:rPr>
          <w:rFonts w:hint="eastAsia" w:cs="Times New Roman"/>
          <w:snapToGrid w:val="0"/>
          <w:color w:val="auto"/>
          <w:highlight w:val="none"/>
          <w:lang w:val="en-US" w:eastAsia="zh-CN"/>
        </w:rPr>
        <w:t>三级标准</w:t>
      </w:r>
      <w:r>
        <w:rPr>
          <w:rFonts w:cs="Times New Roman"/>
          <w:snapToGrid w:val="0"/>
          <w:color w:val="auto"/>
          <w:highlight w:val="none"/>
          <w:lang w:val="en-US"/>
        </w:rPr>
        <w:t>后与生活污水一同排入</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w:t>
      </w:r>
      <w:r>
        <w:rPr>
          <w:rFonts w:hint="eastAsia" w:cs="Times New Roman"/>
          <w:snapToGrid w:val="0"/>
          <w:color w:val="auto"/>
          <w:highlight w:val="none"/>
          <w:lang w:val="en-US" w:eastAsia="zh-CN"/>
        </w:rPr>
        <w:t>该公司现污水处理量约30000</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hint="eastAsia" w:cs="Times New Roman"/>
          <w:snapToGrid w:val="0"/>
          <w:color w:val="auto"/>
          <w:highlight w:val="none"/>
          <w:vertAlign w:val="baseline"/>
          <w:lang w:val="en-US" w:eastAsia="zh-CN"/>
        </w:rPr>
        <w:t>/d</w:t>
      </w:r>
      <w:r>
        <w:rPr>
          <w:rFonts w:cs="Times New Roman"/>
          <w:snapToGrid w:val="0"/>
          <w:color w:val="auto"/>
          <w:highlight w:val="none"/>
          <w:lang w:val="en-US"/>
        </w:rPr>
        <w:t>。</w:t>
      </w:r>
      <w:r>
        <w:rPr>
          <w:rFonts w:hint="eastAsia" w:cs="Times New Roman"/>
          <w:snapToGrid w:val="0"/>
          <w:color w:val="auto"/>
          <w:highlight w:val="none"/>
          <w:lang w:val="en-US" w:eastAsia="zh-CN"/>
        </w:rPr>
        <w:t>尚有20000</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hint="eastAsia" w:cs="Times New Roman"/>
          <w:snapToGrid w:val="0"/>
          <w:color w:val="auto"/>
          <w:highlight w:val="none"/>
          <w:vertAlign w:val="baseline"/>
          <w:lang w:val="en-US" w:eastAsia="zh-CN"/>
        </w:rPr>
        <w:t>/d的余量，本项目</w:t>
      </w:r>
      <w:r>
        <w:rPr>
          <w:rFonts w:cs="Times New Roman"/>
          <w:snapToGrid w:val="0"/>
          <w:color w:val="auto"/>
          <w:highlight w:val="none"/>
          <w:lang w:val="en-US"/>
        </w:rPr>
        <w:t>排放量为</w:t>
      </w:r>
      <w:r>
        <w:rPr>
          <w:rFonts w:hint="eastAsia" w:cs="Times New Roman"/>
          <w:snapToGrid w:val="0"/>
          <w:color w:val="auto"/>
          <w:highlight w:val="none"/>
          <w:lang w:val="en-US" w:eastAsia="zh-CN"/>
        </w:rPr>
        <w:t>240.695</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hint="eastAsia" w:cs="Times New Roman"/>
          <w:snapToGrid w:val="0"/>
          <w:color w:val="auto"/>
          <w:highlight w:val="none"/>
          <w:vertAlign w:val="baseline"/>
          <w:lang w:val="en-US" w:eastAsia="zh-CN"/>
        </w:rPr>
        <w:t>/d</w:t>
      </w:r>
      <w:r>
        <w:rPr>
          <w:rFonts w:cs="Times New Roman"/>
          <w:snapToGrid w:val="0"/>
          <w:color w:val="auto"/>
          <w:highlight w:val="none"/>
          <w:lang w:val="en-US"/>
        </w:rPr>
        <w:t>。</w:t>
      </w:r>
      <w:r>
        <w:rPr>
          <w:rFonts w:hint="eastAsia" w:cs="Times New Roman"/>
          <w:snapToGrid w:val="0"/>
          <w:color w:val="auto"/>
          <w:highlight w:val="none"/>
          <w:lang w:val="en-US" w:eastAsia="zh-CN"/>
        </w:rPr>
        <w:t>所占比例较小，</w:t>
      </w:r>
      <w:r>
        <w:rPr>
          <w:rFonts w:cs="Times New Roman"/>
          <w:snapToGrid w:val="0"/>
          <w:color w:val="auto"/>
          <w:highlight w:val="none"/>
        </w:rPr>
        <w:t>因此，项目所排废水从水质和水量角度分析均能够达到</w:t>
      </w:r>
      <w:r>
        <w:rPr>
          <w:rFonts w:hint="eastAsia" w:cs="Times New Roman"/>
          <w:snapToGrid w:val="0"/>
          <w:color w:val="auto"/>
          <w:highlight w:val="none"/>
          <w:lang w:val="en-GB" w:eastAsia="zh-CN"/>
        </w:rPr>
        <w:t>双鸭山市畅源排水有限公司</w:t>
      </w:r>
      <w:r>
        <w:rPr>
          <w:rFonts w:cs="Times New Roman"/>
          <w:snapToGrid w:val="0"/>
          <w:color w:val="auto"/>
          <w:highlight w:val="none"/>
        </w:rPr>
        <w:t>接收条件，依托可行</w:t>
      </w:r>
      <w:r>
        <w:rPr>
          <w:rFonts w:hint="eastAsia" w:cs="Times New Roman"/>
          <w:snapToGrid w:val="0"/>
          <w:color w:val="auto"/>
          <w:highlight w:val="none"/>
          <w:lang w:eastAsia="zh-CN"/>
        </w:rPr>
        <w:t>。</w:t>
      </w:r>
    </w:p>
    <w:p w14:paraId="485A2916">
      <w:pPr>
        <w:pStyle w:val="4"/>
        <w:spacing w:after="163"/>
        <w:rPr>
          <w:rFonts w:cs="Times New Roman"/>
          <w:color w:val="auto"/>
          <w:highlight w:val="none"/>
        </w:rPr>
      </w:pPr>
      <w:r>
        <w:rPr>
          <w:rFonts w:cs="Times New Roman"/>
          <w:color w:val="auto"/>
          <w:highlight w:val="none"/>
        </w:rPr>
        <w:t>4.4.3地下水污染源调查</w:t>
      </w:r>
    </w:p>
    <w:p w14:paraId="0F71A2BD">
      <w:pPr>
        <w:rPr>
          <w:rFonts w:cs="Times New Roman"/>
          <w:snapToGrid w:val="0"/>
          <w:color w:val="auto"/>
          <w:highlight w:val="none"/>
        </w:rPr>
      </w:pPr>
      <w:r>
        <w:rPr>
          <w:rFonts w:cs="Times New Roman"/>
          <w:snapToGrid w:val="0"/>
          <w:color w:val="auto"/>
          <w:highlight w:val="none"/>
        </w:rPr>
        <w:t>本项目地下水特征污染因子为COD、氨氮，评价区域内主要污染源为区域内居民生活污水。</w:t>
      </w:r>
    </w:p>
    <w:p w14:paraId="2592B3B0">
      <w:pPr>
        <w:pStyle w:val="4"/>
        <w:spacing w:after="163"/>
        <w:rPr>
          <w:rFonts w:cs="Times New Roman"/>
          <w:color w:val="auto"/>
          <w:highlight w:val="none"/>
        </w:rPr>
      </w:pPr>
      <w:r>
        <w:rPr>
          <w:rFonts w:cs="Times New Roman"/>
          <w:color w:val="auto"/>
          <w:highlight w:val="none"/>
        </w:rPr>
        <w:t>4.4.4噪声污染源调查</w:t>
      </w:r>
    </w:p>
    <w:p w14:paraId="7AFC9192">
      <w:pPr>
        <w:rPr>
          <w:rFonts w:cs="Times New Roman"/>
          <w:color w:val="auto"/>
          <w:highlight w:val="none"/>
        </w:rPr>
      </w:pPr>
      <w:r>
        <w:rPr>
          <w:rFonts w:cs="Times New Roman"/>
          <w:color w:val="auto"/>
          <w:highlight w:val="none"/>
        </w:rPr>
        <w:t>本项目</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cs="Times New Roman"/>
          <w:color w:val="auto"/>
          <w:szCs w:val="24"/>
          <w:highlight w:val="none"/>
        </w:rPr>
        <w:t>，声环境评价范围内</w:t>
      </w:r>
      <w:r>
        <w:rPr>
          <w:rFonts w:cs="Times New Roman"/>
          <w:color w:val="auto"/>
          <w:highlight w:val="none"/>
        </w:rPr>
        <w:t>主要污染源为</w:t>
      </w:r>
      <w:r>
        <w:rPr>
          <w:rFonts w:cs="Times New Roman"/>
          <w:color w:val="auto"/>
          <w:szCs w:val="24"/>
          <w:highlight w:val="none"/>
        </w:rPr>
        <w:t>牛、羊嚎叫以及设备产生的噪声</w:t>
      </w:r>
      <w:r>
        <w:rPr>
          <w:rFonts w:cs="Times New Roman"/>
          <w:color w:val="auto"/>
          <w:highlight w:val="none"/>
        </w:rPr>
        <w:t>。</w:t>
      </w:r>
    </w:p>
    <w:p w14:paraId="3D41B293">
      <w:pPr>
        <w:pStyle w:val="117"/>
        <w:rPr>
          <w:rFonts w:cs="Times New Roman"/>
          <w:color w:val="auto"/>
          <w:highlight w:val="none"/>
        </w:rPr>
      </w:pPr>
    </w:p>
    <w:p w14:paraId="1B13673B">
      <w:pPr>
        <w:adjustRightInd/>
        <w:snapToGrid/>
        <w:spacing w:line="500" w:lineRule="exact"/>
        <w:rPr>
          <w:rFonts w:cs="Times New Roman"/>
          <w:snapToGrid w:val="0"/>
          <w:color w:val="auto"/>
          <w:kern w:val="0"/>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02FA690A">
      <w:pPr>
        <w:adjustRightInd/>
        <w:snapToGrid/>
        <w:spacing w:line="500" w:lineRule="exact"/>
        <w:ind w:firstLine="0" w:firstLineChars="0"/>
        <w:jc w:val="left"/>
        <w:outlineLvl w:val="0"/>
        <w:rPr>
          <w:rFonts w:eastAsia="黑体" w:cs="Times New Roman"/>
          <w:snapToGrid w:val="0"/>
          <w:color w:val="auto"/>
          <w:kern w:val="0"/>
          <w:sz w:val="32"/>
          <w:highlight w:val="none"/>
        </w:rPr>
      </w:pPr>
      <w:bookmarkStart w:id="267" w:name="_Toc25850"/>
      <w:bookmarkStart w:id="268" w:name="_Toc415146701"/>
      <w:bookmarkStart w:id="269" w:name="_Toc75075744"/>
      <w:bookmarkStart w:id="270" w:name="_Toc371751574"/>
      <w:bookmarkStart w:id="271" w:name="_Toc75075806"/>
      <w:bookmarkStart w:id="272" w:name="_Toc480447669"/>
      <w:bookmarkStart w:id="273" w:name="_Toc45678581"/>
      <w:r>
        <w:rPr>
          <w:rFonts w:eastAsia="黑体" w:cs="Times New Roman"/>
          <w:snapToGrid w:val="0"/>
          <w:color w:val="auto"/>
          <w:kern w:val="0"/>
          <w:sz w:val="32"/>
          <w:highlight w:val="none"/>
        </w:rPr>
        <w:t>5环境影响预测评价</w:t>
      </w:r>
      <w:bookmarkEnd w:id="267"/>
      <w:bookmarkEnd w:id="268"/>
      <w:bookmarkEnd w:id="269"/>
      <w:bookmarkEnd w:id="270"/>
      <w:bookmarkEnd w:id="271"/>
      <w:bookmarkEnd w:id="272"/>
      <w:bookmarkEnd w:id="273"/>
    </w:p>
    <w:p w14:paraId="1B3383DE">
      <w:pPr>
        <w:keepNext/>
        <w:keepLines/>
        <w:spacing w:line="500" w:lineRule="exact"/>
        <w:ind w:firstLine="0" w:firstLineChars="0"/>
        <w:jc w:val="left"/>
        <w:outlineLvl w:val="1"/>
        <w:rPr>
          <w:rFonts w:eastAsia="黑体" w:cs="Times New Roman"/>
          <w:bCs/>
          <w:snapToGrid w:val="0"/>
          <w:color w:val="auto"/>
          <w:kern w:val="0"/>
          <w:sz w:val="28"/>
          <w:szCs w:val="32"/>
          <w:highlight w:val="none"/>
        </w:rPr>
      </w:pPr>
      <w:bookmarkStart w:id="274" w:name="_Toc415146702"/>
      <w:bookmarkStart w:id="275" w:name="_Toc480447670"/>
      <w:bookmarkStart w:id="276" w:name="_Toc24395"/>
      <w:r>
        <w:rPr>
          <w:rFonts w:eastAsia="黑体" w:cs="Times New Roman"/>
          <w:bCs/>
          <w:snapToGrid w:val="0"/>
          <w:color w:val="auto"/>
          <w:kern w:val="0"/>
          <w:sz w:val="28"/>
          <w:szCs w:val="32"/>
          <w:highlight w:val="none"/>
        </w:rPr>
        <w:t>5.1施工期环境影响</w:t>
      </w:r>
      <w:bookmarkEnd w:id="274"/>
      <w:r>
        <w:rPr>
          <w:rFonts w:eastAsia="黑体" w:cs="Times New Roman"/>
          <w:bCs/>
          <w:snapToGrid w:val="0"/>
          <w:color w:val="auto"/>
          <w:kern w:val="0"/>
          <w:sz w:val="28"/>
          <w:szCs w:val="32"/>
          <w:highlight w:val="none"/>
        </w:rPr>
        <w:t>分析</w:t>
      </w:r>
      <w:bookmarkEnd w:id="275"/>
      <w:bookmarkEnd w:id="276"/>
    </w:p>
    <w:p w14:paraId="12C10F8C">
      <w:pPr>
        <w:pStyle w:val="4"/>
        <w:spacing w:after="0" w:afterLines="0"/>
        <w:rPr>
          <w:rFonts w:cs="Times New Roman"/>
          <w:color w:val="auto"/>
          <w:highlight w:val="none"/>
        </w:rPr>
      </w:pPr>
      <w:bookmarkStart w:id="277" w:name="_Toc2533"/>
      <w:r>
        <w:rPr>
          <w:rFonts w:cs="Times New Roman"/>
          <w:color w:val="auto"/>
          <w:highlight w:val="none"/>
        </w:rPr>
        <w:t>5.1.1施工期大气环境影响分析</w:t>
      </w:r>
      <w:bookmarkEnd w:id="277"/>
    </w:p>
    <w:p w14:paraId="0002116E">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建设施工过程中，燃油动力机械和运输车辆排放的废气，挖土、运土、填土、夯实和汽车运输过程的扬尘，都会给周围环境空气带来污染。污染大气的主要因子是NO</w:t>
      </w:r>
      <w:r>
        <w:rPr>
          <w:rFonts w:cs="Times New Roman"/>
          <w:snapToGrid w:val="0"/>
          <w:color w:val="auto"/>
          <w:kern w:val="0"/>
          <w:highlight w:val="none"/>
          <w:vertAlign w:val="subscript"/>
        </w:rPr>
        <w:t>2</w:t>
      </w:r>
      <w:r>
        <w:rPr>
          <w:rFonts w:cs="Times New Roman"/>
          <w:snapToGrid w:val="0"/>
          <w:color w:val="auto"/>
          <w:kern w:val="0"/>
          <w:highlight w:val="none"/>
        </w:rPr>
        <w:t>、CO、SO</w:t>
      </w:r>
      <w:r>
        <w:rPr>
          <w:rFonts w:cs="Times New Roman"/>
          <w:snapToGrid w:val="0"/>
          <w:color w:val="auto"/>
          <w:kern w:val="0"/>
          <w:highlight w:val="none"/>
          <w:vertAlign w:val="subscript"/>
        </w:rPr>
        <w:t>2</w:t>
      </w:r>
      <w:r>
        <w:rPr>
          <w:rFonts w:cs="Times New Roman"/>
          <w:snapToGrid w:val="0"/>
          <w:color w:val="auto"/>
          <w:kern w:val="0"/>
          <w:highlight w:val="none"/>
        </w:rPr>
        <w:t>和扬尘，尤其扬尘污染最为严重。</w:t>
      </w:r>
    </w:p>
    <w:p w14:paraId="0F73DEFF">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施工过程扬尘污染的危害不容忽视。在施工现场的作业人员，如长时间吸入大量微细尘埃，不但会引起各种呼吸道疾病，而且，扬尘会夹带大量的病源菌，还会传染其它各种疾病，严重威胁施工人员的身体健康。此外，扬尘飘落在各种建筑物和绿叶植被上，将会影响景观。</w:t>
      </w:r>
    </w:p>
    <w:p w14:paraId="2FBA023F">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对整个施工期而言，施工产生的扬尘主要集中在污水处理站建设阶段。按起尘的原因可分为风力起尘和动力起尘，其中风力起尘主要是由于露天堆放的建材(如沙土、水泥等)及裸露的施工区表层浮尘因天气干燥及大风，产生风尘扬尘；而动力起尘，主要是在建材的装卸、搅拌过程中，由于外力而产生的尘粒再悬浮而造成，其中施工及装卸车辆造成的扬尘最为严重。据有关文献资料介绍，车辆行驶产生的扬尘占总扬尘的60%上。不同车速和地面清洁程度的汽车扬尘产生情况见表5-1-1。</w:t>
      </w:r>
    </w:p>
    <w:p w14:paraId="62BBBC46">
      <w:pPr>
        <w:spacing w:line="500" w:lineRule="exact"/>
        <w:ind w:firstLine="0" w:firstLineChars="0"/>
        <w:jc w:val="right"/>
        <w:rPr>
          <w:rFonts w:cs="Times New Roman"/>
          <w:b/>
          <w:bCs/>
          <w:snapToGrid w:val="0"/>
          <w:color w:val="auto"/>
          <w:kern w:val="0"/>
          <w:szCs w:val="24"/>
          <w:highlight w:val="none"/>
          <w:lang w:val="zh-CN"/>
        </w:rPr>
      </w:pPr>
      <w:r>
        <w:rPr>
          <w:rFonts w:cs="Times New Roman"/>
          <w:b/>
          <w:bCs/>
          <w:snapToGrid w:val="0"/>
          <w:color w:val="auto"/>
          <w:kern w:val="0"/>
          <w:szCs w:val="24"/>
          <w:highlight w:val="none"/>
          <w:lang w:val="zh-CN"/>
        </w:rPr>
        <w:t>表5-1-1</w:t>
      </w:r>
      <w:r>
        <w:rPr>
          <w:rFonts w:cs="Times New Roman"/>
          <w:b/>
          <w:bCs/>
          <w:snapToGrid w:val="0"/>
          <w:color w:val="auto"/>
          <w:kern w:val="0"/>
          <w:szCs w:val="24"/>
          <w:highlight w:val="none"/>
        </w:rPr>
        <w:t xml:space="preserve">  </w:t>
      </w:r>
      <w:r>
        <w:rPr>
          <w:rFonts w:cs="Times New Roman"/>
          <w:b/>
          <w:bCs/>
          <w:snapToGrid w:val="0"/>
          <w:color w:val="auto"/>
          <w:kern w:val="0"/>
          <w:szCs w:val="24"/>
          <w:highlight w:val="none"/>
          <w:lang w:val="zh-CN"/>
        </w:rPr>
        <w:t>不同车速和地面清洁程度的汽车扬尘      单位：kg/辆·km</w:t>
      </w:r>
    </w:p>
    <w:tbl>
      <w:tblPr>
        <w:tblStyle w:val="39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1183"/>
        <w:gridCol w:w="1183"/>
        <w:gridCol w:w="1183"/>
        <w:gridCol w:w="1183"/>
        <w:gridCol w:w="1183"/>
        <w:gridCol w:w="1183"/>
      </w:tblGrid>
      <w:tr w14:paraId="13737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5" w:hRule="atLeast"/>
        </w:trPr>
        <w:tc>
          <w:tcPr>
            <w:tcW w:w="1218" w:type="dxa"/>
            <w:vAlign w:val="center"/>
          </w:tcPr>
          <w:p w14:paraId="169C2F6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P(kg/m</w:t>
            </w:r>
            <w:r>
              <w:rPr>
                <w:rFonts w:cs="Times New Roman"/>
                <w:snapToGrid w:val="0"/>
                <w:color w:val="auto"/>
                <w:kern w:val="0"/>
                <w:sz w:val="21"/>
                <w:highlight w:val="none"/>
                <w:vertAlign w:val="superscript"/>
                <w:lang w:val="zh-CN"/>
              </w:rPr>
              <w:t>2</w:t>
            </w:r>
            <w:r>
              <w:rPr>
                <w:rFonts w:cs="Times New Roman"/>
                <w:snapToGrid w:val="0"/>
                <w:color w:val="auto"/>
                <w:kern w:val="0"/>
                <w:sz w:val="21"/>
                <w:highlight w:val="none"/>
                <w:lang w:val="zh-CN"/>
              </w:rPr>
              <w:t>)</w:t>
            </w:r>
          </w:p>
          <w:p w14:paraId="04AC07C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车速</w:t>
            </w:r>
          </w:p>
        </w:tc>
        <w:tc>
          <w:tcPr>
            <w:tcW w:w="1183" w:type="dxa"/>
            <w:vAlign w:val="center"/>
          </w:tcPr>
          <w:p w14:paraId="3DCA58D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w:t>
            </w:r>
          </w:p>
        </w:tc>
        <w:tc>
          <w:tcPr>
            <w:tcW w:w="1183" w:type="dxa"/>
            <w:vAlign w:val="center"/>
          </w:tcPr>
          <w:p w14:paraId="74018A8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0.2</w:t>
            </w:r>
          </w:p>
        </w:tc>
        <w:tc>
          <w:tcPr>
            <w:tcW w:w="1183" w:type="dxa"/>
            <w:vAlign w:val="center"/>
          </w:tcPr>
          <w:p w14:paraId="7264A67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0.3</w:t>
            </w:r>
          </w:p>
        </w:tc>
        <w:tc>
          <w:tcPr>
            <w:tcW w:w="1183" w:type="dxa"/>
            <w:vAlign w:val="center"/>
          </w:tcPr>
          <w:p w14:paraId="27D623D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0.4</w:t>
            </w:r>
          </w:p>
        </w:tc>
        <w:tc>
          <w:tcPr>
            <w:tcW w:w="1183" w:type="dxa"/>
            <w:vAlign w:val="center"/>
          </w:tcPr>
          <w:p w14:paraId="740AFB4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0.5</w:t>
            </w:r>
          </w:p>
        </w:tc>
        <w:tc>
          <w:tcPr>
            <w:tcW w:w="1183" w:type="dxa"/>
            <w:vAlign w:val="center"/>
          </w:tcPr>
          <w:p w14:paraId="37A6642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1.0</w:t>
            </w:r>
          </w:p>
        </w:tc>
      </w:tr>
      <w:tr w14:paraId="61D1BE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218" w:type="dxa"/>
            <w:vAlign w:val="center"/>
          </w:tcPr>
          <w:p w14:paraId="4F2880A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5(km/hr)</w:t>
            </w:r>
          </w:p>
        </w:tc>
        <w:tc>
          <w:tcPr>
            <w:tcW w:w="1183" w:type="dxa"/>
            <w:vAlign w:val="center"/>
          </w:tcPr>
          <w:p w14:paraId="327A8C31">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0.052806</w:t>
            </w:r>
          </w:p>
        </w:tc>
        <w:tc>
          <w:tcPr>
            <w:tcW w:w="1183" w:type="dxa"/>
            <w:vAlign w:val="center"/>
          </w:tcPr>
          <w:p w14:paraId="5040F55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0.0261665</w:t>
            </w:r>
          </w:p>
        </w:tc>
        <w:tc>
          <w:tcPr>
            <w:tcW w:w="1183" w:type="dxa"/>
            <w:vAlign w:val="center"/>
          </w:tcPr>
          <w:p w14:paraId="6C33439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0.116382</w:t>
            </w:r>
          </w:p>
        </w:tc>
        <w:tc>
          <w:tcPr>
            <w:tcW w:w="1183" w:type="dxa"/>
            <w:vAlign w:val="center"/>
          </w:tcPr>
          <w:p w14:paraId="64AE204D">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0.144408</w:t>
            </w:r>
          </w:p>
        </w:tc>
        <w:tc>
          <w:tcPr>
            <w:tcW w:w="1183" w:type="dxa"/>
            <w:vAlign w:val="center"/>
          </w:tcPr>
          <w:p w14:paraId="42EB202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0.170715</w:t>
            </w:r>
          </w:p>
        </w:tc>
        <w:tc>
          <w:tcPr>
            <w:tcW w:w="1183" w:type="dxa"/>
            <w:vAlign w:val="center"/>
          </w:tcPr>
          <w:p w14:paraId="0598C89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0.287108</w:t>
            </w:r>
          </w:p>
        </w:tc>
      </w:tr>
      <w:tr w14:paraId="048BF6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218" w:type="dxa"/>
            <w:vAlign w:val="center"/>
          </w:tcPr>
          <w:p w14:paraId="393F7933">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10(km/hr)</w:t>
            </w:r>
          </w:p>
        </w:tc>
        <w:tc>
          <w:tcPr>
            <w:tcW w:w="1183" w:type="dxa"/>
            <w:vAlign w:val="center"/>
          </w:tcPr>
          <w:p w14:paraId="66A1FBA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0.102112</w:t>
            </w:r>
          </w:p>
        </w:tc>
        <w:tc>
          <w:tcPr>
            <w:tcW w:w="1183" w:type="dxa"/>
            <w:vAlign w:val="center"/>
          </w:tcPr>
          <w:p w14:paraId="6B9C1A4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0.171731</w:t>
            </w:r>
          </w:p>
        </w:tc>
        <w:tc>
          <w:tcPr>
            <w:tcW w:w="1183" w:type="dxa"/>
            <w:vAlign w:val="center"/>
          </w:tcPr>
          <w:p w14:paraId="3865972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0.232764</w:t>
            </w:r>
          </w:p>
        </w:tc>
        <w:tc>
          <w:tcPr>
            <w:tcW w:w="1183" w:type="dxa"/>
            <w:vAlign w:val="center"/>
          </w:tcPr>
          <w:p w14:paraId="2356F84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0.288815</w:t>
            </w:r>
          </w:p>
        </w:tc>
        <w:tc>
          <w:tcPr>
            <w:tcW w:w="1183" w:type="dxa"/>
            <w:vAlign w:val="center"/>
          </w:tcPr>
          <w:p w14:paraId="6EC14BEF">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0.341431</w:t>
            </w:r>
          </w:p>
        </w:tc>
        <w:tc>
          <w:tcPr>
            <w:tcW w:w="1183" w:type="dxa"/>
            <w:vAlign w:val="center"/>
          </w:tcPr>
          <w:p w14:paraId="068C438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0.574216</w:t>
            </w:r>
          </w:p>
        </w:tc>
      </w:tr>
      <w:tr w14:paraId="29CB8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218" w:type="dxa"/>
            <w:vAlign w:val="center"/>
          </w:tcPr>
          <w:p w14:paraId="2D5DB70D">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15(km/hr)</w:t>
            </w:r>
          </w:p>
        </w:tc>
        <w:tc>
          <w:tcPr>
            <w:tcW w:w="1183" w:type="dxa"/>
            <w:vAlign w:val="center"/>
          </w:tcPr>
          <w:p w14:paraId="6407B80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0.153167</w:t>
            </w:r>
          </w:p>
        </w:tc>
        <w:tc>
          <w:tcPr>
            <w:tcW w:w="1183" w:type="dxa"/>
            <w:vAlign w:val="center"/>
          </w:tcPr>
          <w:p w14:paraId="55EFC2D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0.257596</w:t>
            </w:r>
          </w:p>
        </w:tc>
        <w:tc>
          <w:tcPr>
            <w:tcW w:w="1183" w:type="dxa"/>
            <w:vAlign w:val="center"/>
          </w:tcPr>
          <w:p w14:paraId="17E4268F">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0.349146</w:t>
            </w:r>
          </w:p>
        </w:tc>
        <w:tc>
          <w:tcPr>
            <w:tcW w:w="1183" w:type="dxa"/>
            <w:vAlign w:val="center"/>
          </w:tcPr>
          <w:p w14:paraId="458537B1">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0.433223</w:t>
            </w:r>
          </w:p>
        </w:tc>
        <w:tc>
          <w:tcPr>
            <w:tcW w:w="1183" w:type="dxa"/>
            <w:vAlign w:val="center"/>
          </w:tcPr>
          <w:p w14:paraId="6623DB4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0.512146</w:t>
            </w:r>
          </w:p>
        </w:tc>
        <w:tc>
          <w:tcPr>
            <w:tcW w:w="1183" w:type="dxa"/>
            <w:vAlign w:val="center"/>
          </w:tcPr>
          <w:p w14:paraId="3C84763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0.861323</w:t>
            </w:r>
          </w:p>
        </w:tc>
      </w:tr>
      <w:tr w14:paraId="5B418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1218" w:type="dxa"/>
            <w:vAlign w:val="center"/>
          </w:tcPr>
          <w:p w14:paraId="0E3C16E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25(km/hr)</w:t>
            </w:r>
          </w:p>
        </w:tc>
        <w:tc>
          <w:tcPr>
            <w:tcW w:w="1183" w:type="dxa"/>
            <w:vAlign w:val="center"/>
          </w:tcPr>
          <w:p w14:paraId="02017E9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w:t>
            </w:r>
            <w:r>
              <w:rPr>
                <w:rFonts w:cs="Times New Roman"/>
                <w:snapToGrid w:val="0"/>
                <w:color w:val="auto"/>
                <w:kern w:val="0"/>
                <w:sz w:val="21"/>
                <w:highlight w:val="none"/>
              </w:rPr>
              <w:t>255</w:t>
            </w:r>
            <w:r>
              <w:rPr>
                <w:rFonts w:cs="Times New Roman"/>
                <w:snapToGrid w:val="0"/>
                <w:color w:val="auto"/>
                <w:kern w:val="0"/>
                <w:sz w:val="21"/>
                <w:highlight w:val="none"/>
                <w:lang w:val="zh-CN"/>
              </w:rPr>
              <w:t>79</w:t>
            </w:r>
          </w:p>
        </w:tc>
        <w:tc>
          <w:tcPr>
            <w:tcW w:w="1183" w:type="dxa"/>
            <w:vAlign w:val="center"/>
          </w:tcPr>
          <w:p w14:paraId="129ECC1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0.429326</w:t>
            </w:r>
          </w:p>
        </w:tc>
        <w:tc>
          <w:tcPr>
            <w:tcW w:w="1183" w:type="dxa"/>
            <w:vAlign w:val="center"/>
          </w:tcPr>
          <w:p w14:paraId="049967F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0.58191</w:t>
            </w:r>
          </w:p>
        </w:tc>
        <w:tc>
          <w:tcPr>
            <w:tcW w:w="1183" w:type="dxa"/>
            <w:vAlign w:val="center"/>
          </w:tcPr>
          <w:p w14:paraId="5A54C6B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0.722038</w:t>
            </w:r>
          </w:p>
        </w:tc>
        <w:tc>
          <w:tcPr>
            <w:tcW w:w="1183" w:type="dxa"/>
            <w:vAlign w:val="center"/>
          </w:tcPr>
          <w:p w14:paraId="6F7878A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0.853577</w:t>
            </w:r>
          </w:p>
        </w:tc>
        <w:tc>
          <w:tcPr>
            <w:tcW w:w="1183" w:type="dxa"/>
            <w:vAlign w:val="center"/>
          </w:tcPr>
          <w:p w14:paraId="65E034DF">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1.435539</w:t>
            </w:r>
          </w:p>
        </w:tc>
      </w:tr>
    </w:tbl>
    <w:p w14:paraId="61129FCC">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施工期扬尘的另一个主要原因是露天堆场和裸露场地的风力扬尘。由于施工的需要，一些建材需露天堆放；一些施工点表层土壤需人工开挖、堆放，在气候干燥又有风的情况下，会产生扬尘。不同粒径尘粒的沉降速度见表5-1-2。</w:t>
      </w:r>
    </w:p>
    <w:p w14:paraId="47843126">
      <w:pPr>
        <w:spacing w:line="500" w:lineRule="exact"/>
        <w:ind w:firstLine="0" w:firstLineChars="0"/>
        <w:rPr>
          <w:rFonts w:eastAsia="黑体" w:cs="Times New Roman"/>
          <w:snapToGrid w:val="0"/>
          <w:color w:val="auto"/>
          <w:kern w:val="0"/>
          <w:highlight w:val="none"/>
          <w:lang w:val="zh-CN"/>
        </w:rPr>
      </w:pPr>
    </w:p>
    <w:p w14:paraId="7ECC8E6A">
      <w:pPr>
        <w:spacing w:line="500" w:lineRule="exact"/>
        <w:ind w:firstLine="0" w:firstLineChars="0"/>
        <w:jc w:val="center"/>
        <w:rPr>
          <w:rFonts w:cs="Times New Roman"/>
          <w:b/>
          <w:bCs/>
          <w:snapToGrid w:val="0"/>
          <w:color w:val="auto"/>
          <w:kern w:val="0"/>
          <w:szCs w:val="24"/>
          <w:highlight w:val="none"/>
          <w:lang w:val="zh-CN"/>
        </w:rPr>
      </w:pPr>
      <w:r>
        <w:rPr>
          <w:rFonts w:cs="Times New Roman"/>
          <w:b/>
          <w:bCs/>
          <w:snapToGrid w:val="0"/>
          <w:color w:val="auto"/>
          <w:kern w:val="0"/>
          <w:szCs w:val="24"/>
          <w:highlight w:val="none"/>
          <w:lang w:val="zh-CN"/>
        </w:rPr>
        <w:t>表5-1-2  不同粒径尘粒的沉降速度</w:t>
      </w:r>
    </w:p>
    <w:tbl>
      <w:tblPr>
        <w:tblStyle w:val="398"/>
        <w:tblW w:w="827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20"/>
        <w:gridCol w:w="922"/>
        <w:gridCol w:w="922"/>
        <w:gridCol w:w="922"/>
        <w:gridCol w:w="922"/>
        <w:gridCol w:w="922"/>
        <w:gridCol w:w="922"/>
        <w:gridCol w:w="924"/>
      </w:tblGrid>
      <w:tr w14:paraId="2D2ACD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0" w:hRule="atLeast"/>
        </w:trPr>
        <w:tc>
          <w:tcPr>
            <w:tcW w:w="1820" w:type="dxa"/>
            <w:vAlign w:val="center"/>
          </w:tcPr>
          <w:p w14:paraId="3ABB91D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粒径（μm）</w:t>
            </w:r>
          </w:p>
        </w:tc>
        <w:tc>
          <w:tcPr>
            <w:tcW w:w="922" w:type="dxa"/>
            <w:vAlign w:val="center"/>
          </w:tcPr>
          <w:p w14:paraId="2AA9F313">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10</w:t>
            </w:r>
          </w:p>
        </w:tc>
        <w:tc>
          <w:tcPr>
            <w:tcW w:w="922" w:type="dxa"/>
            <w:vAlign w:val="center"/>
          </w:tcPr>
          <w:p w14:paraId="672E83E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20</w:t>
            </w:r>
          </w:p>
        </w:tc>
        <w:tc>
          <w:tcPr>
            <w:tcW w:w="922" w:type="dxa"/>
            <w:vAlign w:val="center"/>
          </w:tcPr>
          <w:p w14:paraId="2AB3A4E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30</w:t>
            </w:r>
          </w:p>
        </w:tc>
        <w:tc>
          <w:tcPr>
            <w:tcW w:w="922" w:type="dxa"/>
            <w:vAlign w:val="center"/>
          </w:tcPr>
          <w:p w14:paraId="2B73174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40</w:t>
            </w:r>
          </w:p>
        </w:tc>
        <w:tc>
          <w:tcPr>
            <w:tcW w:w="922" w:type="dxa"/>
            <w:vAlign w:val="center"/>
          </w:tcPr>
          <w:p w14:paraId="5160621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50</w:t>
            </w:r>
          </w:p>
        </w:tc>
        <w:tc>
          <w:tcPr>
            <w:tcW w:w="922" w:type="dxa"/>
            <w:vAlign w:val="center"/>
          </w:tcPr>
          <w:p w14:paraId="2B79A59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60</w:t>
            </w:r>
          </w:p>
        </w:tc>
        <w:tc>
          <w:tcPr>
            <w:tcW w:w="924" w:type="dxa"/>
            <w:vAlign w:val="center"/>
          </w:tcPr>
          <w:p w14:paraId="0060FB14">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70</w:t>
            </w:r>
          </w:p>
        </w:tc>
      </w:tr>
      <w:tr w14:paraId="4A96D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820" w:type="dxa"/>
            <w:vAlign w:val="center"/>
          </w:tcPr>
          <w:p w14:paraId="5598FFD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沉降速度（m/s）</w:t>
            </w:r>
          </w:p>
        </w:tc>
        <w:tc>
          <w:tcPr>
            <w:tcW w:w="922" w:type="dxa"/>
            <w:vAlign w:val="center"/>
          </w:tcPr>
          <w:p w14:paraId="67FD53E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0.003</w:t>
            </w:r>
          </w:p>
        </w:tc>
        <w:tc>
          <w:tcPr>
            <w:tcW w:w="922" w:type="dxa"/>
            <w:vAlign w:val="center"/>
          </w:tcPr>
          <w:p w14:paraId="3161CD9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0.012</w:t>
            </w:r>
          </w:p>
        </w:tc>
        <w:tc>
          <w:tcPr>
            <w:tcW w:w="922" w:type="dxa"/>
            <w:vAlign w:val="center"/>
          </w:tcPr>
          <w:p w14:paraId="47F0873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0.027</w:t>
            </w:r>
          </w:p>
        </w:tc>
        <w:tc>
          <w:tcPr>
            <w:tcW w:w="922" w:type="dxa"/>
            <w:vAlign w:val="center"/>
          </w:tcPr>
          <w:p w14:paraId="4044791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0.048</w:t>
            </w:r>
          </w:p>
        </w:tc>
        <w:tc>
          <w:tcPr>
            <w:tcW w:w="922" w:type="dxa"/>
            <w:vAlign w:val="center"/>
          </w:tcPr>
          <w:p w14:paraId="4D35B85D">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0.075</w:t>
            </w:r>
          </w:p>
        </w:tc>
        <w:tc>
          <w:tcPr>
            <w:tcW w:w="922" w:type="dxa"/>
            <w:vAlign w:val="center"/>
          </w:tcPr>
          <w:p w14:paraId="33533C4D">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0.108</w:t>
            </w:r>
          </w:p>
        </w:tc>
        <w:tc>
          <w:tcPr>
            <w:tcW w:w="924" w:type="dxa"/>
            <w:vAlign w:val="center"/>
          </w:tcPr>
          <w:p w14:paraId="5070BD11">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0.147</w:t>
            </w:r>
          </w:p>
        </w:tc>
      </w:tr>
      <w:tr w14:paraId="08D653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820" w:type="dxa"/>
            <w:vAlign w:val="center"/>
          </w:tcPr>
          <w:p w14:paraId="0AE7F79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粒径（μm）</w:t>
            </w:r>
          </w:p>
        </w:tc>
        <w:tc>
          <w:tcPr>
            <w:tcW w:w="922" w:type="dxa"/>
            <w:vAlign w:val="center"/>
          </w:tcPr>
          <w:p w14:paraId="03C2C9E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80</w:t>
            </w:r>
          </w:p>
        </w:tc>
        <w:tc>
          <w:tcPr>
            <w:tcW w:w="922" w:type="dxa"/>
            <w:vAlign w:val="center"/>
          </w:tcPr>
          <w:p w14:paraId="680B1F6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90</w:t>
            </w:r>
          </w:p>
        </w:tc>
        <w:tc>
          <w:tcPr>
            <w:tcW w:w="922" w:type="dxa"/>
            <w:vAlign w:val="center"/>
          </w:tcPr>
          <w:p w14:paraId="10CBF84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100</w:t>
            </w:r>
          </w:p>
        </w:tc>
        <w:tc>
          <w:tcPr>
            <w:tcW w:w="922" w:type="dxa"/>
            <w:vAlign w:val="center"/>
          </w:tcPr>
          <w:p w14:paraId="474EFA84">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150</w:t>
            </w:r>
          </w:p>
        </w:tc>
        <w:tc>
          <w:tcPr>
            <w:tcW w:w="922" w:type="dxa"/>
            <w:vAlign w:val="center"/>
          </w:tcPr>
          <w:p w14:paraId="7BB7F47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200</w:t>
            </w:r>
          </w:p>
        </w:tc>
        <w:tc>
          <w:tcPr>
            <w:tcW w:w="922" w:type="dxa"/>
            <w:vAlign w:val="center"/>
          </w:tcPr>
          <w:p w14:paraId="1347BAC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250</w:t>
            </w:r>
          </w:p>
        </w:tc>
        <w:tc>
          <w:tcPr>
            <w:tcW w:w="924" w:type="dxa"/>
            <w:vAlign w:val="center"/>
          </w:tcPr>
          <w:p w14:paraId="6F5443A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350</w:t>
            </w:r>
          </w:p>
        </w:tc>
      </w:tr>
      <w:tr w14:paraId="49997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820" w:type="dxa"/>
            <w:vAlign w:val="center"/>
          </w:tcPr>
          <w:p w14:paraId="67D80CA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沉降速度（m/s）</w:t>
            </w:r>
          </w:p>
        </w:tc>
        <w:tc>
          <w:tcPr>
            <w:tcW w:w="922" w:type="dxa"/>
            <w:vAlign w:val="center"/>
          </w:tcPr>
          <w:p w14:paraId="6475529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0.158</w:t>
            </w:r>
          </w:p>
        </w:tc>
        <w:tc>
          <w:tcPr>
            <w:tcW w:w="922" w:type="dxa"/>
            <w:vAlign w:val="center"/>
          </w:tcPr>
          <w:p w14:paraId="57C8180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0.170</w:t>
            </w:r>
          </w:p>
        </w:tc>
        <w:tc>
          <w:tcPr>
            <w:tcW w:w="922" w:type="dxa"/>
            <w:vAlign w:val="center"/>
          </w:tcPr>
          <w:p w14:paraId="3914D21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0.182</w:t>
            </w:r>
          </w:p>
        </w:tc>
        <w:tc>
          <w:tcPr>
            <w:tcW w:w="922" w:type="dxa"/>
            <w:vAlign w:val="center"/>
          </w:tcPr>
          <w:p w14:paraId="4C231734">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0.239</w:t>
            </w:r>
          </w:p>
        </w:tc>
        <w:tc>
          <w:tcPr>
            <w:tcW w:w="922" w:type="dxa"/>
            <w:vAlign w:val="center"/>
          </w:tcPr>
          <w:p w14:paraId="20CC198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0.804</w:t>
            </w:r>
          </w:p>
        </w:tc>
        <w:tc>
          <w:tcPr>
            <w:tcW w:w="922" w:type="dxa"/>
            <w:vAlign w:val="center"/>
          </w:tcPr>
          <w:p w14:paraId="56A5BA3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1.005</w:t>
            </w:r>
          </w:p>
        </w:tc>
        <w:tc>
          <w:tcPr>
            <w:tcW w:w="924" w:type="dxa"/>
            <w:vAlign w:val="center"/>
          </w:tcPr>
          <w:p w14:paraId="3834C7B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1.829</w:t>
            </w:r>
          </w:p>
        </w:tc>
      </w:tr>
      <w:tr w14:paraId="3E2CE2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820" w:type="dxa"/>
            <w:vAlign w:val="center"/>
          </w:tcPr>
          <w:p w14:paraId="2AB0FCC4">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粒径（μm）</w:t>
            </w:r>
          </w:p>
        </w:tc>
        <w:tc>
          <w:tcPr>
            <w:tcW w:w="922" w:type="dxa"/>
            <w:vAlign w:val="center"/>
          </w:tcPr>
          <w:p w14:paraId="5201744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450</w:t>
            </w:r>
          </w:p>
        </w:tc>
        <w:tc>
          <w:tcPr>
            <w:tcW w:w="922" w:type="dxa"/>
            <w:vAlign w:val="center"/>
          </w:tcPr>
          <w:p w14:paraId="520E0541">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550</w:t>
            </w:r>
          </w:p>
        </w:tc>
        <w:tc>
          <w:tcPr>
            <w:tcW w:w="922" w:type="dxa"/>
            <w:vAlign w:val="center"/>
          </w:tcPr>
          <w:p w14:paraId="5EE6D39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650</w:t>
            </w:r>
          </w:p>
        </w:tc>
        <w:tc>
          <w:tcPr>
            <w:tcW w:w="922" w:type="dxa"/>
            <w:vAlign w:val="center"/>
          </w:tcPr>
          <w:p w14:paraId="6BD8742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750</w:t>
            </w:r>
          </w:p>
        </w:tc>
        <w:tc>
          <w:tcPr>
            <w:tcW w:w="922" w:type="dxa"/>
            <w:vAlign w:val="center"/>
          </w:tcPr>
          <w:p w14:paraId="4EB2380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850</w:t>
            </w:r>
          </w:p>
        </w:tc>
        <w:tc>
          <w:tcPr>
            <w:tcW w:w="922" w:type="dxa"/>
            <w:vAlign w:val="center"/>
          </w:tcPr>
          <w:p w14:paraId="0DBE3DF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950</w:t>
            </w:r>
          </w:p>
        </w:tc>
        <w:tc>
          <w:tcPr>
            <w:tcW w:w="924" w:type="dxa"/>
            <w:vAlign w:val="center"/>
          </w:tcPr>
          <w:p w14:paraId="7A3A651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2800</w:t>
            </w:r>
          </w:p>
        </w:tc>
      </w:tr>
      <w:tr w14:paraId="5D8F3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1820" w:type="dxa"/>
            <w:vAlign w:val="center"/>
          </w:tcPr>
          <w:p w14:paraId="5849F05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沉降速度（m/s）</w:t>
            </w:r>
          </w:p>
        </w:tc>
        <w:tc>
          <w:tcPr>
            <w:tcW w:w="922" w:type="dxa"/>
            <w:vAlign w:val="center"/>
          </w:tcPr>
          <w:p w14:paraId="3EE1CCB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2.211</w:t>
            </w:r>
          </w:p>
        </w:tc>
        <w:tc>
          <w:tcPr>
            <w:tcW w:w="922" w:type="dxa"/>
            <w:vAlign w:val="center"/>
          </w:tcPr>
          <w:p w14:paraId="1A737C8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2.614</w:t>
            </w:r>
          </w:p>
        </w:tc>
        <w:tc>
          <w:tcPr>
            <w:tcW w:w="922" w:type="dxa"/>
            <w:vAlign w:val="center"/>
          </w:tcPr>
          <w:p w14:paraId="389F472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3.016</w:t>
            </w:r>
          </w:p>
        </w:tc>
        <w:tc>
          <w:tcPr>
            <w:tcW w:w="922" w:type="dxa"/>
            <w:vAlign w:val="center"/>
          </w:tcPr>
          <w:p w14:paraId="2218C103">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3.418</w:t>
            </w:r>
          </w:p>
        </w:tc>
        <w:tc>
          <w:tcPr>
            <w:tcW w:w="922" w:type="dxa"/>
            <w:vAlign w:val="center"/>
          </w:tcPr>
          <w:p w14:paraId="10EAA6A4">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3.820</w:t>
            </w:r>
          </w:p>
        </w:tc>
        <w:tc>
          <w:tcPr>
            <w:tcW w:w="922" w:type="dxa"/>
            <w:vAlign w:val="center"/>
          </w:tcPr>
          <w:p w14:paraId="012E1F0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4.222</w:t>
            </w:r>
          </w:p>
        </w:tc>
        <w:tc>
          <w:tcPr>
            <w:tcW w:w="924" w:type="dxa"/>
            <w:vAlign w:val="center"/>
          </w:tcPr>
          <w:p w14:paraId="41A4B1D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4.624</w:t>
            </w:r>
          </w:p>
        </w:tc>
      </w:tr>
    </w:tbl>
    <w:p w14:paraId="0C29EBAB">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从上表可以看出，尘粒的沉降速度随粒径的增大而迅速增大。当粒径为250μm时，沉降速度为1.005m/s，因此可以认为当尘粒大于250μm时，主要影响范围在扬尘点下风向近距离范围内，而真正对外环境产生影响的是一些微小尘粒。在有风的情况下，施工扬尘会对该区域造成一定的影响。由起尘计算公式可知，V</w:t>
      </w:r>
      <w:r>
        <w:rPr>
          <w:rFonts w:cs="Times New Roman"/>
          <w:snapToGrid w:val="0"/>
          <w:color w:val="auto"/>
          <w:kern w:val="0"/>
          <w:highlight w:val="none"/>
          <w:vertAlign w:val="subscript"/>
        </w:rPr>
        <w:t>0</w:t>
      </w:r>
      <w:r>
        <w:rPr>
          <w:rFonts w:cs="Times New Roman"/>
          <w:snapToGrid w:val="0"/>
          <w:color w:val="auto"/>
          <w:kern w:val="0"/>
          <w:highlight w:val="none"/>
        </w:rPr>
        <w:t>与粒径和含水率有关，因此，通过采取减少露天堆放和保证一定的含水率及减少裸露地面等措施后，风力起尘对环境的影响较小。</w:t>
      </w:r>
    </w:p>
    <w:p w14:paraId="589BAE27">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总之，只要加强管理、切实落实好这些措施，施工场地扬尘对环境的影响将会大大降低，同时其对环境的影响也将随施工的结束而消失。</w:t>
      </w:r>
    </w:p>
    <w:p w14:paraId="75103278">
      <w:pPr>
        <w:pStyle w:val="4"/>
        <w:spacing w:after="0" w:afterLines="0"/>
        <w:rPr>
          <w:rFonts w:cs="Times New Roman"/>
          <w:color w:val="auto"/>
          <w:highlight w:val="none"/>
        </w:rPr>
      </w:pPr>
      <w:bookmarkStart w:id="278" w:name="_Toc6627"/>
      <w:r>
        <w:rPr>
          <w:rFonts w:cs="Times New Roman"/>
          <w:color w:val="auto"/>
          <w:highlight w:val="none"/>
        </w:rPr>
        <w:t>5.1.2施工期水环境影响分析</w:t>
      </w:r>
      <w:bookmarkEnd w:id="278"/>
    </w:p>
    <w:p w14:paraId="2A08AB91">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项目施工期产生的废水主要为生活污水及施工废水。</w:t>
      </w:r>
    </w:p>
    <w:p w14:paraId="70F2D827">
      <w:pPr>
        <w:adjustRightInd/>
        <w:snapToGrid/>
        <w:spacing w:line="500" w:lineRule="exact"/>
        <w:rPr>
          <w:rFonts w:cs="Times New Roman"/>
          <w:snapToGrid w:val="0"/>
          <w:color w:val="auto"/>
          <w:kern w:val="0"/>
          <w:highlight w:val="none"/>
        </w:rPr>
      </w:pPr>
      <w:r>
        <w:rPr>
          <w:rFonts w:cs="Times New Roman"/>
          <w:snapToGrid w:val="0"/>
          <w:color w:val="auto"/>
          <w:kern w:val="0"/>
          <w:highlight w:val="none"/>
        </w:rPr>
        <w:t>生活污水排入防渗旱厕；</w:t>
      </w:r>
      <w:r>
        <w:rPr>
          <w:rFonts w:cs="Times New Roman"/>
          <w:color w:val="auto"/>
          <w:szCs w:val="24"/>
          <w:highlight w:val="none"/>
        </w:rPr>
        <w:t>工地施工废水为场地清洁水等，含有大量的泥沙、灰浆的物质等，以悬浮物含量高、有机负荷低为特点，因此，应设置废水沉淀池处理，沉淀池处理后用于洒水降尘和施工回用水。采取上述措施后，项目施工期间基本无废水排放，因此，不会对水体造成影响。</w:t>
      </w:r>
    </w:p>
    <w:p w14:paraId="1D479217">
      <w:pPr>
        <w:pStyle w:val="4"/>
        <w:spacing w:after="163"/>
        <w:rPr>
          <w:rFonts w:cs="Times New Roman"/>
          <w:color w:val="auto"/>
          <w:highlight w:val="none"/>
        </w:rPr>
      </w:pPr>
      <w:bookmarkStart w:id="279" w:name="_Toc25913"/>
      <w:r>
        <w:rPr>
          <w:rFonts w:cs="Times New Roman"/>
          <w:color w:val="auto"/>
          <w:highlight w:val="none"/>
        </w:rPr>
        <w:t>5.1.3施工期噪声影响分析</w:t>
      </w:r>
      <w:bookmarkEnd w:id="279"/>
    </w:p>
    <w:p w14:paraId="2533B673">
      <w:pPr>
        <w:ind w:firstLine="482"/>
        <w:rPr>
          <w:rFonts w:cs="Times New Roman"/>
          <w:b/>
          <w:bCs/>
          <w:color w:val="auto"/>
          <w:szCs w:val="24"/>
          <w:highlight w:val="none"/>
        </w:rPr>
      </w:pPr>
      <w:bookmarkStart w:id="280" w:name="_Toc207159674"/>
      <w:r>
        <w:rPr>
          <w:rFonts w:cs="Times New Roman"/>
          <w:b/>
          <w:bCs/>
          <w:color w:val="auto"/>
          <w:szCs w:val="24"/>
          <w:highlight w:val="none"/>
        </w:rPr>
        <w:t>1、施工期噪声影响</w:t>
      </w:r>
    </w:p>
    <w:p w14:paraId="7D6F2097">
      <w:pPr>
        <w:rPr>
          <w:rFonts w:cs="Times New Roman"/>
          <w:color w:val="auto"/>
          <w:szCs w:val="24"/>
          <w:highlight w:val="none"/>
        </w:rPr>
      </w:pPr>
      <w:r>
        <w:rPr>
          <w:rFonts w:cs="Times New Roman"/>
          <w:color w:val="auto"/>
          <w:szCs w:val="24"/>
          <w:highlight w:val="none"/>
        </w:rPr>
        <w:t>施工机械噪声是项目施工建设中主要污染因子。建筑施工的机械作业噪声传播距离远，影响范围大，是重要的临时性声源。其设备噪声级为71～101dB（A）。</w:t>
      </w:r>
    </w:p>
    <w:p w14:paraId="6C956297">
      <w:pPr>
        <w:rPr>
          <w:rFonts w:cs="Times New Roman"/>
          <w:color w:val="auto"/>
          <w:szCs w:val="24"/>
          <w:highlight w:val="none"/>
        </w:rPr>
      </w:pPr>
      <w:r>
        <w:rPr>
          <w:rFonts w:cs="Times New Roman"/>
          <w:color w:val="auto"/>
          <w:szCs w:val="24"/>
          <w:highlight w:val="none"/>
        </w:rPr>
        <w:t>采用衰减模式预测噪声影响值，预测模式如下：</w:t>
      </w:r>
    </w:p>
    <w:p w14:paraId="67CE9120">
      <w:pPr>
        <w:ind w:firstLine="0" w:firstLineChars="0"/>
        <w:jc w:val="center"/>
        <w:rPr>
          <w:rFonts w:cs="Times New Roman"/>
          <w:color w:val="auto"/>
          <w:szCs w:val="24"/>
          <w:highlight w:val="none"/>
        </w:rPr>
      </w:pPr>
      <w:r>
        <w:rPr>
          <w:rFonts w:cs="Times New Roman"/>
          <w:color w:val="auto"/>
          <w:szCs w:val="24"/>
          <w:highlight w:val="none"/>
        </w:rPr>
        <w:t>L=L</w:t>
      </w:r>
      <w:r>
        <w:rPr>
          <w:rFonts w:cs="Times New Roman"/>
          <w:color w:val="auto"/>
          <w:szCs w:val="24"/>
          <w:highlight w:val="none"/>
          <w:vertAlign w:val="subscript"/>
        </w:rPr>
        <w:t>1</w:t>
      </w:r>
      <w:r>
        <w:rPr>
          <w:rFonts w:cs="Times New Roman"/>
          <w:color w:val="auto"/>
          <w:szCs w:val="24"/>
          <w:highlight w:val="none"/>
        </w:rPr>
        <w:t>-20lgr</w:t>
      </w:r>
      <w:r>
        <w:rPr>
          <w:rFonts w:cs="Times New Roman"/>
          <w:color w:val="auto"/>
          <w:szCs w:val="24"/>
          <w:highlight w:val="none"/>
          <w:vertAlign w:val="subscript"/>
        </w:rPr>
        <w:t>2</w:t>
      </w:r>
      <w:r>
        <w:rPr>
          <w:rFonts w:cs="Times New Roman"/>
          <w:color w:val="auto"/>
          <w:szCs w:val="24"/>
          <w:highlight w:val="none"/>
        </w:rPr>
        <w:t>/r</w:t>
      </w:r>
      <w:r>
        <w:rPr>
          <w:rFonts w:cs="Times New Roman"/>
          <w:color w:val="auto"/>
          <w:szCs w:val="24"/>
          <w:highlight w:val="none"/>
          <w:vertAlign w:val="subscript"/>
        </w:rPr>
        <w:t>1</w:t>
      </w:r>
    </w:p>
    <w:p w14:paraId="258A0F19">
      <w:pPr>
        <w:rPr>
          <w:rFonts w:cs="Times New Roman"/>
          <w:color w:val="auto"/>
          <w:szCs w:val="24"/>
          <w:highlight w:val="none"/>
        </w:rPr>
      </w:pPr>
      <w:r>
        <w:rPr>
          <w:rFonts w:cs="Times New Roman"/>
          <w:color w:val="auto"/>
          <w:szCs w:val="24"/>
          <w:highlight w:val="none"/>
        </w:rPr>
        <w:t>式中：L</w:t>
      </w:r>
      <w:r>
        <w:rPr>
          <w:rFonts w:cs="Times New Roman"/>
          <w:color w:val="auto"/>
          <w:szCs w:val="24"/>
          <w:highlight w:val="none"/>
          <w:vertAlign w:val="subscript"/>
        </w:rPr>
        <w:t>2</w:t>
      </w:r>
      <w:r>
        <w:rPr>
          <w:rFonts w:cs="Times New Roman"/>
          <w:color w:val="auto"/>
          <w:szCs w:val="24"/>
          <w:highlight w:val="none"/>
        </w:rPr>
        <w:t>——距声源r</w:t>
      </w:r>
      <w:r>
        <w:rPr>
          <w:rFonts w:cs="Times New Roman"/>
          <w:color w:val="auto"/>
          <w:szCs w:val="24"/>
          <w:highlight w:val="none"/>
          <w:vertAlign w:val="subscript"/>
        </w:rPr>
        <w:t>2</w:t>
      </w:r>
      <w:r>
        <w:rPr>
          <w:rFonts w:cs="Times New Roman"/>
          <w:color w:val="auto"/>
          <w:szCs w:val="24"/>
          <w:highlight w:val="none"/>
        </w:rPr>
        <w:t>处声源值[dB（A）]；</w:t>
      </w:r>
    </w:p>
    <w:p w14:paraId="62A09205">
      <w:pPr>
        <w:rPr>
          <w:rFonts w:cs="Times New Roman"/>
          <w:color w:val="auto"/>
          <w:szCs w:val="24"/>
          <w:highlight w:val="none"/>
        </w:rPr>
      </w:pPr>
      <w:r>
        <w:rPr>
          <w:rFonts w:cs="Times New Roman"/>
          <w:color w:val="auto"/>
          <w:szCs w:val="24"/>
          <w:highlight w:val="none"/>
        </w:rPr>
        <w:t xml:space="preserve">      L</w:t>
      </w:r>
      <w:r>
        <w:rPr>
          <w:rFonts w:cs="Times New Roman"/>
          <w:color w:val="auto"/>
          <w:szCs w:val="24"/>
          <w:highlight w:val="none"/>
          <w:vertAlign w:val="subscript"/>
        </w:rPr>
        <w:t>1</w:t>
      </w:r>
      <w:r>
        <w:rPr>
          <w:rFonts w:cs="Times New Roman"/>
          <w:color w:val="auto"/>
          <w:szCs w:val="24"/>
          <w:highlight w:val="none"/>
        </w:rPr>
        <w:t>——距声源r</w:t>
      </w:r>
      <w:r>
        <w:rPr>
          <w:rFonts w:cs="Times New Roman"/>
          <w:color w:val="auto"/>
          <w:szCs w:val="24"/>
          <w:highlight w:val="none"/>
          <w:vertAlign w:val="subscript"/>
        </w:rPr>
        <w:t>1</w:t>
      </w:r>
      <w:r>
        <w:rPr>
          <w:rFonts w:cs="Times New Roman"/>
          <w:color w:val="auto"/>
          <w:szCs w:val="24"/>
          <w:highlight w:val="none"/>
        </w:rPr>
        <w:t>处声源值[dB（A）]；</w:t>
      </w:r>
    </w:p>
    <w:p w14:paraId="2C62255C">
      <w:pPr>
        <w:rPr>
          <w:rFonts w:cs="Times New Roman"/>
          <w:color w:val="auto"/>
          <w:szCs w:val="24"/>
          <w:highlight w:val="none"/>
        </w:rPr>
      </w:pPr>
      <w:r>
        <w:rPr>
          <w:rFonts w:cs="Times New Roman"/>
          <w:color w:val="auto"/>
          <w:szCs w:val="24"/>
          <w:highlight w:val="none"/>
        </w:rPr>
        <w:t xml:space="preserve">      r</w:t>
      </w:r>
      <w:r>
        <w:rPr>
          <w:rFonts w:cs="Times New Roman"/>
          <w:color w:val="auto"/>
          <w:szCs w:val="24"/>
          <w:highlight w:val="none"/>
          <w:vertAlign w:val="subscript"/>
        </w:rPr>
        <w:t>2</w:t>
      </w:r>
      <w:r>
        <w:rPr>
          <w:rFonts w:cs="Times New Roman"/>
          <w:color w:val="auto"/>
          <w:szCs w:val="24"/>
          <w:highlight w:val="none"/>
        </w:rPr>
        <w:t>、r</w:t>
      </w:r>
      <w:r>
        <w:rPr>
          <w:rFonts w:cs="Times New Roman"/>
          <w:color w:val="auto"/>
          <w:szCs w:val="24"/>
          <w:highlight w:val="none"/>
          <w:vertAlign w:val="subscript"/>
        </w:rPr>
        <w:t>1</w:t>
      </w:r>
      <w:r>
        <w:rPr>
          <w:rFonts w:cs="Times New Roman"/>
          <w:color w:val="auto"/>
          <w:szCs w:val="24"/>
          <w:highlight w:val="none"/>
        </w:rPr>
        <w:t>——与声源的距离（m）。</w:t>
      </w:r>
    </w:p>
    <w:p w14:paraId="1484BFFF">
      <w:pPr>
        <w:rPr>
          <w:rFonts w:cs="Times New Roman"/>
          <w:color w:val="auto"/>
          <w:szCs w:val="24"/>
          <w:highlight w:val="none"/>
        </w:rPr>
      </w:pPr>
      <w:r>
        <w:rPr>
          <w:rFonts w:cs="Times New Roman"/>
          <w:color w:val="auto"/>
          <w:szCs w:val="24"/>
          <w:highlight w:val="none"/>
        </w:rPr>
        <w:t>根据噪声衰减公式对各设备声源在不同距离的衰减量计算，施工期噪声源强详见表</w:t>
      </w:r>
      <w:r>
        <w:rPr>
          <w:rFonts w:cs="Times New Roman"/>
          <w:color w:val="auto"/>
          <w:szCs w:val="24"/>
          <w:highlight w:val="none"/>
          <w:lang w:val="zh-CN"/>
        </w:rPr>
        <w:t>3-4-</w:t>
      </w:r>
      <w:r>
        <w:rPr>
          <w:rFonts w:cs="Times New Roman"/>
          <w:color w:val="auto"/>
          <w:szCs w:val="24"/>
          <w:highlight w:val="none"/>
        </w:rPr>
        <w:t>2，衰减贡献值详见表5-1-3。</w:t>
      </w:r>
    </w:p>
    <w:p w14:paraId="7645E72B">
      <w:pPr>
        <w:spacing w:line="240" w:lineRule="auto"/>
        <w:ind w:firstLine="0" w:firstLineChars="0"/>
        <w:jc w:val="center"/>
        <w:rPr>
          <w:rFonts w:cs="Times New Roman"/>
          <w:b/>
          <w:color w:val="auto"/>
          <w:szCs w:val="24"/>
          <w:highlight w:val="none"/>
        </w:rPr>
      </w:pPr>
      <w:r>
        <w:rPr>
          <w:rFonts w:cs="Times New Roman"/>
          <w:b/>
          <w:color w:val="auto"/>
          <w:szCs w:val="24"/>
          <w:highlight w:val="none"/>
        </w:rPr>
        <w:t>表5-1-3  施工期噪声设备在不同距离的噪声衰减及贡献值</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1874"/>
        <w:gridCol w:w="678"/>
        <w:gridCol w:w="681"/>
        <w:gridCol w:w="678"/>
        <w:gridCol w:w="679"/>
        <w:gridCol w:w="678"/>
        <w:gridCol w:w="681"/>
        <w:gridCol w:w="678"/>
        <w:gridCol w:w="679"/>
      </w:tblGrid>
      <w:tr w14:paraId="0DFEE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3063" w:type="dxa"/>
            <w:gridSpan w:val="2"/>
            <w:vAlign w:val="center"/>
          </w:tcPr>
          <w:p w14:paraId="6FE4D8B3">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距声源距离（r）：m</w:t>
            </w:r>
          </w:p>
        </w:tc>
        <w:tc>
          <w:tcPr>
            <w:tcW w:w="678" w:type="dxa"/>
            <w:vAlign w:val="center"/>
          </w:tcPr>
          <w:p w14:paraId="7B7FF17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w:t>
            </w:r>
          </w:p>
        </w:tc>
        <w:tc>
          <w:tcPr>
            <w:tcW w:w="681" w:type="dxa"/>
            <w:vAlign w:val="center"/>
          </w:tcPr>
          <w:p w14:paraId="159E02F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10</w:t>
            </w:r>
          </w:p>
        </w:tc>
        <w:tc>
          <w:tcPr>
            <w:tcW w:w="678" w:type="dxa"/>
            <w:vAlign w:val="center"/>
          </w:tcPr>
          <w:p w14:paraId="4B1D780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20</w:t>
            </w:r>
          </w:p>
        </w:tc>
        <w:tc>
          <w:tcPr>
            <w:tcW w:w="679" w:type="dxa"/>
            <w:vAlign w:val="center"/>
          </w:tcPr>
          <w:p w14:paraId="644FE39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30</w:t>
            </w:r>
          </w:p>
        </w:tc>
        <w:tc>
          <w:tcPr>
            <w:tcW w:w="678" w:type="dxa"/>
            <w:vAlign w:val="center"/>
          </w:tcPr>
          <w:p w14:paraId="0F2183A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50</w:t>
            </w:r>
          </w:p>
        </w:tc>
        <w:tc>
          <w:tcPr>
            <w:tcW w:w="681" w:type="dxa"/>
            <w:vAlign w:val="center"/>
          </w:tcPr>
          <w:p w14:paraId="719CF8D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100</w:t>
            </w:r>
          </w:p>
        </w:tc>
        <w:tc>
          <w:tcPr>
            <w:tcW w:w="678" w:type="dxa"/>
            <w:vAlign w:val="center"/>
          </w:tcPr>
          <w:p w14:paraId="0A103A4F">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150</w:t>
            </w:r>
          </w:p>
        </w:tc>
        <w:tc>
          <w:tcPr>
            <w:tcW w:w="679" w:type="dxa"/>
            <w:vAlign w:val="center"/>
          </w:tcPr>
          <w:p w14:paraId="0CAEB1B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200</w:t>
            </w:r>
          </w:p>
        </w:tc>
      </w:tr>
      <w:tr w14:paraId="18A1BC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3" w:hRule="atLeast"/>
          <w:jc w:val="center"/>
        </w:trPr>
        <w:tc>
          <w:tcPr>
            <w:tcW w:w="3063" w:type="dxa"/>
            <w:gridSpan w:val="2"/>
            <w:vAlign w:val="center"/>
          </w:tcPr>
          <w:p w14:paraId="0591839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噪声衰减值：dB（A）</w:t>
            </w:r>
          </w:p>
        </w:tc>
        <w:tc>
          <w:tcPr>
            <w:tcW w:w="678" w:type="dxa"/>
            <w:vAlign w:val="center"/>
          </w:tcPr>
          <w:p w14:paraId="6B2DB11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0</w:t>
            </w:r>
          </w:p>
        </w:tc>
        <w:tc>
          <w:tcPr>
            <w:tcW w:w="681" w:type="dxa"/>
            <w:vAlign w:val="center"/>
          </w:tcPr>
          <w:p w14:paraId="09F07A8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20</w:t>
            </w:r>
          </w:p>
        </w:tc>
        <w:tc>
          <w:tcPr>
            <w:tcW w:w="678" w:type="dxa"/>
            <w:vAlign w:val="center"/>
          </w:tcPr>
          <w:p w14:paraId="238ED1F4">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26</w:t>
            </w:r>
          </w:p>
        </w:tc>
        <w:tc>
          <w:tcPr>
            <w:tcW w:w="679" w:type="dxa"/>
            <w:vAlign w:val="center"/>
          </w:tcPr>
          <w:p w14:paraId="51F29D7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29.5</w:t>
            </w:r>
          </w:p>
        </w:tc>
        <w:tc>
          <w:tcPr>
            <w:tcW w:w="678" w:type="dxa"/>
            <w:vAlign w:val="center"/>
          </w:tcPr>
          <w:p w14:paraId="1C030A51">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34</w:t>
            </w:r>
          </w:p>
        </w:tc>
        <w:tc>
          <w:tcPr>
            <w:tcW w:w="681" w:type="dxa"/>
            <w:vAlign w:val="center"/>
          </w:tcPr>
          <w:p w14:paraId="40B0FED4">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40</w:t>
            </w:r>
          </w:p>
        </w:tc>
        <w:tc>
          <w:tcPr>
            <w:tcW w:w="678" w:type="dxa"/>
            <w:vAlign w:val="center"/>
          </w:tcPr>
          <w:p w14:paraId="4B2AB29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43.5</w:t>
            </w:r>
          </w:p>
        </w:tc>
        <w:tc>
          <w:tcPr>
            <w:tcW w:w="679" w:type="dxa"/>
            <w:vAlign w:val="center"/>
          </w:tcPr>
          <w:p w14:paraId="290A60C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46</w:t>
            </w:r>
          </w:p>
        </w:tc>
      </w:tr>
      <w:tr w14:paraId="1257C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3" w:hRule="atLeast"/>
          <w:jc w:val="center"/>
        </w:trPr>
        <w:tc>
          <w:tcPr>
            <w:tcW w:w="1189" w:type="dxa"/>
            <w:vMerge w:val="restart"/>
            <w:vAlign w:val="center"/>
          </w:tcPr>
          <w:p w14:paraId="54E8A4E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各距声离源贡不献同值dB（A）</w:t>
            </w:r>
          </w:p>
        </w:tc>
        <w:tc>
          <w:tcPr>
            <w:tcW w:w="1874" w:type="dxa"/>
            <w:vAlign w:val="center"/>
          </w:tcPr>
          <w:p w14:paraId="6EC2446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装载机</w:t>
            </w:r>
          </w:p>
        </w:tc>
        <w:tc>
          <w:tcPr>
            <w:tcW w:w="678" w:type="dxa"/>
            <w:vAlign w:val="center"/>
          </w:tcPr>
          <w:p w14:paraId="5C84A57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86</w:t>
            </w:r>
          </w:p>
        </w:tc>
        <w:tc>
          <w:tcPr>
            <w:tcW w:w="681" w:type="dxa"/>
            <w:vAlign w:val="center"/>
          </w:tcPr>
          <w:p w14:paraId="383B60BF">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66</w:t>
            </w:r>
          </w:p>
        </w:tc>
        <w:tc>
          <w:tcPr>
            <w:tcW w:w="678" w:type="dxa"/>
            <w:vAlign w:val="center"/>
          </w:tcPr>
          <w:p w14:paraId="169DC113">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60</w:t>
            </w:r>
          </w:p>
        </w:tc>
        <w:tc>
          <w:tcPr>
            <w:tcW w:w="679" w:type="dxa"/>
            <w:vAlign w:val="center"/>
          </w:tcPr>
          <w:p w14:paraId="10CB5E2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59.5</w:t>
            </w:r>
          </w:p>
        </w:tc>
        <w:tc>
          <w:tcPr>
            <w:tcW w:w="678" w:type="dxa"/>
            <w:vAlign w:val="center"/>
          </w:tcPr>
          <w:p w14:paraId="6EA1158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52</w:t>
            </w:r>
          </w:p>
        </w:tc>
        <w:tc>
          <w:tcPr>
            <w:tcW w:w="681" w:type="dxa"/>
            <w:vAlign w:val="center"/>
          </w:tcPr>
          <w:p w14:paraId="6AD99CD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46</w:t>
            </w:r>
          </w:p>
        </w:tc>
        <w:tc>
          <w:tcPr>
            <w:tcW w:w="678" w:type="dxa"/>
            <w:vAlign w:val="center"/>
          </w:tcPr>
          <w:p w14:paraId="5A8C89D2">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w:t>
            </w:r>
          </w:p>
        </w:tc>
        <w:tc>
          <w:tcPr>
            <w:tcW w:w="679" w:type="dxa"/>
            <w:vAlign w:val="center"/>
          </w:tcPr>
          <w:p w14:paraId="5661EDF4">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w:t>
            </w:r>
          </w:p>
        </w:tc>
      </w:tr>
      <w:tr w14:paraId="783462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3" w:hRule="atLeast"/>
          <w:jc w:val="center"/>
        </w:trPr>
        <w:tc>
          <w:tcPr>
            <w:tcW w:w="1189" w:type="dxa"/>
            <w:vMerge w:val="continue"/>
            <w:vAlign w:val="center"/>
          </w:tcPr>
          <w:p w14:paraId="4D241492">
            <w:pPr>
              <w:adjustRightInd/>
              <w:snapToGrid/>
              <w:spacing w:line="360" w:lineRule="exact"/>
              <w:ind w:firstLine="0" w:firstLineChars="0"/>
              <w:jc w:val="center"/>
              <w:rPr>
                <w:rFonts w:cs="Times New Roman"/>
                <w:snapToGrid w:val="0"/>
                <w:color w:val="auto"/>
                <w:kern w:val="0"/>
                <w:sz w:val="21"/>
                <w:highlight w:val="none"/>
                <w:lang w:val="zh-CN"/>
              </w:rPr>
            </w:pPr>
          </w:p>
        </w:tc>
        <w:tc>
          <w:tcPr>
            <w:tcW w:w="1874" w:type="dxa"/>
            <w:vAlign w:val="center"/>
          </w:tcPr>
          <w:p w14:paraId="793FF46B">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起重机</w:t>
            </w:r>
          </w:p>
        </w:tc>
        <w:tc>
          <w:tcPr>
            <w:tcW w:w="678" w:type="dxa"/>
            <w:vAlign w:val="center"/>
          </w:tcPr>
          <w:p w14:paraId="6238186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92</w:t>
            </w:r>
          </w:p>
        </w:tc>
        <w:tc>
          <w:tcPr>
            <w:tcW w:w="681" w:type="dxa"/>
            <w:vAlign w:val="center"/>
          </w:tcPr>
          <w:p w14:paraId="103CA6C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72</w:t>
            </w:r>
          </w:p>
        </w:tc>
        <w:tc>
          <w:tcPr>
            <w:tcW w:w="678" w:type="dxa"/>
            <w:vAlign w:val="center"/>
          </w:tcPr>
          <w:p w14:paraId="43FF480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66</w:t>
            </w:r>
          </w:p>
        </w:tc>
        <w:tc>
          <w:tcPr>
            <w:tcW w:w="679" w:type="dxa"/>
            <w:vAlign w:val="center"/>
          </w:tcPr>
          <w:p w14:paraId="1024BF11">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62.5</w:t>
            </w:r>
          </w:p>
        </w:tc>
        <w:tc>
          <w:tcPr>
            <w:tcW w:w="678" w:type="dxa"/>
            <w:vAlign w:val="center"/>
          </w:tcPr>
          <w:p w14:paraId="01D8E0E5">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58</w:t>
            </w:r>
          </w:p>
        </w:tc>
        <w:tc>
          <w:tcPr>
            <w:tcW w:w="681" w:type="dxa"/>
            <w:vAlign w:val="center"/>
          </w:tcPr>
          <w:p w14:paraId="01C8566D">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52</w:t>
            </w:r>
          </w:p>
        </w:tc>
        <w:tc>
          <w:tcPr>
            <w:tcW w:w="678" w:type="dxa"/>
            <w:vAlign w:val="center"/>
          </w:tcPr>
          <w:p w14:paraId="5B61906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48.5</w:t>
            </w:r>
          </w:p>
        </w:tc>
        <w:tc>
          <w:tcPr>
            <w:tcW w:w="679" w:type="dxa"/>
            <w:vAlign w:val="center"/>
          </w:tcPr>
          <w:p w14:paraId="2EFE7260">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w:t>
            </w:r>
          </w:p>
        </w:tc>
      </w:tr>
      <w:tr w14:paraId="4BE73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3" w:hRule="atLeast"/>
          <w:jc w:val="center"/>
        </w:trPr>
        <w:tc>
          <w:tcPr>
            <w:tcW w:w="1189" w:type="dxa"/>
            <w:vMerge w:val="continue"/>
            <w:vAlign w:val="center"/>
          </w:tcPr>
          <w:p w14:paraId="2D1A5865">
            <w:pPr>
              <w:adjustRightInd/>
              <w:snapToGrid/>
              <w:spacing w:line="360" w:lineRule="exact"/>
              <w:ind w:firstLine="0" w:firstLineChars="0"/>
              <w:jc w:val="center"/>
              <w:rPr>
                <w:rFonts w:cs="Times New Roman"/>
                <w:snapToGrid w:val="0"/>
                <w:color w:val="auto"/>
                <w:kern w:val="0"/>
                <w:sz w:val="21"/>
                <w:highlight w:val="none"/>
                <w:lang w:val="zh-CN"/>
              </w:rPr>
            </w:pPr>
          </w:p>
        </w:tc>
        <w:tc>
          <w:tcPr>
            <w:tcW w:w="1874" w:type="dxa"/>
            <w:vAlign w:val="center"/>
          </w:tcPr>
          <w:p w14:paraId="4BCF740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挖掘机</w:t>
            </w:r>
          </w:p>
        </w:tc>
        <w:tc>
          <w:tcPr>
            <w:tcW w:w="678" w:type="dxa"/>
            <w:vAlign w:val="center"/>
          </w:tcPr>
          <w:p w14:paraId="1BEEEE1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101</w:t>
            </w:r>
          </w:p>
        </w:tc>
        <w:tc>
          <w:tcPr>
            <w:tcW w:w="681" w:type="dxa"/>
            <w:vAlign w:val="center"/>
          </w:tcPr>
          <w:p w14:paraId="3B0804C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81</w:t>
            </w:r>
          </w:p>
        </w:tc>
        <w:tc>
          <w:tcPr>
            <w:tcW w:w="678" w:type="dxa"/>
            <w:vAlign w:val="center"/>
          </w:tcPr>
          <w:p w14:paraId="3F3AEEC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75</w:t>
            </w:r>
          </w:p>
        </w:tc>
        <w:tc>
          <w:tcPr>
            <w:tcW w:w="679" w:type="dxa"/>
            <w:vAlign w:val="center"/>
          </w:tcPr>
          <w:p w14:paraId="18D4A4CD">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71.5</w:t>
            </w:r>
          </w:p>
        </w:tc>
        <w:tc>
          <w:tcPr>
            <w:tcW w:w="678" w:type="dxa"/>
            <w:vAlign w:val="center"/>
          </w:tcPr>
          <w:p w14:paraId="58309B7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67</w:t>
            </w:r>
          </w:p>
        </w:tc>
        <w:tc>
          <w:tcPr>
            <w:tcW w:w="681" w:type="dxa"/>
            <w:vAlign w:val="center"/>
          </w:tcPr>
          <w:p w14:paraId="05BDCF4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61</w:t>
            </w:r>
          </w:p>
        </w:tc>
        <w:tc>
          <w:tcPr>
            <w:tcW w:w="678" w:type="dxa"/>
            <w:vAlign w:val="center"/>
          </w:tcPr>
          <w:p w14:paraId="5CD6E6DE">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57.5</w:t>
            </w:r>
          </w:p>
        </w:tc>
        <w:tc>
          <w:tcPr>
            <w:tcW w:w="679" w:type="dxa"/>
            <w:vAlign w:val="center"/>
          </w:tcPr>
          <w:p w14:paraId="4AACE7C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55</w:t>
            </w:r>
          </w:p>
        </w:tc>
      </w:tr>
      <w:tr w14:paraId="1A1BE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3" w:hRule="atLeast"/>
          <w:jc w:val="center"/>
        </w:trPr>
        <w:tc>
          <w:tcPr>
            <w:tcW w:w="1189" w:type="dxa"/>
            <w:vMerge w:val="continue"/>
            <w:vAlign w:val="center"/>
          </w:tcPr>
          <w:p w14:paraId="118B1A28">
            <w:pPr>
              <w:adjustRightInd/>
              <w:snapToGrid/>
              <w:spacing w:line="360" w:lineRule="exact"/>
              <w:ind w:firstLine="0" w:firstLineChars="0"/>
              <w:jc w:val="center"/>
              <w:rPr>
                <w:rFonts w:cs="Times New Roman"/>
                <w:snapToGrid w:val="0"/>
                <w:color w:val="auto"/>
                <w:kern w:val="0"/>
                <w:sz w:val="21"/>
                <w:highlight w:val="none"/>
                <w:lang w:val="zh-CN"/>
              </w:rPr>
            </w:pPr>
          </w:p>
        </w:tc>
        <w:tc>
          <w:tcPr>
            <w:tcW w:w="1874" w:type="dxa"/>
            <w:vAlign w:val="center"/>
          </w:tcPr>
          <w:p w14:paraId="063FFD7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运输平台</w:t>
            </w:r>
          </w:p>
        </w:tc>
        <w:tc>
          <w:tcPr>
            <w:tcW w:w="678" w:type="dxa"/>
            <w:vAlign w:val="center"/>
          </w:tcPr>
          <w:p w14:paraId="79E408B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78</w:t>
            </w:r>
          </w:p>
        </w:tc>
        <w:tc>
          <w:tcPr>
            <w:tcW w:w="681" w:type="dxa"/>
            <w:vAlign w:val="center"/>
          </w:tcPr>
          <w:p w14:paraId="672662E9">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58</w:t>
            </w:r>
          </w:p>
        </w:tc>
        <w:tc>
          <w:tcPr>
            <w:tcW w:w="678" w:type="dxa"/>
            <w:vAlign w:val="center"/>
          </w:tcPr>
          <w:p w14:paraId="5E470F36">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52</w:t>
            </w:r>
          </w:p>
        </w:tc>
        <w:tc>
          <w:tcPr>
            <w:tcW w:w="679" w:type="dxa"/>
            <w:vAlign w:val="center"/>
          </w:tcPr>
          <w:p w14:paraId="4ED9E65C">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48.5</w:t>
            </w:r>
          </w:p>
        </w:tc>
        <w:tc>
          <w:tcPr>
            <w:tcW w:w="678" w:type="dxa"/>
            <w:vAlign w:val="center"/>
          </w:tcPr>
          <w:p w14:paraId="75D09E34">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44</w:t>
            </w:r>
          </w:p>
        </w:tc>
        <w:tc>
          <w:tcPr>
            <w:tcW w:w="681" w:type="dxa"/>
            <w:vAlign w:val="center"/>
          </w:tcPr>
          <w:p w14:paraId="7C6EA251">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w:t>
            </w:r>
          </w:p>
        </w:tc>
        <w:tc>
          <w:tcPr>
            <w:tcW w:w="678" w:type="dxa"/>
            <w:vAlign w:val="center"/>
          </w:tcPr>
          <w:p w14:paraId="4CC85EEB">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w:t>
            </w:r>
          </w:p>
        </w:tc>
        <w:tc>
          <w:tcPr>
            <w:tcW w:w="679" w:type="dxa"/>
            <w:vAlign w:val="center"/>
          </w:tcPr>
          <w:p w14:paraId="14BFF778">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w:t>
            </w:r>
          </w:p>
        </w:tc>
      </w:tr>
      <w:tr w14:paraId="1DE516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6" w:hRule="atLeast"/>
          <w:jc w:val="center"/>
        </w:trPr>
        <w:tc>
          <w:tcPr>
            <w:tcW w:w="1189" w:type="dxa"/>
            <w:vMerge w:val="continue"/>
            <w:vAlign w:val="center"/>
          </w:tcPr>
          <w:p w14:paraId="532FB04B">
            <w:pPr>
              <w:adjustRightInd/>
              <w:snapToGrid/>
              <w:spacing w:line="360" w:lineRule="exact"/>
              <w:ind w:firstLine="0" w:firstLineChars="0"/>
              <w:jc w:val="center"/>
              <w:rPr>
                <w:rFonts w:cs="Times New Roman"/>
                <w:snapToGrid w:val="0"/>
                <w:color w:val="auto"/>
                <w:kern w:val="0"/>
                <w:sz w:val="21"/>
                <w:highlight w:val="none"/>
                <w:lang w:val="zh-CN"/>
              </w:rPr>
            </w:pPr>
          </w:p>
        </w:tc>
        <w:tc>
          <w:tcPr>
            <w:tcW w:w="1874" w:type="dxa"/>
            <w:vAlign w:val="center"/>
          </w:tcPr>
          <w:p w14:paraId="036BCF47">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轻、中型载重汽车</w:t>
            </w:r>
          </w:p>
        </w:tc>
        <w:tc>
          <w:tcPr>
            <w:tcW w:w="678" w:type="dxa"/>
            <w:vAlign w:val="center"/>
          </w:tcPr>
          <w:p w14:paraId="02C76720">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85</w:t>
            </w:r>
          </w:p>
        </w:tc>
        <w:tc>
          <w:tcPr>
            <w:tcW w:w="681" w:type="dxa"/>
            <w:vAlign w:val="center"/>
          </w:tcPr>
          <w:p w14:paraId="26B33C13">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65</w:t>
            </w:r>
          </w:p>
        </w:tc>
        <w:tc>
          <w:tcPr>
            <w:tcW w:w="678" w:type="dxa"/>
            <w:vAlign w:val="center"/>
          </w:tcPr>
          <w:p w14:paraId="06BD1232">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59</w:t>
            </w:r>
          </w:p>
        </w:tc>
        <w:tc>
          <w:tcPr>
            <w:tcW w:w="679" w:type="dxa"/>
            <w:vAlign w:val="center"/>
          </w:tcPr>
          <w:p w14:paraId="33B6694A">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55.5</w:t>
            </w:r>
          </w:p>
        </w:tc>
        <w:tc>
          <w:tcPr>
            <w:tcW w:w="678" w:type="dxa"/>
            <w:vAlign w:val="center"/>
          </w:tcPr>
          <w:p w14:paraId="645EFA6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51</w:t>
            </w:r>
          </w:p>
        </w:tc>
        <w:tc>
          <w:tcPr>
            <w:tcW w:w="681" w:type="dxa"/>
            <w:vAlign w:val="center"/>
          </w:tcPr>
          <w:p w14:paraId="353B1598">
            <w:pPr>
              <w:adjustRightInd/>
              <w:snapToGrid/>
              <w:spacing w:line="360" w:lineRule="exact"/>
              <w:ind w:firstLine="0" w:firstLineChars="0"/>
              <w:jc w:val="center"/>
              <w:rPr>
                <w:rFonts w:cs="Times New Roman"/>
                <w:snapToGrid w:val="0"/>
                <w:color w:val="auto"/>
                <w:kern w:val="0"/>
                <w:sz w:val="21"/>
                <w:highlight w:val="none"/>
                <w:lang w:val="zh-CN"/>
              </w:rPr>
            </w:pPr>
            <w:r>
              <w:rPr>
                <w:rFonts w:cs="Times New Roman"/>
                <w:snapToGrid w:val="0"/>
                <w:color w:val="auto"/>
                <w:kern w:val="0"/>
                <w:sz w:val="21"/>
                <w:highlight w:val="none"/>
                <w:lang w:val="zh-CN"/>
              </w:rPr>
              <w:t>45</w:t>
            </w:r>
          </w:p>
        </w:tc>
        <w:tc>
          <w:tcPr>
            <w:tcW w:w="678" w:type="dxa"/>
            <w:vAlign w:val="center"/>
          </w:tcPr>
          <w:p w14:paraId="75BBE38F">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w:t>
            </w:r>
          </w:p>
        </w:tc>
        <w:tc>
          <w:tcPr>
            <w:tcW w:w="679" w:type="dxa"/>
            <w:vAlign w:val="center"/>
          </w:tcPr>
          <w:p w14:paraId="165BE000">
            <w:pPr>
              <w:adjustRightInd/>
              <w:snapToGrid/>
              <w:spacing w:line="360" w:lineRule="exact"/>
              <w:ind w:firstLine="0" w:firstLineChars="0"/>
              <w:jc w:val="center"/>
              <w:rPr>
                <w:rFonts w:cs="Times New Roman"/>
                <w:snapToGrid w:val="0"/>
                <w:color w:val="auto"/>
                <w:kern w:val="0"/>
                <w:sz w:val="21"/>
                <w:highlight w:val="none"/>
              </w:rPr>
            </w:pPr>
            <w:r>
              <w:rPr>
                <w:rFonts w:cs="Times New Roman"/>
                <w:snapToGrid w:val="0"/>
                <w:color w:val="auto"/>
                <w:kern w:val="0"/>
                <w:sz w:val="21"/>
                <w:highlight w:val="none"/>
              </w:rPr>
              <w:t>/</w:t>
            </w:r>
          </w:p>
        </w:tc>
      </w:tr>
    </w:tbl>
    <w:p w14:paraId="7CB95F3D">
      <w:pPr>
        <w:rPr>
          <w:rFonts w:cs="Times New Roman"/>
          <w:color w:val="auto"/>
          <w:szCs w:val="24"/>
          <w:highlight w:val="none"/>
        </w:rPr>
      </w:pPr>
      <w:r>
        <w:rPr>
          <w:rFonts w:cs="Times New Roman"/>
          <w:color w:val="auto"/>
          <w:szCs w:val="24"/>
          <w:highlight w:val="none"/>
        </w:rPr>
        <w:t>从表中可看出，施工机械噪声在昼间影响较小，一般在距离噪声设备50m范围外，其设备噪声贡献值（44～67dB（A））就可低于建筑施工场界昼间噪声限值（70～85dB（A））。夜间要求较严，噪声级低于85dB（A）的机械设备在距离噪声距离50m以外，其设备噪声贡献值就低于或接近建筑施工场界夜间噪声限值[55dB（A）]，仅高噪设备对周围环境影响较大，须在200m处才能达到夜间施工限值。</w:t>
      </w:r>
    </w:p>
    <w:bookmarkEnd w:id="280"/>
    <w:p w14:paraId="7B94CEA6">
      <w:pPr>
        <w:ind w:firstLine="482"/>
        <w:rPr>
          <w:rFonts w:cs="Times New Roman"/>
          <w:b/>
          <w:bCs/>
          <w:color w:val="auto"/>
          <w:szCs w:val="24"/>
          <w:highlight w:val="none"/>
        </w:rPr>
      </w:pPr>
      <w:r>
        <w:rPr>
          <w:rFonts w:cs="Times New Roman"/>
          <w:b/>
          <w:bCs/>
          <w:color w:val="auto"/>
          <w:szCs w:val="24"/>
          <w:highlight w:val="none"/>
        </w:rPr>
        <w:t>2、施工期噪声防治措施</w:t>
      </w:r>
    </w:p>
    <w:p w14:paraId="598B6C02">
      <w:pPr>
        <w:rPr>
          <w:rFonts w:cs="Times New Roman"/>
          <w:color w:val="auto"/>
          <w:szCs w:val="24"/>
          <w:highlight w:val="none"/>
        </w:rPr>
      </w:pPr>
      <w:r>
        <w:rPr>
          <w:rFonts w:cs="Times New Roman"/>
          <w:color w:val="auto"/>
          <w:szCs w:val="24"/>
          <w:highlight w:val="none"/>
        </w:rPr>
        <w:t>为降低施工噪声对周围声环境的影响，应采取如下防治措施：</w:t>
      </w:r>
    </w:p>
    <w:p w14:paraId="6A92458B">
      <w:pPr>
        <w:rPr>
          <w:rFonts w:cs="Times New Roman"/>
          <w:color w:val="auto"/>
          <w:szCs w:val="24"/>
          <w:highlight w:val="none"/>
        </w:rPr>
      </w:pPr>
      <w:r>
        <w:rPr>
          <w:rFonts w:cs="Times New Roman"/>
          <w:color w:val="auto"/>
          <w:szCs w:val="24"/>
          <w:highlight w:val="none"/>
        </w:rPr>
        <w:t>（1）设备噪声污染防治措施</w:t>
      </w:r>
    </w:p>
    <w:p w14:paraId="5CD917D4">
      <w:pPr>
        <w:rPr>
          <w:rFonts w:cs="Times New Roman"/>
          <w:color w:val="auto"/>
          <w:szCs w:val="24"/>
          <w:highlight w:val="none"/>
        </w:rPr>
      </w:pPr>
      <w:r>
        <w:rPr>
          <w:rFonts w:cs="Times New Roman"/>
          <w:color w:val="auto"/>
          <w:szCs w:val="24"/>
          <w:highlight w:val="none"/>
        </w:rPr>
        <w:t>尽量选用低噪声设备，并加强它们的检修与维护，使之始终处于良好的工作状态。挖掘机、装卸车辆等进出场地应限速、禁鸣。</w:t>
      </w:r>
    </w:p>
    <w:p w14:paraId="46A3B70B">
      <w:pPr>
        <w:rPr>
          <w:rFonts w:cs="Times New Roman"/>
          <w:color w:val="auto"/>
          <w:szCs w:val="24"/>
          <w:highlight w:val="none"/>
        </w:rPr>
      </w:pPr>
      <w:r>
        <w:rPr>
          <w:rFonts w:cs="Times New Roman"/>
          <w:color w:val="auto"/>
          <w:szCs w:val="24"/>
          <w:highlight w:val="none"/>
        </w:rPr>
        <w:t>建设单位应通过合理安排施工运输路线，运输车辆路线尽量避开人群集聚地区。</w:t>
      </w:r>
    </w:p>
    <w:p w14:paraId="0A7742F7">
      <w:pPr>
        <w:rPr>
          <w:rFonts w:cs="Times New Roman"/>
          <w:color w:val="auto"/>
          <w:szCs w:val="24"/>
          <w:highlight w:val="none"/>
        </w:rPr>
      </w:pPr>
      <w:r>
        <w:rPr>
          <w:rFonts w:cs="Times New Roman"/>
          <w:color w:val="auto"/>
          <w:szCs w:val="24"/>
          <w:highlight w:val="none"/>
        </w:rPr>
        <w:t>（2）合理安排施工时间</w:t>
      </w:r>
    </w:p>
    <w:p w14:paraId="31CB5658">
      <w:pPr>
        <w:rPr>
          <w:rFonts w:cs="Times New Roman"/>
          <w:color w:val="auto"/>
          <w:szCs w:val="24"/>
          <w:highlight w:val="none"/>
        </w:rPr>
      </w:pPr>
      <w:r>
        <w:rPr>
          <w:rFonts w:cs="Times New Roman"/>
          <w:color w:val="auto"/>
          <w:szCs w:val="24"/>
          <w:highlight w:val="none"/>
        </w:rPr>
        <w:t>合理安排施工时间，避免强噪声设备同时施工、持续作业；夜间（22:00以后）禁止进行高噪设备施工作业，把对周围环境的影响降到最低。</w:t>
      </w:r>
    </w:p>
    <w:p w14:paraId="1649DF8B">
      <w:pPr>
        <w:rPr>
          <w:rFonts w:cs="Times New Roman"/>
          <w:color w:val="auto"/>
          <w:szCs w:val="24"/>
          <w:highlight w:val="none"/>
        </w:rPr>
      </w:pPr>
      <w:r>
        <w:rPr>
          <w:rFonts w:cs="Times New Roman"/>
          <w:color w:val="auto"/>
          <w:szCs w:val="24"/>
          <w:highlight w:val="none"/>
        </w:rPr>
        <w:t>（3）降低人为噪声</w:t>
      </w:r>
    </w:p>
    <w:p w14:paraId="21FB0397">
      <w:pPr>
        <w:rPr>
          <w:rFonts w:cs="Times New Roman"/>
          <w:color w:val="auto"/>
          <w:szCs w:val="24"/>
          <w:highlight w:val="none"/>
        </w:rPr>
      </w:pPr>
      <w:r>
        <w:rPr>
          <w:rFonts w:cs="Times New Roman"/>
          <w:color w:val="auto"/>
          <w:szCs w:val="24"/>
          <w:highlight w:val="none"/>
        </w:rPr>
        <w:t>机械设备等在装卸过程中，应尽量避免碰撞，以减少噪声的产生；尽量少用哨子指挥作业。</w:t>
      </w:r>
    </w:p>
    <w:p w14:paraId="6878B6AC">
      <w:pPr>
        <w:ind w:firstLine="528"/>
        <w:rPr>
          <w:rFonts w:cs="Times New Roman"/>
          <w:color w:val="auto"/>
          <w:szCs w:val="24"/>
          <w:highlight w:val="none"/>
        </w:rPr>
      </w:pPr>
      <w:r>
        <w:rPr>
          <w:rFonts w:cs="Times New Roman"/>
          <w:color w:val="auto"/>
          <w:spacing w:val="12"/>
          <w:szCs w:val="24"/>
          <w:highlight w:val="none"/>
        </w:rPr>
        <w:t>采取上述噪声控制措施后，场界噪声满足《建筑施工场界环境噪声排放标准》(GB12523-2011)要求，对周围环境影响较小。施工期是短暂行为，随着施工期的结束，对周围环境的影响也随之消失</w:t>
      </w:r>
      <w:r>
        <w:rPr>
          <w:rFonts w:cs="Times New Roman"/>
          <w:color w:val="auto"/>
          <w:szCs w:val="24"/>
          <w:highlight w:val="none"/>
        </w:rPr>
        <w:t>。</w:t>
      </w:r>
    </w:p>
    <w:p w14:paraId="3DA34E23">
      <w:pPr>
        <w:pStyle w:val="4"/>
        <w:spacing w:after="163"/>
        <w:rPr>
          <w:rFonts w:cs="Times New Roman"/>
          <w:color w:val="auto"/>
          <w:highlight w:val="none"/>
        </w:rPr>
      </w:pPr>
      <w:bookmarkStart w:id="281" w:name="_Toc20793"/>
      <w:r>
        <w:rPr>
          <w:rFonts w:cs="Times New Roman"/>
          <w:color w:val="auto"/>
          <w:highlight w:val="none"/>
        </w:rPr>
        <w:t>5.1.4施工期固体废物影响分析</w:t>
      </w:r>
      <w:bookmarkEnd w:id="281"/>
    </w:p>
    <w:p w14:paraId="5DE7F300">
      <w:pPr>
        <w:pStyle w:val="117"/>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项目施工期间产生的废弃物主要是废弃的建筑材料、生活垃圾和弃土。对建筑材料应进行回收或分类收集，剩余建筑垃圾要及时清运至环境保护管理部门指定的地点进行填埋；施工人员产生的生活垃圾不要和建筑垃圾混放，定时清运到当地的垃圾处理站集中处理；本项目产生的土方主要为土地平整及挖地基时产生的少许土方，进行回填和平整场地；项目占地范围内表土须按照《黑龙江省黑土地保护利用条例》与《建设占用耕地耕作层土壤剥离利用技术规范》（DB23-T2913-2021）的要求进行表土的剥离与利用。综上，施工期固废对周围环境影响较小。</w:t>
      </w:r>
    </w:p>
    <w:p w14:paraId="685A9CCB">
      <w:pPr>
        <w:rPr>
          <w:rFonts w:cs="Times New Roman"/>
          <w:snapToGrid w:val="0"/>
          <w:color w:val="auto"/>
          <w:kern w:val="0"/>
          <w:highlight w:val="none"/>
        </w:rPr>
      </w:pPr>
      <w:r>
        <w:rPr>
          <w:rFonts w:cs="Times New Roman"/>
          <w:color w:val="auto"/>
          <w:szCs w:val="24"/>
          <w:highlight w:val="none"/>
        </w:rPr>
        <w:t>通过各项固体废物处置措施，项目施工产生的固体废物都将得到妥善处理，对环境影响较小。</w:t>
      </w:r>
    </w:p>
    <w:p w14:paraId="4BED1E3E">
      <w:pPr>
        <w:pStyle w:val="4"/>
        <w:spacing w:after="163"/>
        <w:rPr>
          <w:rFonts w:cs="Times New Roman"/>
          <w:color w:val="auto"/>
          <w:highlight w:val="none"/>
        </w:rPr>
      </w:pPr>
      <w:bookmarkStart w:id="282" w:name="_Toc9058"/>
      <w:r>
        <w:rPr>
          <w:rFonts w:cs="Times New Roman"/>
          <w:color w:val="auto"/>
          <w:highlight w:val="none"/>
        </w:rPr>
        <w:t>5.1.5施工期生态环境影响分析</w:t>
      </w:r>
      <w:bookmarkEnd w:id="282"/>
      <w:bookmarkStart w:id="283" w:name="_Toc415146703"/>
      <w:bookmarkStart w:id="284" w:name="_Toc480447671"/>
    </w:p>
    <w:p w14:paraId="565CE839">
      <w:pPr>
        <w:widowControl/>
        <w:jc w:val="left"/>
        <w:rPr>
          <w:rFonts w:cs="Times New Roman"/>
          <w:color w:val="auto"/>
          <w:highlight w:val="none"/>
        </w:rPr>
      </w:pPr>
      <w:r>
        <w:rPr>
          <w:rFonts w:cs="Times New Roman"/>
          <w:color w:val="auto"/>
          <w:kern w:val="0"/>
          <w:szCs w:val="24"/>
          <w:highlight w:val="none"/>
          <w:lang w:bidi="ar"/>
        </w:rPr>
        <w:t>施工前期主要任务是平整土地，清理地表植被及杂物，地表植被被破坏，破坏景观。植被破坏后，土壤无植被覆盖，土壤必将受到外界的干扰，使表层土壤瘠薄，土体构型、理化性质地发生变化。</w:t>
      </w:r>
    </w:p>
    <w:p w14:paraId="6891BB72">
      <w:pPr>
        <w:widowControl/>
        <w:rPr>
          <w:rFonts w:cs="Times New Roman"/>
          <w:color w:val="auto"/>
          <w:highlight w:val="none"/>
        </w:rPr>
      </w:pPr>
      <w:r>
        <w:rPr>
          <w:rFonts w:cs="Times New Roman"/>
          <w:color w:val="auto"/>
          <w:highlight w:val="none"/>
        </w:rPr>
        <w:t>施工过程水土流失的危害主要表现在：</w:t>
      </w:r>
    </w:p>
    <w:p w14:paraId="44DCA66B">
      <w:pPr>
        <w:widowControl/>
        <w:rPr>
          <w:rFonts w:cs="Times New Roman"/>
          <w:color w:val="auto"/>
          <w:highlight w:val="none"/>
        </w:rPr>
      </w:pPr>
      <w:r>
        <w:rPr>
          <w:rFonts w:cs="Times New Roman"/>
          <w:color w:val="auto"/>
          <w:highlight w:val="none"/>
        </w:rPr>
        <w:t>表土流失，破坏土体构型。正常的自然土壤具有 A、B 和 C 层等发生层次，土壤侵蚀致使土壤流失，土层变薄，土镶发生层次缺失，破坏了土体结构。</w:t>
      </w:r>
    </w:p>
    <w:p w14:paraId="743A8490">
      <w:pPr>
        <w:widowControl/>
        <w:rPr>
          <w:rFonts w:cs="Times New Roman"/>
          <w:color w:val="auto"/>
          <w:highlight w:val="none"/>
        </w:rPr>
      </w:pPr>
      <w:r>
        <w:rPr>
          <w:rFonts w:cs="Times New Roman"/>
          <w:color w:val="auto"/>
          <w:highlight w:val="none"/>
        </w:rPr>
        <w:t>土壤养分流失，降低土壤肥力。土壤无论受到何种形式干扰，首先破坏肥力最高、养分最多、结构最好的表层土攘，土壤有机质、全氮、全磷含量随着土壤侵蚀强度的加剧而降低。</w:t>
      </w:r>
    </w:p>
    <w:p w14:paraId="5FC51E71">
      <w:pPr>
        <w:widowControl/>
        <w:rPr>
          <w:rFonts w:cs="Times New Roman"/>
          <w:color w:val="auto"/>
          <w:highlight w:val="none"/>
        </w:rPr>
      </w:pPr>
      <w:r>
        <w:rPr>
          <w:rFonts w:cs="Times New Roman"/>
          <w:color w:val="auto"/>
          <w:highlight w:val="none"/>
        </w:rPr>
        <w:t>拟建项目建设过程中，由于地表清理，土地平整，使用地范围植被破坏，建筑机械和运输车辆所产生的噪声、扬尘，建材处理和使用过程中产生的废弃物，使该地区生物多样性等生态因子受到影响。建设需进行挖方、填方等，施工扰动用地导致地表裸露，容易引起水土流失。</w:t>
      </w:r>
    </w:p>
    <w:p w14:paraId="58385D7F">
      <w:pPr>
        <w:widowControl/>
        <w:rPr>
          <w:rFonts w:cs="Times New Roman"/>
          <w:color w:val="auto"/>
          <w:highlight w:val="none"/>
        </w:rPr>
      </w:pPr>
      <w:r>
        <w:rPr>
          <w:rFonts w:hint="eastAsia" w:cs="Times New Roman"/>
          <w:color w:val="auto"/>
          <w:highlight w:val="none"/>
        </w:rPr>
        <w:t>项目施工前应对工程占用区域可利用的表土进行剥离，单独堆存，加强表土堆存防护及管理，确保有效回用。</w:t>
      </w:r>
      <w:r>
        <w:rPr>
          <w:rFonts w:cs="Times New Roman"/>
          <w:color w:val="auto"/>
          <w:highlight w:val="none"/>
        </w:rPr>
        <w:t>在施工作业前，编制施工进度表，合理施工，采取边挖边布设，边回填恢复的方法，不得在施工现场长时间堆施物料。施工期应严格将活动范围控制在本项目用地范围内，不占用其它土地，避免破坏周边植被；尽量减少在雨季施工，防止水土流失；对于产生临时堆弃的土方，要采取临时拦挡措施，以防止造成水土流失。通过采取上述措施可将本项目施工期对土地的扰动降到最低。随着工程的竣工投产和土地固化，水土流失现象将逐渐消失。</w:t>
      </w:r>
    </w:p>
    <w:p w14:paraId="2902ACB4">
      <w:pPr>
        <w:widowControl/>
        <w:rPr>
          <w:rFonts w:cs="Times New Roman"/>
          <w:color w:val="auto"/>
          <w:highlight w:val="none"/>
        </w:rPr>
      </w:pPr>
      <w:r>
        <w:rPr>
          <w:rFonts w:cs="Times New Roman"/>
          <w:color w:val="auto"/>
          <w:highlight w:val="none"/>
        </w:rPr>
        <w:t>通过严格的施工管理，对施工期间产生的水土流失进行控制，则项目施工期不会对周围生态环境产生明显影响。</w:t>
      </w:r>
    </w:p>
    <w:p w14:paraId="119D5A15">
      <w:pPr>
        <w:keepNext/>
        <w:keepLines/>
        <w:ind w:firstLine="0" w:firstLineChars="0"/>
        <w:jc w:val="left"/>
        <w:outlineLvl w:val="1"/>
        <w:rPr>
          <w:rFonts w:eastAsia="黑体" w:cs="Times New Roman"/>
          <w:bCs/>
          <w:snapToGrid w:val="0"/>
          <w:color w:val="auto"/>
          <w:kern w:val="0"/>
          <w:sz w:val="28"/>
          <w:szCs w:val="32"/>
          <w:highlight w:val="none"/>
        </w:rPr>
      </w:pPr>
      <w:bookmarkStart w:id="285" w:name="_Toc10714"/>
      <w:r>
        <w:rPr>
          <w:rFonts w:eastAsia="黑体" w:cs="Times New Roman"/>
          <w:bCs/>
          <w:snapToGrid w:val="0"/>
          <w:color w:val="auto"/>
          <w:kern w:val="0"/>
          <w:sz w:val="28"/>
          <w:szCs w:val="32"/>
          <w:highlight w:val="none"/>
        </w:rPr>
        <w:t>5.2运营期环境影响</w:t>
      </w:r>
      <w:bookmarkEnd w:id="283"/>
      <w:bookmarkEnd w:id="284"/>
      <w:r>
        <w:rPr>
          <w:rFonts w:eastAsia="黑体" w:cs="Times New Roman"/>
          <w:bCs/>
          <w:snapToGrid w:val="0"/>
          <w:color w:val="auto"/>
          <w:kern w:val="0"/>
          <w:sz w:val="28"/>
          <w:szCs w:val="32"/>
          <w:highlight w:val="none"/>
        </w:rPr>
        <w:t>分析</w:t>
      </w:r>
      <w:bookmarkEnd w:id="285"/>
    </w:p>
    <w:p w14:paraId="52EFC3D5">
      <w:pPr>
        <w:pStyle w:val="4"/>
        <w:spacing w:after="163"/>
        <w:rPr>
          <w:rFonts w:cs="Times New Roman"/>
          <w:color w:val="auto"/>
          <w:highlight w:val="none"/>
        </w:rPr>
      </w:pPr>
      <w:bookmarkStart w:id="286" w:name="_Toc8516"/>
      <w:r>
        <w:rPr>
          <w:rFonts w:cs="Times New Roman"/>
          <w:color w:val="auto"/>
          <w:highlight w:val="none"/>
        </w:rPr>
        <w:t>5.2.1大气环境影响预测评价</w:t>
      </w:r>
      <w:bookmarkEnd w:id="286"/>
    </w:p>
    <w:p w14:paraId="7465268B">
      <w:pPr>
        <w:rPr>
          <w:rFonts w:cs="Times New Roman"/>
          <w:color w:val="auto"/>
          <w:highlight w:val="none"/>
          <w:lang w:val="zh-CN"/>
        </w:rPr>
      </w:pPr>
      <w:r>
        <w:rPr>
          <w:rFonts w:cs="Times New Roman"/>
          <w:color w:val="auto"/>
          <w:highlight w:val="none"/>
          <w:lang w:val="zh-CN"/>
        </w:rPr>
        <w:t>本项目运营期产生的废气主要包括</w:t>
      </w:r>
      <w:r>
        <w:rPr>
          <w:rFonts w:hint="eastAsia" w:cs="Times New Roman"/>
          <w:color w:val="auto"/>
          <w:highlight w:val="none"/>
          <w:lang w:val="zh-CN"/>
        </w:rPr>
        <w:t>待宰圈</w:t>
      </w:r>
      <w:r>
        <w:rPr>
          <w:rFonts w:cs="Times New Roman"/>
          <w:color w:val="auto"/>
          <w:highlight w:val="none"/>
          <w:lang w:val="zh-CN"/>
        </w:rPr>
        <w:t>、屠宰车间、污水处理站、</w:t>
      </w:r>
      <w:r>
        <w:rPr>
          <w:rFonts w:hint="eastAsia" w:cs="Times New Roman"/>
          <w:color w:val="auto"/>
          <w:highlight w:val="none"/>
          <w:lang w:val="en-US" w:eastAsia="zh-CN"/>
        </w:rPr>
        <w:t>急宰间、</w:t>
      </w:r>
      <w:r>
        <w:rPr>
          <w:rFonts w:cs="Times New Roman"/>
          <w:color w:val="auto"/>
          <w:highlight w:val="none"/>
          <w:lang w:val="zh-CN"/>
        </w:rPr>
        <w:t>隔离圈、固废暂存间产生的恶臭废气。</w:t>
      </w:r>
    </w:p>
    <w:p w14:paraId="4A8CCC5B">
      <w:pPr>
        <w:rPr>
          <w:rFonts w:cs="Times New Roman"/>
          <w:color w:val="auto"/>
          <w:highlight w:val="none"/>
        </w:rPr>
      </w:pPr>
      <w:bookmarkStart w:id="287" w:name="_Hlk483940499"/>
      <w:r>
        <w:rPr>
          <w:rFonts w:cs="Times New Roman"/>
          <w:color w:val="auto"/>
          <w:highlight w:val="none"/>
        </w:rPr>
        <w:t>通过估算模式预测可知，本项目大气评价等级为二级，根据《环境影响评价技术导则-大气环境》（HJ2.2-2018），二级评价项目仅对污染物排放量进行汇总，无需进行环境影响预测。</w:t>
      </w:r>
    </w:p>
    <w:p w14:paraId="16650AFA">
      <w:pPr>
        <w:rPr>
          <w:rFonts w:ascii="Times New Roman" w:hAnsi="Times New Roman" w:eastAsia="宋体" w:cs="Times New Roman"/>
          <w:color w:val="auto"/>
          <w:highlight w:val="none"/>
        </w:rPr>
      </w:pPr>
      <w:r>
        <w:rPr>
          <w:rFonts w:ascii="Times New Roman" w:hAnsi="Times New Roman" w:eastAsia="宋体" w:cs="Times New Roman"/>
          <w:color w:val="auto"/>
          <w:highlight w:val="none"/>
        </w:rPr>
        <w:t>根据《固定污染源排污许可分类管理名录（2019年版）》、《排污许可证申请与核发技术规范 农副食品加工工业—屠宰及肉类加工工业</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HJ 860.3—2018</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》，本项目排放口为一般排放口。</w:t>
      </w:r>
    </w:p>
    <w:p w14:paraId="3CAC7A13">
      <w:pPr>
        <w:ind w:firstLine="482"/>
        <w:rPr>
          <w:rFonts w:cs="Times New Roman"/>
          <w:b/>
          <w:bCs/>
          <w:color w:val="auto"/>
          <w:highlight w:val="none"/>
        </w:rPr>
      </w:pPr>
      <w:r>
        <w:rPr>
          <w:rFonts w:cs="Times New Roman"/>
          <w:b/>
          <w:bCs/>
          <w:color w:val="auto"/>
          <w:szCs w:val="24"/>
          <w:highlight w:val="none"/>
        </w:rPr>
        <w:t>1、污染物排放量核算</w:t>
      </w:r>
    </w:p>
    <w:p w14:paraId="02645DB6">
      <w:pPr>
        <w:rPr>
          <w:rFonts w:cs="Times New Roman"/>
          <w:color w:val="auto"/>
          <w:highlight w:val="none"/>
        </w:rPr>
      </w:pPr>
      <w:r>
        <w:rPr>
          <w:rFonts w:cs="Times New Roman"/>
          <w:color w:val="auto"/>
          <w:szCs w:val="24"/>
          <w:highlight w:val="none"/>
        </w:rPr>
        <w:t>根据源强核算章节，项目有组织排放量核算表见表5-2-11，无组织排放量核算见表5-2-12，年核算量见表5-2-13。</w:t>
      </w:r>
    </w:p>
    <w:p w14:paraId="3F6A0473">
      <w:pPr>
        <w:pStyle w:val="66"/>
        <w:spacing w:line="240" w:lineRule="auto"/>
        <w:rPr>
          <w:rFonts w:eastAsia="宋体" w:cs="Times New Roman"/>
          <w:b/>
          <w:bCs/>
          <w:snapToGrid w:val="0"/>
          <w:color w:val="auto"/>
          <w:szCs w:val="24"/>
          <w:highlight w:val="none"/>
        </w:rPr>
      </w:pPr>
    </w:p>
    <w:p w14:paraId="1284EB0E">
      <w:pPr>
        <w:pStyle w:val="66"/>
        <w:spacing w:line="240" w:lineRule="auto"/>
        <w:rPr>
          <w:rFonts w:eastAsia="宋体" w:cs="Times New Roman"/>
          <w:b/>
          <w:bCs/>
          <w:snapToGrid w:val="0"/>
          <w:color w:val="auto"/>
          <w:szCs w:val="24"/>
          <w:highlight w:val="none"/>
        </w:rPr>
      </w:pPr>
    </w:p>
    <w:p w14:paraId="440E8A08">
      <w:pPr>
        <w:pStyle w:val="66"/>
        <w:spacing w:line="240" w:lineRule="auto"/>
        <w:rPr>
          <w:rFonts w:eastAsia="宋体" w:cs="Times New Roman"/>
          <w:b/>
          <w:bCs/>
          <w:snapToGrid w:val="0"/>
          <w:color w:val="auto"/>
          <w:szCs w:val="24"/>
          <w:highlight w:val="none"/>
        </w:rPr>
      </w:pPr>
      <w:r>
        <w:rPr>
          <w:rFonts w:eastAsia="宋体" w:cs="Times New Roman"/>
          <w:b/>
          <w:bCs/>
          <w:snapToGrid w:val="0"/>
          <w:color w:val="auto"/>
          <w:szCs w:val="24"/>
          <w:highlight w:val="none"/>
        </w:rPr>
        <w:t>表5-2-</w:t>
      </w:r>
      <w:r>
        <w:rPr>
          <w:rFonts w:eastAsia="宋体" w:cs="Times New Roman"/>
          <w:b/>
          <w:bCs/>
          <w:snapToGrid w:val="0"/>
          <w:color w:val="auto"/>
          <w:szCs w:val="24"/>
          <w:highlight w:val="none"/>
          <w:lang w:val="en-US"/>
        </w:rPr>
        <w:t>11</w:t>
      </w:r>
      <w:r>
        <w:rPr>
          <w:rFonts w:eastAsia="宋体" w:cs="Times New Roman"/>
          <w:b/>
          <w:bCs/>
          <w:snapToGrid w:val="0"/>
          <w:color w:val="auto"/>
          <w:szCs w:val="24"/>
          <w:highlight w:val="none"/>
        </w:rPr>
        <w:t xml:space="preserve">  大气污染物有组织排放量核算表</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1341"/>
        <w:gridCol w:w="1314"/>
        <w:gridCol w:w="1407"/>
        <w:gridCol w:w="1384"/>
        <w:gridCol w:w="1433"/>
        <w:gridCol w:w="1438"/>
      </w:tblGrid>
      <w:tr w14:paraId="4305FEEE">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680" w:hRule="atLeast"/>
          <w:jc w:val="center"/>
        </w:trPr>
        <w:tc>
          <w:tcPr>
            <w:tcW w:w="1341" w:type="dxa"/>
            <w:tcBorders>
              <w:tl2br w:val="nil"/>
              <w:tr2bl w:val="nil"/>
            </w:tcBorders>
            <w:vAlign w:val="center"/>
          </w:tcPr>
          <w:p w14:paraId="4E516F6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序号</w:t>
            </w:r>
          </w:p>
        </w:tc>
        <w:tc>
          <w:tcPr>
            <w:tcW w:w="1314" w:type="dxa"/>
            <w:tcBorders>
              <w:tl2br w:val="nil"/>
              <w:tr2bl w:val="nil"/>
            </w:tcBorders>
            <w:vAlign w:val="center"/>
          </w:tcPr>
          <w:p w14:paraId="799949D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排放口</w:t>
            </w:r>
          </w:p>
        </w:tc>
        <w:tc>
          <w:tcPr>
            <w:tcW w:w="1407" w:type="dxa"/>
            <w:tcBorders>
              <w:tl2br w:val="nil"/>
              <w:tr2bl w:val="nil"/>
            </w:tcBorders>
            <w:vAlign w:val="center"/>
          </w:tcPr>
          <w:p w14:paraId="7A82786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1384" w:type="dxa"/>
            <w:tcBorders>
              <w:tl2br w:val="nil"/>
              <w:tr2bl w:val="nil"/>
            </w:tcBorders>
            <w:vAlign w:val="center"/>
          </w:tcPr>
          <w:p w14:paraId="37AAFD1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排放浓度</w:t>
            </w:r>
          </w:p>
          <w:p w14:paraId="3F54D5D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mg/m</w:t>
            </w:r>
            <w:r>
              <w:rPr>
                <w:rFonts w:cs="Times New Roman"/>
                <w:color w:val="auto"/>
                <w:sz w:val="21"/>
                <w:szCs w:val="21"/>
                <w:highlight w:val="none"/>
                <w:vertAlign w:val="superscript"/>
              </w:rPr>
              <w:t>3</w:t>
            </w:r>
          </w:p>
        </w:tc>
        <w:tc>
          <w:tcPr>
            <w:tcW w:w="1433" w:type="dxa"/>
            <w:tcBorders>
              <w:tl2br w:val="nil"/>
              <w:tr2bl w:val="nil"/>
            </w:tcBorders>
            <w:vAlign w:val="center"/>
          </w:tcPr>
          <w:p w14:paraId="4342E8F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排放速率kg/h</w:t>
            </w:r>
          </w:p>
        </w:tc>
        <w:tc>
          <w:tcPr>
            <w:tcW w:w="1438" w:type="dxa"/>
            <w:tcBorders>
              <w:tl2br w:val="nil"/>
              <w:tr2bl w:val="nil"/>
            </w:tcBorders>
            <w:vAlign w:val="center"/>
          </w:tcPr>
          <w:p w14:paraId="5978C51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年排放量</w:t>
            </w:r>
          </w:p>
          <w:p w14:paraId="443CC05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t/a</w:t>
            </w:r>
          </w:p>
        </w:tc>
      </w:tr>
      <w:tr w14:paraId="0E0DD7D8">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45" w:hRule="atLeast"/>
          <w:jc w:val="center"/>
        </w:trPr>
        <w:tc>
          <w:tcPr>
            <w:tcW w:w="8317" w:type="dxa"/>
            <w:gridSpan w:val="6"/>
            <w:tcBorders>
              <w:tl2br w:val="nil"/>
              <w:tr2bl w:val="nil"/>
            </w:tcBorders>
            <w:vAlign w:val="center"/>
          </w:tcPr>
          <w:p w14:paraId="434E71C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一般排放口</w:t>
            </w:r>
          </w:p>
        </w:tc>
      </w:tr>
      <w:tr w14:paraId="340FD646">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61" w:hRule="atLeast"/>
          <w:jc w:val="center"/>
        </w:trPr>
        <w:tc>
          <w:tcPr>
            <w:tcW w:w="1341" w:type="dxa"/>
            <w:vMerge w:val="restart"/>
            <w:tcBorders>
              <w:tl2br w:val="nil"/>
              <w:tr2bl w:val="nil"/>
            </w:tcBorders>
            <w:vAlign w:val="center"/>
          </w:tcPr>
          <w:p w14:paraId="120E06E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1314" w:type="dxa"/>
            <w:vMerge w:val="restart"/>
            <w:tcBorders>
              <w:tl2br w:val="nil"/>
              <w:tr2bl w:val="nil"/>
            </w:tcBorders>
            <w:vAlign w:val="center"/>
          </w:tcPr>
          <w:p w14:paraId="037FE6F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DA001</w:t>
            </w:r>
          </w:p>
        </w:tc>
        <w:tc>
          <w:tcPr>
            <w:tcW w:w="1407" w:type="dxa"/>
            <w:tcBorders>
              <w:tl2br w:val="nil"/>
              <w:tr2bl w:val="nil"/>
            </w:tcBorders>
            <w:vAlign w:val="center"/>
          </w:tcPr>
          <w:p w14:paraId="229B09D4">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1384" w:type="dxa"/>
            <w:tcBorders>
              <w:tl2br w:val="nil"/>
              <w:tr2bl w:val="nil"/>
            </w:tcBorders>
            <w:vAlign w:val="center"/>
          </w:tcPr>
          <w:p w14:paraId="11B6CFC1">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1.85</w:t>
            </w:r>
          </w:p>
        </w:tc>
        <w:tc>
          <w:tcPr>
            <w:tcW w:w="1433" w:type="dxa"/>
            <w:tcBorders>
              <w:tl2br w:val="nil"/>
              <w:tr2bl w:val="nil"/>
            </w:tcBorders>
            <w:vAlign w:val="center"/>
          </w:tcPr>
          <w:p w14:paraId="152572F1">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7.4</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3</w:t>
            </w:r>
          </w:p>
        </w:tc>
        <w:tc>
          <w:tcPr>
            <w:tcW w:w="1438" w:type="dxa"/>
            <w:tcBorders>
              <w:tl2br w:val="nil"/>
              <w:tr2bl w:val="nil"/>
            </w:tcBorders>
            <w:vAlign w:val="center"/>
          </w:tcPr>
          <w:p w14:paraId="08DF4777">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1.8</w:t>
            </w:r>
            <w:r>
              <w:rPr>
                <w:rFonts w:cs="Times New Roman"/>
                <w:color w:val="auto"/>
                <w:kern w:val="0"/>
                <w:sz w:val="21"/>
                <w:szCs w:val="21"/>
                <w:highlight w:val="no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2</w:t>
            </w:r>
          </w:p>
        </w:tc>
      </w:tr>
      <w:tr w14:paraId="622C4CDC">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61" w:hRule="atLeast"/>
          <w:jc w:val="center"/>
        </w:trPr>
        <w:tc>
          <w:tcPr>
            <w:tcW w:w="1341" w:type="dxa"/>
            <w:vMerge w:val="continue"/>
            <w:tcBorders>
              <w:tl2br w:val="nil"/>
              <w:tr2bl w:val="nil"/>
            </w:tcBorders>
            <w:vAlign w:val="center"/>
          </w:tcPr>
          <w:p w14:paraId="5F92B4A1">
            <w:pPr>
              <w:spacing w:line="360" w:lineRule="exact"/>
              <w:ind w:firstLine="0" w:firstLineChars="0"/>
              <w:jc w:val="center"/>
              <w:rPr>
                <w:rFonts w:cs="Times New Roman"/>
                <w:color w:val="auto"/>
                <w:sz w:val="21"/>
                <w:szCs w:val="21"/>
                <w:highlight w:val="none"/>
              </w:rPr>
            </w:pPr>
          </w:p>
        </w:tc>
        <w:tc>
          <w:tcPr>
            <w:tcW w:w="1314" w:type="dxa"/>
            <w:vMerge w:val="continue"/>
            <w:tcBorders>
              <w:tl2br w:val="nil"/>
              <w:tr2bl w:val="nil"/>
            </w:tcBorders>
            <w:vAlign w:val="center"/>
          </w:tcPr>
          <w:p w14:paraId="4D79B809">
            <w:pPr>
              <w:spacing w:line="360" w:lineRule="exact"/>
              <w:ind w:firstLine="0" w:firstLineChars="0"/>
              <w:jc w:val="center"/>
              <w:rPr>
                <w:rFonts w:cs="Times New Roman"/>
                <w:color w:val="auto"/>
                <w:sz w:val="21"/>
                <w:szCs w:val="21"/>
                <w:highlight w:val="none"/>
              </w:rPr>
            </w:pPr>
          </w:p>
        </w:tc>
        <w:tc>
          <w:tcPr>
            <w:tcW w:w="1407" w:type="dxa"/>
            <w:tcBorders>
              <w:tl2br w:val="nil"/>
              <w:tr2bl w:val="nil"/>
            </w:tcBorders>
            <w:vAlign w:val="center"/>
          </w:tcPr>
          <w:p w14:paraId="19F7254B">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1384" w:type="dxa"/>
            <w:tcBorders>
              <w:tl2br w:val="nil"/>
              <w:tr2bl w:val="nil"/>
            </w:tcBorders>
            <w:vAlign w:val="center"/>
          </w:tcPr>
          <w:p w14:paraId="2C59C860">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0.01475</w:t>
            </w:r>
          </w:p>
        </w:tc>
        <w:tc>
          <w:tcPr>
            <w:tcW w:w="1433" w:type="dxa"/>
            <w:tcBorders>
              <w:tl2br w:val="nil"/>
              <w:tr2bl w:val="nil"/>
            </w:tcBorders>
            <w:vAlign w:val="center"/>
          </w:tcPr>
          <w:p w14:paraId="569BD568">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5.9</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5</w:t>
            </w:r>
          </w:p>
        </w:tc>
        <w:tc>
          <w:tcPr>
            <w:tcW w:w="1438" w:type="dxa"/>
            <w:tcBorders>
              <w:tl2br w:val="nil"/>
              <w:tr2bl w:val="nil"/>
            </w:tcBorders>
            <w:vAlign w:val="center"/>
          </w:tcPr>
          <w:p w14:paraId="41345C08">
            <w:pPr>
              <w:spacing w:line="360" w:lineRule="exact"/>
              <w:ind w:firstLine="0" w:firstLineChars="0"/>
              <w:jc w:val="center"/>
              <w:rPr>
                <w:rFonts w:hint="default" w:eastAsia="宋体" w:cs="Times New Roman"/>
                <w:color w:val="auto"/>
                <w:kern w:val="0"/>
                <w:sz w:val="21"/>
                <w:szCs w:val="21"/>
                <w:highlight w:val="none"/>
                <w:vertAlign w:val="superscript"/>
                <w:lang w:val="en-US" w:eastAsia="zh-CN"/>
              </w:rPr>
            </w:pPr>
            <w:r>
              <w:rPr>
                <w:rFonts w:hint="eastAsia" w:cs="Times New Roman"/>
                <w:color w:val="auto"/>
                <w:kern w:val="0"/>
                <w:sz w:val="21"/>
                <w:szCs w:val="21"/>
                <w:highlight w:val="none"/>
                <w:vertAlign w:val="baseline"/>
                <w:lang w:val="en-US" w:eastAsia="zh-CN"/>
              </w:rPr>
              <w:t>1.4</w:t>
            </w:r>
            <w:r>
              <w:rPr>
                <w:rFonts w:cs="Times New Roman"/>
                <w:color w:val="auto"/>
                <w:kern w:val="0"/>
                <w:sz w:val="21"/>
                <w:szCs w:val="21"/>
                <w:highlight w:val="none"/>
                <w:vertAlign w:val="baseline"/>
              </w:rPr>
              <w:t>×</w:t>
            </w:r>
            <w:r>
              <w:rPr>
                <w:rFonts w:cs="Times New Roman"/>
                <w:color w:val="auto"/>
                <w:kern w:val="0"/>
                <w:sz w:val="21"/>
                <w:szCs w:val="21"/>
                <w:highlight w:val="no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4</w:t>
            </w:r>
          </w:p>
        </w:tc>
      </w:tr>
      <w:tr w14:paraId="483185C1">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61" w:hRule="atLeast"/>
          <w:jc w:val="center"/>
        </w:trPr>
        <w:tc>
          <w:tcPr>
            <w:tcW w:w="1341" w:type="dxa"/>
            <w:vMerge w:val="restart"/>
            <w:tcBorders>
              <w:tl2br w:val="nil"/>
              <w:tr2bl w:val="nil"/>
            </w:tcBorders>
            <w:vAlign w:val="center"/>
          </w:tcPr>
          <w:p w14:paraId="097FD4A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w:t>
            </w:r>
          </w:p>
        </w:tc>
        <w:tc>
          <w:tcPr>
            <w:tcW w:w="1314" w:type="dxa"/>
            <w:vMerge w:val="restart"/>
            <w:tcBorders>
              <w:tl2br w:val="nil"/>
              <w:tr2bl w:val="nil"/>
            </w:tcBorders>
            <w:vAlign w:val="center"/>
          </w:tcPr>
          <w:p w14:paraId="174F4DC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DA002</w:t>
            </w:r>
          </w:p>
        </w:tc>
        <w:tc>
          <w:tcPr>
            <w:tcW w:w="1407" w:type="dxa"/>
            <w:tcBorders>
              <w:tl2br w:val="nil"/>
              <w:tr2bl w:val="nil"/>
            </w:tcBorders>
            <w:vAlign w:val="center"/>
          </w:tcPr>
          <w:p w14:paraId="6ED827C4">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1384" w:type="dxa"/>
            <w:tcBorders>
              <w:tl2br w:val="nil"/>
              <w:tr2bl w:val="nil"/>
            </w:tcBorders>
            <w:vAlign w:val="center"/>
          </w:tcPr>
          <w:p w14:paraId="78968D9D">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4.45</w:t>
            </w:r>
          </w:p>
        </w:tc>
        <w:tc>
          <w:tcPr>
            <w:tcW w:w="1433" w:type="dxa"/>
            <w:tcBorders>
              <w:tl2br w:val="nil"/>
              <w:tr2bl w:val="nil"/>
            </w:tcBorders>
            <w:vAlign w:val="center"/>
          </w:tcPr>
          <w:p w14:paraId="362D1A31">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8.9×10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3</w:t>
            </w:r>
          </w:p>
        </w:tc>
        <w:tc>
          <w:tcPr>
            <w:tcW w:w="1438" w:type="dxa"/>
            <w:tcBorders>
              <w:tl2br w:val="nil"/>
              <w:tr2bl w:val="nil"/>
            </w:tcBorders>
            <w:vAlign w:val="center"/>
          </w:tcPr>
          <w:p w14:paraId="367F983D">
            <w:pPr>
              <w:spacing w:line="360" w:lineRule="exact"/>
              <w:ind w:firstLine="0" w:firstLineChars="0"/>
              <w:jc w:val="center"/>
              <w:rPr>
                <w:rFonts w:hint="default" w:eastAsia="宋体" w:cs="Times New Roman"/>
                <w:color w:val="auto"/>
                <w:kern w:val="0"/>
                <w:sz w:val="21"/>
                <w:szCs w:val="21"/>
                <w:highlight w:val="none"/>
                <w:vertAlign w:val="baseline"/>
                <w:lang w:val="en-US" w:eastAsia="zh-CN"/>
              </w:rPr>
            </w:pPr>
            <w:r>
              <w:rPr>
                <w:rFonts w:hint="eastAsia" w:cs="Times New Roman"/>
                <w:color w:val="auto"/>
                <w:kern w:val="0"/>
                <w:sz w:val="21"/>
                <w:szCs w:val="21"/>
                <w:highlight w:val="none"/>
                <w:vertAlign w:val="baseline"/>
                <w:lang w:val="en-US" w:eastAsia="zh-CN"/>
              </w:rPr>
              <w:t>6.4</w:t>
            </w:r>
            <w:r>
              <w:rPr>
                <w:rFonts w:cs="Times New Roman"/>
                <w:color w:val="auto"/>
                <w:kern w:val="0"/>
                <w:sz w:val="21"/>
                <w:szCs w:val="21"/>
                <w:highlight w:val="none"/>
                <w:vertAlign w:val="baseli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2</w:t>
            </w:r>
          </w:p>
        </w:tc>
      </w:tr>
      <w:tr w14:paraId="5AC53F41">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61" w:hRule="atLeast"/>
          <w:jc w:val="center"/>
        </w:trPr>
        <w:tc>
          <w:tcPr>
            <w:tcW w:w="1341" w:type="dxa"/>
            <w:vMerge w:val="continue"/>
            <w:tcBorders>
              <w:tl2br w:val="nil"/>
              <w:tr2bl w:val="nil"/>
            </w:tcBorders>
            <w:vAlign w:val="center"/>
          </w:tcPr>
          <w:p w14:paraId="26B0AB4C">
            <w:pPr>
              <w:spacing w:line="360" w:lineRule="exact"/>
              <w:ind w:firstLine="0" w:firstLineChars="0"/>
              <w:jc w:val="center"/>
              <w:rPr>
                <w:rFonts w:cs="Times New Roman"/>
                <w:color w:val="auto"/>
                <w:sz w:val="21"/>
                <w:szCs w:val="21"/>
                <w:highlight w:val="none"/>
              </w:rPr>
            </w:pPr>
          </w:p>
        </w:tc>
        <w:tc>
          <w:tcPr>
            <w:tcW w:w="1314" w:type="dxa"/>
            <w:vMerge w:val="continue"/>
            <w:tcBorders>
              <w:tl2br w:val="nil"/>
              <w:tr2bl w:val="nil"/>
            </w:tcBorders>
            <w:vAlign w:val="center"/>
          </w:tcPr>
          <w:p w14:paraId="4DC01553">
            <w:pPr>
              <w:spacing w:line="360" w:lineRule="exact"/>
              <w:ind w:firstLine="0" w:firstLineChars="0"/>
              <w:jc w:val="center"/>
              <w:rPr>
                <w:rFonts w:cs="Times New Roman"/>
                <w:color w:val="auto"/>
                <w:sz w:val="21"/>
                <w:szCs w:val="21"/>
                <w:highlight w:val="none"/>
              </w:rPr>
            </w:pPr>
          </w:p>
        </w:tc>
        <w:tc>
          <w:tcPr>
            <w:tcW w:w="1407" w:type="dxa"/>
            <w:tcBorders>
              <w:tl2br w:val="nil"/>
              <w:tr2bl w:val="nil"/>
            </w:tcBorders>
            <w:vAlign w:val="center"/>
          </w:tcPr>
          <w:p w14:paraId="0137CF42">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1384" w:type="dxa"/>
            <w:tcBorders>
              <w:tl2br w:val="nil"/>
              <w:tr2bl w:val="nil"/>
            </w:tcBorders>
            <w:vAlign w:val="center"/>
          </w:tcPr>
          <w:p w14:paraId="24331AEF">
            <w:pPr>
              <w:spacing w:line="360" w:lineRule="exact"/>
              <w:ind w:firstLine="0" w:firstLineChars="0"/>
              <w:jc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0.42</w:t>
            </w:r>
          </w:p>
        </w:tc>
        <w:tc>
          <w:tcPr>
            <w:tcW w:w="1433" w:type="dxa"/>
            <w:tcBorders>
              <w:tl2br w:val="nil"/>
              <w:tr2bl w:val="nil"/>
            </w:tcBorders>
            <w:vAlign w:val="center"/>
          </w:tcPr>
          <w:p w14:paraId="112D9456">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8.4×10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4</w:t>
            </w:r>
          </w:p>
        </w:tc>
        <w:tc>
          <w:tcPr>
            <w:tcW w:w="1438" w:type="dxa"/>
            <w:tcBorders>
              <w:tl2br w:val="nil"/>
              <w:tr2bl w:val="nil"/>
            </w:tcBorders>
            <w:vAlign w:val="center"/>
          </w:tcPr>
          <w:p w14:paraId="02A710DF">
            <w:pPr>
              <w:spacing w:line="360" w:lineRule="exact"/>
              <w:ind w:firstLine="0" w:firstLineChars="0"/>
              <w:jc w:val="center"/>
              <w:rPr>
                <w:rFonts w:hint="default" w:eastAsia="宋体" w:cs="Times New Roman"/>
                <w:color w:val="auto"/>
                <w:kern w:val="0"/>
                <w:sz w:val="21"/>
                <w:szCs w:val="21"/>
                <w:highlight w:val="none"/>
                <w:vertAlign w:val="baseline"/>
                <w:lang w:val="en-US" w:eastAsia="zh-CN"/>
              </w:rPr>
            </w:pPr>
            <w:r>
              <w:rPr>
                <w:rFonts w:hint="eastAsia" w:cs="Times New Roman"/>
                <w:color w:val="auto"/>
                <w:kern w:val="0"/>
                <w:sz w:val="21"/>
                <w:szCs w:val="21"/>
                <w:highlight w:val="none"/>
                <w:vertAlign w:val="baseline"/>
                <w:lang w:val="en-US" w:eastAsia="zh-CN"/>
              </w:rPr>
              <w:t>6.0</w:t>
            </w:r>
            <w:r>
              <w:rPr>
                <w:rFonts w:cs="Times New Roman"/>
                <w:color w:val="auto"/>
                <w:kern w:val="0"/>
                <w:sz w:val="21"/>
                <w:szCs w:val="21"/>
                <w:highlight w:val="none"/>
                <w:vertAlign w:val="baseli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3</w:t>
            </w:r>
          </w:p>
        </w:tc>
      </w:tr>
      <w:tr w14:paraId="08AC21B4">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61" w:hRule="atLeast"/>
          <w:jc w:val="center"/>
        </w:trPr>
        <w:tc>
          <w:tcPr>
            <w:tcW w:w="2655" w:type="dxa"/>
            <w:gridSpan w:val="2"/>
            <w:vMerge w:val="restart"/>
            <w:tcBorders>
              <w:tl2br w:val="nil"/>
              <w:tr2bl w:val="nil"/>
            </w:tcBorders>
            <w:vAlign w:val="center"/>
          </w:tcPr>
          <w:p w14:paraId="6C7769B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一般排放口合计</w:t>
            </w:r>
          </w:p>
        </w:tc>
        <w:tc>
          <w:tcPr>
            <w:tcW w:w="4224" w:type="dxa"/>
            <w:gridSpan w:val="3"/>
            <w:tcBorders>
              <w:tl2br w:val="nil"/>
              <w:tr2bl w:val="nil"/>
            </w:tcBorders>
            <w:vAlign w:val="center"/>
          </w:tcPr>
          <w:p w14:paraId="357E7D4F">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1438" w:type="dxa"/>
            <w:tcBorders>
              <w:tl2br w:val="nil"/>
              <w:tr2bl w:val="nil"/>
            </w:tcBorders>
            <w:vAlign w:val="center"/>
          </w:tcPr>
          <w:p w14:paraId="691D2605">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8.2</w:t>
            </w:r>
            <w:r>
              <w:rPr>
                <w:rFonts w:cs="Times New Roman"/>
                <w:color w:val="auto"/>
                <w:kern w:val="0"/>
                <w:sz w:val="21"/>
                <w:szCs w:val="21"/>
                <w:highlight w:val="none"/>
                <w:vertAlign w:val="baseli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2</w:t>
            </w:r>
          </w:p>
        </w:tc>
      </w:tr>
      <w:tr w14:paraId="6D20C41B">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61" w:hRule="atLeast"/>
          <w:jc w:val="center"/>
        </w:trPr>
        <w:tc>
          <w:tcPr>
            <w:tcW w:w="2655" w:type="dxa"/>
            <w:gridSpan w:val="2"/>
            <w:vMerge w:val="continue"/>
            <w:tcBorders>
              <w:tl2br w:val="nil"/>
              <w:tr2bl w:val="nil"/>
            </w:tcBorders>
            <w:vAlign w:val="center"/>
          </w:tcPr>
          <w:p w14:paraId="6AA87BCD">
            <w:pPr>
              <w:spacing w:line="360" w:lineRule="exact"/>
              <w:ind w:firstLine="0" w:firstLineChars="0"/>
              <w:jc w:val="center"/>
              <w:rPr>
                <w:rFonts w:cs="Times New Roman"/>
                <w:color w:val="auto"/>
                <w:sz w:val="21"/>
                <w:szCs w:val="21"/>
                <w:highlight w:val="none"/>
              </w:rPr>
            </w:pPr>
          </w:p>
        </w:tc>
        <w:tc>
          <w:tcPr>
            <w:tcW w:w="4224" w:type="dxa"/>
            <w:gridSpan w:val="3"/>
            <w:tcBorders>
              <w:tl2br w:val="nil"/>
              <w:tr2bl w:val="nil"/>
            </w:tcBorders>
            <w:vAlign w:val="center"/>
          </w:tcPr>
          <w:p w14:paraId="359BE6D6">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1438" w:type="dxa"/>
            <w:tcBorders>
              <w:tl2br w:val="nil"/>
              <w:tr2bl w:val="nil"/>
            </w:tcBorders>
            <w:vAlign w:val="center"/>
          </w:tcPr>
          <w:p w14:paraId="50DF21D9">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6.14</w:t>
            </w:r>
            <w:r>
              <w:rPr>
                <w:rFonts w:cs="Times New Roman"/>
                <w:color w:val="auto"/>
                <w:kern w:val="0"/>
                <w:sz w:val="21"/>
                <w:szCs w:val="21"/>
                <w:highlight w:val="none"/>
                <w:vertAlign w:val="baseli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3</w:t>
            </w:r>
          </w:p>
        </w:tc>
      </w:tr>
    </w:tbl>
    <w:p w14:paraId="06DA5567">
      <w:pPr>
        <w:pStyle w:val="66"/>
        <w:spacing w:before="163" w:beforeLines="50" w:line="240" w:lineRule="auto"/>
        <w:rPr>
          <w:rFonts w:eastAsia="宋体" w:cs="Times New Roman"/>
          <w:b/>
          <w:bCs/>
          <w:snapToGrid w:val="0"/>
          <w:color w:val="auto"/>
          <w:szCs w:val="24"/>
          <w:highlight w:val="none"/>
        </w:rPr>
      </w:pPr>
      <w:r>
        <w:rPr>
          <w:rFonts w:eastAsia="宋体" w:cs="Times New Roman"/>
          <w:b/>
          <w:bCs/>
          <w:snapToGrid w:val="0"/>
          <w:color w:val="auto"/>
          <w:szCs w:val="24"/>
          <w:highlight w:val="none"/>
        </w:rPr>
        <w:t>表5-2-</w:t>
      </w:r>
      <w:r>
        <w:rPr>
          <w:rFonts w:eastAsia="宋体" w:cs="Times New Roman"/>
          <w:b/>
          <w:bCs/>
          <w:snapToGrid w:val="0"/>
          <w:color w:val="auto"/>
          <w:szCs w:val="24"/>
          <w:highlight w:val="none"/>
          <w:lang w:val="en-US"/>
        </w:rPr>
        <w:t>12</w:t>
      </w:r>
      <w:r>
        <w:rPr>
          <w:rFonts w:eastAsia="宋体" w:cs="Times New Roman"/>
          <w:b/>
          <w:bCs/>
          <w:snapToGrid w:val="0"/>
          <w:color w:val="auto"/>
          <w:szCs w:val="24"/>
          <w:highlight w:val="none"/>
        </w:rPr>
        <w:t xml:space="preserve">  大气污染物无组织排放量核算表</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1104"/>
        <w:gridCol w:w="1236"/>
        <w:gridCol w:w="1966"/>
        <w:gridCol w:w="1135"/>
        <w:gridCol w:w="1136"/>
        <w:gridCol w:w="1361"/>
      </w:tblGrid>
      <w:tr w14:paraId="3D0FB0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67" w:type="dxa"/>
            <w:vAlign w:val="center"/>
          </w:tcPr>
          <w:p w14:paraId="0C7D27D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序号</w:t>
            </w:r>
          </w:p>
        </w:tc>
        <w:tc>
          <w:tcPr>
            <w:tcW w:w="1104" w:type="dxa"/>
            <w:vAlign w:val="center"/>
          </w:tcPr>
          <w:p w14:paraId="4EA095A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产污环节</w:t>
            </w:r>
          </w:p>
        </w:tc>
        <w:tc>
          <w:tcPr>
            <w:tcW w:w="1236" w:type="dxa"/>
            <w:vAlign w:val="center"/>
          </w:tcPr>
          <w:p w14:paraId="26E3A91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1966" w:type="dxa"/>
            <w:vAlign w:val="center"/>
          </w:tcPr>
          <w:p w14:paraId="7F84AE6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防治措施</w:t>
            </w:r>
          </w:p>
        </w:tc>
        <w:tc>
          <w:tcPr>
            <w:tcW w:w="1135" w:type="dxa"/>
            <w:vAlign w:val="center"/>
          </w:tcPr>
          <w:p w14:paraId="18AD78F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标准名称</w:t>
            </w:r>
          </w:p>
        </w:tc>
        <w:tc>
          <w:tcPr>
            <w:tcW w:w="1136" w:type="dxa"/>
            <w:vAlign w:val="center"/>
          </w:tcPr>
          <w:p w14:paraId="2556B66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浓度限值mg/m</w:t>
            </w:r>
            <w:r>
              <w:rPr>
                <w:rFonts w:cs="Times New Roman"/>
                <w:color w:val="auto"/>
                <w:sz w:val="21"/>
                <w:szCs w:val="21"/>
                <w:highlight w:val="none"/>
                <w:vertAlign w:val="superscript"/>
              </w:rPr>
              <w:t>3</w:t>
            </w:r>
          </w:p>
        </w:tc>
        <w:tc>
          <w:tcPr>
            <w:tcW w:w="1361" w:type="dxa"/>
            <w:vAlign w:val="center"/>
          </w:tcPr>
          <w:p w14:paraId="036C53C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年排放量t/a</w:t>
            </w:r>
          </w:p>
        </w:tc>
      </w:tr>
      <w:tr w14:paraId="16C74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67" w:type="dxa"/>
            <w:vMerge w:val="restart"/>
            <w:vAlign w:val="center"/>
          </w:tcPr>
          <w:p w14:paraId="65F9763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1104" w:type="dxa"/>
            <w:vMerge w:val="restart"/>
            <w:vAlign w:val="center"/>
          </w:tcPr>
          <w:p w14:paraId="022D726D">
            <w:pPr>
              <w:widowControl/>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eastAsia="zh-CN"/>
              </w:rPr>
              <w:t>待宰圈</w:t>
            </w:r>
          </w:p>
        </w:tc>
        <w:tc>
          <w:tcPr>
            <w:tcW w:w="1236" w:type="dxa"/>
            <w:vAlign w:val="center"/>
          </w:tcPr>
          <w:p w14:paraId="2D9BE5E7">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1966" w:type="dxa"/>
            <w:vMerge w:val="restart"/>
            <w:vAlign w:val="center"/>
          </w:tcPr>
          <w:p w14:paraId="75B9B71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及时清运粪便，喷洒除臭剂</w:t>
            </w:r>
          </w:p>
        </w:tc>
        <w:tc>
          <w:tcPr>
            <w:tcW w:w="1135" w:type="dxa"/>
            <w:vMerge w:val="restart"/>
            <w:vAlign w:val="center"/>
          </w:tcPr>
          <w:p w14:paraId="37F900D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《恶臭污染物排放标准》（GB14554-93）</w:t>
            </w:r>
          </w:p>
        </w:tc>
        <w:tc>
          <w:tcPr>
            <w:tcW w:w="1136" w:type="dxa"/>
            <w:vAlign w:val="center"/>
          </w:tcPr>
          <w:p w14:paraId="0968BE9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1.5</w:t>
            </w:r>
          </w:p>
        </w:tc>
        <w:tc>
          <w:tcPr>
            <w:tcW w:w="1361" w:type="dxa"/>
            <w:vAlign w:val="center"/>
          </w:tcPr>
          <w:p w14:paraId="66E54B1B">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2.5</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r>
      <w:tr w14:paraId="5C54E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67" w:type="dxa"/>
            <w:vMerge w:val="continue"/>
            <w:vAlign w:val="center"/>
          </w:tcPr>
          <w:p w14:paraId="65748306">
            <w:pPr>
              <w:spacing w:line="360" w:lineRule="exact"/>
              <w:ind w:firstLine="0" w:firstLineChars="0"/>
              <w:jc w:val="center"/>
              <w:rPr>
                <w:rFonts w:cs="Times New Roman"/>
                <w:color w:val="auto"/>
                <w:sz w:val="21"/>
                <w:szCs w:val="21"/>
                <w:highlight w:val="none"/>
              </w:rPr>
            </w:pPr>
          </w:p>
        </w:tc>
        <w:tc>
          <w:tcPr>
            <w:tcW w:w="1104" w:type="dxa"/>
            <w:vMerge w:val="continue"/>
            <w:vAlign w:val="center"/>
          </w:tcPr>
          <w:p w14:paraId="6D493C61">
            <w:pPr>
              <w:widowControl/>
              <w:spacing w:line="360" w:lineRule="exact"/>
              <w:ind w:firstLine="0" w:firstLineChars="0"/>
              <w:jc w:val="center"/>
              <w:rPr>
                <w:rFonts w:cs="Times New Roman"/>
                <w:color w:val="auto"/>
                <w:sz w:val="21"/>
                <w:szCs w:val="21"/>
                <w:highlight w:val="none"/>
              </w:rPr>
            </w:pPr>
          </w:p>
        </w:tc>
        <w:tc>
          <w:tcPr>
            <w:tcW w:w="1236" w:type="dxa"/>
            <w:tcBorders>
              <w:bottom w:val="single" w:color="auto" w:sz="4" w:space="0"/>
            </w:tcBorders>
            <w:vAlign w:val="center"/>
          </w:tcPr>
          <w:p w14:paraId="4F4BD538">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1966" w:type="dxa"/>
            <w:vMerge w:val="continue"/>
            <w:tcBorders>
              <w:bottom w:val="single" w:color="auto" w:sz="4" w:space="0"/>
            </w:tcBorders>
            <w:vAlign w:val="center"/>
          </w:tcPr>
          <w:p w14:paraId="6900E973">
            <w:pPr>
              <w:spacing w:line="360" w:lineRule="exact"/>
              <w:ind w:firstLine="0" w:firstLineChars="0"/>
              <w:jc w:val="center"/>
              <w:rPr>
                <w:rFonts w:cs="Times New Roman"/>
                <w:color w:val="auto"/>
                <w:sz w:val="21"/>
                <w:szCs w:val="21"/>
                <w:highlight w:val="none"/>
              </w:rPr>
            </w:pPr>
          </w:p>
        </w:tc>
        <w:tc>
          <w:tcPr>
            <w:tcW w:w="1135" w:type="dxa"/>
            <w:vMerge w:val="continue"/>
            <w:vAlign w:val="center"/>
          </w:tcPr>
          <w:p w14:paraId="4C3858F8">
            <w:pPr>
              <w:spacing w:line="360" w:lineRule="exact"/>
              <w:ind w:firstLine="0" w:firstLineChars="0"/>
              <w:jc w:val="center"/>
              <w:rPr>
                <w:rFonts w:cs="Times New Roman"/>
                <w:color w:val="auto"/>
                <w:sz w:val="21"/>
                <w:szCs w:val="21"/>
                <w:highlight w:val="none"/>
              </w:rPr>
            </w:pPr>
          </w:p>
        </w:tc>
        <w:tc>
          <w:tcPr>
            <w:tcW w:w="1136" w:type="dxa"/>
            <w:vAlign w:val="center"/>
          </w:tcPr>
          <w:p w14:paraId="5F735C7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0.06</w:t>
            </w:r>
          </w:p>
        </w:tc>
        <w:tc>
          <w:tcPr>
            <w:tcW w:w="1361" w:type="dxa"/>
            <w:vAlign w:val="center"/>
          </w:tcPr>
          <w:p w14:paraId="44F0E8D6">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2.5</w:t>
            </w:r>
            <w:r>
              <w:rPr>
                <w:rFonts w:cs="Times New Roman"/>
                <w:color w:val="auto"/>
                <w:sz w:val="21"/>
                <w:szCs w:val="21"/>
                <w:highlight w:val="none"/>
                <w:lang w:val="zh-CN"/>
              </w:rPr>
              <w:t>×10</w:t>
            </w:r>
            <w:r>
              <w:rPr>
                <w:rFonts w:cs="Times New Roman"/>
                <w:color w:val="auto"/>
                <w:sz w:val="21"/>
                <w:szCs w:val="21"/>
                <w:highlight w:val="none"/>
                <w:vertAlign w:val="superscript"/>
                <w:lang w:val="zh-CN"/>
              </w:rPr>
              <w:t>-</w:t>
            </w:r>
            <w:r>
              <w:rPr>
                <w:rFonts w:hint="eastAsia" w:cs="Times New Roman"/>
                <w:color w:val="auto"/>
                <w:sz w:val="21"/>
                <w:szCs w:val="21"/>
                <w:highlight w:val="none"/>
                <w:vertAlign w:val="superscript"/>
                <w:lang w:val="en-US" w:eastAsia="zh-CN"/>
              </w:rPr>
              <w:t>5</w:t>
            </w:r>
          </w:p>
        </w:tc>
      </w:tr>
      <w:tr w14:paraId="07E470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6" w:hRule="atLeast"/>
          <w:jc w:val="center"/>
        </w:trPr>
        <w:tc>
          <w:tcPr>
            <w:tcW w:w="567" w:type="dxa"/>
            <w:vMerge w:val="restart"/>
            <w:vAlign w:val="center"/>
          </w:tcPr>
          <w:p w14:paraId="5C972B3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w:t>
            </w:r>
          </w:p>
        </w:tc>
        <w:tc>
          <w:tcPr>
            <w:tcW w:w="1104" w:type="dxa"/>
            <w:vMerge w:val="restart"/>
            <w:vAlign w:val="center"/>
          </w:tcPr>
          <w:p w14:paraId="218EBBA2">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屠宰车间、</w:t>
            </w:r>
            <w:r>
              <w:rPr>
                <w:rFonts w:hint="eastAsia" w:cs="Times New Roman"/>
                <w:color w:val="auto"/>
                <w:sz w:val="21"/>
                <w:szCs w:val="21"/>
                <w:highlight w:val="none"/>
                <w:lang w:val="en-US" w:eastAsia="zh-CN"/>
              </w:rPr>
              <w:t>急宰间、隔离间及固体废物暂存间</w:t>
            </w:r>
          </w:p>
        </w:tc>
        <w:tc>
          <w:tcPr>
            <w:tcW w:w="1236" w:type="dxa"/>
            <w:tcBorders>
              <w:top w:val="single" w:color="auto" w:sz="4" w:space="0"/>
            </w:tcBorders>
            <w:vAlign w:val="center"/>
          </w:tcPr>
          <w:p w14:paraId="6B890670">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1966" w:type="dxa"/>
            <w:vMerge w:val="restart"/>
            <w:tcBorders>
              <w:top w:val="single" w:color="auto" w:sz="4" w:space="0"/>
            </w:tcBorders>
            <w:vAlign w:val="center"/>
          </w:tcPr>
          <w:p w14:paraId="6531C31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增加清洗车间地面频次，喷洒除臭剂</w:t>
            </w:r>
          </w:p>
        </w:tc>
        <w:tc>
          <w:tcPr>
            <w:tcW w:w="1135" w:type="dxa"/>
            <w:vMerge w:val="continue"/>
            <w:vAlign w:val="center"/>
          </w:tcPr>
          <w:p w14:paraId="6200012F">
            <w:pPr>
              <w:spacing w:line="360" w:lineRule="exact"/>
              <w:ind w:firstLine="0" w:firstLineChars="0"/>
              <w:jc w:val="center"/>
              <w:rPr>
                <w:rFonts w:cs="Times New Roman"/>
                <w:color w:val="auto"/>
                <w:sz w:val="21"/>
                <w:szCs w:val="21"/>
                <w:highlight w:val="none"/>
              </w:rPr>
            </w:pPr>
          </w:p>
        </w:tc>
        <w:tc>
          <w:tcPr>
            <w:tcW w:w="1136" w:type="dxa"/>
            <w:vAlign w:val="center"/>
          </w:tcPr>
          <w:p w14:paraId="37375B5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1.5</w:t>
            </w:r>
          </w:p>
        </w:tc>
        <w:tc>
          <w:tcPr>
            <w:tcW w:w="1361" w:type="dxa"/>
            <w:shd w:val="clear" w:color="auto" w:fill="auto"/>
            <w:vAlign w:val="center"/>
          </w:tcPr>
          <w:p w14:paraId="0FEB7DCA">
            <w:pPr>
              <w:spacing w:line="360" w:lineRule="exact"/>
              <w:ind w:firstLine="0" w:firstLineChars="0"/>
              <w:jc w:val="center"/>
              <w:rPr>
                <w:rFonts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8.2</w:t>
            </w:r>
            <w:r>
              <w:rPr>
                <w:rFonts w:cs="Times New Roman"/>
                <w:color w:val="auto"/>
                <w:kern w:val="0"/>
                <w:sz w:val="21"/>
                <w:szCs w:val="21"/>
                <w:highlight w:val="none"/>
              </w:rPr>
              <w:t>×10</w:t>
            </w:r>
            <w:r>
              <w:rPr>
                <w:rFonts w:cs="Times New Roman"/>
                <w:color w:val="auto"/>
                <w:kern w:val="0"/>
                <w:sz w:val="21"/>
                <w:szCs w:val="21"/>
                <w:highlight w:val="none"/>
                <w:vertAlign w:val="superscript"/>
              </w:rPr>
              <w:t>-4</w:t>
            </w:r>
          </w:p>
        </w:tc>
      </w:tr>
      <w:tr w14:paraId="57076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67" w:type="dxa"/>
            <w:vMerge w:val="continue"/>
            <w:vAlign w:val="center"/>
          </w:tcPr>
          <w:p w14:paraId="471735F2">
            <w:pPr>
              <w:spacing w:line="360" w:lineRule="exact"/>
              <w:ind w:firstLine="0" w:firstLineChars="0"/>
              <w:jc w:val="center"/>
              <w:rPr>
                <w:rFonts w:cs="Times New Roman"/>
                <w:color w:val="auto"/>
                <w:sz w:val="21"/>
                <w:szCs w:val="21"/>
                <w:highlight w:val="none"/>
              </w:rPr>
            </w:pPr>
          </w:p>
        </w:tc>
        <w:tc>
          <w:tcPr>
            <w:tcW w:w="1104" w:type="dxa"/>
            <w:vMerge w:val="continue"/>
            <w:vAlign w:val="center"/>
          </w:tcPr>
          <w:p w14:paraId="777343F9">
            <w:pPr>
              <w:widowControl/>
              <w:spacing w:line="360" w:lineRule="exact"/>
              <w:ind w:firstLine="0" w:firstLineChars="0"/>
              <w:jc w:val="center"/>
              <w:rPr>
                <w:rFonts w:cs="Times New Roman"/>
                <w:color w:val="auto"/>
                <w:sz w:val="21"/>
                <w:szCs w:val="21"/>
                <w:highlight w:val="none"/>
              </w:rPr>
            </w:pPr>
          </w:p>
        </w:tc>
        <w:tc>
          <w:tcPr>
            <w:tcW w:w="1236" w:type="dxa"/>
            <w:tcBorders>
              <w:bottom w:val="single" w:color="auto" w:sz="4" w:space="0"/>
            </w:tcBorders>
            <w:vAlign w:val="center"/>
          </w:tcPr>
          <w:p w14:paraId="7794B664">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1966" w:type="dxa"/>
            <w:vMerge w:val="continue"/>
            <w:tcBorders>
              <w:bottom w:val="single" w:color="auto" w:sz="4" w:space="0"/>
            </w:tcBorders>
            <w:vAlign w:val="center"/>
          </w:tcPr>
          <w:p w14:paraId="0FF44E60">
            <w:pPr>
              <w:spacing w:line="360" w:lineRule="exact"/>
              <w:ind w:firstLine="0" w:firstLineChars="0"/>
              <w:jc w:val="center"/>
              <w:rPr>
                <w:rFonts w:cs="Times New Roman"/>
                <w:color w:val="auto"/>
                <w:sz w:val="21"/>
                <w:szCs w:val="21"/>
                <w:highlight w:val="none"/>
              </w:rPr>
            </w:pPr>
          </w:p>
        </w:tc>
        <w:tc>
          <w:tcPr>
            <w:tcW w:w="1135" w:type="dxa"/>
            <w:vMerge w:val="continue"/>
            <w:vAlign w:val="center"/>
          </w:tcPr>
          <w:p w14:paraId="1D23D768">
            <w:pPr>
              <w:spacing w:line="360" w:lineRule="exact"/>
              <w:ind w:firstLine="0" w:firstLineChars="0"/>
              <w:jc w:val="center"/>
              <w:rPr>
                <w:rFonts w:cs="Times New Roman"/>
                <w:color w:val="auto"/>
                <w:sz w:val="21"/>
                <w:szCs w:val="21"/>
                <w:highlight w:val="none"/>
              </w:rPr>
            </w:pPr>
          </w:p>
        </w:tc>
        <w:tc>
          <w:tcPr>
            <w:tcW w:w="1136" w:type="dxa"/>
            <w:vAlign w:val="center"/>
          </w:tcPr>
          <w:p w14:paraId="1EEA5B3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0.06</w:t>
            </w:r>
          </w:p>
        </w:tc>
        <w:tc>
          <w:tcPr>
            <w:tcW w:w="1361" w:type="dxa"/>
            <w:shd w:val="clear" w:color="auto" w:fill="auto"/>
            <w:vAlign w:val="center"/>
          </w:tcPr>
          <w:p w14:paraId="3A93B19C">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6.6</w:t>
            </w:r>
            <w:r>
              <w:rPr>
                <w:rFonts w:cs="Times New Roman"/>
                <w:color w:val="auto"/>
                <w:kern w:val="0"/>
                <w:sz w:val="21"/>
                <w:szCs w:val="21"/>
                <w:highlight w:val="no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6</w:t>
            </w:r>
          </w:p>
        </w:tc>
      </w:tr>
      <w:tr w14:paraId="765AC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67" w:type="dxa"/>
            <w:vMerge w:val="restart"/>
            <w:vAlign w:val="center"/>
          </w:tcPr>
          <w:p w14:paraId="6B38936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w:t>
            </w:r>
          </w:p>
        </w:tc>
        <w:tc>
          <w:tcPr>
            <w:tcW w:w="1104" w:type="dxa"/>
            <w:vMerge w:val="restart"/>
            <w:vAlign w:val="center"/>
          </w:tcPr>
          <w:p w14:paraId="5589B42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污水处理</w:t>
            </w:r>
          </w:p>
        </w:tc>
        <w:tc>
          <w:tcPr>
            <w:tcW w:w="1236" w:type="dxa"/>
            <w:tcBorders>
              <w:top w:val="single" w:color="auto" w:sz="4" w:space="0"/>
            </w:tcBorders>
            <w:vAlign w:val="center"/>
          </w:tcPr>
          <w:p w14:paraId="561B6F45">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1966" w:type="dxa"/>
            <w:vMerge w:val="restart"/>
            <w:tcBorders>
              <w:top w:val="single" w:color="auto" w:sz="4" w:space="0"/>
            </w:tcBorders>
            <w:vAlign w:val="center"/>
          </w:tcPr>
          <w:p w14:paraId="23A3474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产生恶臭区域加盖，喷洒除臭剂</w:t>
            </w:r>
          </w:p>
        </w:tc>
        <w:tc>
          <w:tcPr>
            <w:tcW w:w="1135" w:type="dxa"/>
            <w:vMerge w:val="continue"/>
            <w:vAlign w:val="center"/>
          </w:tcPr>
          <w:p w14:paraId="79425DA2">
            <w:pPr>
              <w:spacing w:line="360" w:lineRule="exact"/>
              <w:ind w:firstLine="0" w:firstLineChars="0"/>
              <w:jc w:val="center"/>
              <w:rPr>
                <w:rFonts w:cs="Times New Roman"/>
                <w:color w:val="auto"/>
                <w:sz w:val="21"/>
                <w:szCs w:val="21"/>
                <w:highlight w:val="none"/>
              </w:rPr>
            </w:pPr>
          </w:p>
        </w:tc>
        <w:tc>
          <w:tcPr>
            <w:tcW w:w="1136" w:type="dxa"/>
            <w:vAlign w:val="center"/>
          </w:tcPr>
          <w:p w14:paraId="0E35390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1.5</w:t>
            </w:r>
          </w:p>
        </w:tc>
        <w:tc>
          <w:tcPr>
            <w:tcW w:w="1361" w:type="dxa"/>
            <w:shd w:val="clear" w:color="auto" w:fill="auto"/>
            <w:vAlign w:val="center"/>
          </w:tcPr>
          <w:p w14:paraId="299A96FE">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9.8</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r>
      <w:tr w14:paraId="51AA5B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67" w:type="dxa"/>
            <w:vMerge w:val="continue"/>
            <w:vAlign w:val="center"/>
          </w:tcPr>
          <w:p w14:paraId="4635C5B8">
            <w:pPr>
              <w:spacing w:line="360" w:lineRule="exact"/>
              <w:ind w:firstLine="0" w:firstLineChars="0"/>
              <w:jc w:val="center"/>
              <w:rPr>
                <w:rFonts w:cs="Times New Roman"/>
                <w:color w:val="auto"/>
                <w:sz w:val="21"/>
                <w:szCs w:val="21"/>
                <w:highlight w:val="none"/>
              </w:rPr>
            </w:pPr>
          </w:p>
        </w:tc>
        <w:tc>
          <w:tcPr>
            <w:tcW w:w="1104" w:type="dxa"/>
            <w:vMerge w:val="continue"/>
            <w:vAlign w:val="center"/>
          </w:tcPr>
          <w:p w14:paraId="1CE52BCE">
            <w:pPr>
              <w:widowControl/>
              <w:spacing w:line="360" w:lineRule="exact"/>
              <w:ind w:firstLine="0" w:firstLineChars="0"/>
              <w:jc w:val="center"/>
              <w:rPr>
                <w:rFonts w:cs="Times New Roman"/>
                <w:color w:val="auto"/>
                <w:sz w:val="21"/>
                <w:szCs w:val="21"/>
                <w:highlight w:val="none"/>
              </w:rPr>
            </w:pPr>
          </w:p>
        </w:tc>
        <w:tc>
          <w:tcPr>
            <w:tcW w:w="1236" w:type="dxa"/>
            <w:vAlign w:val="center"/>
          </w:tcPr>
          <w:p w14:paraId="36398D1F">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1966" w:type="dxa"/>
            <w:vMerge w:val="continue"/>
            <w:vAlign w:val="center"/>
          </w:tcPr>
          <w:p w14:paraId="0516223E">
            <w:pPr>
              <w:widowControl/>
              <w:spacing w:line="360" w:lineRule="exact"/>
              <w:ind w:firstLine="0" w:firstLineChars="0"/>
              <w:jc w:val="center"/>
              <w:rPr>
                <w:rFonts w:cs="Times New Roman"/>
                <w:color w:val="auto"/>
                <w:sz w:val="21"/>
                <w:szCs w:val="21"/>
                <w:highlight w:val="none"/>
              </w:rPr>
            </w:pPr>
          </w:p>
        </w:tc>
        <w:tc>
          <w:tcPr>
            <w:tcW w:w="1135" w:type="dxa"/>
            <w:vMerge w:val="continue"/>
            <w:vAlign w:val="center"/>
          </w:tcPr>
          <w:p w14:paraId="19B8ABB6">
            <w:pPr>
              <w:widowControl/>
              <w:spacing w:line="360" w:lineRule="exact"/>
              <w:ind w:firstLine="0" w:firstLineChars="0"/>
              <w:jc w:val="center"/>
              <w:rPr>
                <w:rFonts w:cs="Times New Roman"/>
                <w:color w:val="auto"/>
                <w:sz w:val="21"/>
                <w:szCs w:val="21"/>
                <w:highlight w:val="none"/>
              </w:rPr>
            </w:pPr>
          </w:p>
        </w:tc>
        <w:tc>
          <w:tcPr>
            <w:tcW w:w="1136" w:type="dxa"/>
            <w:vAlign w:val="center"/>
          </w:tcPr>
          <w:p w14:paraId="07CB82D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0.06</w:t>
            </w:r>
          </w:p>
        </w:tc>
        <w:tc>
          <w:tcPr>
            <w:tcW w:w="1361" w:type="dxa"/>
            <w:shd w:val="clear" w:color="auto" w:fill="auto"/>
            <w:vAlign w:val="center"/>
          </w:tcPr>
          <w:p w14:paraId="40535696">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8.4</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5</w:t>
            </w:r>
          </w:p>
        </w:tc>
      </w:tr>
      <w:tr w14:paraId="536FE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505" w:type="dxa"/>
            <w:gridSpan w:val="7"/>
            <w:vAlign w:val="center"/>
          </w:tcPr>
          <w:p w14:paraId="5A721E7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无组织排放总计</w:t>
            </w:r>
          </w:p>
        </w:tc>
      </w:tr>
      <w:tr w14:paraId="2F22A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907" w:type="dxa"/>
            <w:gridSpan w:val="3"/>
            <w:vMerge w:val="restart"/>
            <w:vAlign w:val="center"/>
          </w:tcPr>
          <w:p w14:paraId="1C5ECE7E">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无组织排放汇总</w:t>
            </w:r>
          </w:p>
        </w:tc>
        <w:tc>
          <w:tcPr>
            <w:tcW w:w="4237" w:type="dxa"/>
            <w:gridSpan w:val="3"/>
            <w:vAlign w:val="center"/>
          </w:tcPr>
          <w:p w14:paraId="22850CA5">
            <w:pPr>
              <w:pStyle w:val="73"/>
              <w:adjustRightInd w:val="0"/>
              <w:snapToGrid w:val="0"/>
              <w:rPr>
                <w:rFonts w:cs="Times New Roman"/>
                <w:color w:val="auto"/>
                <w:szCs w:val="21"/>
                <w:highlight w:val="none"/>
              </w:rPr>
            </w:pPr>
            <w:r>
              <w:rPr>
                <w:rFonts w:cs="Times New Roman"/>
                <w:snapToGrid w:val="0"/>
                <w:color w:val="auto"/>
                <w:szCs w:val="21"/>
                <w:highlight w:val="none"/>
                <w:lang w:val="en-US"/>
              </w:rPr>
              <w:t>NH</w:t>
            </w:r>
            <w:r>
              <w:rPr>
                <w:rFonts w:cs="Times New Roman"/>
                <w:snapToGrid w:val="0"/>
                <w:color w:val="auto"/>
                <w:szCs w:val="21"/>
                <w:highlight w:val="none"/>
                <w:vertAlign w:val="subscript"/>
                <w:lang w:val="en-US"/>
              </w:rPr>
              <w:t>3</w:t>
            </w:r>
          </w:p>
        </w:tc>
        <w:tc>
          <w:tcPr>
            <w:tcW w:w="1361" w:type="dxa"/>
            <w:vAlign w:val="center"/>
          </w:tcPr>
          <w:p w14:paraId="383C5D47">
            <w:pPr>
              <w:spacing w:line="360" w:lineRule="exact"/>
              <w:ind w:firstLine="0" w:firstLineChars="0"/>
              <w:jc w:val="center"/>
              <w:rPr>
                <w:rFonts w:hint="default" w:cs="Times New Roman"/>
                <w:color w:val="auto"/>
                <w:sz w:val="21"/>
                <w:szCs w:val="21"/>
                <w:highlight w:val="none"/>
                <w:lang w:val="en-US"/>
              </w:rPr>
            </w:pPr>
            <w:r>
              <w:rPr>
                <w:rFonts w:hint="eastAsia" w:cs="Times New Roman"/>
                <w:color w:val="auto"/>
                <w:kern w:val="0"/>
                <w:sz w:val="21"/>
                <w:szCs w:val="21"/>
                <w:highlight w:val="none"/>
                <w:lang w:val="en-US" w:eastAsia="zh-CN"/>
              </w:rPr>
              <w:t>2.05</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3</w:t>
            </w:r>
          </w:p>
        </w:tc>
      </w:tr>
      <w:tr w14:paraId="47229C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907" w:type="dxa"/>
            <w:gridSpan w:val="3"/>
            <w:vMerge w:val="continue"/>
            <w:vAlign w:val="center"/>
          </w:tcPr>
          <w:p w14:paraId="1C11C2A6">
            <w:pPr>
              <w:widowControl/>
              <w:spacing w:line="360" w:lineRule="exact"/>
              <w:ind w:firstLine="0" w:firstLineChars="0"/>
              <w:jc w:val="center"/>
              <w:rPr>
                <w:rFonts w:cs="Times New Roman"/>
                <w:color w:val="auto"/>
                <w:sz w:val="21"/>
                <w:szCs w:val="21"/>
                <w:highlight w:val="none"/>
              </w:rPr>
            </w:pPr>
          </w:p>
        </w:tc>
        <w:tc>
          <w:tcPr>
            <w:tcW w:w="4237" w:type="dxa"/>
            <w:gridSpan w:val="3"/>
            <w:vAlign w:val="center"/>
          </w:tcPr>
          <w:p w14:paraId="1CF28DAF">
            <w:pPr>
              <w:pStyle w:val="73"/>
              <w:adjustRightInd w:val="0"/>
              <w:snapToGrid w:val="0"/>
              <w:rPr>
                <w:rFonts w:cs="Times New Roman"/>
                <w:color w:val="auto"/>
                <w:szCs w:val="21"/>
                <w:highlight w:val="none"/>
              </w:rPr>
            </w:pPr>
            <w:r>
              <w:rPr>
                <w:rFonts w:cs="Times New Roman"/>
                <w:snapToGrid w:val="0"/>
                <w:color w:val="auto"/>
                <w:szCs w:val="21"/>
                <w:highlight w:val="none"/>
                <w:lang w:val="en-US"/>
              </w:rPr>
              <w:t>H</w:t>
            </w:r>
            <w:r>
              <w:rPr>
                <w:rFonts w:cs="Times New Roman"/>
                <w:snapToGrid w:val="0"/>
                <w:color w:val="auto"/>
                <w:szCs w:val="21"/>
                <w:highlight w:val="none"/>
                <w:vertAlign w:val="subscript"/>
                <w:lang w:val="en-US"/>
              </w:rPr>
              <w:t>2</w:t>
            </w:r>
            <w:r>
              <w:rPr>
                <w:rFonts w:cs="Times New Roman"/>
                <w:snapToGrid w:val="0"/>
                <w:color w:val="auto"/>
                <w:szCs w:val="21"/>
                <w:highlight w:val="none"/>
                <w:lang w:val="en-US"/>
              </w:rPr>
              <w:t>S</w:t>
            </w:r>
          </w:p>
        </w:tc>
        <w:tc>
          <w:tcPr>
            <w:tcW w:w="1361" w:type="dxa"/>
            <w:vAlign w:val="center"/>
          </w:tcPr>
          <w:p w14:paraId="0B0102B7">
            <w:pPr>
              <w:spacing w:line="360" w:lineRule="exact"/>
              <w:ind w:firstLine="0" w:firstLineChars="0"/>
              <w:jc w:val="center"/>
              <w:rPr>
                <w:rFonts w:hint="default" w:cs="Times New Roman"/>
                <w:color w:val="auto"/>
                <w:sz w:val="21"/>
                <w:szCs w:val="21"/>
                <w:highlight w:val="none"/>
                <w:lang w:val="en-US"/>
              </w:rPr>
            </w:pPr>
            <w:r>
              <w:rPr>
                <w:rFonts w:hint="eastAsia" w:cs="Times New Roman"/>
                <w:color w:val="auto"/>
                <w:kern w:val="0"/>
                <w:sz w:val="21"/>
                <w:szCs w:val="21"/>
                <w:highlight w:val="none"/>
                <w:lang w:val="en-US" w:eastAsia="zh-CN"/>
              </w:rPr>
              <w:t>1.16</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r>
    </w:tbl>
    <w:p w14:paraId="0317900E">
      <w:pPr>
        <w:pStyle w:val="66"/>
        <w:spacing w:before="163" w:beforeLines="50" w:line="240" w:lineRule="auto"/>
        <w:rPr>
          <w:rFonts w:eastAsia="宋体" w:cs="Times New Roman"/>
          <w:b/>
          <w:bCs/>
          <w:snapToGrid w:val="0"/>
          <w:color w:val="auto"/>
          <w:szCs w:val="24"/>
          <w:highlight w:val="none"/>
          <w:lang w:val="en-US"/>
        </w:rPr>
      </w:pPr>
      <w:r>
        <w:rPr>
          <w:rFonts w:eastAsia="宋体" w:cs="Times New Roman"/>
          <w:b/>
          <w:bCs/>
          <w:snapToGrid w:val="0"/>
          <w:color w:val="auto"/>
          <w:szCs w:val="24"/>
          <w:highlight w:val="none"/>
        </w:rPr>
        <w:t>表</w:t>
      </w:r>
      <w:r>
        <w:rPr>
          <w:rFonts w:eastAsia="宋体" w:cs="Times New Roman"/>
          <w:b/>
          <w:bCs/>
          <w:snapToGrid w:val="0"/>
          <w:color w:val="auto"/>
          <w:szCs w:val="24"/>
          <w:highlight w:val="none"/>
          <w:lang w:val="en-US"/>
        </w:rPr>
        <w:t xml:space="preserve">5-2-13  </w:t>
      </w:r>
      <w:r>
        <w:rPr>
          <w:rFonts w:eastAsia="宋体" w:cs="Times New Roman"/>
          <w:b/>
          <w:bCs/>
          <w:snapToGrid w:val="0"/>
          <w:color w:val="auto"/>
          <w:szCs w:val="24"/>
          <w:highlight w:val="none"/>
        </w:rPr>
        <w:t>大气污染物年排放量核算表</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3"/>
        <w:gridCol w:w="3368"/>
        <w:gridCol w:w="3748"/>
      </w:tblGrid>
      <w:tr w14:paraId="5AE36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303" w:type="dxa"/>
            <w:tcBorders>
              <w:top w:val="single" w:color="auto" w:sz="12" w:space="0"/>
              <w:left w:val="nil"/>
              <w:bottom w:val="single" w:color="auto" w:sz="4" w:space="0"/>
              <w:right w:val="single" w:color="auto" w:sz="4" w:space="0"/>
            </w:tcBorders>
            <w:vAlign w:val="center"/>
          </w:tcPr>
          <w:p w14:paraId="035E97BE">
            <w:pPr>
              <w:spacing w:line="280" w:lineRule="atLeast"/>
              <w:ind w:firstLine="0" w:firstLineChars="0"/>
              <w:jc w:val="center"/>
              <w:rPr>
                <w:rFonts w:cs="Times New Roman"/>
                <w:color w:val="auto"/>
                <w:sz w:val="21"/>
                <w:szCs w:val="21"/>
                <w:highlight w:val="none"/>
              </w:rPr>
            </w:pPr>
            <w:r>
              <w:rPr>
                <w:rFonts w:cs="Times New Roman"/>
                <w:color w:val="auto"/>
                <w:sz w:val="21"/>
                <w:szCs w:val="21"/>
                <w:highlight w:val="none"/>
              </w:rPr>
              <w:t>序号</w:t>
            </w:r>
          </w:p>
        </w:tc>
        <w:tc>
          <w:tcPr>
            <w:tcW w:w="3368" w:type="dxa"/>
            <w:tcBorders>
              <w:top w:val="single" w:color="auto" w:sz="12" w:space="0"/>
              <w:left w:val="single" w:color="auto" w:sz="4" w:space="0"/>
              <w:bottom w:val="single" w:color="auto" w:sz="4" w:space="0"/>
              <w:right w:val="single" w:color="auto" w:sz="4" w:space="0"/>
            </w:tcBorders>
            <w:vAlign w:val="center"/>
          </w:tcPr>
          <w:p w14:paraId="5E684269">
            <w:pPr>
              <w:spacing w:line="280" w:lineRule="atLeast"/>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3748" w:type="dxa"/>
            <w:tcBorders>
              <w:top w:val="single" w:color="auto" w:sz="12" w:space="0"/>
              <w:left w:val="single" w:color="auto" w:sz="4" w:space="0"/>
              <w:bottom w:val="single" w:color="auto" w:sz="4" w:space="0"/>
              <w:right w:val="nil"/>
            </w:tcBorders>
            <w:vAlign w:val="center"/>
          </w:tcPr>
          <w:p w14:paraId="49F5477D">
            <w:pPr>
              <w:spacing w:line="280" w:lineRule="atLeast"/>
              <w:ind w:firstLine="0" w:firstLineChars="0"/>
              <w:jc w:val="center"/>
              <w:rPr>
                <w:rFonts w:cs="Times New Roman"/>
                <w:color w:val="auto"/>
                <w:sz w:val="21"/>
                <w:szCs w:val="21"/>
                <w:highlight w:val="none"/>
              </w:rPr>
            </w:pPr>
            <w:r>
              <w:rPr>
                <w:rFonts w:cs="Times New Roman"/>
                <w:color w:val="auto"/>
                <w:sz w:val="21"/>
                <w:szCs w:val="21"/>
                <w:highlight w:val="none"/>
              </w:rPr>
              <w:t>年排放量（t/a）</w:t>
            </w:r>
          </w:p>
        </w:tc>
      </w:tr>
      <w:tr w14:paraId="08B41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303" w:type="dxa"/>
            <w:tcBorders>
              <w:top w:val="single" w:color="auto" w:sz="4" w:space="0"/>
              <w:left w:val="nil"/>
              <w:bottom w:val="single" w:color="auto" w:sz="4" w:space="0"/>
              <w:right w:val="single" w:color="auto" w:sz="4" w:space="0"/>
            </w:tcBorders>
            <w:vAlign w:val="center"/>
          </w:tcPr>
          <w:p w14:paraId="3F683CDA">
            <w:pPr>
              <w:spacing w:line="280" w:lineRule="atLeast"/>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3368" w:type="dxa"/>
            <w:tcBorders>
              <w:top w:val="single" w:color="auto" w:sz="4" w:space="0"/>
              <w:left w:val="single" w:color="auto" w:sz="4" w:space="0"/>
              <w:bottom w:val="single" w:color="auto" w:sz="4" w:space="0"/>
              <w:right w:val="single" w:color="auto" w:sz="4" w:space="0"/>
            </w:tcBorders>
            <w:vAlign w:val="center"/>
          </w:tcPr>
          <w:p w14:paraId="45560193">
            <w:pPr>
              <w:spacing w:line="280" w:lineRule="atLeas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3748" w:type="dxa"/>
            <w:tcBorders>
              <w:top w:val="single" w:color="auto" w:sz="4" w:space="0"/>
              <w:left w:val="single" w:color="auto" w:sz="4" w:space="0"/>
              <w:bottom w:val="single" w:color="auto" w:sz="4" w:space="0"/>
              <w:right w:val="nil"/>
            </w:tcBorders>
            <w:vAlign w:val="center"/>
          </w:tcPr>
          <w:p w14:paraId="72726703">
            <w:pPr>
              <w:spacing w:line="360" w:lineRule="exact"/>
              <w:ind w:firstLine="0" w:firstLineChars="0"/>
              <w:jc w:val="center"/>
              <w:rPr>
                <w:rFonts w:hint="default" w:cs="Times New Roman"/>
                <w:color w:val="auto"/>
                <w:sz w:val="21"/>
                <w:szCs w:val="21"/>
                <w:highlight w:val="none"/>
                <w:lang w:val="en-US"/>
              </w:rPr>
            </w:pPr>
            <w:r>
              <w:rPr>
                <w:rFonts w:hint="eastAsia" w:cs="Times New Roman"/>
                <w:color w:val="auto"/>
                <w:kern w:val="0"/>
                <w:sz w:val="21"/>
                <w:szCs w:val="21"/>
                <w:highlight w:val="none"/>
                <w:lang w:val="en-US" w:eastAsia="zh-CN"/>
              </w:rPr>
              <w:t>0.08405</w:t>
            </w:r>
          </w:p>
        </w:tc>
      </w:tr>
      <w:tr w14:paraId="6B1F6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303" w:type="dxa"/>
            <w:tcBorders>
              <w:top w:val="single" w:color="auto" w:sz="4" w:space="0"/>
              <w:left w:val="nil"/>
              <w:bottom w:val="single" w:color="auto" w:sz="4" w:space="0"/>
              <w:right w:val="single" w:color="auto" w:sz="4" w:space="0"/>
            </w:tcBorders>
            <w:vAlign w:val="center"/>
          </w:tcPr>
          <w:p w14:paraId="38BB0F43">
            <w:pPr>
              <w:spacing w:line="280" w:lineRule="atLeast"/>
              <w:ind w:firstLine="0" w:firstLineChars="0"/>
              <w:jc w:val="center"/>
              <w:rPr>
                <w:rFonts w:cs="Times New Roman"/>
                <w:color w:val="auto"/>
                <w:sz w:val="21"/>
                <w:szCs w:val="21"/>
                <w:highlight w:val="none"/>
              </w:rPr>
            </w:pPr>
            <w:r>
              <w:rPr>
                <w:rFonts w:cs="Times New Roman"/>
                <w:color w:val="auto"/>
                <w:sz w:val="21"/>
                <w:szCs w:val="21"/>
                <w:highlight w:val="none"/>
              </w:rPr>
              <w:t>2</w:t>
            </w:r>
          </w:p>
        </w:tc>
        <w:tc>
          <w:tcPr>
            <w:tcW w:w="3368" w:type="dxa"/>
            <w:tcBorders>
              <w:top w:val="single" w:color="auto" w:sz="4" w:space="0"/>
              <w:left w:val="single" w:color="auto" w:sz="4" w:space="0"/>
              <w:bottom w:val="single" w:color="auto" w:sz="4" w:space="0"/>
              <w:right w:val="single" w:color="auto" w:sz="4" w:space="0"/>
            </w:tcBorders>
            <w:vAlign w:val="center"/>
          </w:tcPr>
          <w:p w14:paraId="31D4FACB">
            <w:pPr>
              <w:spacing w:line="280" w:lineRule="atLeas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3748" w:type="dxa"/>
            <w:tcBorders>
              <w:top w:val="single" w:color="auto" w:sz="4" w:space="0"/>
              <w:left w:val="single" w:color="auto" w:sz="4" w:space="0"/>
              <w:bottom w:val="single" w:color="auto" w:sz="4" w:space="0"/>
              <w:right w:val="nil"/>
            </w:tcBorders>
            <w:vAlign w:val="center"/>
          </w:tcPr>
          <w:p w14:paraId="62E7A728">
            <w:pPr>
              <w:spacing w:line="360" w:lineRule="exact"/>
              <w:ind w:firstLine="0" w:firstLineChars="0"/>
              <w:jc w:val="center"/>
              <w:rPr>
                <w:rFonts w:hint="default" w:cs="Times New Roman"/>
                <w:color w:val="auto"/>
                <w:sz w:val="21"/>
                <w:szCs w:val="21"/>
                <w:highlight w:val="none"/>
                <w:lang w:val="en-US"/>
              </w:rPr>
            </w:pPr>
            <w:r>
              <w:rPr>
                <w:rFonts w:hint="eastAsia" w:cs="Times New Roman"/>
                <w:color w:val="auto"/>
                <w:kern w:val="0"/>
                <w:sz w:val="21"/>
                <w:szCs w:val="21"/>
                <w:highlight w:val="none"/>
                <w:lang w:val="en-US" w:eastAsia="zh-CN"/>
              </w:rPr>
              <w:t>0.006256</w:t>
            </w:r>
          </w:p>
        </w:tc>
      </w:tr>
    </w:tbl>
    <w:p w14:paraId="1B0DD077">
      <w:pPr>
        <w:numPr>
          <w:ilvl w:val="0"/>
          <w:numId w:val="0"/>
        </w:numPr>
        <w:spacing w:line="500" w:lineRule="exact"/>
        <w:ind w:leftChars="200"/>
        <w:rPr>
          <w:rFonts w:hint="eastAsia" w:cs="Times New Roman"/>
          <w:b/>
          <w:color w:val="auto"/>
          <w:szCs w:val="24"/>
          <w:highlight w:val="none"/>
          <w:lang w:val="en-US" w:eastAsia="zh-CN"/>
        </w:rPr>
      </w:pPr>
      <w:r>
        <w:rPr>
          <w:rFonts w:hint="eastAsia" w:cs="Times New Roman"/>
          <w:b/>
          <w:color w:val="auto"/>
          <w:szCs w:val="24"/>
          <w:highlight w:val="none"/>
          <w:lang w:val="en-US" w:eastAsia="zh-CN"/>
        </w:rPr>
        <w:t>2、环境影响分析结论</w:t>
      </w:r>
    </w:p>
    <w:p w14:paraId="689F51D5">
      <w:pPr>
        <w:widowControl/>
        <w:rPr>
          <w:rFonts w:cs="Times New Roman"/>
          <w:color w:val="auto"/>
          <w:szCs w:val="24"/>
          <w:highlight w:val="none"/>
        </w:rPr>
      </w:pPr>
      <w:r>
        <w:rPr>
          <w:rFonts w:hint="eastAsia" w:cs="Times New Roman"/>
          <w:color w:val="auto"/>
          <w:highlight w:val="none"/>
          <w:lang w:eastAsia="zh-CN"/>
        </w:rPr>
        <w:t>屠宰车间、</w:t>
      </w:r>
      <w:r>
        <w:rPr>
          <w:rFonts w:hint="eastAsia" w:cs="Times New Roman"/>
          <w:color w:val="auto"/>
          <w:highlight w:val="none"/>
          <w:lang w:val="en-US" w:eastAsia="zh-CN"/>
        </w:rPr>
        <w:t>急宰间、隔离间及固体废物暂存间</w:t>
      </w:r>
      <w:r>
        <w:rPr>
          <w:rFonts w:hint="eastAsia" w:cs="Times New Roman"/>
          <w:color w:val="auto"/>
          <w:highlight w:val="none"/>
          <w:lang w:eastAsia="zh-CN"/>
        </w:rPr>
        <w:t>废气采用微负压集中收集后</w:t>
      </w:r>
      <w:r>
        <w:rPr>
          <w:rFonts w:cs="Times New Roman"/>
          <w:color w:val="auto"/>
          <w:highlight w:val="none"/>
        </w:rPr>
        <w:t>（收集率约90%左右），通过一套活性炭净化装置（</w:t>
      </w:r>
      <w:r>
        <w:rPr>
          <w:rFonts w:hint="eastAsia" w:cs="Times New Roman"/>
          <w:color w:val="auto"/>
          <w:highlight w:val="none"/>
          <w:lang w:eastAsia="zh-CN"/>
        </w:rPr>
        <w:t>净化效率80%</w:t>
      </w:r>
      <w:r>
        <w:rPr>
          <w:rFonts w:cs="Times New Roman"/>
          <w:color w:val="auto"/>
          <w:highlight w:val="none"/>
        </w:rPr>
        <w:t>），净化后的废气通过15m排气筒DA001排放；屠宰车间产生的废气产生的废气</w:t>
      </w:r>
      <w:r>
        <w:rPr>
          <w:rFonts w:hint="eastAsia" w:cs="Times New Roman"/>
          <w:color w:val="auto"/>
          <w:highlight w:val="none"/>
          <w:lang w:eastAsia="zh-CN"/>
        </w:rPr>
        <w:t>采用微负压集中收集后</w:t>
      </w:r>
      <w:r>
        <w:rPr>
          <w:rFonts w:cs="Times New Roman"/>
          <w:color w:val="auto"/>
          <w:highlight w:val="none"/>
        </w:rPr>
        <w:t>（收集率约90%左右），通过活性炭净化装置（</w:t>
      </w:r>
      <w:r>
        <w:rPr>
          <w:rFonts w:hint="eastAsia" w:cs="Times New Roman"/>
          <w:color w:val="auto"/>
          <w:highlight w:val="none"/>
          <w:lang w:eastAsia="zh-CN"/>
        </w:rPr>
        <w:t>净化效率80%</w:t>
      </w:r>
      <w:r>
        <w:rPr>
          <w:rFonts w:cs="Times New Roman"/>
          <w:color w:val="auto"/>
          <w:highlight w:val="none"/>
        </w:rPr>
        <w:t>）处理后，经15m高的排气筒DA00</w:t>
      </w:r>
      <w:r>
        <w:rPr>
          <w:rFonts w:hint="eastAsia" w:cs="Times New Roman"/>
          <w:color w:val="auto"/>
          <w:highlight w:val="none"/>
          <w:lang w:val="en-US" w:eastAsia="zh-CN"/>
        </w:rPr>
        <w:t>1</w:t>
      </w:r>
      <w:r>
        <w:rPr>
          <w:rFonts w:cs="Times New Roman"/>
          <w:color w:val="auto"/>
          <w:highlight w:val="none"/>
        </w:rPr>
        <w:t>排放；</w:t>
      </w:r>
      <w:r>
        <w:rPr>
          <w:rFonts w:cs="Times New Roman"/>
          <w:color w:val="auto"/>
          <w:szCs w:val="24"/>
          <w:highlight w:val="none"/>
        </w:rPr>
        <w:t>污水处理站产生的废气，经负压收集</w:t>
      </w:r>
      <w:r>
        <w:rPr>
          <w:rFonts w:cs="Times New Roman"/>
          <w:color w:val="auto"/>
          <w:highlight w:val="none"/>
        </w:rPr>
        <w:t>（收集率约90%左右）</w:t>
      </w:r>
      <w:r>
        <w:rPr>
          <w:rFonts w:cs="Times New Roman"/>
          <w:color w:val="auto"/>
          <w:szCs w:val="24"/>
          <w:highlight w:val="none"/>
        </w:rPr>
        <w:t>至活性炭吸附装置</w:t>
      </w:r>
      <w:r>
        <w:rPr>
          <w:rFonts w:cs="Times New Roman"/>
          <w:color w:val="auto"/>
          <w:highlight w:val="none"/>
        </w:rPr>
        <w:t>（</w:t>
      </w:r>
      <w:r>
        <w:rPr>
          <w:rFonts w:hint="eastAsia" w:cs="Times New Roman"/>
          <w:color w:val="auto"/>
          <w:highlight w:val="none"/>
          <w:lang w:eastAsia="zh-CN"/>
        </w:rPr>
        <w:t>净化效率80%</w:t>
      </w:r>
      <w:r>
        <w:rPr>
          <w:rFonts w:cs="Times New Roman"/>
          <w:color w:val="auto"/>
          <w:highlight w:val="none"/>
        </w:rPr>
        <w:t>）</w:t>
      </w:r>
      <w:r>
        <w:rPr>
          <w:rFonts w:cs="Times New Roman"/>
          <w:color w:val="auto"/>
          <w:szCs w:val="24"/>
          <w:highlight w:val="none"/>
        </w:rPr>
        <w:t>进行处理，处理后经15m高的排气筒DA00</w:t>
      </w:r>
      <w:r>
        <w:rPr>
          <w:rFonts w:hint="eastAsia" w:cs="Times New Roman"/>
          <w:color w:val="auto"/>
          <w:szCs w:val="24"/>
          <w:highlight w:val="none"/>
          <w:lang w:val="en-US" w:eastAsia="zh-CN"/>
        </w:rPr>
        <w:t>2</w:t>
      </w:r>
      <w:r>
        <w:rPr>
          <w:rFonts w:cs="Times New Roman"/>
          <w:color w:val="auto"/>
          <w:szCs w:val="24"/>
          <w:highlight w:val="none"/>
        </w:rPr>
        <w:t>排放；</w:t>
      </w:r>
      <w:r>
        <w:rPr>
          <w:rFonts w:cs="Times New Roman"/>
          <w:snapToGrid w:val="0"/>
          <w:color w:val="auto"/>
          <w:highlight w:val="none"/>
        </w:rPr>
        <w:t>DA001~DA00</w:t>
      </w:r>
      <w:r>
        <w:rPr>
          <w:rFonts w:hint="eastAsia" w:cs="Times New Roman"/>
          <w:snapToGrid w:val="0"/>
          <w:color w:val="auto"/>
          <w:highlight w:val="none"/>
          <w:lang w:val="en-US" w:eastAsia="zh-CN"/>
        </w:rPr>
        <w:t>2</w:t>
      </w:r>
      <w:r>
        <w:rPr>
          <w:rFonts w:cs="Times New Roman"/>
          <w:snapToGrid w:val="0"/>
          <w:color w:val="auto"/>
          <w:highlight w:val="none"/>
        </w:rPr>
        <w:t>排气筒排放速率及浓度均可满足《恶臭污染物排放标准》（GB14554-93）表2中排放标准限值。</w:t>
      </w:r>
    </w:p>
    <w:p w14:paraId="45672F17">
      <w:pPr>
        <w:rPr>
          <w:rFonts w:hint="default"/>
          <w:color w:val="auto"/>
          <w:highlight w:val="none"/>
          <w:lang w:val="en-US" w:eastAsia="zh-CN"/>
        </w:rPr>
      </w:pPr>
      <w:r>
        <w:rPr>
          <w:rFonts w:hint="eastAsia" w:cs="Times New Roman"/>
          <w:snapToGrid w:val="0"/>
          <w:color w:val="auto"/>
          <w:highlight w:val="none"/>
          <w:lang w:val="zh-CN"/>
        </w:rPr>
        <w:t>待宰圈</w:t>
      </w:r>
      <w:r>
        <w:rPr>
          <w:rFonts w:cs="Times New Roman"/>
          <w:snapToGrid w:val="0"/>
          <w:color w:val="auto"/>
          <w:highlight w:val="none"/>
          <w:lang w:val="zh-CN"/>
        </w:rPr>
        <w:t>设置专人管理，及时清理地面上的粪便及尿液，</w:t>
      </w:r>
      <w:r>
        <w:rPr>
          <w:rFonts w:hint="eastAsia" w:cs="Times New Roman"/>
          <w:snapToGrid w:val="0"/>
          <w:color w:val="auto"/>
          <w:highlight w:val="none"/>
          <w:lang w:val="zh-CN"/>
        </w:rPr>
        <w:t>定期冲洗待地面</w:t>
      </w:r>
      <w:r>
        <w:rPr>
          <w:rFonts w:cs="Times New Roman"/>
          <w:snapToGrid w:val="0"/>
          <w:color w:val="auto"/>
          <w:highlight w:val="none"/>
          <w:lang w:val="zh-CN"/>
        </w:rPr>
        <w:t>，同时定期喷洒除臭剂，减少恶臭源的散发；</w:t>
      </w:r>
      <w:r>
        <w:rPr>
          <w:rFonts w:cs="Times New Roman"/>
          <w:color w:val="auto"/>
          <w:highlight w:val="none"/>
        </w:rPr>
        <w:t>屠宰车间及时清洗清运，定期喷洒除臭剂</w:t>
      </w:r>
      <w:r>
        <w:rPr>
          <w:rFonts w:cs="Times New Roman"/>
          <w:snapToGrid w:val="0"/>
          <w:color w:val="auto"/>
          <w:highlight w:val="none"/>
          <w:lang w:val="zh-CN"/>
        </w:rPr>
        <w:t>；对于污水处理站产生恶臭区域加盖、喷洒除臭剂，来降低污水处理站恶臭对厂区内外的影响；</w:t>
      </w:r>
      <w:r>
        <w:rPr>
          <w:rFonts w:cs="Times New Roman"/>
          <w:snapToGrid w:val="0"/>
          <w:color w:val="auto"/>
          <w:highlight w:val="none"/>
        </w:rPr>
        <w:t>固废暂存间内废物暂存于加盖的储池内，正常情况下为密封，仅输送生产废物时，将抽送泵与储存池连接，将储存池内废物输送至运输车上，</w:t>
      </w:r>
      <w:r>
        <w:rPr>
          <w:rFonts w:hint="eastAsia" w:cs="Times New Roman"/>
          <w:snapToGrid w:val="0"/>
          <w:color w:val="auto"/>
          <w:highlight w:val="none"/>
          <w:lang w:val="en-US" w:eastAsia="zh-CN"/>
        </w:rPr>
        <w:t>并定期喷洒除臭剂，</w:t>
      </w:r>
      <w:r>
        <w:rPr>
          <w:rFonts w:hint="eastAsia" w:cs="Times New Roman"/>
          <w:snapToGrid w:val="0"/>
          <w:color w:val="auto"/>
          <w:highlight w:val="none"/>
          <w:lang w:val="en-US"/>
        </w:rPr>
        <w:t>减少恶臭的释放</w:t>
      </w:r>
      <w:r>
        <w:rPr>
          <w:rFonts w:cs="Times New Roman"/>
          <w:snapToGrid w:val="0"/>
          <w:color w:val="auto"/>
          <w:highlight w:val="none"/>
          <w:lang w:val="zh-CN"/>
        </w:rPr>
        <w:t>。</w:t>
      </w:r>
      <w:r>
        <w:rPr>
          <w:rFonts w:hint="default" w:ascii="Times New Roman" w:hAnsi="Times New Roman" w:cs="Times New Roman"/>
          <w:snapToGrid w:val="0"/>
          <w:color w:val="auto"/>
          <w:highlight w:val="none"/>
          <w:lang w:val="en-US" w:eastAsia="zh-CN"/>
        </w:rPr>
        <w:t>类比</w:t>
      </w:r>
      <w:r>
        <w:rPr>
          <w:rFonts w:hint="default" w:ascii="Times New Roman" w:hAnsi="Times New Roman" w:cs="Times New Roman"/>
          <w:snapToGrid w:val="0"/>
          <w:color w:val="auto"/>
          <w:highlight w:val="none"/>
          <w:lang w:val="zh-CN"/>
        </w:rPr>
        <w:t>《</w:t>
      </w:r>
      <w:r>
        <w:rPr>
          <w:rFonts w:hint="default" w:ascii="Times New Roman" w:hAnsi="Times New Roman" w:eastAsia="宋体" w:cs="Times New Roman"/>
          <w:color w:val="auto"/>
          <w:sz w:val="24"/>
          <w:szCs w:val="24"/>
          <w:highlight w:val="none"/>
        </w:rPr>
        <w:t>揭阳市广联牲畜屠宰有限公司年屠宰肉牛3万头、肉羊18万只生产线建设项目竣工环境保护验收监测报告</w:t>
      </w:r>
      <w:r>
        <w:rPr>
          <w:rFonts w:hint="default" w:ascii="Times New Roman" w:hAnsi="Times New Roman" w:cs="Times New Roman"/>
          <w:snapToGrid w:val="0"/>
          <w:color w:val="auto"/>
          <w:highlight w:val="none"/>
          <w:lang w:val="zh-CN"/>
        </w:rPr>
        <w:t>》（</w:t>
      </w:r>
      <w:r>
        <w:rPr>
          <w:rFonts w:hint="default" w:ascii="Times New Roman" w:hAnsi="Times New Roman" w:cs="Times New Roman"/>
          <w:snapToGrid w:val="0"/>
          <w:color w:val="auto"/>
          <w:highlight w:val="none"/>
        </w:rPr>
        <w:t>通过验收</w:t>
      </w:r>
      <w:r>
        <w:rPr>
          <w:rFonts w:hint="default" w:ascii="Times New Roman" w:hAnsi="Times New Roman" w:cs="Times New Roman"/>
          <w:snapToGrid w:val="0"/>
          <w:color w:val="auto"/>
          <w:highlight w:val="none"/>
          <w:lang w:val="zh-CN"/>
        </w:rPr>
        <w:t>）</w:t>
      </w:r>
      <w:r>
        <w:rPr>
          <w:rFonts w:hint="default" w:ascii="Times New Roman" w:hAnsi="Times New Roman" w:cs="Times New Roman"/>
          <w:snapToGrid w:val="0"/>
          <w:color w:val="auto"/>
          <w:highlight w:val="none"/>
        </w:rPr>
        <w:t>中屠宰车间监测数据，</w:t>
      </w:r>
      <w:r>
        <w:rPr>
          <w:rFonts w:hint="default" w:ascii="Times New Roman" w:hAnsi="Times New Roman" w:cs="Times New Roman"/>
          <w:snapToGrid w:val="0"/>
          <w:color w:val="auto"/>
          <w:highlight w:val="none"/>
          <w:lang w:val="en-US" w:eastAsia="zh-CN"/>
        </w:rPr>
        <w:t>类比</w:t>
      </w:r>
      <w:r>
        <w:rPr>
          <w:rFonts w:hint="default" w:ascii="Times New Roman" w:hAnsi="Times New Roman" w:cs="Times New Roman"/>
          <w:snapToGrid w:val="0"/>
          <w:color w:val="auto"/>
          <w:highlight w:val="none"/>
        </w:rPr>
        <w:t>项目</w:t>
      </w:r>
      <w:r>
        <w:rPr>
          <w:rFonts w:hint="default" w:ascii="Times New Roman" w:hAnsi="Times New Roman" w:eastAsia="宋体" w:cs="Times New Roman"/>
          <w:color w:val="auto"/>
          <w:sz w:val="24"/>
          <w:szCs w:val="24"/>
          <w:highlight w:val="none"/>
        </w:rPr>
        <w:t>年屠宰肉牛3万头、肉羊18万只</w:t>
      </w:r>
      <w:r>
        <w:rPr>
          <w:rFonts w:hint="default" w:ascii="Times New Roman" w:hAnsi="Times New Roman" w:cs="Times New Roman"/>
          <w:snapToGrid w:val="0"/>
          <w:color w:val="auto"/>
          <w:highlight w:val="none"/>
        </w:rPr>
        <w:t>，</w:t>
      </w:r>
      <w:r>
        <w:rPr>
          <w:rFonts w:hint="eastAsia" w:cs="Times New Roman"/>
          <w:snapToGrid w:val="0"/>
          <w:color w:val="auto"/>
          <w:highlight w:val="none"/>
          <w:lang w:val="en-US" w:eastAsia="zh-CN"/>
        </w:rPr>
        <w:t>采取的无组织措施为喷洒除臭剂、加强粪便清扫、加强通风、加强厂区周围绿化等，验收监测结果表明，</w:t>
      </w:r>
      <w:r>
        <w:rPr>
          <w:rFonts w:hint="eastAsia" w:cs="Times New Roman"/>
          <w:color w:val="auto"/>
          <w:highlight w:val="none"/>
          <w:lang w:val="en-US" w:eastAsia="zh-CN"/>
        </w:rPr>
        <w:t>厂界</w:t>
      </w:r>
      <w:r>
        <w:rPr>
          <w:rFonts w:cs="Times New Roman"/>
          <w:color w:val="auto"/>
          <w:highlight w:val="none"/>
        </w:rPr>
        <w:t>可满足《恶臭污染物排放标准》（GB14554-93）表1中二级标准要求</w:t>
      </w:r>
      <w:r>
        <w:rPr>
          <w:rFonts w:hint="eastAsia" w:cs="Times New Roman"/>
          <w:color w:val="auto"/>
          <w:highlight w:val="none"/>
          <w:lang w:eastAsia="zh-CN"/>
        </w:rPr>
        <w:t>。</w:t>
      </w:r>
      <w:r>
        <w:rPr>
          <w:rFonts w:hint="eastAsia" w:cs="Times New Roman"/>
          <w:color w:val="auto"/>
          <w:highlight w:val="none"/>
          <w:lang w:val="en-US" w:eastAsia="zh-CN"/>
        </w:rPr>
        <w:t>因此，本项目</w:t>
      </w:r>
      <w:r>
        <w:rPr>
          <w:rFonts w:cs="Times New Roman"/>
          <w:color w:val="auto"/>
          <w:highlight w:val="none"/>
        </w:rPr>
        <w:t>采取</w:t>
      </w:r>
      <w:r>
        <w:rPr>
          <w:rFonts w:hint="eastAsia" w:cs="Times New Roman"/>
          <w:color w:val="auto"/>
          <w:highlight w:val="none"/>
          <w:lang w:val="en-US" w:eastAsia="zh-CN"/>
        </w:rPr>
        <w:t>上述</w:t>
      </w:r>
      <w:r>
        <w:rPr>
          <w:rFonts w:cs="Times New Roman"/>
          <w:color w:val="auto"/>
          <w:highlight w:val="none"/>
        </w:rPr>
        <w:t>措施后</w:t>
      </w:r>
      <w:r>
        <w:rPr>
          <w:rFonts w:hint="eastAsia" w:cs="Times New Roman"/>
          <w:color w:val="auto"/>
          <w:highlight w:val="none"/>
          <w:lang w:eastAsia="zh-CN"/>
        </w:rPr>
        <w:t>，</w:t>
      </w:r>
      <w:r>
        <w:rPr>
          <w:rFonts w:hint="eastAsia" w:cs="Times New Roman"/>
          <w:color w:val="auto"/>
          <w:highlight w:val="none"/>
          <w:lang w:val="en-US" w:eastAsia="zh-CN"/>
        </w:rPr>
        <w:t>厂界无组织污染物</w:t>
      </w:r>
      <w:r>
        <w:rPr>
          <w:rFonts w:cs="Times New Roman"/>
          <w:color w:val="auto"/>
          <w:highlight w:val="none"/>
        </w:rPr>
        <w:t>可满足《恶臭污染物排放标准》（GB14554-93）表1中二级标准要求。</w:t>
      </w:r>
      <w:r>
        <w:rPr>
          <w:rFonts w:cs="Times New Roman"/>
          <w:color w:val="auto"/>
          <w:spacing w:val="-3"/>
          <w:szCs w:val="24"/>
          <w:highlight w:val="none"/>
        </w:rPr>
        <w:t>对周围大气环境影响较小。</w:t>
      </w:r>
    </w:p>
    <w:p w14:paraId="7E68E028">
      <w:pPr>
        <w:spacing w:line="500" w:lineRule="exact"/>
        <w:ind w:firstLine="482"/>
        <w:rPr>
          <w:rFonts w:cs="Times New Roman"/>
          <w:bCs/>
          <w:color w:val="auto"/>
          <w:szCs w:val="24"/>
          <w:highlight w:val="none"/>
        </w:rPr>
      </w:pPr>
      <w:r>
        <w:rPr>
          <w:rFonts w:hint="eastAsia" w:cs="Times New Roman"/>
          <w:b/>
          <w:color w:val="auto"/>
          <w:szCs w:val="24"/>
          <w:highlight w:val="none"/>
          <w:lang w:val="en-US" w:eastAsia="zh-CN"/>
        </w:rPr>
        <w:t>3、</w:t>
      </w:r>
      <w:r>
        <w:rPr>
          <w:rFonts w:cs="Times New Roman"/>
          <w:b/>
          <w:color w:val="auto"/>
          <w:szCs w:val="24"/>
          <w:highlight w:val="none"/>
        </w:rPr>
        <w:t>环境防护距离</w:t>
      </w:r>
    </w:p>
    <w:p w14:paraId="1EBFB10F">
      <w:pPr>
        <w:spacing w:line="500" w:lineRule="exact"/>
        <w:rPr>
          <w:rFonts w:cs="Times New Roman"/>
          <w:color w:val="auto"/>
          <w:kern w:val="0"/>
          <w:szCs w:val="24"/>
          <w:highlight w:val="none"/>
          <w:lang w:bidi="ar"/>
        </w:rPr>
      </w:pPr>
      <w:r>
        <w:rPr>
          <w:rFonts w:cs="Times New Roman"/>
          <w:bCs/>
          <w:color w:val="auto"/>
          <w:szCs w:val="24"/>
          <w:highlight w:val="none"/>
        </w:rPr>
        <w:t>本项目大气评价等级为二级评价，根据《环境影响评价技术导则大气环境》（HJ2.2-2018），本项目不需设置大气环境防护距离。</w:t>
      </w:r>
      <w:r>
        <w:rPr>
          <w:rFonts w:cs="Times New Roman"/>
          <w:color w:val="auto"/>
          <w:kern w:val="0"/>
          <w:szCs w:val="24"/>
          <w:highlight w:val="none"/>
          <w:lang w:bidi="ar"/>
        </w:rPr>
        <w:t>本项目不设环境防护距离。</w:t>
      </w:r>
    </w:p>
    <w:bookmarkEnd w:id="287"/>
    <w:p w14:paraId="6967F0D6">
      <w:pPr>
        <w:pStyle w:val="4"/>
        <w:spacing w:after="163"/>
        <w:rPr>
          <w:rFonts w:cs="Times New Roman"/>
          <w:color w:val="auto"/>
          <w:highlight w:val="none"/>
        </w:rPr>
      </w:pPr>
      <w:bookmarkStart w:id="288" w:name="_Toc21890"/>
      <w:bookmarkStart w:id="289" w:name="_Hlk483940658"/>
      <w:r>
        <w:rPr>
          <w:rFonts w:cs="Times New Roman"/>
          <w:color w:val="auto"/>
          <w:highlight w:val="none"/>
        </w:rPr>
        <w:t>5.2.2地表水环境影响分析</w:t>
      </w:r>
      <w:bookmarkEnd w:id="288"/>
    </w:p>
    <w:bookmarkEnd w:id="289"/>
    <w:p w14:paraId="48152D32">
      <w:pPr>
        <w:widowControl/>
        <w:spacing w:line="500" w:lineRule="exact"/>
        <w:rPr>
          <w:rFonts w:cs="Times New Roman"/>
          <w:bCs/>
          <w:color w:val="auto"/>
          <w:szCs w:val="24"/>
          <w:highlight w:val="none"/>
        </w:rPr>
      </w:pPr>
      <w:r>
        <w:rPr>
          <w:rFonts w:cs="Times New Roman"/>
          <w:color w:val="auto"/>
          <w:kern w:val="0"/>
          <w:highlight w:val="none"/>
        </w:rPr>
        <w:t>本项目废水主要为生活污水、</w:t>
      </w:r>
      <w:r>
        <w:rPr>
          <w:rFonts w:hint="eastAsia" w:cs="Times New Roman"/>
          <w:color w:val="auto"/>
          <w:kern w:val="0"/>
          <w:highlight w:val="none"/>
          <w:lang w:eastAsia="zh-CN"/>
        </w:rPr>
        <w:t>屠宰废水、车辆冲洗水及冷库排酸废水</w:t>
      </w:r>
      <w:r>
        <w:rPr>
          <w:rFonts w:cs="Times New Roman"/>
          <w:color w:val="auto"/>
          <w:kern w:val="0"/>
          <w:highlight w:val="none"/>
        </w:rPr>
        <w:t>，</w:t>
      </w:r>
      <w:r>
        <w:rPr>
          <w:rFonts w:hint="eastAsia" w:cs="Times New Roman"/>
          <w:color w:val="auto"/>
          <w:kern w:val="0"/>
          <w:highlight w:val="none"/>
          <w:lang w:eastAsia="zh-CN"/>
        </w:rPr>
        <w:t>屠宰废水、车辆冲洗水及冷库排酸废水经污水处理站处理后，</w:t>
      </w:r>
      <w:r>
        <w:rPr>
          <w:rFonts w:cs="Times New Roman"/>
          <w:color w:val="auto"/>
          <w:kern w:val="0"/>
          <w:highlight w:val="none"/>
        </w:rPr>
        <w:t>水污染物浓度和排水量均</w:t>
      </w:r>
      <w:r>
        <w:rPr>
          <w:rFonts w:cs="Times New Roman"/>
          <w:color w:val="auto"/>
          <w:kern w:val="0"/>
          <w:highlight w:val="none"/>
          <w:lang w:val="en-GB"/>
        </w:rPr>
        <w:t>达到《肉类加工工业水污染物排放标准》（GB13457-92）</w:t>
      </w:r>
      <w:r>
        <w:rPr>
          <w:rFonts w:cs="Times New Roman"/>
          <w:color w:val="auto"/>
          <w:kern w:val="0"/>
          <w:highlight w:val="none"/>
        </w:rPr>
        <w:t>表3</w:t>
      </w:r>
      <w:r>
        <w:rPr>
          <w:rFonts w:cs="Times New Roman"/>
          <w:color w:val="auto"/>
          <w:kern w:val="0"/>
          <w:highlight w:val="none"/>
          <w:lang w:val="en-GB"/>
        </w:rPr>
        <w:t>中畜类屠宰加工三级标准，并满足</w:t>
      </w:r>
      <w:r>
        <w:rPr>
          <w:rFonts w:hint="eastAsia" w:cs="Times New Roman"/>
          <w:color w:val="auto"/>
          <w:kern w:val="0"/>
          <w:highlight w:val="none"/>
          <w:lang w:val="en-GB" w:eastAsia="zh-CN"/>
        </w:rPr>
        <w:t>双鸭山市畅源排水有限公司</w:t>
      </w:r>
      <w:r>
        <w:rPr>
          <w:rFonts w:cs="Times New Roman"/>
          <w:color w:val="auto"/>
          <w:kern w:val="0"/>
          <w:highlight w:val="none"/>
          <w:lang w:val="en-GB"/>
        </w:rPr>
        <w:t>进水水质要求后，</w:t>
      </w:r>
      <w:r>
        <w:rPr>
          <w:rFonts w:cs="Times New Roman"/>
          <w:color w:val="auto"/>
          <w:kern w:val="0"/>
          <w:highlight w:val="none"/>
        </w:rPr>
        <w:t>与生活污水一同经污水管网进入</w:t>
      </w:r>
      <w:r>
        <w:rPr>
          <w:rFonts w:hint="eastAsia" w:cs="Times New Roman"/>
          <w:color w:val="auto"/>
          <w:kern w:val="0"/>
          <w:highlight w:val="none"/>
          <w:lang w:val="en-GB" w:eastAsia="zh-CN"/>
        </w:rPr>
        <w:t>双鸭山市畅源排水有限公司</w:t>
      </w:r>
      <w:r>
        <w:rPr>
          <w:rFonts w:cs="Times New Roman"/>
          <w:color w:val="auto"/>
          <w:kern w:val="0"/>
          <w:highlight w:val="none"/>
        </w:rPr>
        <w:t>处理，处理达标后排放，</w:t>
      </w:r>
      <w:r>
        <w:rPr>
          <w:rFonts w:cs="Times New Roman"/>
          <w:snapToGrid w:val="0"/>
          <w:color w:val="auto"/>
          <w:highlight w:val="none"/>
          <w:lang w:val="en-GB"/>
        </w:rPr>
        <w:t>排入</w:t>
      </w:r>
      <w:r>
        <w:rPr>
          <w:rFonts w:hint="eastAsia" w:cs="Times New Roman"/>
          <w:snapToGrid w:val="0"/>
          <w:color w:val="auto"/>
          <w:highlight w:val="none"/>
          <w:lang w:val="en-GB" w:eastAsia="zh-CN"/>
        </w:rPr>
        <w:t>安邦河</w:t>
      </w:r>
      <w:r>
        <w:rPr>
          <w:rFonts w:cs="Times New Roman"/>
          <w:snapToGrid w:val="0"/>
          <w:color w:val="auto"/>
          <w:highlight w:val="none"/>
          <w:lang w:val="en-GB"/>
        </w:rPr>
        <w:t>。</w:t>
      </w:r>
    </w:p>
    <w:p w14:paraId="1F5EE229">
      <w:pPr>
        <w:widowControl/>
        <w:spacing w:line="500" w:lineRule="exact"/>
        <w:rPr>
          <w:rFonts w:cs="Times New Roman"/>
          <w:bCs/>
          <w:color w:val="auto"/>
          <w:szCs w:val="24"/>
          <w:highlight w:val="none"/>
        </w:rPr>
      </w:pPr>
      <w:r>
        <w:rPr>
          <w:rFonts w:cs="Times New Roman"/>
          <w:color w:val="auto"/>
          <w:szCs w:val="24"/>
          <w:highlight w:val="none"/>
        </w:rPr>
        <w:t>该污水处理站设计</w:t>
      </w:r>
      <w:r>
        <w:rPr>
          <w:rFonts w:hint="eastAsia" w:cs="Times New Roman"/>
          <w:color w:val="auto"/>
          <w:szCs w:val="24"/>
          <w:highlight w:val="none"/>
          <w:lang w:eastAsia="zh-CN"/>
        </w:rPr>
        <w:t>处理能力为</w:t>
      </w:r>
      <w:r>
        <w:rPr>
          <w:rFonts w:hint="eastAsia" w:cs="Times New Roman"/>
          <w:color w:val="auto"/>
          <w:szCs w:val="24"/>
          <w:highlight w:val="none"/>
          <w:lang w:val="en-US" w:eastAsia="zh-CN"/>
        </w:rPr>
        <w:t>250</w:t>
      </w:r>
      <w:r>
        <w:rPr>
          <w:rFonts w:cs="Times New Roman"/>
          <w:color w:val="auto"/>
          <w:szCs w:val="24"/>
          <w:highlight w:val="none"/>
        </w:rPr>
        <w:t>m</w:t>
      </w:r>
      <w:r>
        <w:rPr>
          <w:rFonts w:cs="Times New Roman"/>
          <w:color w:val="auto"/>
          <w:szCs w:val="24"/>
          <w:highlight w:val="none"/>
          <w:vertAlign w:val="superscript"/>
        </w:rPr>
        <w:t>3</w:t>
      </w:r>
      <w:r>
        <w:rPr>
          <w:rFonts w:cs="Times New Roman"/>
          <w:color w:val="auto"/>
          <w:szCs w:val="24"/>
          <w:highlight w:val="none"/>
        </w:rPr>
        <w:t>/d，本项目屠宰废水</w:t>
      </w:r>
      <w:r>
        <w:rPr>
          <w:rFonts w:hint="eastAsia" w:cs="Times New Roman"/>
          <w:color w:val="auto"/>
          <w:kern w:val="0"/>
          <w:highlight w:val="none"/>
          <w:lang w:eastAsia="zh-CN"/>
        </w:rPr>
        <w:t>、车辆冲洗水及冷库排酸废水</w:t>
      </w:r>
      <w:r>
        <w:rPr>
          <w:rFonts w:cs="Times New Roman"/>
          <w:color w:val="auto"/>
          <w:szCs w:val="24"/>
          <w:highlight w:val="none"/>
        </w:rPr>
        <w:t>产生量为</w:t>
      </w:r>
      <w:r>
        <w:rPr>
          <w:rFonts w:hint="eastAsia" w:cs="Times New Roman"/>
          <w:snapToGrid w:val="0"/>
          <w:color w:val="auto"/>
          <w:highlight w:val="none"/>
          <w:lang w:val="en-US" w:eastAsia="zh-CN"/>
        </w:rPr>
        <w:t>229.1</w:t>
      </w:r>
      <w:r>
        <w:rPr>
          <w:rFonts w:cs="Times New Roman"/>
          <w:color w:val="auto"/>
          <w:szCs w:val="24"/>
          <w:highlight w:val="none"/>
        </w:rPr>
        <w:t>m</w:t>
      </w:r>
      <w:r>
        <w:rPr>
          <w:rFonts w:cs="Times New Roman"/>
          <w:color w:val="auto"/>
          <w:szCs w:val="24"/>
          <w:highlight w:val="none"/>
          <w:vertAlign w:val="superscript"/>
        </w:rPr>
        <w:t>3</w:t>
      </w:r>
      <w:r>
        <w:rPr>
          <w:rFonts w:cs="Times New Roman"/>
          <w:color w:val="auto"/>
          <w:szCs w:val="24"/>
          <w:highlight w:val="none"/>
        </w:rPr>
        <w:t>/d，因此，本项目自建的污水处理站能满足本项目屠宰废水的处理需求。</w:t>
      </w:r>
      <w:r>
        <w:rPr>
          <w:rFonts w:cs="Times New Roman"/>
          <w:bCs/>
          <w:color w:val="auto"/>
          <w:szCs w:val="24"/>
          <w:highlight w:val="none"/>
        </w:rPr>
        <w:t>本项目选择“</w:t>
      </w:r>
      <w:r>
        <w:rPr>
          <w:rFonts w:hint="eastAsia" w:cs="Times New Roman"/>
          <w:bCs/>
          <w:color w:val="auto"/>
          <w:szCs w:val="24"/>
          <w:highlight w:val="none"/>
          <w:lang w:eastAsia="zh-CN"/>
        </w:rPr>
        <w:t>格栅+</w:t>
      </w:r>
      <w:r>
        <w:rPr>
          <w:rFonts w:hint="eastAsia" w:cs="Times New Roman"/>
          <w:bCs/>
          <w:color w:val="auto"/>
          <w:szCs w:val="24"/>
          <w:highlight w:val="none"/>
          <w:lang w:val="en-US" w:eastAsia="zh-CN"/>
        </w:rPr>
        <w:t>隔油池</w:t>
      </w:r>
      <w:r>
        <w:rPr>
          <w:rFonts w:cs="Times New Roman"/>
          <w:bCs/>
          <w:color w:val="auto"/>
          <w:szCs w:val="24"/>
          <w:highlight w:val="none"/>
        </w:rPr>
        <w:t>+</w:t>
      </w:r>
      <w:r>
        <w:rPr>
          <w:rFonts w:hint="eastAsia" w:cs="Times New Roman"/>
          <w:bCs/>
          <w:color w:val="auto"/>
          <w:szCs w:val="24"/>
          <w:highlight w:val="none"/>
          <w:lang w:val="en-US" w:eastAsia="zh-CN"/>
        </w:rPr>
        <w:t>调节池</w:t>
      </w:r>
      <w:r>
        <w:rPr>
          <w:rFonts w:hint="eastAsia" w:cs="Times New Roman"/>
          <w:bCs/>
          <w:color w:val="auto"/>
          <w:szCs w:val="24"/>
          <w:highlight w:val="none"/>
          <w:lang w:eastAsia="zh-CN"/>
        </w:rPr>
        <w:t>+气浮+水解酸化+</w:t>
      </w:r>
      <w:r>
        <w:rPr>
          <w:rFonts w:hint="eastAsia" w:cs="Times New Roman"/>
          <w:bCs/>
          <w:color w:val="auto"/>
          <w:szCs w:val="24"/>
          <w:highlight w:val="none"/>
          <w:lang w:val="en-US" w:eastAsia="zh-CN"/>
        </w:rPr>
        <w:t>反硝化缺氧+好氧</w:t>
      </w:r>
      <w:r>
        <w:rPr>
          <w:rFonts w:hint="eastAsia" w:cs="Times New Roman"/>
          <w:bCs/>
          <w:color w:val="auto"/>
          <w:szCs w:val="24"/>
          <w:highlight w:val="none"/>
          <w:lang w:eastAsia="zh-CN"/>
        </w:rPr>
        <w:t>+沉淀+消毒（</w:t>
      </w:r>
      <w:r>
        <w:rPr>
          <w:rFonts w:hint="eastAsia" w:cs="Times New Roman"/>
          <w:bCs/>
          <w:color w:val="auto"/>
          <w:szCs w:val="24"/>
          <w:highlight w:val="none"/>
          <w:lang w:val="en-US" w:eastAsia="zh-CN"/>
        </w:rPr>
        <w:t>次氯酸钠）</w:t>
      </w:r>
      <w:r>
        <w:rPr>
          <w:rFonts w:cs="Times New Roman"/>
          <w:bCs/>
          <w:color w:val="auto"/>
          <w:szCs w:val="24"/>
          <w:highlight w:val="none"/>
        </w:rPr>
        <w:t>”工艺作为本项目的污水处理方案。</w:t>
      </w:r>
    </w:p>
    <w:p w14:paraId="4FF90EF2">
      <w:pPr>
        <w:widowControl/>
        <w:numPr>
          <w:ilvl w:val="0"/>
          <w:numId w:val="13"/>
        </w:numPr>
        <w:spacing w:line="500" w:lineRule="exact"/>
        <w:ind w:firstLine="482"/>
        <w:rPr>
          <w:rFonts w:cs="Times New Roman"/>
          <w:b/>
          <w:color w:val="auto"/>
          <w:szCs w:val="24"/>
          <w:highlight w:val="none"/>
        </w:rPr>
      </w:pPr>
      <w:r>
        <w:rPr>
          <w:rFonts w:cs="Times New Roman"/>
          <w:b/>
          <w:color w:val="auto"/>
          <w:szCs w:val="24"/>
          <w:highlight w:val="none"/>
        </w:rPr>
        <w:t>污水处理工艺流程说明</w:t>
      </w:r>
    </w:p>
    <w:p w14:paraId="74D49C8C">
      <w:pPr>
        <w:widowControl/>
        <w:spacing w:line="500" w:lineRule="exact"/>
        <w:rPr>
          <w:rFonts w:cs="Times New Roman"/>
          <w:bCs/>
          <w:color w:val="auto"/>
          <w:szCs w:val="24"/>
          <w:highlight w:val="none"/>
        </w:rPr>
      </w:pPr>
      <w:r>
        <w:rPr>
          <w:rFonts w:cs="Times New Roman"/>
          <w:bCs/>
          <w:color w:val="auto"/>
          <w:szCs w:val="24"/>
          <w:highlight w:val="none"/>
        </w:rPr>
        <w:t>本项目产生的生产废水中含有大量的血污油脂、毛皮、碎肉骨屑、内脏杂物、未消化的食物以及粪便等污染物，一般先通过格栅去除颗粒较大的悬浮物和污染物质，然后经隔油沉砂池去除大部分可浮油，通过气浮去除细小悬浮物、油脂、色度，然后进入生化系统。</w:t>
      </w:r>
    </w:p>
    <w:p w14:paraId="78484069">
      <w:pPr>
        <w:widowControl/>
        <w:spacing w:line="500" w:lineRule="exact"/>
        <w:rPr>
          <w:rFonts w:cs="Times New Roman"/>
          <w:bCs/>
          <w:color w:val="auto"/>
          <w:szCs w:val="24"/>
          <w:highlight w:val="none"/>
        </w:rPr>
      </w:pPr>
      <w:r>
        <w:rPr>
          <w:rFonts w:cs="Times New Roman"/>
          <w:bCs/>
          <w:color w:val="auto"/>
          <w:szCs w:val="24"/>
          <w:highlight w:val="none"/>
        </w:rPr>
        <w:t>水解酸化池主要是利用水中的厌氧细菌去除废水中的有机物，同时利用反硝化细菌脱氮。在水解酸化池内设弹性填料，便于厌氧生物在填料上附着。在水解酸化池内无氧条件下，附着在填料上的产酸菌、产甲烷菌和反硝化细菌利用水中有机物完成新陈代谢过程，最终将有机物转化为CO</w:t>
      </w:r>
      <w:r>
        <w:rPr>
          <w:rFonts w:cs="Times New Roman"/>
          <w:bCs/>
          <w:color w:val="auto"/>
          <w:szCs w:val="24"/>
          <w:highlight w:val="none"/>
          <w:vertAlign w:val="subscript"/>
        </w:rPr>
        <w:t>2</w:t>
      </w:r>
      <w:r>
        <w:rPr>
          <w:rFonts w:cs="Times New Roman"/>
          <w:bCs/>
          <w:color w:val="auto"/>
          <w:szCs w:val="24"/>
          <w:highlight w:val="none"/>
        </w:rPr>
        <w:t>、H</w:t>
      </w:r>
      <w:r>
        <w:rPr>
          <w:rFonts w:cs="Times New Roman"/>
          <w:bCs/>
          <w:color w:val="auto"/>
          <w:szCs w:val="24"/>
          <w:highlight w:val="none"/>
          <w:vertAlign w:val="subscript"/>
        </w:rPr>
        <w:t>2</w:t>
      </w:r>
      <w:r>
        <w:rPr>
          <w:rFonts w:cs="Times New Roman"/>
          <w:bCs/>
          <w:color w:val="auto"/>
          <w:szCs w:val="24"/>
          <w:highlight w:val="none"/>
        </w:rPr>
        <w:t>O等物质，以实现部分有机物的无机化，降低水中COD、BOD，部分高分子的有机物则在厌氧菌的胞外酶的作用下，转变为低分子的可溶的有机物，便于后续好氧生物利用，硝酸盐及亚硝酸盐在反硝化细菌的作用下，最后以氮气的形式逸出。</w:t>
      </w:r>
    </w:p>
    <w:p w14:paraId="1A3A5048">
      <w:pPr>
        <w:widowControl/>
        <w:spacing w:line="500" w:lineRule="exact"/>
        <w:rPr>
          <w:rFonts w:cs="Times New Roman"/>
          <w:bCs/>
          <w:color w:val="auto"/>
          <w:szCs w:val="24"/>
          <w:highlight w:val="none"/>
        </w:rPr>
      </w:pPr>
    </w:p>
    <w:p w14:paraId="202EB203">
      <w:pPr>
        <w:widowControl/>
        <w:spacing w:line="500" w:lineRule="exact"/>
        <w:rPr>
          <w:rFonts w:hint="eastAsia" w:eastAsia="宋体" w:cs="Times New Roman"/>
          <w:bCs/>
          <w:color w:val="auto"/>
          <w:szCs w:val="24"/>
          <w:highlight w:val="none"/>
          <w:lang w:eastAsia="zh-CN"/>
        </w:rPr>
      </w:pPr>
      <w:r>
        <w:rPr>
          <w:rFonts w:cs="Times New Roman"/>
          <w:bCs/>
          <w:color w:val="auto"/>
          <w:szCs w:val="24"/>
          <w:highlight w:val="none"/>
        </w:rPr>
        <w:t>反硝化缺氧池是生物脱氮工艺的核心单元，主要功能是在</w:t>
      </w:r>
      <w:r>
        <w:rPr>
          <w:rFonts w:hint="default" w:cs="Times New Roman"/>
          <w:bCs/>
          <w:color w:val="auto"/>
          <w:szCs w:val="24"/>
          <w:highlight w:val="none"/>
        </w:rPr>
        <w:t>缺氧条件下，将硝态氮（NO₃⁻-N）还原为氮气（N₂）并释放到大气中，从而实现废水脱氮。</w:t>
      </w:r>
      <w:r>
        <w:rPr>
          <w:rFonts w:cs="Times New Roman"/>
          <w:bCs/>
          <w:color w:val="auto"/>
          <w:szCs w:val="24"/>
          <w:highlight w:val="none"/>
        </w:rPr>
        <w:t>反硝化菌以有机物（BOD）为电子供体，同时降低 COD</w:t>
      </w:r>
      <w:r>
        <w:rPr>
          <w:rFonts w:hint="eastAsia" w:cs="Times New Roman"/>
          <w:bCs/>
          <w:color w:val="auto"/>
          <w:szCs w:val="24"/>
          <w:highlight w:val="none"/>
          <w:lang w:eastAsia="zh-CN"/>
        </w:rPr>
        <w:t>。</w:t>
      </w:r>
    </w:p>
    <w:p w14:paraId="266D3B8F">
      <w:pPr>
        <w:widowControl/>
        <w:spacing w:line="500" w:lineRule="exact"/>
        <w:rPr>
          <w:rFonts w:cs="Times New Roman"/>
          <w:bCs/>
          <w:color w:val="auto"/>
          <w:szCs w:val="24"/>
          <w:highlight w:val="none"/>
        </w:rPr>
      </w:pPr>
      <w:r>
        <w:rPr>
          <w:rFonts w:cs="Times New Roman"/>
          <w:bCs/>
          <w:color w:val="auto"/>
          <w:szCs w:val="24"/>
          <w:highlight w:val="none"/>
        </w:rPr>
        <w:t>接触氧化池池内设弹性填料，便于好氧细菌挂膜，并通过风机不断向池内充氧，补充池内好氧生物新陈代谢所需氧气，在好氧池内，可溶的小分子有机物作为好氧菌的营养物质，在好氧细菌的繁殖、成长过程中，最终被转变成为CO</w:t>
      </w:r>
      <w:r>
        <w:rPr>
          <w:rFonts w:cs="Times New Roman"/>
          <w:bCs/>
          <w:color w:val="auto"/>
          <w:szCs w:val="24"/>
          <w:highlight w:val="none"/>
          <w:vertAlign w:val="subscript"/>
        </w:rPr>
        <w:t>2</w:t>
      </w:r>
      <w:r>
        <w:rPr>
          <w:rFonts w:cs="Times New Roman"/>
          <w:bCs/>
          <w:color w:val="auto"/>
          <w:szCs w:val="24"/>
          <w:highlight w:val="none"/>
        </w:rPr>
        <w:t>，以达到无机化的目的。少量的大分子有机物在好氧菌胞外酶的作用下，继续分解为小分子的有机物，最终被转变成为CO</w:t>
      </w:r>
      <w:r>
        <w:rPr>
          <w:rFonts w:cs="Times New Roman"/>
          <w:bCs/>
          <w:color w:val="auto"/>
          <w:szCs w:val="24"/>
          <w:highlight w:val="none"/>
          <w:vertAlign w:val="subscript"/>
        </w:rPr>
        <w:t>2</w:t>
      </w:r>
      <w:r>
        <w:rPr>
          <w:rFonts w:cs="Times New Roman"/>
          <w:bCs/>
          <w:color w:val="auto"/>
          <w:szCs w:val="24"/>
          <w:highlight w:val="none"/>
        </w:rPr>
        <w:t>和H</w:t>
      </w:r>
      <w:r>
        <w:rPr>
          <w:rFonts w:cs="Times New Roman"/>
          <w:bCs/>
          <w:color w:val="auto"/>
          <w:szCs w:val="24"/>
          <w:highlight w:val="none"/>
          <w:vertAlign w:val="subscript"/>
        </w:rPr>
        <w:t>2</w:t>
      </w:r>
      <w:r>
        <w:rPr>
          <w:rFonts w:cs="Times New Roman"/>
          <w:bCs/>
          <w:color w:val="auto"/>
          <w:szCs w:val="24"/>
          <w:highlight w:val="none"/>
        </w:rPr>
        <w:t>O，达到无机化的目的。</w:t>
      </w:r>
    </w:p>
    <w:p w14:paraId="63BEA211">
      <w:pPr>
        <w:widowControl/>
        <w:spacing w:line="500" w:lineRule="exact"/>
        <w:rPr>
          <w:rFonts w:cs="Times New Roman"/>
          <w:bCs/>
          <w:color w:val="auto"/>
          <w:szCs w:val="24"/>
          <w:highlight w:val="none"/>
        </w:rPr>
      </w:pPr>
      <w:r>
        <w:rPr>
          <w:rFonts w:hint="eastAsia" w:cs="Times New Roman"/>
          <w:bCs/>
          <w:color w:val="auto"/>
          <w:szCs w:val="24"/>
          <w:highlight w:val="none"/>
          <w:lang w:val="en-US" w:eastAsia="zh-CN"/>
        </w:rPr>
        <w:t>沉淀池</w:t>
      </w:r>
      <w:r>
        <w:rPr>
          <w:rFonts w:cs="Times New Roman"/>
          <w:bCs/>
          <w:color w:val="auto"/>
          <w:szCs w:val="24"/>
          <w:highlight w:val="none"/>
        </w:rPr>
        <w:t>采用竖流式沉淀池的方式，表面负荷控制在0.7m</w:t>
      </w:r>
      <w:r>
        <w:rPr>
          <w:rFonts w:cs="Times New Roman"/>
          <w:bCs/>
          <w:color w:val="auto"/>
          <w:szCs w:val="24"/>
          <w:highlight w:val="none"/>
          <w:vertAlign w:val="superscript"/>
        </w:rPr>
        <w:t>3</w:t>
      </w:r>
      <w:r>
        <w:rPr>
          <w:rFonts w:cs="Times New Roman"/>
          <w:bCs/>
          <w:color w:val="auto"/>
          <w:szCs w:val="24"/>
          <w:highlight w:val="none"/>
        </w:rPr>
        <w:t>/(m</w:t>
      </w:r>
      <w:r>
        <w:rPr>
          <w:rFonts w:cs="Times New Roman"/>
          <w:bCs/>
          <w:color w:val="auto"/>
          <w:szCs w:val="24"/>
          <w:highlight w:val="none"/>
          <w:vertAlign w:val="superscript"/>
        </w:rPr>
        <w:t>2</w:t>
      </w:r>
      <w:r>
        <w:rPr>
          <w:rFonts w:hint="eastAsia" w:cs="Times New Roman"/>
          <w:bCs/>
          <w:color w:val="auto"/>
          <w:szCs w:val="24"/>
          <w:highlight w:val="none"/>
          <w:lang w:val="en-US" w:eastAsia="zh-CN"/>
        </w:rPr>
        <w:t>·</w:t>
      </w:r>
      <w:r>
        <w:rPr>
          <w:rFonts w:cs="Times New Roman"/>
          <w:bCs/>
          <w:color w:val="auto"/>
          <w:szCs w:val="24"/>
          <w:highlight w:val="none"/>
        </w:rPr>
        <w:t>h)以内，主要进行固液分离，澄清接触氧化池出水（含有较多脱落的生物膜和不溶性物质），为此沉淀池的设计采用合理的设计参数，从而确保了澄清效果。沉淀污泥部分回流至水解酸化池，保持一定污泥浓度，提高处理效果，剩余部分污泥提升入污泥浓缩池，减少污泥体积，再进行脱水处理。</w:t>
      </w:r>
    </w:p>
    <w:p w14:paraId="5A457250">
      <w:pPr>
        <w:widowControl/>
        <w:spacing w:line="500" w:lineRule="exact"/>
        <w:rPr>
          <w:rFonts w:cs="Times New Roman"/>
          <w:bCs/>
          <w:color w:val="auto"/>
          <w:szCs w:val="24"/>
          <w:highlight w:val="none"/>
        </w:rPr>
      </w:pPr>
      <w:r>
        <w:rPr>
          <w:rFonts w:cs="Times New Roman"/>
          <w:bCs/>
          <w:color w:val="auto"/>
          <w:szCs w:val="24"/>
          <w:highlight w:val="none"/>
        </w:rPr>
        <w:t>进行污泥回流以后，整个污水系统具备一定的污泥浓度，因此污水处理系统兼具接触氧化法和活性污泥的特点。</w:t>
      </w:r>
    </w:p>
    <w:p w14:paraId="5FAEBC90">
      <w:pPr>
        <w:widowControl/>
        <w:spacing w:line="500" w:lineRule="exact"/>
        <w:rPr>
          <w:rFonts w:cs="Times New Roman"/>
          <w:bCs/>
          <w:color w:val="auto"/>
          <w:szCs w:val="24"/>
          <w:highlight w:val="none"/>
        </w:rPr>
      </w:pPr>
      <w:r>
        <w:rPr>
          <w:rFonts w:cs="Times New Roman"/>
          <w:bCs/>
          <w:color w:val="auto"/>
          <w:szCs w:val="24"/>
          <w:highlight w:val="none"/>
        </w:rPr>
        <w:t>消毒池：采用加药消毒，使用</w:t>
      </w:r>
      <w:r>
        <w:rPr>
          <w:rFonts w:hint="eastAsia" w:cs="Times New Roman"/>
          <w:bCs/>
          <w:color w:val="auto"/>
          <w:szCs w:val="24"/>
          <w:highlight w:val="none"/>
          <w:lang w:val="en-US" w:eastAsia="zh-CN"/>
        </w:rPr>
        <w:t>次氯酸钠</w:t>
      </w:r>
      <w:r>
        <w:rPr>
          <w:rFonts w:cs="Times New Roman"/>
          <w:bCs/>
          <w:color w:val="auto"/>
          <w:szCs w:val="24"/>
          <w:highlight w:val="none"/>
        </w:rPr>
        <w:t>消毒。</w:t>
      </w:r>
    </w:p>
    <w:p w14:paraId="7550648F">
      <w:pPr>
        <w:widowControl/>
        <w:spacing w:line="500" w:lineRule="exact"/>
        <w:rPr>
          <w:rFonts w:cs="Times New Roman"/>
          <w:bCs/>
          <w:color w:val="auto"/>
          <w:szCs w:val="24"/>
          <w:highlight w:val="none"/>
        </w:rPr>
      </w:pPr>
      <w:r>
        <w:rPr>
          <w:rFonts w:cs="Times New Roman"/>
          <w:bCs/>
          <w:color w:val="auto"/>
          <w:szCs w:val="24"/>
          <w:highlight w:val="none"/>
        </w:rPr>
        <w:t>气浮和隔油池排放的浮泥经过干化场（位于污水处理站内）截留，否则会造成浮泥从浓缩池进入调节池循环处理。干化场分3格。</w:t>
      </w:r>
    </w:p>
    <w:p w14:paraId="5C58AABE">
      <w:pPr>
        <w:widowControl/>
        <w:spacing w:line="500" w:lineRule="exact"/>
        <w:rPr>
          <w:rFonts w:cs="Times New Roman"/>
          <w:bCs/>
          <w:color w:val="auto"/>
          <w:szCs w:val="24"/>
          <w:highlight w:val="none"/>
        </w:rPr>
      </w:pPr>
      <w:r>
        <w:rPr>
          <w:rFonts w:cs="Times New Roman"/>
          <w:bCs/>
          <w:color w:val="auto"/>
          <w:szCs w:val="24"/>
          <w:highlight w:val="none"/>
        </w:rPr>
        <w:t>污泥处理中浮渣进入干化场，沉淀污泥进入浓缩池，采用叠螺式污泥脱水机压泥。</w:t>
      </w:r>
    </w:p>
    <w:p w14:paraId="007659DC">
      <w:pPr>
        <w:widowControl/>
        <w:spacing w:line="500" w:lineRule="exact"/>
        <w:rPr>
          <w:rFonts w:hint="eastAsia" w:eastAsia="宋体" w:cs="Times New Roman"/>
          <w:bCs/>
          <w:color w:val="auto"/>
          <w:szCs w:val="24"/>
          <w:highlight w:val="none"/>
          <w:lang w:val="en-US" w:eastAsia="zh-CN"/>
        </w:rPr>
      </w:pPr>
      <w:r>
        <w:rPr>
          <w:rFonts w:hint="eastAsia" w:cs="Times New Roman"/>
          <w:bCs/>
          <w:color w:val="auto"/>
          <w:szCs w:val="24"/>
          <w:highlight w:val="none"/>
          <w:lang w:val="en-US" w:eastAsia="zh-CN"/>
        </w:rPr>
        <w:t>该工艺涉及的微生物菌群适宜生活温度为25〜35℃，本项目位于北方高寒地区，当外界温度低于10℃是，微生物基本处于休眠状态；当外界温度低于4℃时，微生物将开始出现死亡。冬季污水处理站需要供暖，满足微生物菌群正常活动所需要的温度条件，确保污水处理站出水稳定达标。</w:t>
      </w:r>
      <w:r>
        <w:rPr>
          <w:rFonts w:cs="Times New Roman"/>
          <w:bCs/>
          <w:color w:val="auto"/>
          <w:szCs w:val="24"/>
          <w:highlight w:val="none"/>
        </w:rPr>
        <w:t>污水处理站冬季</w:t>
      </w:r>
      <w:r>
        <w:rPr>
          <w:rFonts w:hint="eastAsia" w:cs="Times New Roman"/>
          <w:bCs/>
          <w:color w:val="auto"/>
          <w:szCs w:val="24"/>
          <w:highlight w:val="none"/>
          <w:lang w:val="en-US" w:eastAsia="zh-CN"/>
        </w:rPr>
        <w:t>低温期间运行管理主要措施。</w:t>
      </w:r>
    </w:p>
    <w:p w14:paraId="6CB64718">
      <w:pPr>
        <w:widowControl/>
        <w:numPr>
          <w:ilvl w:val="0"/>
          <w:numId w:val="14"/>
        </w:numPr>
        <w:spacing w:line="500" w:lineRule="exact"/>
        <w:rPr>
          <w:rFonts w:hint="eastAsia" w:cs="Times New Roman"/>
          <w:bCs/>
          <w:color w:val="auto"/>
          <w:szCs w:val="24"/>
          <w:highlight w:val="none"/>
          <w:lang w:val="en-US" w:eastAsia="zh-CN"/>
        </w:rPr>
      </w:pPr>
      <w:r>
        <w:rPr>
          <w:rFonts w:hint="eastAsia" w:cs="Times New Roman"/>
          <w:bCs/>
          <w:color w:val="auto"/>
          <w:szCs w:val="24"/>
          <w:highlight w:val="none"/>
          <w:lang w:val="en-US" w:eastAsia="zh-CN"/>
        </w:rPr>
        <w:t>机械格栅冬季运行时，要充分考虑室内通风，防止设备结冰，并应采取机械输送装置；</w:t>
      </w:r>
    </w:p>
    <w:p w14:paraId="48A80E2F">
      <w:pPr>
        <w:widowControl/>
        <w:numPr>
          <w:ilvl w:val="0"/>
          <w:numId w:val="14"/>
        </w:numPr>
        <w:spacing w:line="500" w:lineRule="exact"/>
        <w:rPr>
          <w:rFonts w:hint="default" w:cs="Times New Roman"/>
          <w:bCs/>
          <w:color w:val="auto"/>
          <w:szCs w:val="24"/>
          <w:highlight w:val="none"/>
          <w:lang w:val="en-US" w:eastAsia="zh-CN"/>
        </w:rPr>
      </w:pPr>
      <w:r>
        <w:rPr>
          <w:rFonts w:hint="eastAsia" w:cs="Times New Roman"/>
          <w:bCs/>
          <w:color w:val="auto"/>
          <w:szCs w:val="24"/>
          <w:highlight w:val="none"/>
          <w:lang w:val="en-US" w:eastAsia="zh-CN"/>
        </w:rPr>
        <w:t>污泥池及污泥浓缩池池体上安装保温装置，污水处理间安装供热管道；</w:t>
      </w:r>
    </w:p>
    <w:p w14:paraId="1B6A008D">
      <w:pPr>
        <w:widowControl/>
        <w:numPr>
          <w:ilvl w:val="0"/>
          <w:numId w:val="14"/>
        </w:numPr>
        <w:spacing w:line="500" w:lineRule="exact"/>
        <w:rPr>
          <w:rFonts w:hint="default"/>
          <w:color w:val="auto"/>
          <w:highlight w:val="none"/>
          <w:lang w:val="en-US" w:eastAsia="zh-CN"/>
        </w:rPr>
      </w:pPr>
      <w:r>
        <w:rPr>
          <w:rFonts w:hint="eastAsia" w:cs="Times New Roman"/>
          <w:bCs/>
          <w:color w:val="auto"/>
          <w:szCs w:val="24"/>
          <w:highlight w:val="none"/>
          <w:lang w:val="en-US" w:eastAsia="zh-CN"/>
        </w:rPr>
        <w:t>对厂区内各种污水、污泥、投药管线和阀门注意防冻，对裸露在室外的管线要缠好保温棉、保温毡，对一些间隙性输送液体的管线应在管线外缠绕伴热带，保证管线内液体不上冻结冰。</w:t>
      </w:r>
    </w:p>
    <w:p w14:paraId="082748CE">
      <w:pPr>
        <w:widowControl/>
        <w:numPr>
          <w:ilvl w:val="0"/>
          <w:numId w:val="0"/>
        </w:numPr>
        <w:adjustRightInd w:val="0"/>
        <w:snapToGrid w:val="0"/>
        <w:spacing w:line="500" w:lineRule="exact"/>
        <w:jc w:val="both"/>
        <w:rPr>
          <w:rFonts w:hint="eastAsia" w:cs="Times New Roman"/>
          <w:bCs/>
          <w:color w:val="auto"/>
          <w:szCs w:val="24"/>
          <w:highlight w:val="none"/>
          <w:lang w:val="en-US" w:eastAsia="zh-CN"/>
        </w:rPr>
      </w:pPr>
    </w:p>
    <w:p w14:paraId="25A870C5">
      <w:pPr>
        <w:widowControl/>
        <w:numPr>
          <w:ilvl w:val="0"/>
          <w:numId w:val="0"/>
        </w:numPr>
        <w:adjustRightInd w:val="0"/>
        <w:snapToGrid w:val="0"/>
        <w:spacing w:line="500" w:lineRule="exact"/>
        <w:jc w:val="both"/>
        <w:rPr>
          <w:rFonts w:hint="eastAsia" w:cs="Times New Roman"/>
          <w:bCs/>
          <w:color w:val="auto"/>
          <w:szCs w:val="24"/>
          <w:highlight w:val="none"/>
          <w:lang w:val="en-US" w:eastAsia="zh-CN"/>
        </w:rPr>
      </w:pPr>
    </w:p>
    <w:p w14:paraId="6320EBB7">
      <w:pPr>
        <w:widowControl/>
        <w:numPr>
          <w:ilvl w:val="0"/>
          <w:numId w:val="0"/>
        </w:numPr>
        <w:adjustRightInd w:val="0"/>
        <w:snapToGrid w:val="0"/>
        <w:spacing w:line="500" w:lineRule="exact"/>
        <w:jc w:val="both"/>
        <w:rPr>
          <w:rFonts w:hint="default" w:cs="Times New Roman"/>
          <w:bCs/>
          <w:color w:val="auto"/>
          <w:szCs w:val="24"/>
          <w:highlight w:val="none"/>
          <w:lang w:val="en-US" w:eastAsia="zh-CN"/>
        </w:rPr>
      </w:pPr>
    </w:p>
    <w:p w14:paraId="0CF0B896">
      <w:pPr>
        <w:pStyle w:val="46"/>
        <w:ind w:left="0" w:leftChars="0" w:firstLine="0" w:firstLineChars="0"/>
        <w:jc w:val="center"/>
        <w:rPr>
          <w:rFonts w:eastAsia="宋体" w:cs="Times New Roman"/>
          <w:b/>
          <w:bCs/>
          <w:snapToGrid w:val="0"/>
          <w:color w:val="auto"/>
          <w:szCs w:val="24"/>
          <w:highlight w:val="none"/>
          <w:lang w:val="en-US"/>
        </w:rPr>
      </w:pPr>
      <w:r>
        <w:rPr>
          <w:color w:val="auto"/>
          <w:highlight w:val="none"/>
        </w:rPr>
        <w:drawing>
          <wp:inline distT="0" distB="0" distL="114300" distR="114300">
            <wp:extent cx="5276850" cy="1839595"/>
            <wp:effectExtent l="0" t="0" r="0" b="8255"/>
            <wp:docPr id="1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
                    <pic:cNvPicPr>
                      <a:picLocks noChangeAspect="1"/>
                    </pic:cNvPicPr>
                  </pic:nvPicPr>
                  <pic:blipFill>
                    <a:blip r:embed="rId36"/>
                    <a:stretch>
                      <a:fillRect/>
                    </a:stretch>
                  </pic:blipFill>
                  <pic:spPr>
                    <a:xfrm>
                      <a:off x="0" y="0"/>
                      <a:ext cx="5276850" cy="1839595"/>
                    </a:xfrm>
                    <a:prstGeom prst="rect">
                      <a:avLst/>
                    </a:prstGeom>
                    <a:noFill/>
                    <a:ln>
                      <a:noFill/>
                    </a:ln>
                  </pic:spPr>
                </pic:pic>
              </a:graphicData>
            </a:graphic>
          </wp:inline>
        </w:drawing>
      </w:r>
    </w:p>
    <w:p w14:paraId="1222A1C8">
      <w:pPr>
        <w:pStyle w:val="66"/>
        <w:spacing w:before="163" w:beforeLines="50" w:line="240" w:lineRule="auto"/>
        <w:rPr>
          <w:rFonts w:eastAsia="宋体" w:cs="Times New Roman"/>
          <w:b/>
          <w:bCs/>
          <w:snapToGrid w:val="0"/>
          <w:color w:val="auto"/>
          <w:szCs w:val="24"/>
          <w:highlight w:val="none"/>
          <w:lang w:val="en-US"/>
        </w:rPr>
      </w:pPr>
      <w:r>
        <w:rPr>
          <w:rFonts w:eastAsia="宋体" w:cs="Times New Roman"/>
          <w:b/>
          <w:bCs/>
          <w:snapToGrid w:val="0"/>
          <w:color w:val="auto"/>
          <w:szCs w:val="24"/>
          <w:highlight w:val="none"/>
          <w:lang w:val="en-US"/>
        </w:rPr>
        <w:t>图5-2-1  污水处理工艺流程图</w:t>
      </w:r>
    </w:p>
    <w:p w14:paraId="079307A6">
      <w:pPr>
        <w:widowControl/>
        <w:numPr>
          <w:ilvl w:val="0"/>
          <w:numId w:val="13"/>
        </w:numPr>
        <w:spacing w:line="500" w:lineRule="exact"/>
        <w:ind w:firstLine="482"/>
        <w:rPr>
          <w:rFonts w:eastAsia="宋体" w:cs="Times New Roman"/>
          <w:b/>
          <w:bCs/>
          <w:snapToGrid w:val="0"/>
          <w:color w:val="auto"/>
          <w:szCs w:val="24"/>
          <w:highlight w:val="none"/>
          <w:lang w:val="en-US"/>
        </w:rPr>
      </w:pPr>
      <w:r>
        <w:rPr>
          <w:rFonts w:cs="Times New Roman"/>
          <w:b/>
          <w:color w:val="auto"/>
          <w:szCs w:val="24"/>
          <w:highlight w:val="none"/>
        </w:rPr>
        <w:t>预期治理效果</w:t>
      </w:r>
    </w:p>
    <w:p w14:paraId="5ECBDAE8">
      <w:pPr>
        <w:pStyle w:val="66"/>
        <w:spacing w:before="163" w:beforeLines="50" w:line="240" w:lineRule="auto"/>
        <w:rPr>
          <w:rFonts w:eastAsia="宋体" w:cs="Times New Roman"/>
          <w:b/>
          <w:bCs/>
          <w:snapToGrid w:val="0"/>
          <w:color w:val="auto"/>
          <w:szCs w:val="24"/>
          <w:highlight w:val="none"/>
          <w:lang w:val="en-US"/>
        </w:rPr>
      </w:pPr>
      <w:r>
        <w:rPr>
          <w:rFonts w:eastAsia="宋体" w:cs="Times New Roman"/>
          <w:b/>
          <w:bCs/>
          <w:snapToGrid w:val="0"/>
          <w:color w:val="auto"/>
          <w:szCs w:val="24"/>
          <w:highlight w:val="none"/>
          <w:lang w:val="en-US"/>
        </w:rPr>
        <w:t>表5-2-17  污水处理站处理效果</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710"/>
        <w:gridCol w:w="1032"/>
        <w:gridCol w:w="709"/>
        <w:gridCol w:w="709"/>
        <w:gridCol w:w="709"/>
        <w:gridCol w:w="709"/>
        <w:gridCol w:w="796"/>
        <w:gridCol w:w="709"/>
        <w:gridCol w:w="709"/>
        <w:gridCol w:w="753"/>
        <w:gridCol w:w="878"/>
      </w:tblGrid>
      <w:tr w14:paraId="31CC8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42" w:hRule="atLeast"/>
          <w:jc w:val="center"/>
        </w:trPr>
        <w:tc>
          <w:tcPr>
            <w:tcW w:w="1103" w:type="pct"/>
            <w:gridSpan w:val="2"/>
            <w:vAlign w:val="center"/>
          </w:tcPr>
          <w:p w14:paraId="4FD0817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项目</w:t>
            </w:r>
          </w:p>
        </w:tc>
        <w:tc>
          <w:tcPr>
            <w:tcW w:w="441" w:type="pct"/>
            <w:vAlign w:val="center"/>
          </w:tcPr>
          <w:p w14:paraId="2BB7072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COD</w:t>
            </w:r>
          </w:p>
          <w:p w14:paraId="284E1E0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(mg/L)</w:t>
            </w:r>
          </w:p>
        </w:tc>
        <w:tc>
          <w:tcPr>
            <w:tcW w:w="401" w:type="pct"/>
            <w:vAlign w:val="center"/>
          </w:tcPr>
          <w:p w14:paraId="4AEFFBFC">
            <w:pPr>
              <w:spacing w:line="240" w:lineRule="auto"/>
              <w:ind w:firstLine="0" w:firstLineChars="0"/>
              <w:jc w:val="center"/>
              <w:rPr>
                <w:rFonts w:cs="Times New Roman"/>
                <w:color w:val="auto"/>
                <w:sz w:val="21"/>
                <w:szCs w:val="21"/>
                <w:highlight w:val="none"/>
                <w:vertAlign w:val="subscript"/>
              </w:rPr>
            </w:pPr>
            <w:r>
              <w:rPr>
                <w:rFonts w:cs="Times New Roman"/>
                <w:color w:val="auto"/>
                <w:sz w:val="21"/>
                <w:szCs w:val="21"/>
                <w:highlight w:val="none"/>
              </w:rPr>
              <w:t>BOD</w:t>
            </w:r>
            <w:r>
              <w:rPr>
                <w:rFonts w:cs="Times New Roman"/>
                <w:color w:val="auto"/>
                <w:sz w:val="21"/>
                <w:szCs w:val="21"/>
                <w:highlight w:val="none"/>
                <w:vertAlign w:val="subscript"/>
              </w:rPr>
              <w:t>5</w:t>
            </w:r>
          </w:p>
          <w:p w14:paraId="7E41456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(mg/L)</w:t>
            </w:r>
          </w:p>
        </w:tc>
        <w:tc>
          <w:tcPr>
            <w:tcW w:w="390" w:type="pct"/>
            <w:vAlign w:val="center"/>
          </w:tcPr>
          <w:p w14:paraId="09D7EB8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SS</w:t>
            </w:r>
          </w:p>
          <w:p w14:paraId="5307C305">
            <w:pPr>
              <w:spacing w:line="240" w:lineRule="auto"/>
              <w:ind w:firstLine="0" w:firstLineChars="0"/>
              <w:jc w:val="center"/>
              <w:rPr>
                <w:rFonts w:cs="Times New Roman"/>
                <w:color w:val="auto"/>
                <w:sz w:val="21"/>
                <w:szCs w:val="21"/>
                <w:highlight w:val="none"/>
                <w:vertAlign w:val="subscript"/>
              </w:rPr>
            </w:pPr>
            <w:r>
              <w:rPr>
                <w:rFonts w:cs="Times New Roman"/>
                <w:color w:val="auto"/>
                <w:sz w:val="21"/>
                <w:szCs w:val="21"/>
                <w:highlight w:val="none"/>
              </w:rPr>
              <w:t>(mg/L)</w:t>
            </w:r>
          </w:p>
        </w:tc>
        <w:tc>
          <w:tcPr>
            <w:tcW w:w="390" w:type="pct"/>
            <w:vAlign w:val="center"/>
          </w:tcPr>
          <w:p w14:paraId="4CBA6C1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氨氮</w:t>
            </w:r>
          </w:p>
          <w:p w14:paraId="58988D96">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(mg/L)</w:t>
            </w:r>
          </w:p>
        </w:tc>
        <w:tc>
          <w:tcPr>
            <w:tcW w:w="514" w:type="pct"/>
            <w:vAlign w:val="center"/>
          </w:tcPr>
          <w:p w14:paraId="71C5EDD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动植物油</w:t>
            </w:r>
          </w:p>
          <w:p w14:paraId="7A9D373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(mg/L)</w:t>
            </w:r>
          </w:p>
        </w:tc>
        <w:tc>
          <w:tcPr>
            <w:tcW w:w="408" w:type="pct"/>
            <w:vAlign w:val="center"/>
          </w:tcPr>
          <w:p w14:paraId="01539E0C">
            <w:pPr>
              <w:pStyle w:val="303"/>
              <w:adjustRightInd w:val="0"/>
              <w:snapToGrid w:val="0"/>
              <w:spacing w:line="240" w:lineRule="auto"/>
              <w:rPr>
                <w:color w:val="auto"/>
                <w:sz w:val="21"/>
                <w:szCs w:val="21"/>
                <w:highlight w:val="none"/>
              </w:rPr>
            </w:pPr>
            <w:r>
              <w:rPr>
                <w:snapToGrid w:val="0"/>
                <w:color w:val="auto"/>
                <w:sz w:val="21"/>
                <w:szCs w:val="21"/>
                <w:highlight w:val="none"/>
              </w:rPr>
              <w:t>总氮</w:t>
            </w:r>
            <w:r>
              <w:rPr>
                <w:color w:val="auto"/>
                <w:sz w:val="21"/>
                <w:szCs w:val="21"/>
                <w:highlight w:val="none"/>
              </w:rPr>
              <w:t>(mg/L)</w:t>
            </w:r>
          </w:p>
        </w:tc>
        <w:tc>
          <w:tcPr>
            <w:tcW w:w="384" w:type="pct"/>
            <w:vAlign w:val="center"/>
          </w:tcPr>
          <w:p w14:paraId="6E2A13A8">
            <w:pPr>
              <w:pStyle w:val="303"/>
              <w:adjustRightInd w:val="0"/>
              <w:snapToGrid w:val="0"/>
              <w:spacing w:line="240" w:lineRule="auto"/>
              <w:rPr>
                <w:color w:val="auto"/>
                <w:sz w:val="21"/>
                <w:szCs w:val="21"/>
                <w:highlight w:val="none"/>
              </w:rPr>
            </w:pPr>
            <w:r>
              <w:rPr>
                <w:snapToGrid w:val="0"/>
                <w:color w:val="auto"/>
                <w:sz w:val="21"/>
                <w:szCs w:val="21"/>
                <w:highlight w:val="none"/>
              </w:rPr>
              <w:t>总磷</w:t>
            </w:r>
            <w:r>
              <w:rPr>
                <w:color w:val="auto"/>
                <w:sz w:val="21"/>
                <w:szCs w:val="21"/>
                <w:highlight w:val="none"/>
              </w:rPr>
              <w:t>(mg/L)</w:t>
            </w:r>
          </w:p>
        </w:tc>
        <w:tc>
          <w:tcPr>
            <w:tcW w:w="457" w:type="pct"/>
            <w:vAlign w:val="center"/>
          </w:tcPr>
          <w:p w14:paraId="1A8E337A">
            <w:pPr>
              <w:pStyle w:val="303"/>
              <w:adjustRightInd w:val="0"/>
              <w:snapToGrid w:val="0"/>
              <w:ind w:firstLine="0" w:firstLineChars="0"/>
              <w:rPr>
                <w:snapToGrid w:val="0"/>
                <w:color w:val="auto"/>
                <w:sz w:val="21"/>
                <w:szCs w:val="21"/>
                <w:highlight w:val="none"/>
              </w:rPr>
            </w:pPr>
            <w:r>
              <w:rPr>
                <w:rFonts w:hint="eastAsia" w:ascii="Times New Roman" w:hAnsi="Times New Roman" w:eastAsia="宋体" w:cs="Times New Roman"/>
                <w:color w:val="auto"/>
                <w:sz w:val="21"/>
                <w:szCs w:val="21"/>
                <w:highlight w:val="none"/>
                <w:lang w:val="en-US" w:eastAsia="zh-CN"/>
              </w:rPr>
              <w:t>pH值</w:t>
            </w:r>
          </w:p>
        </w:tc>
        <w:tc>
          <w:tcPr>
            <w:tcW w:w="506" w:type="pct"/>
            <w:vAlign w:val="center"/>
          </w:tcPr>
          <w:p w14:paraId="4D189999">
            <w:pPr>
              <w:pStyle w:val="303"/>
              <w:adjustRightInd w:val="0"/>
              <w:snapToGrid w:val="0"/>
              <w:ind w:firstLine="0" w:firstLineChars="0"/>
              <w:rPr>
                <w:snapToGrid w:val="0"/>
                <w:color w:val="auto"/>
                <w:sz w:val="21"/>
                <w:szCs w:val="21"/>
                <w:highlight w:val="none"/>
              </w:rPr>
            </w:pPr>
            <w:r>
              <w:rPr>
                <w:rFonts w:hint="eastAsia" w:ascii="Times New Roman" w:hAnsi="Times New Roman" w:eastAsia="宋体" w:cs="Times New Roman"/>
                <w:color w:val="auto"/>
                <w:sz w:val="21"/>
                <w:szCs w:val="21"/>
                <w:highlight w:val="none"/>
                <w:lang w:val="en-US" w:eastAsia="zh-CN"/>
              </w:rPr>
              <w:t>大肠菌群数</w:t>
            </w:r>
          </w:p>
        </w:tc>
      </w:tr>
      <w:tr w14:paraId="079A5D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81" w:hRule="atLeast"/>
          <w:jc w:val="center"/>
        </w:trPr>
        <w:tc>
          <w:tcPr>
            <w:tcW w:w="456" w:type="pct"/>
            <w:vMerge w:val="restart"/>
            <w:vAlign w:val="center"/>
          </w:tcPr>
          <w:p w14:paraId="2766F1EC">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调节池</w:t>
            </w:r>
            <w:r>
              <w:rPr>
                <w:rFonts w:cs="Times New Roman"/>
                <w:color w:val="auto"/>
                <w:sz w:val="21"/>
                <w:szCs w:val="21"/>
                <w:highlight w:val="none"/>
              </w:rPr>
              <w:t>+气浮+水解酸化</w:t>
            </w:r>
            <w:r>
              <w:rPr>
                <w:rFonts w:eastAsia="宋体" w:cs="Times New Roman"/>
                <w:color w:val="auto"/>
                <w:sz w:val="21"/>
                <w:szCs w:val="21"/>
                <w:highlight w:val="none"/>
              </w:rPr>
              <w:t>+</w:t>
            </w:r>
            <w:r>
              <w:rPr>
                <w:rFonts w:hint="eastAsia" w:eastAsia="宋体" w:cs="Times New Roman"/>
                <w:color w:val="auto"/>
                <w:sz w:val="21"/>
                <w:szCs w:val="21"/>
                <w:highlight w:val="none"/>
                <w:lang w:val="en-US" w:eastAsia="zh-CN"/>
              </w:rPr>
              <w:t>反硝化缺氧+好氧</w:t>
            </w:r>
          </w:p>
        </w:tc>
        <w:tc>
          <w:tcPr>
            <w:tcW w:w="647" w:type="pct"/>
            <w:vAlign w:val="center"/>
          </w:tcPr>
          <w:p w14:paraId="3F63632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混合后水质</w:t>
            </w:r>
          </w:p>
        </w:tc>
        <w:tc>
          <w:tcPr>
            <w:tcW w:w="441" w:type="pct"/>
            <w:shd w:val="clear" w:color="auto" w:fill="auto"/>
            <w:vAlign w:val="center"/>
          </w:tcPr>
          <w:p w14:paraId="042652B5">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2649</w:t>
            </w:r>
          </w:p>
        </w:tc>
        <w:tc>
          <w:tcPr>
            <w:tcW w:w="401" w:type="pct"/>
            <w:shd w:val="clear" w:color="auto" w:fill="auto"/>
            <w:vAlign w:val="center"/>
          </w:tcPr>
          <w:p w14:paraId="033A838F">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963</w:t>
            </w:r>
          </w:p>
        </w:tc>
        <w:tc>
          <w:tcPr>
            <w:tcW w:w="390" w:type="pct"/>
            <w:shd w:val="clear" w:color="auto" w:fill="auto"/>
            <w:vAlign w:val="center"/>
          </w:tcPr>
          <w:p w14:paraId="3B5F1999">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963</w:t>
            </w:r>
          </w:p>
        </w:tc>
        <w:tc>
          <w:tcPr>
            <w:tcW w:w="390" w:type="pct"/>
            <w:shd w:val="clear" w:color="auto" w:fill="auto"/>
            <w:vAlign w:val="center"/>
          </w:tcPr>
          <w:p w14:paraId="67A85F3F">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84</w:t>
            </w:r>
          </w:p>
        </w:tc>
        <w:tc>
          <w:tcPr>
            <w:tcW w:w="514" w:type="pct"/>
            <w:shd w:val="clear" w:color="auto" w:fill="auto"/>
            <w:vAlign w:val="center"/>
          </w:tcPr>
          <w:p w14:paraId="1631DB41">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192</w:t>
            </w:r>
          </w:p>
        </w:tc>
        <w:tc>
          <w:tcPr>
            <w:tcW w:w="408" w:type="pct"/>
            <w:shd w:val="clear" w:color="auto" w:fill="auto"/>
            <w:vAlign w:val="center"/>
          </w:tcPr>
          <w:p w14:paraId="0AA1A19B">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189</w:t>
            </w:r>
          </w:p>
        </w:tc>
        <w:tc>
          <w:tcPr>
            <w:tcW w:w="384" w:type="pct"/>
            <w:shd w:val="clear" w:color="auto" w:fill="auto"/>
            <w:vAlign w:val="center"/>
          </w:tcPr>
          <w:p w14:paraId="17E896CB">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17</w:t>
            </w:r>
          </w:p>
        </w:tc>
        <w:tc>
          <w:tcPr>
            <w:tcW w:w="457" w:type="pct"/>
            <w:shd w:val="clear" w:color="auto" w:fill="auto"/>
            <w:vAlign w:val="center"/>
          </w:tcPr>
          <w:p w14:paraId="791A6E7E">
            <w:pPr>
              <w:pStyle w:val="303"/>
              <w:adjustRightInd w:val="0"/>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6.5~7.5</w:t>
            </w:r>
          </w:p>
        </w:tc>
        <w:tc>
          <w:tcPr>
            <w:tcW w:w="506" w:type="pct"/>
            <w:shd w:val="clear" w:color="auto" w:fill="auto"/>
            <w:vAlign w:val="center"/>
          </w:tcPr>
          <w:p w14:paraId="262CDB9B">
            <w:pPr>
              <w:pStyle w:val="303"/>
              <w:adjustRightInd w:val="0"/>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3.83</w:t>
            </w:r>
            <w:r>
              <w:rPr>
                <w:rFonts w:cs="Times New Roman"/>
                <w:snapToGrid w:val="0"/>
                <w:color w:val="auto"/>
                <w:sz w:val="21"/>
                <w:szCs w:val="21"/>
                <w:highlight w:val="none"/>
                <w:lang w:val="zh-CN"/>
              </w:rPr>
              <w:t>×10</w:t>
            </w:r>
            <w:r>
              <w:rPr>
                <w:rFonts w:hint="eastAsia" w:cs="Times New Roman"/>
                <w:snapToGrid w:val="0"/>
                <w:color w:val="auto"/>
                <w:sz w:val="21"/>
                <w:szCs w:val="21"/>
                <w:highlight w:val="none"/>
                <w:vertAlign w:val="superscript"/>
                <w:lang w:val="en-US" w:eastAsia="zh-CN"/>
              </w:rPr>
              <w:t>5</w:t>
            </w:r>
          </w:p>
        </w:tc>
      </w:tr>
      <w:tr w14:paraId="5E475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03" w:hRule="atLeast"/>
          <w:jc w:val="center"/>
        </w:trPr>
        <w:tc>
          <w:tcPr>
            <w:tcW w:w="456" w:type="pct"/>
            <w:vMerge w:val="continue"/>
            <w:vAlign w:val="center"/>
          </w:tcPr>
          <w:p w14:paraId="741EF1C3">
            <w:pPr>
              <w:spacing w:line="240" w:lineRule="auto"/>
              <w:ind w:firstLine="0" w:firstLineChars="0"/>
              <w:jc w:val="center"/>
              <w:rPr>
                <w:rFonts w:cs="Times New Roman"/>
                <w:color w:val="auto"/>
                <w:sz w:val="21"/>
                <w:szCs w:val="21"/>
                <w:highlight w:val="none"/>
              </w:rPr>
            </w:pPr>
          </w:p>
        </w:tc>
        <w:tc>
          <w:tcPr>
            <w:tcW w:w="647" w:type="pct"/>
            <w:vAlign w:val="center"/>
          </w:tcPr>
          <w:p w14:paraId="3B2F54A9">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去除率（%）</w:t>
            </w:r>
          </w:p>
        </w:tc>
        <w:tc>
          <w:tcPr>
            <w:tcW w:w="441" w:type="pct"/>
            <w:vAlign w:val="center"/>
          </w:tcPr>
          <w:p w14:paraId="6465098A">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90</w:t>
            </w:r>
          </w:p>
        </w:tc>
        <w:tc>
          <w:tcPr>
            <w:tcW w:w="401" w:type="pct"/>
            <w:vAlign w:val="center"/>
          </w:tcPr>
          <w:p w14:paraId="50ED2DD2">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75</w:t>
            </w:r>
          </w:p>
        </w:tc>
        <w:tc>
          <w:tcPr>
            <w:tcW w:w="390" w:type="pct"/>
            <w:vAlign w:val="center"/>
          </w:tcPr>
          <w:p w14:paraId="2B01ED07">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90</w:t>
            </w:r>
          </w:p>
        </w:tc>
        <w:tc>
          <w:tcPr>
            <w:tcW w:w="390" w:type="pct"/>
            <w:vAlign w:val="center"/>
          </w:tcPr>
          <w:p w14:paraId="475EEDB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60</w:t>
            </w:r>
          </w:p>
        </w:tc>
        <w:tc>
          <w:tcPr>
            <w:tcW w:w="514" w:type="pct"/>
            <w:vAlign w:val="center"/>
          </w:tcPr>
          <w:p w14:paraId="0BCA9D0A">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75</w:t>
            </w:r>
          </w:p>
        </w:tc>
        <w:tc>
          <w:tcPr>
            <w:tcW w:w="408" w:type="pct"/>
            <w:vAlign w:val="center"/>
          </w:tcPr>
          <w:p w14:paraId="7B3C4B4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75</w:t>
            </w:r>
          </w:p>
        </w:tc>
        <w:tc>
          <w:tcPr>
            <w:tcW w:w="384" w:type="pct"/>
            <w:vAlign w:val="center"/>
          </w:tcPr>
          <w:p w14:paraId="45292731">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70</w:t>
            </w:r>
          </w:p>
        </w:tc>
        <w:tc>
          <w:tcPr>
            <w:tcW w:w="457" w:type="pct"/>
            <w:vAlign w:val="center"/>
          </w:tcPr>
          <w:p w14:paraId="72BDE8AA">
            <w:pPr>
              <w:spacing w:line="24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06" w:type="pct"/>
            <w:vAlign w:val="center"/>
          </w:tcPr>
          <w:p w14:paraId="5462DBC1">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99</w:t>
            </w:r>
          </w:p>
        </w:tc>
      </w:tr>
      <w:tr w14:paraId="1EBE84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03" w:hRule="atLeast"/>
          <w:jc w:val="center"/>
        </w:trPr>
        <w:tc>
          <w:tcPr>
            <w:tcW w:w="456" w:type="pct"/>
            <w:vMerge w:val="continue"/>
            <w:vAlign w:val="center"/>
          </w:tcPr>
          <w:p w14:paraId="3635BFF2">
            <w:pPr>
              <w:spacing w:line="240" w:lineRule="auto"/>
              <w:ind w:firstLine="0" w:firstLineChars="0"/>
              <w:jc w:val="center"/>
              <w:rPr>
                <w:rFonts w:cs="Times New Roman"/>
                <w:color w:val="auto"/>
                <w:sz w:val="21"/>
                <w:szCs w:val="21"/>
                <w:highlight w:val="none"/>
              </w:rPr>
            </w:pPr>
          </w:p>
        </w:tc>
        <w:tc>
          <w:tcPr>
            <w:tcW w:w="647" w:type="pct"/>
            <w:vAlign w:val="center"/>
          </w:tcPr>
          <w:p w14:paraId="166A285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出水水质</w:t>
            </w:r>
          </w:p>
        </w:tc>
        <w:tc>
          <w:tcPr>
            <w:tcW w:w="441" w:type="pct"/>
            <w:vAlign w:val="center"/>
          </w:tcPr>
          <w:p w14:paraId="2831DFC5">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265</w:t>
            </w:r>
          </w:p>
        </w:tc>
        <w:tc>
          <w:tcPr>
            <w:tcW w:w="401" w:type="pct"/>
            <w:vAlign w:val="center"/>
          </w:tcPr>
          <w:p w14:paraId="20DBA4E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241</w:t>
            </w:r>
          </w:p>
        </w:tc>
        <w:tc>
          <w:tcPr>
            <w:tcW w:w="390" w:type="pct"/>
            <w:vAlign w:val="center"/>
          </w:tcPr>
          <w:p w14:paraId="39DCB50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289</w:t>
            </w:r>
          </w:p>
        </w:tc>
        <w:tc>
          <w:tcPr>
            <w:tcW w:w="390" w:type="pct"/>
            <w:vAlign w:val="center"/>
          </w:tcPr>
          <w:p w14:paraId="4F39761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34</w:t>
            </w:r>
          </w:p>
        </w:tc>
        <w:tc>
          <w:tcPr>
            <w:tcW w:w="514" w:type="pct"/>
            <w:vAlign w:val="center"/>
          </w:tcPr>
          <w:p w14:paraId="5464D43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48</w:t>
            </w:r>
          </w:p>
        </w:tc>
        <w:tc>
          <w:tcPr>
            <w:tcW w:w="408" w:type="pct"/>
            <w:vAlign w:val="center"/>
          </w:tcPr>
          <w:p w14:paraId="39889E75">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47</w:t>
            </w:r>
          </w:p>
        </w:tc>
        <w:tc>
          <w:tcPr>
            <w:tcW w:w="384" w:type="pct"/>
            <w:vAlign w:val="center"/>
          </w:tcPr>
          <w:p w14:paraId="3E4FB558">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457" w:type="pct"/>
            <w:vAlign w:val="center"/>
          </w:tcPr>
          <w:p w14:paraId="33D70344">
            <w:pPr>
              <w:pStyle w:val="303"/>
              <w:adjustRightInd w:val="0"/>
              <w:snapToGrid w:val="0"/>
              <w:ind w:firstLine="0" w:firstLineChars="0"/>
              <w:rPr>
                <w:rFonts w:cs="Times New Roman"/>
                <w:color w:val="auto"/>
                <w:sz w:val="21"/>
                <w:szCs w:val="21"/>
                <w:highlight w:val="none"/>
              </w:rPr>
            </w:pPr>
            <w:r>
              <w:rPr>
                <w:rFonts w:hint="eastAsia" w:eastAsia="宋体" w:cs="Times New Roman"/>
                <w:color w:val="auto"/>
                <w:kern w:val="0"/>
                <w:sz w:val="21"/>
                <w:szCs w:val="21"/>
                <w:highlight w:val="none"/>
                <w:lang w:val="en-US" w:eastAsia="zh-CN" w:bidi="ar-SA"/>
              </w:rPr>
              <w:t>6.5~7.5</w:t>
            </w:r>
          </w:p>
        </w:tc>
        <w:tc>
          <w:tcPr>
            <w:tcW w:w="506" w:type="pct"/>
            <w:vAlign w:val="center"/>
          </w:tcPr>
          <w:p w14:paraId="0875DC16">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3830</w:t>
            </w:r>
          </w:p>
        </w:tc>
      </w:tr>
      <w:tr w14:paraId="1E1DA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82" w:hRule="atLeast"/>
          <w:jc w:val="center"/>
        </w:trPr>
        <w:tc>
          <w:tcPr>
            <w:tcW w:w="1103" w:type="pct"/>
            <w:gridSpan w:val="2"/>
            <w:vAlign w:val="center"/>
          </w:tcPr>
          <w:p w14:paraId="451AF964">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标准</w:t>
            </w:r>
          </w:p>
        </w:tc>
        <w:tc>
          <w:tcPr>
            <w:tcW w:w="441" w:type="pct"/>
            <w:vAlign w:val="center"/>
          </w:tcPr>
          <w:p w14:paraId="1B7CC608">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500</w:t>
            </w:r>
          </w:p>
        </w:tc>
        <w:tc>
          <w:tcPr>
            <w:tcW w:w="401" w:type="pct"/>
            <w:vAlign w:val="center"/>
          </w:tcPr>
          <w:p w14:paraId="1CAD7BBB">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300</w:t>
            </w:r>
          </w:p>
        </w:tc>
        <w:tc>
          <w:tcPr>
            <w:tcW w:w="390" w:type="pct"/>
            <w:vAlign w:val="center"/>
          </w:tcPr>
          <w:p w14:paraId="68C44CD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400</w:t>
            </w:r>
          </w:p>
        </w:tc>
        <w:tc>
          <w:tcPr>
            <w:tcW w:w="390" w:type="pct"/>
            <w:vAlign w:val="center"/>
          </w:tcPr>
          <w:p w14:paraId="001331D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45</w:t>
            </w:r>
          </w:p>
        </w:tc>
        <w:tc>
          <w:tcPr>
            <w:tcW w:w="514" w:type="pct"/>
            <w:vAlign w:val="center"/>
          </w:tcPr>
          <w:p w14:paraId="647B6676">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60</w:t>
            </w:r>
          </w:p>
        </w:tc>
        <w:tc>
          <w:tcPr>
            <w:tcW w:w="408" w:type="pct"/>
            <w:vAlign w:val="center"/>
          </w:tcPr>
          <w:p w14:paraId="06C38ED7">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70</w:t>
            </w:r>
          </w:p>
        </w:tc>
        <w:tc>
          <w:tcPr>
            <w:tcW w:w="384" w:type="pct"/>
            <w:vAlign w:val="center"/>
          </w:tcPr>
          <w:p w14:paraId="604D51FF">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8</w:t>
            </w:r>
          </w:p>
        </w:tc>
        <w:tc>
          <w:tcPr>
            <w:tcW w:w="457" w:type="pct"/>
            <w:vAlign w:val="center"/>
          </w:tcPr>
          <w:p w14:paraId="28C2B7B2">
            <w:pPr>
              <w:spacing w:line="240" w:lineRule="auto"/>
              <w:ind w:firstLine="0" w:firstLineChars="0"/>
              <w:jc w:val="center"/>
              <w:rPr>
                <w:rFonts w:cs="Times New Roman"/>
                <w:color w:val="auto"/>
                <w:sz w:val="21"/>
                <w:szCs w:val="21"/>
                <w:highlight w:val="none"/>
              </w:rPr>
            </w:pPr>
            <w:r>
              <w:rPr>
                <w:rFonts w:ascii="Times New Roman" w:hAnsi="Times New Roman"/>
                <w:color w:val="auto"/>
                <w:sz w:val="21"/>
                <w:szCs w:val="21"/>
                <w:highlight w:val="none"/>
                <w:lang w:eastAsia="zh-CN"/>
              </w:rPr>
              <w:t>6.0-8.5</w:t>
            </w:r>
          </w:p>
        </w:tc>
        <w:tc>
          <w:tcPr>
            <w:tcW w:w="506" w:type="pct"/>
            <w:vAlign w:val="center"/>
          </w:tcPr>
          <w:p w14:paraId="599542B4">
            <w:pPr>
              <w:spacing w:line="24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4100D6B2">
      <w:pPr>
        <w:widowControl/>
        <w:spacing w:line="500" w:lineRule="exact"/>
        <w:rPr>
          <w:rFonts w:hint="eastAsia" w:eastAsia="宋体" w:cs="Times New Roman"/>
          <w:bCs/>
          <w:color w:val="auto"/>
          <w:szCs w:val="24"/>
          <w:highlight w:val="none"/>
          <w:lang w:eastAsia="zh-CN"/>
        </w:rPr>
      </w:pPr>
      <w:r>
        <w:rPr>
          <w:rFonts w:cs="Times New Roman"/>
          <w:bCs/>
          <w:color w:val="auto"/>
          <w:szCs w:val="24"/>
          <w:highlight w:val="none"/>
        </w:rPr>
        <w:t>综上，</w:t>
      </w:r>
      <w:r>
        <w:rPr>
          <w:rFonts w:cs="Times New Roman"/>
          <w:color w:val="auto"/>
          <w:szCs w:val="24"/>
          <w:highlight w:val="none"/>
        </w:rPr>
        <w:t>本项目屠宰废水</w:t>
      </w:r>
      <w:r>
        <w:rPr>
          <w:rFonts w:hint="eastAsia" w:cs="Times New Roman"/>
          <w:color w:val="auto"/>
          <w:kern w:val="0"/>
          <w:highlight w:val="none"/>
          <w:lang w:eastAsia="zh-CN"/>
        </w:rPr>
        <w:t>、车辆冲洗水及冷库排酸废水</w:t>
      </w:r>
      <w:r>
        <w:rPr>
          <w:rFonts w:cs="Times New Roman"/>
          <w:bCs/>
          <w:color w:val="auto"/>
          <w:szCs w:val="24"/>
          <w:highlight w:val="none"/>
        </w:rPr>
        <w:t>经</w:t>
      </w:r>
      <w:r>
        <w:rPr>
          <w:rFonts w:hint="eastAsia" w:cs="Times New Roman"/>
          <w:bCs/>
          <w:color w:val="auto"/>
          <w:szCs w:val="24"/>
          <w:highlight w:val="none"/>
          <w:lang w:val="en-US" w:eastAsia="zh-CN"/>
        </w:rPr>
        <w:t>上述</w:t>
      </w:r>
      <w:r>
        <w:rPr>
          <w:rFonts w:cs="Times New Roman"/>
          <w:bCs/>
          <w:color w:val="auto"/>
          <w:szCs w:val="24"/>
          <w:highlight w:val="none"/>
        </w:rPr>
        <w:t>措施处理后，</w:t>
      </w:r>
      <w:r>
        <w:rPr>
          <w:rFonts w:cs="Times New Roman"/>
          <w:color w:val="auto"/>
          <w:kern w:val="0"/>
          <w:highlight w:val="none"/>
        </w:rPr>
        <w:t>与生活污水一同经污水管网进入</w:t>
      </w:r>
      <w:r>
        <w:rPr>
          <w:rFonts w:hint="eastAsia" w:cs="Times New Roman"/>
          <w:color w:val="auto"/>
          <w:kern w:val="0"/>
          <w:highlight w:val="none"/>
          <w:lang w:val="en-GB" w:eastAsia="zh-CN"/>
        </w:rPr>
        <w:t>双鸭山市畅源排水有限公司</w:t>
      </w:r>
      <w:r>
        <w:rPr>
          <w:rFonts w:cs="Times New Roman"/>
          <w:color w:val="auto"/>
          <w:kern w:val="0"/>
          <w:highlight w:val="none"/>
        </w:rPr>
        <w:t>处理，处理达标后排放。</w:t>
      </w:r>
      <w:r>
        <w:rPr>
          <w:rFonts w:hint="eastAsia" w:cs="Times New Roman"/>
          <w:color w:val="auto"/>
          <w:kern w:val="0"/>
          <w:highlight w:val="none"/>
          <w:lang w:val="en-US" w:eastAsia="zh-CN"/>
        </w:rPr>
        <w:t>本项目废水排放口（</w:t>
      </w:r>
      <w:r>
        <w:rPr>
          <w:rFonts w:cs="Times New Roman"/>
          <w:color w:val="auto"/>
          <w:sz w:val="21"/>
          <w:szCs w:val="21"/>
          <w:highlight w:val="none"/>
        </w:rPr>
        <w:t>DW001</w:t>
      </w:r>
      <w:r>
        <w:rPr>
          <w:rFonts w:hint="eastAsia" w:cs="Times New Roman"/>
          <w:color w:val="auto"/>
          <w:kern w:val="0"/>
          <w:highlight w:val="none"/>
          <w:lang w:val="en-US" w:eastAsia="zh-CN"/>
        </w:rPr>
        <w:t>）废水</w:t>
      </w:r>
      <w:r>
        <w:rPr>
          <w:rFonts w:cs="Times New Roman"/>
          <w:color w:val="auto"/>
          <w:szCs w:val="24"/>
          <w:highlight w:val="none"/>
        </w:rPr>
        <w:t>满足《肉类加工工业水污染物排放标准》（GB13457-1992）表3中的畜类屠宰加工三级标准</w:t>
      </w:r>
      <w:r>
        <w:rPr>
          <w:rFonts w:hint="eastAsia" w:cs="Times New Roman"/>
          <w:color w:val="auto"/>
          <w:szCs w:val="24"/>
          <w:highlight w:val="none"/>
          <w:lang w:val="en-US" w:eastAsia="zh-CN"/>
        </w:rPr>
        <w:t>和</w:t>
      </w:r>
      <w:r>
        <w:rPr>
          <w:rFonts w:hint="eastAsia" w:cs="Times New Roman"/>
          <w:snapToGrid w:val="0"/>
          <w:color w:val="auto"/>
          <w:highlight w:val="none"/>
          <w:lang w:val="en-GB" w:eastAsia="zh-CN"/>
        </w:rPr>
        <w:t>双鸭山市畅源排水有限公司</w:t>
      </w:r>
      <w:r>
        <w:rPr>
          <w:rFonts w:cs="Times New Roman"/>
          <w:color w:val="auto"/>
          <w:szCs w:val="24"/>
          <w:highlight w:val="none"/>
        </w:rPr>
        <w:t>设计进水水质指标</w:t>
      </w:r>
      <w:r>
        <w:rPr>
          <w:rFonts w:hint="eastAsia" w:cs="Times New Roman"/>
          <w:color w:val="auto"/>
          <w:szCs w:val="24"/>
          <w:highlight w:val="none"/>
          <w:lang w:eastAsia="zh-CN"/>
        </w:rPr>
        <w:t>（</w:t>
      </w:r>
      <w:r>
        <w:rPr>
          <w:rFonts w:hint="eastAsia" w:cs="Times New Roman"/>
          <w:color w:val="auto"/>
          <w:szCs w:val="24"/>
          <w:highlight w:val="none"/>
          <w:lang w:val="en-US" w:eastAsia="zh-CN"/>
        </w:rPr>
        <w:t>从严执行</w:t>
      </w:r>
      <w:r>
        <w:rPr>
          <w:rFonts w:hint="eastAsia" w:cs="Times New Roman"/>
          <w:color w:val="auto"/>
          <w:szCs w:val="24"/>
          <w:highlight w:val="none"/>
          <w:lang w:eastAsia="zh-CN"/>
        </w:rPr>
        <w:t>）</w:t>
      </w:r>
      <w:r>
        <w:rPr>
          <w:rFonts w:hint="eastAsia" w:cs="Times New Roman"/>
          <w:bCs/>
          <w:color w:val="auto"/>
          <w:szCs w:val="24"/>
          <w:highlight w:val="none"/>
          <w:lang w:eastAsia="zh-CN"/>
        </w:rPr>
        <w:t>。</w:t>
      </w:r>
    </w:p>
    <w:p w14:paraId="1C8ECC06">
      <w:pPr>
        <w:spacing w:line="240" w:lineRule="auto"/>
        <w:ind w:firstLine="482"/>
        <w:jc w:val="center"/>
        <w:rPr>
          <w:rFonts w:cs="Times New Roman" w:eastAsiaTheme="minorEastAsia"/>
          <w:b/>
          <w:bCs/>
          <w:color w:val="auto"/>
          <w:szCs w:val="24"/>
          <w:highlight w:val="none"/>
        </w:rPr>
      </w:pPr>
      <w:r>
        <w:rPr>
          <w:rFonts w:cs="Times New Roman" w:eastAsiaTheme="minorEastAsia"/>
          <w:b/>
          <w:bCs/>
          <w:color w:val="auto"/>
          <w:szCs w:val="24"/>
          <w:highlight w:val="none"/>
        </w:rPr>
        <w:t>表5-2-18  废水污染物排放信息表</w:t>
      </w:r>
    </w:p>
    <w:tbl>
      <w:tblPr>
        <w:tblStyle w:val="47"/>
        <w:tblW w:w="87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5"/>
        <w:gridCol w:w="1018"/>
        <w:gridCol w:w="1331"/>
        <w:gridCol w:w="954"/>
        <w:gridCol w:w="1664"/>
        <w:gridCol w:w="1517"/>
        <w:gridCol w:w="919"/>
        <w:gridCol w:w="839"/>
      </w:tblGrid>
      <w:tr w14:paraId="6F357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4" w:hRule="atLeast"/>
          <w:jc w:val="center"/>
        </w:trPr>
        <w:tc>
          <w:tcPr>
            <w:tcW w:w="475" w:type="dxa"/>
            <w:vAlign w:val="center"/>
          </w:tcPr>
          <w:p w14:paraId="2223723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序号</w:t>
            </w:r>
          </w:p>
        </w:tc>
        <w:tc>
          <w:tcPr>
            <w:tcW w:w="1018" w:type="dxa"/>
            <w:vAlign w:val="center"/>
          </w:tcPr>
          <w:p w14:paraId="5EC0101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排放口编号</w:t>
            </w:r>
          </w:p>
        </w:tc>
        <w:tc>
          <w:tcPr>
            <w:tcW w:w="1331" w:type="dxa"/>
            <w:vAlign w:val="center"/>
          </w:tcPr>
          <w:p w14:paraId="3E13AB8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污染物种类</w:t>
            </w:r>
          </w:p>
        </w:tc>
        <w:tc>
          <w:tcPr>
            <w:tcW w:w="954" w:type="dxa"/>
            <w:vAlign w:val="center"/>
          </w:tcPr>
          <w:p w14:paraId="26E2186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排放浓度mg/L</w:t>
            </w:r>
          </w:p>
        </w:tc>
        <w:tc>
          <w:tcPr>
            <w:tcW w:w="1664" w:type="dxa"/>
            <w:vAlign w:val="center"/>
          </w:tcPr>
          <w:p w14:paraId="47CFBCC0">
            <w:pPr>
              <w:spacing w:line="360" w:lineRule="exact"/>
              <w:ind w:firstLine="0" w:firstLineChars="0"/>
              <w:jc w:val="center"/>
              <w:rPr>
                <w:rFonts w:cs="Times New Roman"/>
                <w:color w:val="auto"/>
                <w:sz w:val="21"/>
                <w:szCs w:val="21"/>
                <w:highlight w:val="none"/>
              </w:rPr>
            </w:pPr>
            <w:r>
              <w:rPr>
                <w:rFonts w:ascii="Times New Roman" w:hAnsi="Times New Roman"/>
                <w:color w:val="auto"/>
                <w:sz w:val="21"/>
                <w:szCs w:val="21"/>
                <w:highlight w:val="none"/>
                <w:lang w:eastAsia="zh-CN"/>
              </w:rPr>
              <w:t>GB13457-1992表3中畜类屠宰加工三级标准</w:t>
            </w:r>
          </w:p>
        </w:tc>
        <w:tc>
          <w:tcPr>
            <w:tcW w:w="1517" w:type="dxa"/>
            <w:vAlign w:val="center"/>
          </w:tcPr>
          <w:p w14:paraId="3CD46007">
            <w:pPr>
              <w:spacing w:line="360" w:lineRule="exact"/>
              <w:ind w:firstLine="0" w:firstLineChars="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val="en-GB" w:eastAsia="zh-CN"/>
              </w:rPr>
              <w:t>双鸭山市畅源排水有限公司</w:t>
            </w:r>
            <w:r>
              <w:rPr>
                <w:rFonts w:ascii="Times New Roman" w:hAnsi="Times New Roman"/>
                <w:color w:val="auto"/>
                <w:sz w:val="21"/>
                <w:szCs w:val="21"/>
                <w:highlight w:val="none"/>
                <w:lang w:val="en-GB" w:eastAsia="zh-CN"/>
              </w:rPr>
              <w:t>进水水质指标</w:t>
            </w:r>
          </w:p>
        </w:tc>
        <w:tc>
          <w:tcPr>
            <w:tcW w:w="919" w:type="dxa"/>
            <w:vAlign w:val="center"/>
          </w:tcPr>
          <w:p w14:paraId="08539022">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本项目排水</w:t>
            </w:r>
            <w:r>
              <w:rPr>
                <w:rFonts w:cs="Times New Roman"/>
                <w:color w:val="auto"/>
                <w:sz w:val="21"/>
                <w:szCs w:val="21"/>
                <w:highlight w:val="none"/>
              </w:rPr>
              <w:t>标准值mg/L</w:t>
            </w:r>
          </w:p>
        </w:tc>
        <w:tc>
          <w:tcPr>
            <w:tcW w:w="839" w:type="dxa"/>
            <w:vAlign w:val="center"/>
          </w:tcPr>
          <w:p w14:paraId="75D0EB7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年排放量t/a</w:t>
            </w:r>
          </w:p>
        </w:tc>
      </w:tr>
      <w:tr w14:paraId="2B595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75" w:type="dxa"/>
            <w:vAlign w:val="center"/>
          </w:tcPr>
          <w:p w14:paraId="3B096E3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1018" w:type="dxa"/>
            <w:vMerge w:val="restart"/>
            <w:vAlign w:val="center"/>
          </w:tcPr>
          <w:p w14:paraId="4C9A55B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DW001</w:t>
            </w:r>
          </w:p>
        </w:tc>
        <w:tc>
          <w:tcPr>
            <w:tcW w:w="1331" w:type="dxa"/>
            <w:vAlign w:val="center"/>
          </w:tcPr>
          <w:p w14:paraId="625931D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w:t>
            </w:r>
          </w:p>
        </w:tc>
        <w:tc>
          <w:tcPr>
            <w:tcW w:w="954" w:type="dxa"/>
            <w:vAlign w:val="center"/>
          </w:tcPr>
          <w:p w14:paraId="6D3AE6FC">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3</w:t>
            </w:r>
            <w:r>
              <w:rPr>
                <w:rFonts w:hint="eastAsia" w:cs="Times New Roman"/>
                <w:color w:val="auto"/>
                <w:sz w:val="21"/>
                <w:szCs w:val="21"/>
                <w:highlight w:val="none"/>
                <w:lang w:val="en-US" w:eastAsia="zh-CN"/>
              </w:rPr>
              <w:t>09</w:t>
            </w:r>
            <w:r>
              <w:rPr>
                <w:rFonts w:hint="eastAsia" w:ascii="Times New Roman" w:hAnsi="Times New Roman" w:eastAsia="宋体" w:cs="Times New Roman"/>
                <w:color w:val="auto"/>
                <w:sz w:val="21"/>
                <w:szCs w:val="21"/>
                <w:highlight w:val="none"/>
                <w:lang w:val="en-US" w:eastAsia="zh-CN"/>
              </w:rPr>
              <w:t xml:space="preserve"> </w:t>
            </w:r>
          </w:p>
        </w:tc>
        <w:tc>
          <w:tcPr>
            <w:tcW w:w="1664" w:type="dxa"/>
            <w:vAlign w:val="center"/>
          </w:tcPr>
          <w:p w14:paraId="436B708C">
            <w:pPr>
              <w:pStyle w:val="413"/>
              <w:snapToGrid w:val="0"/>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ascii="Times New Roman" w:hAnsi="Times New Roman"/>
                <w:color w:val="auto"/>
                <w:sz w:val="21"/>
                <w:szCs w:val="21"/>
                <w:highlight w:val="none"/>
                <w:lang w:eastAsia="zh-CN"/>
              </w:rPr>
              <w:t>500</w:t>
            </w:r>
          </w:p>
        </w:tc>
        <w:tc>
          <w:tcPr>
            <w:tcW w:w="1517" w:type="dxa"/>
            <w:vAlign w:val="center"/>
          </w:tcPr>
          <w:p w14:paraId="4413DF00">
            <w:pPr>
              <w:pStyle w:val="413"/>
              <w:snapToGrid w:val="0"/>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ascii="Times New Roman" w:hAnsi="Times New Roman"/>
                <w:color w:val="auto"/>
                <w:sz w:val="21"/>
                <w:szCs w:val="21"/>
                <w:highlight w:val="none"/>
                <w:lang w:eastAsia="zh-CN"/>
              </w:rPr>
              <w:t>500</w:t>
            </w:r>
          </w:p>
        </w:tc>
        <w:tc>
          <w:tcPr>
            <w:tcW w:w="919" w:type="dxa"/>
            <w:vAlign w:val="center"/>
          </w:tcPr>
          <w:p w14:paraId="59C961D3">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500</w:t>
            </w:r>
          </w:p>
        </w:tc>
        <w:tc>
          <w:tcPr>
            <w:tcW w:w="839" w:type="dxa"/>
            <w:vAlign w:val="center"/>
          </w:tcPr>
          <w:p w14:paraId="1BC24498">
            <w:pPr>
              <w:spacing w:line="360" w:lineRule="exact"/>
              <w:ind w:firstLine="0" w:firstLineChars="0"/>
              <w:jc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5.24</w:t>
            </w:r>
          </w:p>
        </w:tc>
      </w:tr>
      <w:tr w14:paraId="2B2380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75" w:type="dxa"/>
            <w:vAlign w:val="center"/>
          </w:tcPr>
          <w:p w14:paraId="4E0C7F9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w:t>
            </w:r>
          </w:p>
        </w:tc>
        <w:tc>
          <w:tcPr>
            <w:tcW w:w="1018" w:type="dxa"/>
            <w:vMerge w:val="continue"/>
            <w:vAlign w:val="center"/>
          </w:tcPr>
          <w:p w14:paraId="000012ED">
            <w:pPr>
              <w:spacing w:line="360" w:lineRule="exact"/>
              <w:ind w:firstLine="0" w:firstLineChars="0"/>
              <w:jc w:val="center"/>
              <w:rPr>
                <w:rFonts w:cs="Times New Roman"/>
                <w:color w:val="auto"/>
                <w:sz w:val="21"/>
                <w:szCs w:val="21"/>
                <w:highlight w:val="none"/>
              </w:rPr>
            </w:pPr>
          </w:p>
        </w:tc>
        <w:tc>
          <w:tcPr>
            <w:tcW w:w="1331" w:type="dxa"/>
            <w:vAlign w:val="center"/>
          </w:tcPr>
          <w:p w14:paraId="6CE1CBE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BOD</w:t>
            </w:r>
            <w:r>
              <w:rPr>
                <w:rFonts w:cs="Times New Roman"/>
                <w:color w:val="auto"/>
                <w:sz w:val="21"/>
                <w:szCs w:val="21"/>
                <w:highlight w:val="none"/>
                <w:vertAlign w:val="subscript"/>
              </w:rPr>
              <w:t>5</w:t>
            </w:r>
          </w:p>
        </w:tc>
        <w:tc>
          <w:tcPr>
            <w:tcW w:w="954" w:type="dxa"/>
            <w:vAlign w:val="center"/>
          </w:tcPr>
          <w:p w14:paraId="1FA81E77">
            <w:pPr>
              <w:spacing w:line="360" w:lineRule="exact"/>
              <w:ind w:firstLine="0" w:firstLineChars="0"/>
              <w:jc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232</w:t>
            </w:r>
          </w:p>
        </w:tc>
        <w:tc>
          <w:tcPr>
            <w:tcW w:w="1664" w:type="dxa"/>
            <w:vAlign w:val="center"/>
          </w:tcPr>
          <w:p w14:paraId="1DB3EEEE">
            <w:pPr>
              <w:pStyle w:val="413"/>
              <w:snapToGrid w:val="0"/>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ascii="Times New Roman" w:hAnsi="Times New Roman"/>
                <w:color w:val="auto"/>
                <w:sz w:val="21"/>
                <w:szCs w:val="21"/>
                <w:highlight w:val="none"/>
                <w:lang w:eastAsia="zh-CN"/>
              </w:rPr>
              <w:t>300</w:t>
            </w:r>
          </w:p>
        </w:tc>
        <w:tc>
          <w:tcPr>
            <w:tcW w:w="1517" w:type="dxa"/>
            <w:vAlign w:val="center"/>
          </w:tcPr>
          <w:p w14:paraId="445F5CD0">
            <w:pPr>
              <w:pStyle w:val="413"/>
              <w:snapToGrid w:val="0"/>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ascii="Times New Roman" w:hAnsi="Times New Roman"/>
                <w:color w:val="auto"/>
                <w:sz w:val="21"/>
                <w:szCs w:val="21"/>
                <w:highlight w:val="none"/>
                <w:lang w:eastAsia="zh-CN"/>
              </w:rPr>
              <w:t>300</w:t>
            </w:r>
          </w:p>
        </w:tc>
        <w:tc>
          <w:tcPr>
            <w:tcW w:w="919" w:type="dxa"/>
            <w:vAlign w:val="center"/>
          </w:tcPr>
          <w:p w14:paraId="5B5275BD">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300</w:t>
            </w:r>
          </w:p>
        </w:tc>
        <w:tc>
          <w:tcPr>
            <w:tcW w:w="839" w:type="dxa"/>
            <w:vAlign w:val="center"/>
          </w:tcPr>
          <w:p w14:paraId="70B82294">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3.93</w:t>
            </w:r>
          </w:p>
        </w:tc>
      </w:tr>
      <w:tr w14:paraId="285A5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75" w:type="dxa"/>
            <w:vAlign w:val="center"/>
          </w:tcPr>
          <w:p w14:paraId="42EF2D1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w:t>
            </w:r>
          </w:p>
        </w:tc>
        <w:tc>
          <w:tcPr>
            <w:tcW w:w="1018" w:type="dxa"/>
            <w:vMerge w:val="continue"/>
            <w:vAlign w:val="center"/>
          </w:tcPr>
          <w:p w14:paraId="16B067F3">
            <w:pPr>
              <w:spacing w:line="360" w:lineRule="exact"/>
              <w:ind w:firstLine="0" w:firstLineChars="0"/>
              <w:jc w:val="center"/>
              <w:rPr>
                <w:rFonts w:cs="Times New Roman"/>
                <w:color w:val="auto"/>
                <w:sz w:val="21"/>
                <w:szCs w:val="21"/>
                <w:highlight w:val="none"/>
              </w:rPr>
            </w:pPr>
          </w:p>
        </w:tc>
        <w:tc>
          <w:tcPr>
            <w:tcW w:w="1331" w:type="dxa"/>
            <w:vAlign w:val="center"/>
          </w:tcPr>
          <w:p w14:paraId="141A8B6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SS</w:t>
            </w:r>
          </w:p>
        </w:tc>
        <w:tc>
          <w:tcPr>
            <w:tcW w:w="954" w:type="dxa"/>
            <w:vAlign w:val="center"/>
          </w:tcPr>
          <w:p w14:paraId="403DCED8">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97</w:t>
            </w:r>
            <w:r>
              <w:rPr>
                <w:rFonts w:hint="eastAsia" w:ascii="Times New Roman" w:hAnsi="Times New Roman" w:eastAsia="宋体" w:cs="Times New Roman"/>
                <w:color w:val="auto"/>
                <w:sz w:val="21"/>
                <w:szCs w:val="21"/>
                <w:highlight w:val="none"/>
                <w:lang w:val="en-US" w:eastAsia="zh-CN"/>
              </w:rPr>
              <w:t xml:space="preserve"> </w:t>
            </w:r>
          </w:p>
        </w:tc>
        <w:tc>
          <w:tcPr>
            <w:tcW w:w="1664" w:type="dxa"/>
            <w:vAlign w:val="center"/>
          </w:tcPr>
          <w:p w14:paraId="271017D3">
            <w:pPr>
              <w:pStyle w:val="413"/>
              <w:snapToGrid w:val="0"/>
              <w:spacing w:line="360" w:lineRule="exact"/>
              <w:ind w:firstLine="0" w:firstLineChars="0"/>
              <w:jc w:val="center"/>
              <w:rPr>
                <w:rFonts w:hint="eastAsia" w:cs="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400</w:t>
            </w:r>
          </w:p>
        </w:tc>
        <w:tc>
          <w:tcPr>
            <w:tcW w:w="1517" w:type="dxa"/>
            <w:vAlign w:val="center"/>
          </w:tcPr>
          <w:p w14:paraId="3D999723">
            <w:pPr>
              <w:pStyle w:val="413"/>
              <w:snapToGrid w:val="0"/>
              <w:spacing w:line="360" w:lineRule="exact"/>
              <w:ind w:firstLine="0" w:firstLineChars="0"/>
              <w:jc w:val="center"/>
              <w:rPr>
                <w:rFonts w:hint="eastAsia" w:cs="Times New Roman"/>
                <w:color w:val="auto"/>
                <w:sz w:val="21"/>
                <w:szCs w:val="21"/>
                <w:highlight w:val="none"/>
                <w:lang w:val="en-US" w:eastAsia="zh-CN"/>
              </w:rPr>
            </w:pPr>
            <w:r>
              <w:rPr>
                <w:rFonts w:ascii="Times New Roman" w:hAnsi="Times New Roman"/>
                <w:color w:val="auto"/>
                <w:sz w:val="21"/>
                <w:szCs w:val="21"/>
                <w:highlight w:val="none"/>
                <w:lang w:eastAsia="zh-CN"/>
              </w:rPr>
              <w:t>400</w:t>
            </w:r>
          </w:p>
        </w:tc>
        <w:tc>
          <w:tcPr>
            <w:tcW w:w="919" w:type="dxa"/>
            <w:vAlign w:val="center"/>
          </w:tcPr>
          <w:p w14:paraId="1E8DC90E">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400</w:t>
            </w:r>
          </w:p>
        </w:tc>
        <w:tc>
          <w:tcPr>
            <w:tcW w:w="839" w:type="dxa"/>
            <w:vAlign w:val="center"/>
          </w:tcPr>
          <w:p w14:paraId="5378D135">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1.64 </w:t>
            </w:r>
          </w:p>
        </w:tc>
      </w:tr>
      <w:tr w14:paraId="0FDCE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75" w:type="dxa"/>
            <w:vAlign w:val="center"/>
          </w:tcPr>
          <w:p w14:paraId="6C279F3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4</w:t>
            </w:r>
          </w:p>
        </w:tc>
        <w:tc>
          <w:tcPr>
            <w:tcW w:w="1018" w:type="dxa"/>
            <w:vMerge w:val="continue"/>
            <w:vAlign w:val="center"/>
          </w:tcPr>
          <w:p w14:paraId="6442BE62">
            <w:pPr>
              <w:spacing w:line="360" w:lineRule="exact"/>
              <w:ind w:firstLine="0" w:firstLineChars="0"/>
              <w:jc w:val="center"/>
              <w:rPr>
                <w:rFonts w:cs="Times New Roman"/>
                <w:color w:val="auto"/>
                <w:sz w:val="21"/>
                <w:szCs w:val="21"/>
                <w:highlight w:val="none"/>
              </w:rPr>
            </w:pPr>
          </w:p>
        </w:tc>
        <w:tc>
          <w:tcPr>
            <w:tcW w:w="1331" w:type="dxa"/>
            <w:vAlign w:val="center"/>
          </w:tcPr>
          <w:p w14:paraId="535CDC8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氨氮</w:t>
            </w:r>
          </w:p>
        </w:tc>
        <w:tc>
          <w:tcPr>
            <w:tcW w:w="954" w:type="dxa"/>
            <w:vAlign w:val="center"/>
          </w:tcPr>
          <w:p w14:paraId="7364E30F">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38 </w:t>
            </w:r>
          </w:p>
        </w:tc>
        <w:tc>
          <w:tcPr>
            <w:tcW w:w="1664" w:type="dxa"/>
            <w:vAlign w:val="center"/>
          </w:tcPr>
          <w:p w14:paraId="6A34AA80">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17" w:type="dxa"/>
            <w:vAlign w:val="center"/>
          </w:tcPr>
          <w:p w14:paraId="626F925A">
            <w:pPr>
              <w:pStyle w:val="413"/>
              <w:snapToGrid w:val="0"/>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ascii="Times New Roman" w:hAnsi="Times New Roman"/>
                <w:color w:val="auto"/>
                <w:sz w:val="21"/>
                <w:szCs w:val="21"/>
                <w:highlight w:val="none"/>
                <w:lang w:eastAsia="zh-CN"/>
              </w:rPr>
              <w:t>45</w:t>
            </w:r>
          </w:p>
        </w:tc>
        <w:tc>
          <w:tcPr>
            <w:tcW w:w="919" w:type="dxa"/>
            <w:vAlign w:val="center"/>
          </w:tcPr>
          <w:p w14:paraId="5BBD001B">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45</w:t>
            </w:r>
          </w:p>
        </w:tc>
        <w:tc>
          <w:tcPr>
            <w:tcW w:w="839" w:type="dxa"/>
            <w:vAlign w:val="center"/>
          </w:tcPr>
          <w:p w14:paraId="22F6EA0B">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0.64 </w:t>
            </w:r>
          </w:p>
        </w:tc>
      </w:tr>
      <w:tr w14:paraId="23D284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75" w:type="dxa"/>
            <w:vAlign w:val="center"/>
          </w:tcPr>
          <w:p w14:paraId="16A3168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5</w:t>
            </w:r>
          </w:p>
        </w:tc>
        <w:tc>
          <w:tcPr>
            <w:tcW w:w="1018" w:type="dxa"/>
            <w:vMerge w:val="continue"/>
            <w:vAlign w:val="center"/>
          </w:tcPr>
          <w:p w14:paraId="53221150">
            <w:pPr>
              <w:spacing w:line="360" w:lineRule="exact"/>
              <w:ind w:firstLine="0" w:firstLineChars="0"/>
              <w:jc w:val="center"/>
              <w:rPr>
                <w:rFonts w:cs="Times New Roman"/>
                <w:color w:val="auto"/>
                <w:sz w:val="21"/>
                <w:szCs w:val="21"/>
                <w:highlight w:val="none"/>
              </w:rPr>
            </w:pPr>
          </w:p>
        </w:tc>
        <w:tc>
          <w:tcPr>
            <w:tcW w:w="1331" w:type="dxa"/>
            <w:vAlign w:val="center"/>
          </w:tcPr>
          <w:p w14:paraId="4706F02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动植物油</w:t>
            </w:r>
          </w:p>
        </w:tc>
        <w:tc>
          <w:tcPr>
            <w:tcW w:w="954" w:type="dxa"/>
            <w:vAlign w:val="center"/>
          </w:tcPr>
          <w:p w14:paraId="0E2C8F03">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4</w:t>
            </w:r>
            <w:r>
              <w:rPr>
                <w:rFonts w:hint="eastAsia"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lang w:val="en-US" w:eastAsia="zh-CN"/>
              </w:rPr>
              <w:t xml:space="preserve"> </w:t>
            </w:r>
          </w:p>
        </w:tc>
        <w:tc>
          <w:tcPr>
            <w:tcW w:w="1664" w:type="dxa"/>
            <w:vAlign w:val="center"/>
          </w:tcPr>
          <w:p w14:paraId="48C8FBAE">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1517" w:type="dxa"/>
            <w:vAlign w:val="center"/>
          </w:tcPr>
          <w:p w14:paraId="752DCC5E">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919" w:type="dxa"/>
            <w:vAlign w:val="center"/>
          </w:tcPr>
          <w:p w14:paraId="5FC2094B">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60</w:t>
            </w:r>
          </w:p>
        </w:tc>
        <w:tc>
          <w:tcPr>
            <w:tcW w:w="839" w:type="dxa"/>
            <w:vAlign w:val="center"/>
          </w:tcPr>
          <w:p w14:paraId="126019A1">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0.82 </w:t>
            </w:r>
          </w:p>
        </w:tc>
      </w:tr>
      <w:tr w14:paraId="1F4F5C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75" w:type="dxa"/>
            <w:vAlign w:val="center"/>
          </w:tcPr>
          <w:p w14:paraId="6B52F28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6</w:t>
            </w:r>
          </w:p>
        </w:tc>
        <w:tc>
          <w:tcPr>
            <w:tcW w:w="1018" w:type="dxa"/>
            <w:vMerge w:val="continue"/>
            <w:vAlign w:val="center"/>
          </w:tcPr>
          <w:p w14:paraId="21D5ABDC">
            <w:pPr>
              <w:spacing w:line="360" w:lineRule="exact"/>
              <w:ind w:firstLine="0" w:firstLineChars="0"/>
              <w:jc w:val="center"/>
              <w:rPr>
                <w:rFonts w:cs="Times New Roman"/>
                <w:color w:val="auto"/>
                <w:sz w:val="21"/>
                <w:szCs w:val="21"/>
                <w:highlight w:val="none"/>
              </w:rPr>
            </w:pPr>
          </w:p>
        </w:tc>
        <w:tc>
          <w:tcPr>
            <w:tcW w:w="1331" w:type="dxa"/>
            <w:vAlign w:val="center"/>
          </w:tcPr>
          <w:p w14:paraId="07E1001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总氮</w:t>
            </w:r>
          </w:p>
        </w:tc>
        <w:tc>
          <w:tcPr>
            <w:tcW w:w="954" w:type="dxa"/>
            <w:vAlign w:val="center"/>
          </w:tcPr>
          <w:p w14:paraId="2296432A">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52 </w:t>
            </w:r>
          </w:p>
        </w:tc>
        <w:tc>
          <w:tcPr>
            <w:tcW w:w="1664" w:type="dxa"/>
            <w:vAlign w:val="center"/>
          </w:tcPr>
          <w:p w14:paraId="26B5A4EA">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17" w:type="dxa"/>
            <w:vAlign w:val="center"/>
          </w:tcPr>
          <w:p w14:paraId="45A71014">
            <w:pPr>
              <w:pStyle w:val="413"/>
              <w:snapToGrid w:val="0"/>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ascii="Times New Roman" w:hAnsi="Times New Roman"/>
                <w:color w:val="auto"/>
                <w:sz w:val="21"/>
                <w:szCs w:val="21"/>
                <w:highlight w:val="none"/>
                <w:lang w:eastAsia="zh-CN"/>
              </w:rPr>
              <w:t>70</w:t>
            </w:r>
          </w:p>
        </w:tc>
        <w:tc>
          <w:tcPr>
            <w:tcW w:w="919" w:type="dxa"/>
            <w:vAlign w:val="center"/>
          </w:tcPr>
          <w:p w14:paraId="31503B36">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70</w:t>
            </w:r>
          </w:p>
        </w:tc>
        <w:tc>
          <w:tcPr>
            <w:tcW w:w="839" w:type="dxa"/>
            <w:vAlign w:val="center"/>
          </w:tcPr>
          <w:p w14:paraId="7FF07E65">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0.87 </w:t>
            </w:r>
          </w:p>
        </w:tc>
      </w:tr>
      <w:tr w14:paraId="70C6F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75" w:type="dxa"/>
            <w:vAlign w:val="center"/>
          </w:tcPr>
          <w:p w14:paraId="332D6BE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7</w:t>
            </w:r>
          </w:p>
        </w:tc>
        <w:tc>
          <w:tcPr>
            <w:tcW w:w="1018" w:type="dxa"/>
            <w:vMerge w:val="continue"/>
            <w:vAlign w:val="center"/>
          </w:tcPr>
          <w:p w14:paraId="220F6666">
            <w:pPr>
              <w:spacing w:line="360" w:lineRule="exact"/>
              <w:ind w:firstLine="0" w:firstLineChars="0"/>
              <w:jc w:val="center"/>
              <w:rPr>
                <w:rFonts w:cs="Times New Roman"/>
                <w:color w:val="auto"/>
                <w:sz w:val="21"/>
                <w:szCs w:val="21"/>
                <w:highlight w:val="none"/>
              </w:rPr>
            </w:pPr>
          </w:p>
        </w:tc>
        <w:tc>
          <w:tcPr>
            <w:tcW w:w="1331" w:type="dxa"/>
            <w:vAlign w:val="center"/>
          </w:tcPr>
          <w:p w14:paraId="080BCA0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总磷</w:t>
            </w:r>
          </w:p>
        </w:tc>
        <w:tc>
          <w:tcPr>
            <w:tcW w:w="954" w:type="dxa"/>
            <w:vAlign w:val="center"/>
          </w:tcPr>
          <w:p w14:paraId="068E6229">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5 </w:t>
            </w:r>
          </w:p>
        </w:tc>
        <w:tc>
          <w:tcPr>
            <w:tcW w:w="1664" w:type="dxa"/>
            <w:vAlign w:val="center"/>
          </w:tcPr>
          <w:p w14:paraId="6C392CA9">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17" w:type="dxa"/>
            <w:vAlign w:val="center"/>
          </w:tcPr>
          <w:p w14:paraId="6895AC0C">
            <w:pPr>
              <w:pStyle w:val="413"/>
              <w:snapToGrid w:val="0"/>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ascii="Times New Roman" w:hAnsi="Times New Roman"/>
                <w:color w:val="auto"/>
                <w:sz w:val="21"/>
                <w:szCs w:val="21"/>
                <w:highlight w:val="none"/>
                <w:lang w:eastAsia="zh-CN"/>
              </w:rPr>
              <w:t>8</w:t>
            </w:r>
          </w:p>
        </w:tc>
        <w:tc>
          <w:tcPr>
            <w:tcW w:w="919" w:type="dxa"/>
            <w:vAlign w:val="center"/>
          </w:tcPr>
          <w:p w14:paraId="6A345A58">
            <w:pPr>
              <w:spacing w:line="360" w:lineRule="exact"/>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8</w:t>
            </w:r>
          </w:p>
        </w:tc>
        <w:tc>
          <w:tcPr>
            <w:tcW w:w="839" w:type="dxa"/>
            <w:vAlign w:val="center"/>
          </w:tcPr>
          <w:p w14:paraId="0E8A21B4">
            <w:pPr>
              <w:spacing w:line="360" w:lineRule="exact"/>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0.08 </w:t>
            </w:r>
          </w:p>
        </w:tc>
      </w:tr>
      <w:tr w14:paraId="01F4D9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475" w:type="dxa"/>
            <w:vAlign w:val="center"/>
          </w:tcPr>
          <w:p w14:paraId="72367E74">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1018" w:type="dxa"/>
            <w:vMerge w:val="continue"/>
            <w:vAlign w:val="center"/>
          </w:tcPr>
          <w:p w14:paraId="5FBCF844">
            <w:pPr>
              <w:spacing w:line="360" w:lineRule="exact"/>
              <w:ind w:firstLine="0" w:firstLineChars="0"/>
              <w:jc w:val="center"/>
              <w:rPr>
                <w:rFonts w:cs="Times New Roman"/>
                <w:color w:val="auto"/>
                <w:sz w:val="21"/>
                <w:szCs w:val="21"/>
                <w:highlight w:val="none"/>
              </w:rPr>
            </w:pPr>
          </w:p>
        </w:tc>
        <w:tc>
          <w:tcPr>
            <w:tcW w:w="1331" w:type="dxa"/>
            <w:vAlign w:val="center"/>
          </w:tcPr>
          <w:p w14:paraId="14B7EDD3">
            <w:pPr>
              <w:spacing w:line="360" w:lineRule="exact"/>
              <w:ind w:firstLine="0" w:firstLineChars="0"/>
              <w:jc w:val="center"/>
              <w:rPr>
                <w:rFonts w:hint="default" w:cs="Times New Roman"/>
                <w:color w:val="auto"/>
                <w:sz w:val="21"/>
                <w:szCs w:val="21"/>
                <w:highlight w:val="none"/>
                <w:lang w:val="en-US"/>
              </w:rPr>
            </w:pPr>
            <w:r>
              <w:rPr>
                <w:rFonts w:ascii="Times New Roman" w:hAnsi="Times New Roman"/>
                <w:color w:val="auto"/>
                <w:sz w:val="21"/>
                <w:szCs w:val="21"/>
                <w:highlight w:val="none"/>
                <w:lang w:eastAsia="zh-CN"/>
              </w:rPr>
              <w:t>pH</w:t>
            </w:r>
            <w:r>
              <w:rPr>
                <w:rFonts w:hint="eastAsia"/>
                <w:color w:val="auto"/>
                <w:sz w:val="21"/>
                <w:szCs w:val="21"/>
                <w:highlight w:val="none"/>
                <w:lang w:val="en-US" w:eastAsia="zh-CN"/>
              </w:rPr>
              <w:t>值</w:t>
            </w:r>
          </w:p>
        </w:tc>
        <w:tc>
          <w:tcPr>
            <w:tcW w:w="954" w:type="dxa"/>
            <w:vAlign w:val="center"/>
          </w:tcPr>
          <w:p w14:paraId="3186F2F0">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6.3~6.9</w:t>
            </w:r>
          </w:p>
        </w:tc>
        <w:tc>
          <w:tcPr>
            <w:tcW w:w="1664" w:type="dxa"/>
            <w:vAlign w:val="center"/>
          </w:tcPr>
          <w:p w14:paraId="705FD912">
            <w:pPr>
              <w:spacing w:line="360" w:lineRule="exact"/>
              <w:ind w:firstLine="0" w:firstLineChars="0"/>
              <w:jc w:val="center"/>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6.0-8.5（无量纲</w:t>
            </w:r>
          </w:p>
        </w:tc>
        <w:tc>
          <w:tcPr>
            <w:tcW w:w="1517" w:type="dxa"/>
            <w:vAlign w:val="center"/>
          </w:tcPr>
          <w:p w14:paraId="74778A2E">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919" w:type="dxa"/>
            <w:vAlign w:val="center"/>
          </w:tcPr>
          <w:p w14:paraId="5A54C7FF">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39" w:type="dxa"/>
            <w:vAlign w:val="center"/>
          </w:tcPr>
          <w:p w14:paraId="752E5CF1">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04F388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475" w:type="dxa"/>
            <w:vAlign w:val="center"/>
          </w:tcPr>
          <w:p w14:paraId="7CA5425A">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w:t>
            </w:r>
          </w:p>
        </w:tc>
        <w:tc>
          <w:tcPr>
            <w:tcW w:w="1018" w:type="dxa"/>
            <w:vMerge w:val="continue"/>
            <w:vAlign w:val="center"/>
          </w:tcPr>
          <w:p w14:paraId="6650CA44">
            <w:pPr>
              <w:spacing w:line="360" w:lineRule="exact"/>
              <w:ind w:firstLine="0" w:firstLineChars="0"/>
              <w:jc w:val="center"/>
              <w:rPr>
                <w:rFonts w:cs="Times New Roman"/>
                <w:color w:val="auto"/>
                <w:sz w:val="21"/>
                <w:szCs w:val="21"/>
                <w:highlight w:val="none"/>
              </w:rPr>
            </w:pPr>
          </w:p>
        </w:tc>
        <w:tc>
          <w:tcPr>
            <w:tcW w:w="1331" w:type="dxa"/>
            <w:vAlign w:val="center"/>
          </w:tcPr>
          <w:p w14:paraId="4D61CAB6">
            <w:pPr>
              <w:spacing w:line="360" w:lineRule="exact"/>
              <w:ind w:firstLine="0" w:firstLineChars="0"/>
              <w:jc w:val="center"/>
              <w:rPr>
                <w:rFonts w:cs="Times New Roman"/>
                <w:color w:val="auto"/>
                <w:sz w:val="21"/>
                <w:szCs w:val="21"/>
                <w:highlight w:val="none"/>
              </w:rPr>
            </w:pPr>
            <w:r>
              <w:rPr>
                <w:rFonts w:ascii="Times New Roman" w:hAnsi="Times New Roman"/>
                <w:color w:val="auto"/>
                <w:sz w:val="21"/>
                <w:szCs w:val="21"/>
                <w:highlight w:val="none"/>
                <w:lang w:eastAsia="zh-CN"/>
              </w:rPr>
              <w:t>大肠菌群数</w:t>
            </w:r>
          </w:p>
        </w:tc>
        <w:tc>
          <w:tcPr>
            <w:tcW w:w="954" w:type="dxa"/>
            <w:vAlign w:val="center"/>
          </w:tcPr>
          <w:p w14:paraId="7BB397B6">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8900</w:t>
            </w:r>
          </w:p>
        </w:tc>
        <w:tc>
          <w:tcPr>
            <w:tcW w:w="1664" w:type="dxa"/>
            <w:vAlign w:val="center"/>
          </w:tcPr>
          <w:p w14:paraId="54BC0097">
            <w:pPr>
              <w:spacing w:line="36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17" w:type="dxa"/>
            <w:vAlign w:val="center"/>
          </w:tcPr>
          <w:p w14:paraId="0A5165A3">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919" w:type="dxa"/>
            <w:vAlign w:val="center"/>
          </w:tcPr>
          <w:p w14:paraId="28A312EC">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39" w:type="dxa"/>
            <w:vAlign w:val="center"/>
          </w:tcPr>
          <w:p w14:paraId="23FDC98E">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4D54BB9A">
      <w:pPr>
        <w:widowControl/>
        <w:spacing w:line="500" w:lineRule="exact"/>
        <w:rPr>
          <w:rFonts w:cs="Times New Roman"/>
          <w:bCs/>
          <w:color w:val="auto"/>
          <w:szCs w:val="24"/>
          <w:highlight w:val="none"/>
        </w:rPr>
      </w:pPr>
      <w:r>
        <w:rPr>
          <w:rFonts w:cs="Times New Roman"/>
          <w:bCs/>
          <w:color w:val="auto"/>
          <w:szCs w:val="24"/>
          <w:highlight w:val="none"/>
        </w:rPr>
        <w:t>废水类别、污染物及污染治理设施信息表详见表5-2-19。</w:t>
      </w:r>
    </w:p>
    <w:p w14:paraId="15FA5B36">
      <w:pPr>
        <w:pStyle w:val="66"/>
        <w:spacing w:before="163" w:beforeLines="50" w:line="240" w:lineRule="auto"/>
        <w:rPr>
          <w:rFonts w:eastAsia="宋体" w:cs="Times New Roman"/>
          <w:b/>
          <w:bCs/>
          <w:snapToGrid w:val="0"/>
          <w:color w:val="auto"/>
          <w:szCs w:val="24"/>
          <w:highlight w:val="none"/>
          <w:lang w:val="en-US"/>
        </w:rPr>
      </w:pPr>
      <w:r>
        <w:rPr>
          <w:rFonts w:eastAsia="宋体" w:cs="Times New Roman"/>
          <w:b/>
          <w:bCs/>
          <w:snapToGrid w:val="0"/>
          <w:color w:val="auto"/>
          <w:szCs w:val="24"/>
          <w:highlight w:val="none"/>
          <w:lang w:val="en-US"/>
        </w:rPr>
        <w:t>表5-2-19  废水类别、污染物及污染治理设施信息表</w:t>
      </w:r>
    </w:p>
    <w:tbl>
      <w:tblPr>
        <w:tblStyle w:val="47"/>
        <w:tblW w:w="907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46"/>
        <w:gridCol w:w="872"/>
        <w:gridCol w:w="1075"/>
        <w:gridCol w:w="671"/>
        <w:gridCol w:w="517"/>
        <w:gridCol w:w="683"/>
        <w:gridCol w:w="713"/>
        <w:gridCol w:w="1332"/>
        <w:gridCol w:w="615"/>
        <w:gridCol w:w="861"/>
        <w:gridCol w:w="1291"/>
      </w:tblGrid>
      <w:tr w14:paraId="11390F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86" w:hRule="atLeast"/>
          <w:jc w:val="center"/>
        </w:trPr>
        <w:tc>
          <w:tcPr>
            <w:tcW w:w="446" w:type="dxa"/>
            <w:vMerge w:val="restart"/>
            <w:vAlign w:val="center"/>
          </w:tcPr>
          <w:p w14:paraId="07DBB061">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序号</w:t>
            </w:r>
          </w:p>
        </w:tc>
        <w:tc>
          <w:tcPr>
            <w:tcW w:w="872" w:type="dxa"/>
            <w:vMerge w:val="restart"/>
            <w:vAlign w:val="center"/>
          </w:tcPr>
          <w:p w14:paraId="5E357561">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废水类别</w:t>
            </w:r>
          </w:p>
        </w:tc>
        <w:tc>
          <w:tcPr>
            <w:tcW w:w="1075" w:type="dxa"/>
            <w:vMerge w:val="restart"/>
            <w:vAlign w:val="center"/>
          </w:tcPr>
          <w:p w14:paraId="4227615E">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污染物种类</w:t>
            </w:r>
          </w:p>
        </w:tc>
        <w:tc>
          <w:tcPr>
            <w:tcW w:w="671" w:type="dxa"/>
            <w:vMerge w:val="restart"/>
            <w:vAlign w:val="center"/>
          </w:tcPr>
          <w:p w14:paraId="71526DE8">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排放去向</w:t>
            </w:r>
          </w:p>
        </w:tc>
        <w:tc>
          <w:tcPr>
            <w:tcW w:w="517" w:type="dxa"/>
            <w:vMerge w:val="restart"/>
            <w:vAlign w:val="center"/>
          </w:tcPr>
          <w:p w14:paraId="4F8C4855">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排放规律</w:t>
            </w:r>
          </w:p>
        </w:tc>
        <w:tc>
          <w:tcPr>
            <w:tcW w:w="2728" w:type="dxa"/>
            <w:gridSpan w:val="3"/>
            <w:vAlign w:val="center"/>
          </w:tcPr>
          <w:p w14:paraId="12A464B6">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污染治理设施</w:t>
            </w:r>
          </w:p>
        </w:tc>
        <w:tc>
          <w:tcPr>
            <w:tcW w:w="615" w:type="dxa"/>
            <w:vMerge w:val="restart"/>
            <w:vAlign w:val="center"/>
          </w:tcPr>
          <w:p w14:paraId="3E53DE52">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排放口编号</w:t>
            </w:r>
          </w:p>
        </w:tc>
        <w:tc>
          <w:tcPr>
            <w:tcW w:w="861" w:type="dxa"/>
            <w:vMerge w:val="restart"/>
            <w:vAlign w:val="center"/>
          </w:tcPr>
          <w:p w14:paraId="19C6A1B8">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排放口设置是否符合要求</w:t>
            </w:r>
          </w:p>
        </w:tc>
        <w:tc>
          <w:tcPr>
            <w:tcW w:w="1291" w:type="dxa"/>
            <w:vMerge w:val="restart"/>
            <w:vAlign w:val="center"/>
          </w:tcPr>
          <w:p w14:paraId="1F4BD88F">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排放口类型</w:t>
            </w:r>
          </w:p>
        </w:tc>
      </w:tr>
      <w:tr w14:paraId="0A392A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1432" w:hRule="atLeast"/>
          <w:jc w:val="center"/>
        </w:trPr>
        <w:tc>
          <w:tcPr>
            <w:tcW w:w="446" w:type="dxa"/>
            <w:vMerge w:val="continue"/>
            <w:vAlign w:val="center"/>
          </w:tcPr>
          <w:p w14:paraId="1C6A40C9">
            <w:pPr>
              <w:widowControl/>
              <w:spacing w:line="360" w:lineRule="atLeast"/>
              <w:ind w:firstLine="0" w:firstLineChars="0"/>
              <w:jc w:val="center"/>
              <w:rPr>
                <w:rFonts w:cs="Times New Roman"/>
                <w:color w:val="auto"/>
                <w:sz w:val="21"/>
                <w:szCs w:val="21"/>
                <w:highlight w:val="none"/>
              </w:rPr>
            </w:pPr>
          </w:p>
        </w:tc>
        <w:tc>
          <w:tcPr>
            <w:tcW w:w="872" w:type="dxa"/>
            <w:vMerge w:val="continue"/>
            <w:vAlign w:val="center"/>
          </w:tcPr>
          <w:p w14:paraId="3E21DFC8">
            <w:pPr>
              <w:widowControl/>
              <w:spacing w:line="360" w:lineRule="atLeast"/>
              <w:ind w:firstLine="0" w:firstLineChars="0"/>
              <w:jc w:val="center"/>
              <w:rPr>
                <w:rFonts w:cs="Times New Roman"/>
                <w:color w:val="auto"/>
                <w:sz w:val="21"/>
                <w:szCs w:val="21"/>
                <w:highlight w:val="none"/>
              </w:rPr>
            </w:pPr>
          </w:p>
        </w:tc>
        <w:tc>
          <w:tcPr>
            <w:tcW w:w="1075" w:type="dxa"/>
            <w:vMerge w:val="continue"/>
            <w:vAlign w:val="center"/>
          </w:tcPr>
          <w:p w14:paraId="5D419D97">
            <w:pPr>
              <w:widowControl/>
              <w:spacing w:line="360" w:lineRule="atLeast"/>
              <w:ind w:firstLine="0" w:firstLineChars="0"/>
              <w:jc w:val="center"/>
              <w:rPr>
                <w:rFonts w:cs="Times New Roman"/>
                <w:color w:val="auto"/>
                <w:sz w:val="21"/>
                <w:szCs w:val="21"/>
                <w:highlight w:val="none"/>
              </w:rPr>
            </w:pPr>
          </w:p>
        </w:tc>
        <w:tc>
          <w:tcPr>
            <w:tcW w:w="671" w:type="dxa"/>
            <w:vMerge w:val="continue"/>
            <w:vAlign w:val="center"/>
          </w:tcPr>
          <w:p w14:paraId="1E6ED107">
            <w:pPr>
              <w:widowControl/>
              <w:spacing w:line="360" w:lineRule="atLeast"/>
              <w:ind w:firstLine="0" w:firstLineChars="0"/>
              <w:jc w:val="center"/>
              <w:rPr>
                <w:rFonts w:cs="Times New Roman"/>
                <w:color w:val="auto"/>
                <w:sz w:val="21"/>
                <w:szCs w:val="21"/>
                <w:highlight w:val="none"/>
              </w:rPr>
            </w:pPr>
          </w:p>
        </w:tc>
        <w:tc>
          <w:tcPr>
            <w:tcW w:w="517" w:type="dxa"/>
            <w:vMerge w:val="continue"/>
            <w:vAlign w:val="center"/>
          </w:tcPr>
          <w:p w14:paraId="5D586797">
            <w:pPr>
              <w:widowControl/>
              <w:spacing w:line="360" w:lineRule="atLeast"/>
              <w:ind w:firstLine="0" w:firstLineChars="0"/>
              <w:jc w:val="center"/>
              <w:rPr>
                <w:rFonts w:cs="Times New Roman"/>
                <w:color w:val="auto"/>
                <w:sz w:val="21"/>
                <w:szCs w:val="21"/>
                <w:highlight w:val="none"/>
              </w:rPr>
            </w:pPr>
          </w:p>
        </w:tc>
        <w:tc>
          <w:tcPr>
            <w:tcW w:w="683" w:type="dxa"/>
            <w:vAlign w:val="center"/>
          </w:tcPr>
          <w:p w14:paraId="5A5F31B6">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污染治理设施编号</w:t>
            </w:r>
          </w:p>
        </w:tc>
        <w:tc>
          <w:tcPr>
            <w:tcW w:w="713" w:type="dxa"/>
            <w:vAlign w:val="center"/>
          </w:tcPr>
          <w:p w14:paraId="4F1AF7B5">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污染治理设施名称</w:t>
            </w:r>
          </w:p>
        </w:tc>
        <w:tc>
          <w:tcPr>
            <w:tcW w:w="1332" w:type="dxa"/>
            <w:vAlign w:val="center"/>
          </w:tcPr>
          <w:p w14:paraId="45D08D08">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污染治理设施工艺</w:t>
            </w:r>
          </w:p>
        </w:tc>
        <w:tc>
          <w:tcPr>
            <w:tcW w:w="615" w:type="dxa"/>
            <w:vMerge w:val="continue"/>
            <w:vAlign w:val="center"/>
          </w:tcPr>
          <w:p w14:paraId="0FD8468E">
            <w:pPr>
              <w:widowControl/>
              <w:spacing w:line="360" w:lineRule="atLeast"/>
              <w:ind w:firstLine="0" w:firstLineChars="0"/>
              <w:jc w:val="center"/>
              <w:rPr>
                <w:rFonts w:cs="Times New Roman"/>
                <w:color w:val="auto"/>
                <w:sz w:val="21"/>
                <w:szCs w:val="21"/>
                <w:highlight w:val="none"/>
              </w:rPr>
            </w:pPr>
          </w:p>
        </w:tc>
        <w:tc>
          <w:tcPr>
            <w:tcW w:w="861" w:type="dxa"/>
            <w:vMerge w:val="continue"/>
            <w:vAlign w:val="center"/>
          </w:tcPr>
          <w:p w14:paraId="3F602589">
            <w:pPr>
              <w:widowControl/>
              <w:spacing w:line="360" w:lineRule="atLeast"/>
              <w:ind w:firstLine="0" w:firstLineChars="0"/>
              <w:jc w:val="center"/>
              <w:rPr>
                <w:rFonts w:cs="Times New Roman"/>
                <w:color w:val="auto"/>
                <w:sz w:val="21"/>
                <w:szCs w:val="21"/>
                <w:highlight w:val="none"/>
              </w:rPr>
            </w:pPr>
          </w:p>
        </w:tc>
        <w:tc>
          <w:tcPr>
            <w:tcW w:w="1291" w:type="dxa"/>
            <w:vMerge w:val="continue"/>
            <w:vAlign w:val="center"/>
          </w:tcPr>
          <w:p w14:paraId="145F33DA">
            <w:pPr>
              <w:widowControl/>
              <w:spacing w:line="360" w:lineRule="atLeast"/>
              <w:ind w:firstLine="0" w:firstLineChars="0"/>
              <w:jc w:val="center"/>
              <w:rPr>
                <w:rFonts w:cs="Times New Roman"/>
                <w:color w:val="auto"/>
                <w:sz w:val="21"/>
                <w:szCs w:val="21"/>
                <w:highlight w:val="none"/>
              </w:rPr>
            </w:pPr>
          </w:p>
        </w:tc>
      </w:tr>
      <w:tr w14:paraId="24F0D3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498" w:hRule="atLeast"/>
          <w:jc w:val="center"/>
        </w:trPr>
        <w:tc>
          <w:tcPr>
            <w:tcW w:w="446" w:type="dxa"/>
            <w:vAlign w:val="center"/>
          </w:tcPr>
          <w:p w14:paraId="6CE22825">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872" w:type="dxa"/>
            <w:vAlign w:val="center"/>
          </w:tcPr>
          <w:p w14:paraId="2DAE319E">
            <w:pPr>
              <w:spacing w:line="360" w:lineRule="atLeas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屠宰废水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车辆冲洗水、库冷库排酸废水</w:t>
            </w:r>
          </w:p>
        </w:tc>
        <w:tc>
          <w:tcPr>
            <w:tcW w:w="1075" w:type="dxa"/>
            <w:vAlign w:val="center"/>
          </w:tcPr>
          <w:p w14:paraId="6DB52B75">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COD</w:t>
            </w:r>
          </w:p>
          <w:p w14:paraId="6B568DB0">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氨氮</w:t>
            </w:r>
          </w:p>
          <w:p w14:paraId="49DBFBE1">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BOD</w:t>
            </w:r>
            <w:r>
              <w:rPr>
                <w:rFonts w:cs="Times New Roman"/>
                <w:color w:val="auto"/>
                <w:sz w:val="21"/>
                <w:szCs w:val="21"/>
                <w:highlight w:val="none"/>
                <w:vertAlign w:val="subscript"/>
              </w:rPr>
              <w:t>5</w:t>
            </w:r>
          </w:p>
          <w:p w14:paraId="0EF615C0">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SS</w:t>
            </w:r>
          </w:p>
          <w:p w14:paraId="7DF7D403">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动植物油</w:t>
            </w:r>
          </w:p>
          <w:p w14:paraId="577F0045">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总氮</w:t>
            </w:r>
          </w:p>
          <w:p w14:paraId="458CCC58">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总磷</w:t>
            </w:r>
          </w:p>
        </w:tc>
        <w:tc>
          <w:tcPr>
            <w:tcW w:w="671" w:type="dxa"/>
            <w:vMerge w:val="restart"/>
            <w:vAlign w:val="center"/>
          </w:tcPr>
          <w:p w14:paraId="31504516">
            <w:pPr>
              <w:spacing w:line="360" w:lineRule="atLeast"/>
              <w:ind w:firstLine="0" w:firstLineChars="0"/>
              <w:jc w:val="center"/>
              <w:rPr>
                <w:rFonts w:cs="Times New Roman"/>
                <w:color w:val="auto"/>
                <w:sz w:val="21"/>
                <w:szCs w:val="21"/>
                <w:highlight w:val="none"/>
              </w:rPr>
            </w:pPr>
            <w:r>
              <w:rPr>
                <w:rFonts w:hint="eastAsia" w:cs="Times New Roman"/>
                <w:color w:val="auto"/>
                <w:sz w:val="21"/>
                <w:szCs w:val="21"/>
                <w:highlight w:val="none"/>
                <w:lang w:val="en-GB" w:eastAsia="zh-CN"/>
              </w:rPr>
              <w:t>双鸭山市畅源排水有限公司</w:t>
            </w:r>
          </w:p>
        </w:tc>
        <w:tc>
          <w:tcPr>
            <w:tcW w:w="517" w:type="dxa"/>
            <w:vMerge w:val="restart"/>
            <w:vAlign w:val="center"/>
          </w:tcPr>
          <w:p w14:paraId="7DE8159E">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连续排放</w:t>
            </w:r>
          </w:p>
        </w:tc>
        <w:tc>
          <w:tcPr>
            <w:tcW w:w="683" w:type="dxa"/>
            <w:vAlign w:val="center"/>
          </w:tcPr>
          <w:p w14:paraId="35635F3D">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TW001</w:t>
            </w:r>
          </w:p>
        </w:tc>
        <w:tc>
          <w:tcPr>
            <w:tcW w:w="713" w:type="dxa"/>
            <w:vAlign w:val="center"/>
          </w:tcPr>
          <w:p w14:paraId="7A21404E">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综合污水处理站</w:t>
            </w:r>
          </w:p>
        </w:tc>
        <w:tc>
          <w:tcPr>
            <w:tcW w:w="1332" w:type="dxa"/>
            <w:vAlign w:val="center"/>
          </w:tcPr>
          <w:p w14:paraId="79770AD2">
            <w:pPr>
              <w:spacing w:line="360" w:lineRule="atLeast"/>
              <w:ind w:firstLine="0" w:firstLineChars="0"/>
              <w:jc w:val="center"/>
              <w:rPr>
                <w:rFonts w:cs="Times New Roman"/>
                <w:color w:val="auto"/>
                <w:sz w:val="21"/>
                <w:szCs w:val="21"/>
                <w:highlight w:val="none"/>
              </w:rPr>
            </w:pPr>
            <w:r>
              <w:rPr>
                <w:rFonts w:hint="eastAsia" w:eastAsia="宋体" w:cs="Times New Roman"/>
                <w:color w:val="auto"/>
                <w:sz w:val="21"/>
                <w:szCs w:val="21"/>
                <w:highlight w:val="none"/>
                <w:lang w:eastAsia="zh-CN"/>
              </w:rPr>
              <w:t>格栅+</w:t>
            </w:r>
            <w:r>
              <w:rPr>
                <w:rFonts w:hint="eastAsia" w:cs="Times New Roman"/>
                <w:color w:val="auto"/>
                <w:sz w:val="21"/>
                <w:szCs w:val="21"/>
                <w:highlight w:val="none"/>
                <w:lang w:val="en-US" w:eastAsia="zh-CN"/>
              </w:rPr>
              <w:t>隔油池+</w:t>
            </w:r>
            <w:r>
              <w:rPr>
                <w:rFonts w:hint="eastAsia" w:eastAsia="宋体" w:cs="Times New Roman"/>
                <w:color w:val="auto"/>
                <w:sz w:val="21"/>
                <w:szCs w:val="21"/>
                <w:highlight w:val="none"/>
                <w:lang w:val="en-US" w:eastAsia="zh-CN"/>
              </w:rPr>
              <w:t>调节池</w:t>
            </w:r>
            <w:r>
              <w:rPr>
                <w:rFonts w:hint="eastAsia" w:eastAsia="宋体" w:cs="Times New Roman"/>
                <w:color w:val="auto"/>
                <w:sz w:val="21"/>
                <w:szCs w:val="21"/>
                <w:highlight w:val="none"/>
                <w:lang w:eastAsia="zh-CN"/>
              </w:rPr>
              <w:t>+气浮+水解酸化+</w:t>
            </w:r>
            <w:r>
              <w:rPr>
                <w:rFonts w:hint="eastAsia" w:eastAsia="宋体" w:cs="Times New Roman"/>
                <w:color w:val="auto"/>
                <w:sz w:val="21"/>
                <w:szCs w:val="21"/>
                <w:highlight w:val="none"/>
                <w:lang w:val="en-US" w:eastAsia="zh-CN"/>
              </w:rPr>
              <w:t>反硝化缺氧+好氧</w:t>
            </w:r>
            <w:r>
              <w:rPr>
                <w:rFonts w:hint="eastAsia" w:eastAsia="宋体" w:cs="Times New Roman"/>
                <w:color w:val="auto"/>
                <w:sz w:val="21"/>
                <w:szCs w:val="21"/>
                <w:highlight w:val="none"/>
                <w:lang w:eastAsia="zh-CN"/>
              </w:rPr>
              <w:t>+沉淀+消毒（</w:t>
            </w:r>
            <w:r>
              <w:rPr>
                <w:rFonts w:hint="eastAsia" w:eastAsia="宋体" w:cs="Times New Roman"/>
                <w:color w:val="auto"/>
                <w:sz w:val="21"/>
                <w:szCs w:val="21"/>
                <w:highlight w:val="none"/>
                <w:lang w:val="en-US" w:eastAsia="zh-CN"/>
              </w:rPr>
              <w:t>次氯酸钠</w:t>
            </w:r>
            <w:r>
              <w:rPr>
                <w:rFonts w:hint="eastAsia" w:cs="Times New Roman"/>
                <w:color w:val="auto"/>
                <w:sz w:val="21"/>
                <w:szCs w:val="21"/>
                <w:highlight w:val="none"/>
                <w:lang w:val="en-US" w:eastAsia="zh-CN"/>
              </w:rPr>
              <w:t>）</w:t>
            </w:r>
          </w:p>
        </w:tc>
        <w:tc>
          <w:tcPr>
            <w:tcW w:w="615" w:type="dxa"/>
            <w:vMerge w:val="restart"/>
            <w:vAlign w:val="center"/>
          </w:tcPr>
          <w:p w14:paraId="4012D537">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DW001</w:t>
            </w:r>
          </w:p>
        </w:tc>
        <w:tc>
          <w:tcPr>
            <w:tcW w:w="861" w:type="dxa"/>
            <w:vMerge w:val="restart"/>
            <w:vAlign w:val="center"/>
          </w:tcPr>
          <w:p w14:paraId="07D6322D">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是</w:t>
            </w:r>
            <w:r>
              <w:rPr>
                <w:rFonts w:cs="Times New Roman"/>
                <w:bCs/>
                <w:color w:val="auto"/>
                <w:kern w:val="0"/>
                <w:sz w:val="21"/>
                <w:szCs w:val="21"/>
                <w:highlight w:val="none"/>
              </w:rPr>
              <w:sym w:font="Wingdings" w:char="00FE"/>
            </w:r>
          </w:p>
          <w:p w14:paraId="277AFC63">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否</w:t>
            </w:r>
            <w:r>
              <w:rPr>
                <w:rFonts w:cs="Times New Roman"/>
                <w:bCs/>
                <w:color w:val="auto"/>
                <w:kern w:val="0"/>
                <w:sz w:val="21"/>
                <w:szCs w:val="21"/>
                <w:highlight w:val="none"/>
              </w:rPr>
              <w:t>□</w:t>
            </w:r>
          </w:p>
        </w:tc>
        <w:tc>
          <w:tcPr>
            <w:tcW w:w="1291" w:type="dxa"/>
            <w:vMerge w:val="restart"/>
            <w:vAlign w:val="center"/>
          </w:tcPr>
          <w:p w14:paraId="6260EC44">
            <w:pPr>
              <w:spacing w:line="360" w:lineRule="atLeast"/>
              <w:ind w:firstLine="0" w:firstLineChars="0"/>
              <w:rPr>
                <w:rFonts w:cs="Times New Roman"/>
                <w:bCs/>
                <w:color w:val="auto"/>
                <w:kern w:val="0"/>
                <w:sz w:val="21"/>
                <w:szCs w:val="21"/>
                <w:highlight w:val="none"/>
              </w:rPr>
            </w:pPr>
            <w:r>
              <w:rPr>
                <w:rFonts w:cs="Times New Roman"/>
                <w:bCs/>
                <w:color w:val="auto"/>
                <w:kern w:val="0"/>
                <w:sz w:val="21"/>
                <w:szCs w:val="21"/>
                <w:highlight w:val="none"/>
              </w:rPr>
              <w:sym w:font="Wingdings" w:char="00FE"/>
            </w:r>
            <w:r>
              <w:rPr>
                <w:rFonts w:cs="Times New Roman"/>
                <w:bCs/>
                <w:color w:val="auto"/>
                <w:kern w:val="0"/>
                <w:sz w:val="21"/>
                <w:szCs w:val="21"/>
                <w:highlight w:val="none"/>
              </w:rPr>
              <w:t>企业总排</w:t>
            </w:r>
          </w:p>
          <w:p w14:paraId="09F5795E">
            <w:pPr>
              <w:spacing w:line="360" w:lineRule="atLeast"/>
              <w:ind w:firstLine="0" w:firstLineChars="0"/>
              <w:rPr>
                <w:rFonts w:cs="Times New Roman"/>
                <w:bCs/>
                <w:color w:val="auto"/>
                <w:kern w:val="0"/>
                <w:sz w:val="21"/>
                <w:szCs w:val="21"/>
                <w:highlight w:val="none"/>
              </w:rPr>
            </w:pPr>
            <w:r>
              <w:rPr>
                <w:rFonts w:cs="Times New Roman"/>
                <w:bCs/>
                <w:color w:val="auto"/>
                <w:kern w:val="0"/>
                <w:sz w:val="21"/>
                <w:szCs w:val="21"/>
                <w:highlight w:val="none"/>
              </w:rPr>
              <w:t>□雨水总排</w:t>
            </w:r>
          </w:p>
          <w:p w14:paraId="6E492A95">
            <w:pPr>
              <w:spacing w:line="360" w:lineRule="atLeast"/>
              <w:ind w:firstLine="0" w:firstLineChars="0"/>
              <w:rPr>
                <w:rFonts w:cs="Times New Roman"/>
                <w:bCs/>
                <w:color w:val="auto"/>
                <w:kern w:val="0"/>
                <w:sz w:val="21"/>
                <w:szCs w:val="21"/>
                <w:highlight w:val="none"/>
              </w:rPr>
            </w:pPr>
            <w:r>
              <w:rPr>
                <w:rFonts w:cs="Times New Roman"/>
                <w:bCs/>
                <w:color w:val="auto"/>
                <w:kern w:val="0"/>
                <w:sz w:val="21"/>
                <w:szCs w:val="21"/>
                <w:highlight w:val="none"/>
              </w:rPr>
              <w:t>□清净下水排放</w:t>
            </w:r>
          </w:p>
          <w:p w14:paraId="74EE10A4">
            <w:pPr>
              <w:spacing w:line="360" w:lineRule="atLeast"/>
              <w:ind w:firstLine="0" w:firstLineChars="0"/>
              <w:rPr>
                <w:rFonts w:cs="Times New Roman"/>
                <w:bCs/>
                <w:color w:val="auto"/>
                <w:kern w:val="0"/>
                <w:sz w:val="21"/>
                <w:szCs w:val="21"/>
                <w:highlight w:val="none"/>
              </w:rPr>
            </w:pPr>
            <w:r>
              <w:rPr>
                <w:rFonts w:cs="Times New Roman"/>
                <w:bCs/>
                <w:color w:val="auto"/>
                <w:kern w:val="0"/>
                <w:sz w:val="21"/>
                <w:szCs w:val="21"/>
                <w:highlight w:val="none"/>
              </w:rPr>
              <w:t>□温排水排放</w:t>
            </w:r>
          </w:p>
          <w:p w14:paraId="0CADB234">
            <w:pPr>
              <w:spacing w:line="360" w:lineRule="atLeast"/>
              <w:ind w:firstLine="0" w:firstLineChars="0"/>
              <w:rPr>
                <w:rFonts w:cs="Times New Roman"/>
                <w:color w:val="auto"/>
                <w:sz w:val="21"/>
                <w:szCs w:val="21"/>
                <w:highlight w:val="none"/>
              </w:rPr>
            </w:pPr>
            <w:r>
              <w:rPr>
                <w:rFonts w:cs="Times New Roman"/>
                <w:bCs/>
                <w:color w:val="auto"/>
                <w:kern w:val="0"/>
                <w:sz w:val="21"/>
                <w:szCs w:val="21"/>
                <w:highlight w:val="none"/>
              </w:rPr>
              <w:t>□车间或车间处理设施排放口</w:t>
            </w:r>
          </w:p>
        </w:tc>
      </w:tr>
      <w:tr w14:paraId="0C6B5E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721" w:hRule="atLeast"/>
          <w:jc w:val="center"/>
        </w:trPr>
        <w:tc>
          <w:tcPr>
            <w:tcW w:w="446" w:type="dxa"/>
            <w:vAlign w:val="center"/>
          </w:tcPr>
          <w:p w14:paraId="1E6DE91F">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2</w:t>
            </w:r>
          </w:p>
        </w:tc>
        <w:tc>
          <w:tcPr>
            <w:tcW w:w="872" w:type="dxa"/>
            <w:vAlign w:val="center"/>
          </w:tcPr>
          <w:p w14:paraId="6E97CF12">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生活污水</w:t>
            </w:r>
          </w:p>
        </w:tc>
        <w:tc>
          <w:tcPr>
            <w:tcW w:w="1075" w:type="dxa"/>
            <w:vAlign w:val="center"/>
          </w:tcPr>
          <w:p w14:paraId="7536EFB3">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COD</w:t>
            </w:r>
          </w:p>
          <w:p w14:paraId="33823039">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氨氮</w:t>
            </w:r>
          </w:p>
        </w:tc>
        <w:tc>
          <w:tcPr>
            <w:tcW w:w="671" w:type="dxa"/>
            <w:vMerge w:val="continue"/>
            <w:vAlign w:val="center"/>
          </w:tcPr>
          <w:p w14:paraId="16975EAA">
            <w:pPr>
              <w:spacing w:line="360" w:lineRule="atLeast"/>
              <w:ind w:firstLine="0" w:firstLineChars="0"/>
              <w:jc w:val="center"/>
              <w:rPr>
                <w:rFonts w:cs="Times New Roman"/>
                <w:color w:val="auto"/>
                <w:sz w:val="21"/>
                <w:szCs w:val="21"/>
                <w:highlight w:val="none"/>
                <w:lang w:val="en-GB"/>
              </w:rPr>
            </w:pPr>
          </w:p>
        </w:tc>
        <w:tc>
          <w:tcPr>
            <w:tcW w:w="517" w:type="dxa"/>
            <w:vMerge w:val="continue"/>
            <w:vAlign w:val="center"/>
          </w:tcPr>
          <w:p w14:paraId="1E671D81">
            <w:pPr>
              <w:spacing w:line="360" w:lineRule="atLeast"/>
              <w:ind w:firstLine="0" w:firstLineChars="0"/>
              <w:jc w:val="center"/>
              <w:rPr>
                <w:rFonts w:cs="Times New Roman"/>
                <w:color w:val="auto"/>
                <w:sz w:val="21"/>
                <w:szCs w:val="21"/>
                <w:highlight w:val="none"/>
              </w:rPr>
            </w:pPr>
          </w:p>
        </w:tc>
        <w:tc>
          <w:tcPr>
            <w:tcW w:w="683" w:type="dxa"/>
            <w:vAlign w:val="center"/>
          </w:tcPr>
          <w:p w14:paraId="199AE91A">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713" w:type="dxa"/>
            <w:vAlign w:val="center"/>
          </w:tcPr>
          <w:p w14:paraId="38C61040">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332" w:type="dxa"/>
            <w:vAlign w:val="center"/>
          </w:tcPr>
          <w:p w14:paraId="4991AE31">
            <w:pPr>
              <w:spacing w:line="360" w:lineRule="atLeast"/>
              <w:ind w:firstLine="0" w:firstLineChars="0"/>
              <w:jc w:val="center"/>
              <w:rPr>
                <w:rFonts w:cs="Times New Roman"/>
                <w:bCs/>
                <w:color w:val="auto"/>
                <w:sz w:val="21"/>
                <w:szCs w:val="21"/>
                <w:highlight w:val="none"/>
              </w:rPr>
            </w:pPr>
            <w:r>
              <w:rPr>
                <w:rFonts w:cs="Times New Roman"/>
                <w:bCs/>
                <w:color w:val="auto"/>
                <w:sz w:val="21"/>
                <w:szCs w:val="21"/>
                <w:highlight w:val="none"/>
              </w:rPr>
              <w:t>/</w:t>
            </w:r>
          </w:p>
        </w:tc>
        <w:tc>
          <w:tcPr>
            <w:tcW w:w="615" w:type="dxa"/>
            <w:vMerge w:val="continue"/>
            <w:vAlign w:val="center"/>
          </w:tcPr>
          <w:p w14:paraId="6A6A5D87">
            <w:pPr>
              <w:spacing w:line="360" w:lineRule="atLeast"/>
              <w:ind w:firstLine="0" w:firstLineChars="0"/>
              <w:jc w:val="center"/>
              <w:rPr>
                <w:rFonts w:cs="Times New Roman"/>
                <w:color w:val="auto"/>
                <w:sz w:val="21"/>
                <w:szCs w:val="21"/>
                <w:highlight w:val="none"/>
              </w:rPr>
            </w:pPr>
          </w:p>
        </w:tc>
        <w:tc>
          <w:tcPr>
            <w:tcW w:w="861" w:type="dxa"/>
            <w:vMerge w:val="continue"/>
            <w:vAlign w:val="center"/>
          </w:tcPr>
          <w:p w14:paraId="4DD97966">
            <w:pPr>
              <w:spacing w:line="360" w:lineRule="atLeast"/>
              <w:ind w:firstLine="0" w:firstLineChars="0"/>
              <w:jc w:val="center"/>
              <w:rPr>
                <w:rFonts w:cs="Times New Roman"/>
                <w:color w:val="auto"/>
                <w:sz w:val="21"/>
                <w:szCs w:val="21"/>
                <w:highlight w:val="none"/>
              </w:rPr>
            </w:pPr>
          </w:p>
        </w:tc>
        <w:tc>
          <w:tcPr>
            <w:tcW w:w="1291" w:type="dxa"/>
            <w:vMerge w:val="continue"/>
            <w:vAlign w:val="center"/>
          </w:tcPr>
          <w:p w14:paraId="44740938">
            <w:pPr>
              <w:spacing w:line="360" w:lineRule="atLeast"/>
              <w:ind w:firstLine="0" w:firstLineChars="0"/>
              <w:rPr>
                <w:rFonts w:cs="Times New Roman"/>
                <w:bCs/>
                <w:color w:val="auto"/>
                <w:kern w:val="0"/>
                <w:sz w:val="21"/>
                <w:szCs w:val="21"/>
                <w:highlight w:val="none"/>
              </w:rPr>
            </w:pPr>
          </w:p>
        </w:tc>
      </w:tr>
    </w:tbl>
    <w:p w14:paraId="1F62E3F8">
      <w:pPr>
        <w:widowControl/>
        <w:spacing w:line="500" w:lineRule="exact"/>
        <w:rPr>
          <w:rFonts w:cs="Times New Roman"/>
          <w:color w:val="auto"/>
          <w:kern w:val="0"/>
          <w:highlight w:val="none"/>
        </w:rPr>
      </w:pPr>
      <w:r>
        <w:rPr>
          <w:rFonts w:cs="Times New Roman"/>
          <w:color w:val="auto"/>
          <w:kern w:val="0"/>
          <w:highlight w:val="none"/>
        </w:rPr>
        <w:t>根据《环境影响评价技术导则  地表水环境》（HJ2.3-2018），本项目为间接排放，评价等级为三级B，可不考虑评价时期、可不开展区域污染源调查，可不进行水环境影响预测，仅考虑其依托污水处理站环境可行性分析。</w:t>
      </w:r>
    </w:p>
    <w:p w14:paraId="36467658">
      <w:pPr>
        <w:widowControl/>
        <w:numPr>
          <w:ilvl w:val="0"/>
          <w:numId w:val="13"/>
        </w:numPr>
        <w:spacing w:line="500" w:lineRule="exact"/>
        <w:ind w:firstLine="482"/>
        <w:rPr>
          <w:rFonts w:cs="Times New Roman"/>
          <w:b/>
          <w:color w:val="auto"/>
          <w:szCs w:val="24"/>
          <w:highlight w:val="none"/>
        </w:rPr>
      </w:pPr>
      <w:r>
        <w:rPr>
          <w:rFonts w:cs="Times New Roman"/>
          <w:b/>
          <w:color w:val="auto"/>
          <w:szCs w:val="24"/>
          <w:highlight w:val="none"/>
        </w:rPr>
        <w:t>依托</w:t>
      </w:r>
      <w:r>
        <w:rPr>
          <w:rFonts w:hint="eastAsia" w:cs="Times New Roman"/>
          <w:b/>
          <w:color w:val="auto"/>
          <w:szCs w:val="24"/>
          <w:highlight w:val="none"/>
          <w:lang w:val="en-GB" w:eastAsia="zh-CN"/>
        </w:rPr>
        <w:t>双鸭山市畅源排水有限公司</w:t>
      </w:r>
      <w:r>
        <w:rPr>
          <w:rFonts w:cs="Times New Roman"/>
          <w:b/>
          <w:color w:val="auto"/>
          <w:szCs w:val="24"/>
          <w:highlight w:val="none"/>
          <w:lang w:val="en-GB"/>
        </w:rPr>
        <w:t>的</w:t>
      </w:r>
      <w:r>
        <w:rPr>
          <w:rFonts w:cs="Times New Roman"/>
          <w:b/>
          <w:color w:val="auto"/>
          <w:szCs w:val="24"/>
          <w:highlight w:val="none"/>
        </w:rPr>
        <w:t>可行性分析</w:t>
      </w:r>
    </w:p>
    <w:p w14:paraId="7855E93E">
      <w:pPr>
        <w:widowControl/>
        <w:spacing w:line="500" w:lineRule="exact"/>
        <w:rPr>
          <w:rFonts w:hint="eastAsia" w:cs="Times New Roman"/>
          <w:snapToGrid w:val="0"/>
          <w:color w:val="auto"/>
          <w:kern w:val="0"/>
          <w:highlight w:val="none"/>
          <w:lang w:val="en-US" w:eastAsia="zh-CN"/>
        </w:rPr>
      </w:pPr>
      <w:bookmarkStart w:id="290" w:name="_Hlk15372754"/>
      <w:r>
        <w:rPr>
          <w:rFonts w:hint="eastAsia" w:cs="Times New Roman"/>
          <w:snapToGrid w:val="0"/>
          <w:color w:val="auto"/>
          <w:highlight w:val="none"/>
          <w:lang w:val="en-GB" w:eastAsia="zh-CN"/>
        </w:rPr>
        <w:t>双鸭山市畅源排水有限公司</w:t>
      </w:r>
      <w:r>
        <w:rPr>
          <w:rFonts w:cs="Times New Roman"/>
          <w:snapToGrid w:val="0"/>
          <w:color w:val="auto"/>
          <w:highlight w:val="none"/>
        </w:rPr>
        <w:t>位于</w:t>
      </w:r>
      <w:r>
        <w:rPr>
          <w:rFonts w:hint="eastAsia" w:cs="Times New Roman"/>
          <w:snapToGrid w:val="0"/>
          <w:color w:val="auto"/>
          <w:highlight w:val="none"/>
        </w:rPr>
        <w:t>双鸭山市集贤县高丰村村西北(约2.5km)、哈同高速公路北侧3km、距离安邦河东岸堤坝坡脚 20m处。</w:t>
      </w:r>
      <w:r>
        <w:rPr>
          <w:rFonts w:cs="Times New Roman"/>
          <w:snapToGrid w:val="0"/>
          <w:color w:val="auto"/>
          <w:highlight w:val="none"/>
          <w:lang w:val="en-US"/>
        </w:rPr>
        <w:t>污水处理厂</w:t>
      </w:r>
      <w:r>
        <w:rPr>
          <w:rFonts w:cs="Times New Roman"/>
          <w:snapToGrid w:val="0"/>
          <w:color w:val="auto"/>
          <w:highlight w:val="none"/>
        </w:rPr>
        <w:t>设计处理污水量为</w:t>
      </w:r>
      <w:r>
        <w:rPr>
          <w:rFonts w:hint="eastAsia" w:cs="Times New Roman"/>
          <w:snapToGrid w:val="0"/>
          <w:color w:val="auto"/>
          <w:highlight w:val="none"/>
          <w:lang w:val="en-US" w:eastAsia="zh-CN"/>
        </w:rPr>
        <w:t>5</w:t>
      </w:r>
      <w:r>
        <w:rPr>
          <w:rFonts w:cs="Times New Roman"/>
          <w:snapToGrid w:val="0"/>
          <w:color w:val="auto"/>
          <w:highlight w:val="none"/>
        </w:rPr>
        <w:t>0000m</w:t>
      </w:r>
      <w:r>
        <w:rPr>
          <w:rFonts w:cs="Times New Roman"/>
          <w:snapToGrid w:val="0"/>
          <w:color w:val="auto"/>
          <w:highlight w:val="none"/>
          <w:vertAlign w:val="superscript"/>
        </w:rPr>
        <w:t>3</w:t>
      </w:r>
      <w:r>
        <w:rPr>
          <w:rFonts w:cs="Times New Roman"/>
          <w:snapToGrid w:val="0"/>
          <w:color w:val="auto"/>
          <w:highlight w:val="none"/>
        </w:rPr>
        <w:t>/d，污水处理工艺：</w:t>
      </w:r>
      <w:r>
        <w:rPr>
          <w:rFonts w:hint="eastAsia" w:cs="Times New Roman"/>
          <w:snapToGrid w:val="0"/>
          <w:color w:val="auto"/>
          <w:highlight w:val="none"/>
          <w:lang w:val="en-US" w:eastAsia="zh-CN"/>
        </w:rPr>
        <w:t>采用A</w:t>
      </w:r>
      <w:r>
        <w:rPr>
          <w:rFonts w:hint="eastAsia" w:cs="Times New Roman"/>
          <w:snapToGrid w:val="0"/>
          <w:color w:val="auto"/>
          <w:highlight w:val="none"/>
          <w:vertAlign w:val="superscript"/>
          <w:lang w:val="en-US" w:eastAsia="zh-CN"/>
        </w:rPr>
        <w:t>2</w:t>
      </w:r>
      <w:r>
        <w:rPr>
          <w:rFonts w:hint="eastAsia" w:cs="Times New Roman"/>
          <w:snapToGrid w:val="0"/>
          <w:color w:val="auto"/>
          <w:highlight w:val="none"/>
          <w:lang w:val="en-US" w:eastAsia="zh-CN"/>
        </w:rPr>
        <w:t>O处理工艺</w:t>
      </w:r>
      <w:r>
        <w:rPr>
          <w:rFonts w:cs="Times New Roman"/>
          <w:snapToGrid w:val="0"/>
          <w:color w:val="auto"/>
          <w:highlight w:val="none"/>
        </w:rPr>
        <w:t>，处理后出水水质达到《城镇污水处理厂污染物排放标准》中的一级A标准后排入</w:t>
      </w:r>
      <w:r>
        <w:rPr>
          <w:rFonts w:hint="eastAsia" w:cs="Times New Roman"/>
          <w:snapToGrid w:val="0"/>
          <w:color w:val="auto"/>
          <w:highlight w:val="none"/>
          <w:lang w:val="en-US" w:eastAsia="zh-CN"/>
        </w:rPr>
        <w:t>安邦河</w:t>
      </w:r>
      <w:r>
        <w:rPr>
          <w:rFonts w:hint="eastAsia" w:cs="Times New Roman"/>
          <w:snapToGrid w:val="0"/>
          <w:color w:val="auto"/>
          <w:highlight w:val="none"/>
          <w:lang w:eastAsia="zh-CN"/>
        </w:rPr>
        <w:t>，</w:t>
      </w:r>
      <w:r>
        <w:rPr>
          <w:rFonts w:hint="eastAsia" w:cs="Times New Roman"/>
          <w:snapToGrid w:val="0"/>
          <w:color w:val="auto"/>
          <w:kern w:val="0"/>
          <w:highlight w:val="none"/>
          <w:lang w:val="en-GB" w:eastAsia="zh-CN"/>
        </w:rPr>
        <w:t>双鸭山市畅源排水有限公司</w:t>
      </w:r>
      <w:r>
        <w:rPr>
          <w:rFonts w:hint="eastAsia" w:cs="Times New Roman"/>
          <w:snapToGrid w:val="0"/>
          <w:color w:val="auto"/>
          <w:kern w:val="0"/>
          <w:highlight w:val="none"/>
          <w:lang w:val="en-US" w:eastAsia="zh-CN"/>
        </w:rPr>
        <w:t>于2019年10月12日取得入河排污口批复，批复文号：双环函【2019】84号。</w:t>
      </w:r>
    </w:p>
    <w:p w14:paraId="0A6A0DCE">
      <w:pPr>
        <w:widowControl/>
        <w:spacing w:line="500" w:lineRule="exact"/>
        <w:rPr>
          <w:rFonts w:cs="Times New Roman"/>
          <w:color w:val="auto"/>
          <w:kern w:val="0"/>
          <w:highlight w:val="none"/>
        </w:rPr>
      </w:pPr>
      <w:r>
        <w:rPr>
          <w:rFonts w:hint="eastAsia" w:cs="Times New Roman"/>
          <w:snapToGrid w:val="0"/>
          <w:color w:val="auto"/>
          <w:highlight w:val="none"/>
          <w:lang w:eastAsia="zh-CN"/>
        </w:rPr>
        <w:t>生产车间（包含冷库）、隔离</w:t>
      </w:r>
      <w:r>
        <w:rPr>
          <w:rFonts w:hint="eastAsia" w:cs="Times New Roman"/>
          <w:snapToGrid w:val="0"/>
          <w:color w:val="auto"/>
          <w:highlight w:val="none"/>
          <w:lang w:val="en-US" w:eastAsia="zh-CN"/>
        </w:rPr>
        <w:t>间</w:t>
      </w:r>
      <w:r>
        <w:rPr>
          <w:rFonts w:hint="eastAsia" w:cs="Times New Roman"/>
          <w:snapToGrid w:val="0"/>
          <w:color w:val="auto"/>
          <w:highlight w:val="none"/>
          <w:lang w:eastAsia="zh-CN"/>
        </w:rPr>
        <w:t>、本项目废水主要为生活污水、屠宰废水、车辆冲洗废水</w:t>
      </w:r>
      <w:r>
        <w:rPr>
          <w:rFonts w:hint="eastAsia" w:cs="Times New Roman"/>
          <w:snapToGrid w:val="0"/>
          <w:color w:val="auto"/>
          <w:highlight w:val="none"/>
          <w:lang w:val="en-US" w:eastAsia="zh-CN"/>
        </w:rPr>
        <w:t>及</w:t>
      </w:r>
      <w:r>
        <w:rPr>
          <w:rFonts w:hint="eastAsia" w:cs="Times New Roman"/>
          <w:snapToGrid w:val="0"/>
          <w:color w:val="auto"/>
          <w:highlight w:val="none"/>
          <w:lang w:eastAsia="zh-CN"/>
        </w:rPr>
        <w:t>冷库排酸废水，屠宰废水、车辆冲洗废水及冷库排酸废水经污水处理站处理后满足</w:t>
      </w:r>
      <w:r>
        <w:rPr>
          <w:rFonts w:cs="Times New Roman"/>
          <w:snapToGrid w:val="0"/>
          <w:color w:val="auto"/>
          <w:highlight w:val="none"/>
          <w:lang w:val="en-GB"/>
        </w:rPr>
        <w:t>《肉类加工工业水污</w:t>
      </w:r>
      <w:r>
        <w:rPr>
          <w:rFonts w:cs="Times New Roman"/>
          <w:snapToGrid w:val="0"/>
          <w:color w:val="auto"/>
          <w:highlight w:val="none"/>
          <w:lang w:val="en-US"/>
        </w:rPr>
        <w:t xml:space="preserve"> </w:t>
      </w:r>
      <w:r>
        <w:rPr>
          <w:rFonts w:cs="Times New Roman"/>
          <w:snapToGrid w:val="0"/>
          <w:color w:val="auto"/>
          <w:highlight w:val="none"/>
          <w:lang w:val="en-GB"/>
        </w:rPr>
        <w:t>染物排放标准》（GB13457-92）中畜类屠宰加工三级标准，并满足</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进水水质要求</w:t>
      </w:r>
      <w:r>
        <w:rPr>
          <w:rFonts w:hint="eastAsia" w:cs="Times New Roman"/>
          <w:snapToGrid w:val="0"/>
          <w:color w:val="auto"/>
          <w:highlight w:val="none"/>
          <w:lang w:val="en-GB" w:eastAsia="zh-CN"/>
        </w:rPr>
        <w:t>《</w:t>
      </w:r>
      <w:r>
        <w:rPr>
          <w:rFonts w:cs="Times New Roman"/>
          <w:snapToGrid w:val="0"/>
          <w:color w:val="auto"/>
          <w:highlight w:val="none"/>
          <w:lang w:val="en-GB"/>
        </w:rPr>
        <w:fldChar w:fldCharType="begin"/>
      </w:r>
      <w:r>
        <w:rPr>
          <w:rFonts w:cs="Times New Roman"/>
          <w:snapToGrid w:val="0"/>
          <w:color w:val="auto"/>
          <w:highlight w:val="none"/>
          <w:lang w:val="en-GB"/>
        </w:rPr>
        <w:instrText xml:space="preserve"> HYPERLINK "https://www.mee.gov.cn/ywgz/fgbz/bz/bzwb/shjbh/swrwpfbz/199801/W020061027521858212955.pdf" \t "https://www.mee.gov.cn/ywgz/fgbz/bz/bzwb/shjbh/swrwpfbz/199801/_self" </w:instrText>
      </w:r>
      <w:r>
        <w:rPr>
          <w:rFonts w:cs="Times New Roman"/>
          <w:snapToGrid w:val="0"/>
          <w:color w:val="auto"/>
          <w:highlight w:val="none"/>
          <w:lang w:val="en-GB"/>
        </w:rPr>
        <w:fldChar w:fldCharType="separate"/>
      </w:r>
      <w:r>
        <w:rPr>
          <w:rFonts w:hint="eastAsia" w:cs="Times New Roman"/>
          <w:snapToGrid w:val="0"/>
          <w:color w:val="auto"/>
          <w:highlight w:val="none"/>
          <w:lang w:val="en-GB"/>
        </w:rPr>
        <w:t>污水综合排放标准</w:t>
      </w:r>
      <w:r>
        <w:rPr>
          <w:rFonts w:hint="eastAsia" w:cs="Times New Roman"/>
          <w:snapToGrid w:val="0"/>
          <w:color w:val="auto"/>
          <w:highlight w:val="none"/>
          <w:lang w:val="en-GB" w:eastAsia="zh-CN"/>
        </w:rPr>
        <w:t>》</w:t>
      </w:r>
      <w:r>
        <w:rPr>
          <w:rFonts w:hint="eastAsia" w:cs="Times New Roman"/>
          <w:snapToGrid w:val="0"/>
          <w:color w:val="auto"/>
          <w:highlight w:val="none"/>
          <w:lang w:val="en-GB"/>
        </w:rPr>
        <w:t>（GB 8978-1996 ）</w:t>
      </w:r>
      <w:r>
        <w:rPr>
          <w:rFonts w:hint="eastAsia" w:cs="Times New Roman"/>
          <w:snapToGrid w:val="0"/>
          <w:color w:val="auto"/>
          <w:highlight w:val="none"/>
          <w:lang w:val="en-GB"/>
        </w:rPr>
        <w:fldChar w:fldCharType="end"/>
      </w:r>
      <w:r>
        <w:rPr>
          <w:rFonts w:hint="eastAsia" w:cs="Times New Roman"/>
          <w:snapToGrid w:val="0"/>
          <w:color w:val="auto"/>
          <w:highlight w:val="none"/>
          <w:lang w:val="en-US" w:eastAsia="zh-CN"/>
        </w:rPr>
        <w:t>三级标准</w:t>
      </w:r>
      <w:r>
        <w:rPr>
          <w:rFonts w:cs="Times New Roman"/>
          <w:snapToGrid w:val="0"/>
          <w:color w:val="auto"/>
          <w:highlight w:val="none"/>
          <w:lang w:val="en-US"/>
        </w:rPr>
        <w:t>后与生活污水一同排入</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w:t>
      </w:r>
      <w:r>
        <w:rPr>
          <w:rFonts w:hint="eastAsia" w:cs="Times New Roman"/>
          <w:snapToGrid w:val="0"/>
          <w:color w:val="auto"/>
          <w:highlight w:val="none"/>
          <w:lang w:val="en-US" w:eastAsia="zh-CN"/>
        </w:rPr>
        <w:t>该公司现污水处理量约30000</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hint="eastAsia" w:cs="Times New Roman"/>
          <w:snapToGrid w:val="0"/>
          <w:color w:val="auto"/>
          <w:highlight w:val="none"/>
          <w:vertAlign w:val="baseline"/>
          <w:lang w:val="en-US" w:eastAsia="zh-CN"/>
        </w:rPr>
        <w:t>/d</w:t>
      </w:r>
      <w:r>
        <w:rPr>
          <w:rFonts w:cs="Times New Roman"/>
          <w:snapToGrid w:val="0"/>
          <w:color w:val="auto"/>
          <w:highlight w:val="none"/>
          <w:lang w:val="en-US"/>
        </w:rPr>
        <w:t>。</w:t>
      </w:r>
      <w:r>
        <w:rPr>
          <w:rFonts w:hint="eastAsia" w:cs="Times New Roman"/>
          <w:snapToGrid w:val="0"/>
          <w:color w:val="auto"/>
          <w:highlight w:val="none"/>
          <w:lang w:val="en-US" w:eastAsia="zh-CN"/>
        </w:rPr>
        <w:t>尚有20000</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hint="eastAsia" w:cs="Times New Roman"/>
          <w:snapToGrid w:val="0"/>
          <w:color w:val="auto"/>
          <w:highlight w:val="none"/>
          <w:vertAlign w:val="baseline"/>
          <w:lang w:val="en-US" w:eastAsia="zh-CN"/>
        </w:rPr>
        <w:t>/d的余量，本项目</w:t>
      </w:r>
      <w:r>
        <w:rPr>
          <w:rFonts w:cs="Times New Roman"/>
          <w:snapToGrid w:val="0"/>
          <w:color w:val="auto"/>
          <w:highlight w:val="none"/>
          <w:lang w:val="en-US"/>
        </w:rPr>
        <w:t>排放量为</w:t>
      </w:r>
      <w:r>
        <w:rPr>
          <w:rFonts w:hint="eastAsia" w:cs="Times New Roman"/>
          <w:snapToGrid w:val="0"/>
          <w:color w:val="auto"/>
          <w:highlight w:val="none"/>
          <w:lang w:val="en-US" w:eastAsia="zh-CN"/>
        </w:rPr>
        <w:t>240.695</w:t>
      </w:r>
      <w:r>
        <w:rPr>
          <w:rFonts w:cs="Times New Roman"/>
          <w:snapToGrid w:val="0"/>
          <w:color w:val="auto"/>
          <w:highlight w:val="none"/>
          <w:lang w:val="en-US"/>
        </w:rPr>
        <w:t>m</w:t>
      </w:r>
      <w:r>
        <w:rPr>
          <w:rFonts w:cs="Times New Roman"/>
          <w:snapToGrid w:val="0"/>
          <w:color w:val="auto"/>
          <w:highlight w:val="none"/>
          <w:vertAlign w:val="superscript"/>
          <w:lang w:val="en-US"/>
        </w:rPr>
        <w:t>3</w:t>
      </w:r>
      <w:r>
        <w:rPr>
          <w:rFonts w:hint="eastAsia" w:cs="Times New Roman"/>
          <w:snapToGrid w:val="0"/>
          <w:color w:val="auto"/>
          <w:highlight w:val="none"/>
          <w:vertAlign w:val="baseline"/>
          <w:lang w:val="en-US" w:eastAsia="zh-CN"/>
        </w:rPr>
        <w:t>/d</w:t>
      </w:r>
      <w:r>
        <w:rPr>
          <w:rFonts w:cs="Times New Roman"/>
          <w:snapToGrid w:val="0"/>
          <w:color w:val="auto"/>
          <w:highlight w:val="none"/>
          <w:lang w:val="en-US"/>
        </w:rPr>
        <w:t>。</w:t>
      </w:r>
      <w:r>
        <w:rPr>
          <w:rFonts w:hint="eastAsia" w:cs="Times New Roman"/>
          <w:snapToGrid w:val="0"/>
          <w:color w:val="auto"/>
          <w:highlight w:val="none"/>
          <w:lang w:val="en-US" w:eastAsia="zh-CN"/>
        </w:rPr>
        <w:t>所占比例较小，</w:t>
      </w:r>
      <w:r>
        <w:rPr>
          <w:rFonts w:cs="Times New Roman"/>
          <w:snapToGrid w:val="0"/>
          <w:color w:val="auto"/>
          <w:highlight w:val="none"/>
        </w:rPr>
        <w:t>因此，项目所排废水从水质和水量角度分析均能够达到</w:t>
      </w:r>
      <w:r>
        <w:rPr>
          <w:rFonts w:hint="eastAsia" w:cs="Times New Roman"/>
          <w:snapToGrid w:val="0"/>
          <w:color w:val="auto"/>
          <w:highlight w:val="none"/>
          <w:lang w:val="en-GB" w:eastAsia="zh-CN"/>
        </w:rPr>
        <w:t>双鸭山市畅源排水有限公司</w:t>
      </w:r>
      <w:r>
        <w:rPr>
          <w:rFonts w:cs="Times New Roman"/>
          <w:snapToGrid w:val="0"/>
          <w:color w:val="auto"/>
          <w:highlight w:val="none"/>
        </w:rPr>
        <w:t>接收条件，依托可行</w:t>
      </w:r>
      <w:r>
        <w:rPr>
          <w:rFonts w:hint="eastAsia" w:cs="Times New Roman"/>
          <w:snapToGrid w:val="0"/>
          <w:color w:val="auto"/>
          <w:highlight w:val="none"/>
          <w:lang w:eastAsia="zh-CN"/>
        </w:rPr>
        <w:t>。</w:t>
      </w:r>
    </w:p>
    <w:bookmarkEnd w:id="290"/>
    <w:p w14:paraId="17F118E5">
      <w:pPr>
        <w:pStyle w:val="4"/>
        <w:spacing w:after="163"/>
        <w:rPr>
          <w:rFonts w:cs="Times New Roman"/>
          <w:color w:val="auto"/>
          <w:highlight w:val="none"/>
        </w:rPr>
      </w:pPr>
      <w:bookmarkStart w:id="291" w:name="_Toc30858"/>
      <w:r>
        <w:rPr>
          <w:rFonts w:cs="Times New Roman"/>
          <w:color w:val="auto"/>
          <w:highlight w:val="none"/>
        </w:rPr>
        <w:t>5.2.3地下水环境影响评价</w:t>
      </w:r>
      <w:bookmarkEnd w:id="291"/>
    </w:p>
    <w:p w14:paraId="4D44C63D">
      <w:pPr>
        <w:pStyle w:val="5"/>
        <w:rPr>
          <w:color w:val="auto"/>
          <w:highlight w:val="none"/>
        </w:rPr>
      </w:pPr>
      <w:r>
        <w:rPr>
          <w:color w:val="auto"/>
          <w:highlight w:val="none"/>
        </w:rPr>
        <w:t>5.2.3.1水文地质条件</w:t>
      </w:r>
    </w:p>
    <w:p w14:paraId="2924BB09">
      <w:pPr>
        <w:spacing w:line="500" w:lineRule="exact"/>
        <w:rPr>
          <w:rFonts w:cs="Times New Roman"/>
          <w:color w:val="auto"/>
          <w:highlight w:val="none"/>
        </w:rPr>
      </w:pPr>
      <w:r>
        <w:rPr>
          <w:rFonts w:cs="Times New Roman"/>
          <w:color w:val="auto"/>
          <w:highlight w:val="none"/>
        </w:rPr>
        <w:t>地下水类型包括第四系松散岩类孔隙水与碎屑岩类裂隙水。</w:t>
      </w:r>
    </w:p>
    <w:p w14:paraId="08EDD1DD">
      <w:pPr>
        <w:spacing w:line="500" w:lineRule="exact"/>
        <w:ind w:firstLine="482"/>
        <w:rPr>
          <w:rFonts w:cs="Times New Roman"/>
          <w:b/>
          <w:bCs/>
          <w:color w:val="auto"/>
          <w:highlight w:val="none"/>
        </w:rPr>
      </w:pPr>
      <w:r>
        <w:rPr>
          <w:rFonts w:cs="Times New Roman"/>
          <w:b/>
          <w:bCs/>
          <w:color w:val="auto"/>
          <w:highlight w:val="none"/>
        </w:rPr>
        <w:t>1、第四系松散岩类孔隙水</w:t>
      </w:r>
    </w:p>
    <w:p w14:paraId="53551D42">
      <w:pPr>
        <w:spacing w:line="500" w:lineRule="exact"/>
        <w:rPr>
          <w:rFonts w:cs="Times New Roman"/>
          <w:color w:val="auto"/>
          <w:highlight w:val="none"/>
        </w:rPr>
      </w:pPr>
      <w:r>
        <w:rPr>
          <w:rFonts w:cs="Times New Roman"/>
          <w:color w:val="auto"/>
          <w:highlight w:val="none"/>
        </w:rPr>
        <w:t>主要分布于逊河河谷平原及高平原地区，含水层由砂、砂砾石、卵石等组成。富水性主要受含水层岩性、厚度等控制，单井涌水量可达1000-5000 m</w:t>
      </w:r>
      <w:r>
        <w:rPr>
          <w:rFonts w:cs="Times New Roman"/>
          <w:color w:val="auto"/>
          <w:highlight w:val="none"/>
          <w:vertAlign w:val="superscript"/>
        </w:rPr>
        <w:t>3</w:t>
      </w:r>
      <w:r>
        <w:rPr>
          <w:rFonts w:cs="Times New Roman"/>
          <w:color w:val="auto"/>
          <w:highlight w:val="none"/>
        </w:rPr>
        <w:t>/d。</w:t>
      </w:r>
    </w:p>
    <w:p w14:paraId="529708A8">
      <w:pPr>
        <w:spacing w:line="500" w:lineRule="exact"/>
        <w:ind w:firstLine="482"/>
        <w:rPr>
          <w:rFonts w:cs="Times New Roman"/>
          <w:b/>
          <w:bCs/>
          <w:color w:val="auto"/>
          <w:highlight w:val="none"/>
        </w:rPr>
      </w:pPr>
      <w:r>
        <w:rPr>
          <w:rFonts w:cs="Times New Roman"/>
          <w:b/>
          <w:bCs/>
          <w:color w:val="auto"/>
          <w:highlight w:val="none"/>
        </w:rPr>
        <w:t>2、碎屑岩类裂隙水</w:t>
      </w:r>
    </w:p>
    <w:p w14:paraId="2F805E65">
      <w:pPr>
        <w:spacing w:line="500" w:lineRule="exact"/>
        <w:rPr>
          <w:rFonts w:cs="Times New Roman"/>
          <w:color w:val="auto"/>
          <w:highlight w:val="none"/>
        </w:rPr>
      </w:pPr>
      <w:r>
        <w:rPr>
          <w:rFonts w:cs="Times New Roman"/>
          <w:color w:val="auto"/>
          <w:highlight w:val="none"/>
        </w:rPr>
        <w:t>分布于丘陵地带，含水层岩性为弱胶结砂岩、砂砾岩，一般上细下粗，结构疏松，孔隙发育。含水层单层厚度一般为4m左右，单井涌水量为小于1000m</w:t>
      </w:r>
      <w:r>
        <w:rPr>
          <w:rFonts w:cs="Times New Roman"/>
          <w:color w:val="auto"/>
          <w:highlight w:val="none"/>
          <w:vertAlign w:val="superscript"/>
        </w:rPr>
        <w:t>3</w:t>
      </w:r>
      <w:r>
        <w:rPr>
          <w:rFonts w:cs="Times New Roman"/>
          <w:color w:val="auto"/>
          <w:highlight w:val="none"/>
        </w:rPr>
        <w:t>/d。</w:t>
      </w:r>
    </w:p>
    <w:p w14:paraId="69A78F5E">
      <w:pPr>
        <w:pStyle w:val="5"/>
        <w:rPr>
          <w:color w:val="auto"/>
          <w:highlight w:val="none"/>
        </w:rPr>
      </w:pPr>
      <w:r>
        <w:rPr>
          <w:color w:val="auto"/>
          <w:highlight w:val="none"/>
        </w:rPr>
        <w:t>5.2.3.2地下水环境影响预测</w:t>
      </w:r>
    </w:p>
    <w:p w14:paraId="52CFFFDA">
      <w:pPr>
        <w:spacing w:line="500" w:lineRule="exact"/>
        <w:ind w:firstLine="482"/>
        <w:rPr>
          <w:rFonts w:cs="Times New Roman"/>
          <w:b/>
          <w:bCs/>
          <w:color w:val="auto"/>
          <w:highlight w:val="none"/>
        </w:rPr>
      </w:pPr>
      <w:r>
        <w:rPr>
          <w:rFonts w:cs="Times New Roman"/>
          <w:b/>
          <w:bCs/>
          <w:color w:val="auto"/>
          <w:highlight w:val="none"/>
        </w:rPr>
        <w:t>1、预测范围</w:t>
      </w:r>
    </w:p>
    <w:p w14:paraId="4BECEB31">
      <w:pPr>
        <w:spacing w:line="500" w:lineRule="exact"/>
        <w:rPr>
          <w:rFonts w:cs="Times New Roman"/>
          <w:color w:val="auto"/>
          <w:highlight w:val="none"/>
        </w:rPr>
      </w:pPr>
      <w:r>
        <w:rPr>
          <w:rFonts w:cs="Times New Roman"/>
          <w:color w:val="auto"/>
          <w:highlight w:val="none"/>
        </w:rPr>
        <w:t>根据《环境影响评价技术导则 地下水环境》（HJ610-2016），本项目地下水评价等级为三级，本次评价地下水调查范围采用查表法确定。地下水调查范围为以项目所在地为中心，</w:t>
      </w:r>
      <w:r>
        <w:rPr>
          <w:rFonts w:cs="Times New Roman"/>
          <w:color w:val="auto"/>
          <w:spacing w:val="12"/>
          <w:szCs w:val="24"/>
          <w:highlight w:val="none"/>
        </w:rPr>
        <w:t>上游（</w:t>
      </w:r>
      <w:r>
        <w:rPr>
          <w:rFonts w:hint="eastAsia" w:cs="Times New Roman"/>
          <w:color w:val="auto"/>
          <w:spacing w:val="12"/>
          <w:szCs w:val="24"/>
          <w:highlight w:val="none"/>
          <w:lang w:val="en-US" w:eastAsia="zh-CN"/>
        </w:rPr>
        <w:t>东南</w:t>
      </w:r>
      <w:r>
        <w:rPr>
          <w:rFonts w:cs="Times New Roman"/>
          <w:color w:val="auto"/>
          <w:spacing w:val="12"/>
          <w:szCs w:val="24"/>
          <w:highlight w:val="none"/>
        </w:rPr>
        <w:t>侧）1.</w:t>
      </w:r>
      <w:r>
        <w:rPr>
          <w:rFonts w:hint="eastAsia" w:cs="Times New Roman"/>
          <w:color w:val="auto"/>
          <w:spacing w:val="12"/>
          <w:szCs w:val="24"/>
          <w:highlight w:val="none"/>
          <w:lang w:val="en-US" w:eastAsia="zh-CN"/>
        </w:rPr>
        <w:t>5</w:t>
      </w:r>
      <w:r>
        <w:rPr>
          <w:rFonts w:cs="Times New Roman"/>
          <w:color w:val="auto"/>
          <w:spacing w:val="12"/>
          <w:szCs w:val="24"/>
          <w:highlight w:val="none"/>
        </w:rPr>
        <w:t>km，</w:t>
      </w:r>
      <w:r>
        <w:rPr>
          <w:rFonts w:hint="eastAsia" w:cs="Times New Roman"/>
          <w:snapToGrid w:val="0"/>
          <w:color w:val="auto"/>
          <w:kern w:val="0"/>
          <w:highlight w:val="none"/>
          <w:lang w:val="en-US" w:eastAsia="zh-CN"/>
        </w:rPr>
        <w:t>西南</w:t>
      </w:r>
      <w:r>
        <w:rPr>
          <w:rFonts w:cs="Times New Roman"/>
          <w:snapToGrid w:val="0"/>
          <w:color w:val="auto"/>
          <w:kern w:val="0"/>
          <w:highlight w:val="none"/>
        </w:rPr>
        <w:t>侧为0.7km，</w:t>
      </w:r>
      <w:r>
        <w:rPr>
          <w:rFonts w:hint="eastAsia" w:cs="Times New Roman"/>
          <w:snapToGrid w:val="0"/>
          <w:color w:val="auto"/>
          <w:kern w:val="0"/>
          <w:highlight w:val="none"/>
          <w:lang w:val="en-US" w:eastAsia="zh-CN"/>
        </w:rPr>
        <w:t>东北</w:t>
      </w:r>
      <w:r>
        <w:rPr>
          <w:rFonts w:cs="Times New Roman"/>
          <w:snapToGrid w:val="0"/>
          <w:color w:val="auto"/>
          <w:kern w:val="0"/>
          <w:highlight w:val="none"/>
        </w:rPr>
        <w:t>侧为1.5km，</w:t>
      </w:r>
      <w:r>
        <w:rPr>
          <w:rFonts w:cs="Times New Roman"/>
          <w:color w:val="auto"/>
          <w:spacing w:val="12"/>
          <w:szCs w:val="24"/>
          <w:highlight w:val="none"/>
        </w:rPr>
        <w:t>下游（</w:t>
      </w:r>
      <w:r>
        <w:rPr>
          <w:rFonts w:hint="eastAsia" w:cs="Times New Roman"/>
          <w:color w:val="auto"/>
          <w:spacing w:val="12"/>
          <w:szCs w:val="24"/>
          <w:highlight w:val="none"/>
          <w:lang w:val="en-US" w:eastAsia="zh-CN"/>
        </w:rPr>
        <w:t>西北</w:t>
      </w:r>
      <w:r>
        <w:rPr>
          <w:rFonts w:cs="Times New Roman"/>
          <w:color w:val="auto"/>
          <w:spacing w:val="12"/>
          <w:szCs w:val="24"/>
          <w:highlight w:val="none"/>
        </w:rPr>
        <w:t>侧）1.</w:t>
      </w:r>
      <w:r>
        <w:rPr>
          <w:rFonts w:hint="eastAsia" w:cs="Times New Roman"/>
          <w:color w:val="auto"/>
          <w:spacing w:val="12"/>
          <w:szCs w:val="24"/>
          <w:highlight w:val="none"/>
          <w:lang w:val="en-US" w:eastAsia="zh-CN"/>
        </w:rPr>
        <w:t>2</w:t>
      </w:r>
      <w:r>
        <w:rPr>
          <w:rFonts w:cs="Times New Roman"/>
          <w:color w:val="auto"/>
          <w:spacing w:val="12"/>
          <w:szCs w:val="24"/>
          <w:highlight w:val="none"/>
        </w:rPr>
        <w:t>km，</w:t>
      </w:r>
      <w:r>
        <w:rPr>
          <w:rFonts w:cs="Times New Roman"/>
          <w:snapToGrid w:val="0"/>
          <w:color w:val="auto"/>
          <w:kern w:val="0"/>
          <w:highlight w:val="none"/>
        </w:rPr>
        <w:t>面积约为</w:t>
      </w:r>
      <w:r>
        <w:rPr>
          <w:rFonts w:cs="Times New Roman"/>
          <w:color w:val="auto"/>
          <w:spacing w:val="12"/>
          <w:szCs w:val="24"/>
          <w:highlight w:val="none"/>
        </w:rPr>
        <w:t>6km</w:t>
      </w:r>
      <w:r>
        <w:rPr>
          <w:rFonts w:cs="Times New Roman"/>
          <w:color w:val="auto"/>
          <w:spacing w:val="12"/>
          <w:szCs w:val="24"/>
          <w:highlight w:val="none"/>
          <w:vertAlign w:val="superscript"/>
        </w:rPr>
        <w:t>2</w:t>
      </w:r>
      <w:r>
        <w:rPr>
          <w:rFonts w:cs="Times New Roman"/>
          <w:color w:val="auto"/>
          <w:spacing w:val="12"/>
          <w:szCs w:val="24"/>
          <w:highlight w:val="none"/>
        </w:rPr>
        <w:t>。</w:t>
      </w:r>
    </w:p>
    <w:p w14:paraId="3740F831">
      <w:pPr>
        <w:spacing w:line="500" w:lineRule="exact"/>
        <w:ind w:firstLine="482"/>
        <w:rPr>
          <w:rFonts w:cs="Times New Roman"/>
          <w:b/>
          <w:bCs/>
          <w:color w:val="auto"/>
          <w:highlight w:val="none"/>
        </w:rPr>
      </w:pPr>
      <w:r>
        <w:rPr>
          <w:rFonts w:cs="Times New Roman"/>
          <w:b/>
          <w:bCs/>
          <w:color w:val="auto"/>
          <w:highlight w:val="none"/>
        </w:rPr>
        <w:t>2、预测时段</w:t>
      </w:r>
    </w:p>
    <w:p w14:paraId="797119B7">
      <w:pPr>
        <w:spacing w:line="500" w:lineRule="exact"/>
        <w:rPr>
          <w:rFonts w:cs="Times New Roman"/>
          <w:color w:val="auto"/>
          <w:highlight w:val="none"/>
        </w:rPr>
      </w:pPr>
      <w:r>
        <w:rPr>
          <w:rFonts w:cs="Times New Roman"/>
          <w:color w:val="auto"/>
          <w:highlight w:val="none"/>
        </w:rPr>
        <w:t>预测时段设定为调节池破损渗漏后的100天</w:t>
      </w:r>
      <w:r>
        <w:rPr>
          <w:rFonts w:hint="eastAsia" w:cs="Times New Roman"/>
          <w:color w:val="auto"/>
          <w:highlight w:val="none"/>
          <w:lang w:eastAsia="zh-CN"/>
        </w:rPr>
        <w:t>、</w:t>
      </w:r>
      <w:r>
        <w:rPr>
          <w:rFonts w:hint="eastAsia" w:cs="Times New Roman"/>
          <w:color w:val="auto"/>
          <w:highlight w:val="none"/>
          <w:lang w:val="en-US" w:eastAsia="zh-CN"/>
        </w:rPr>
        <w:t>365天、</w:t>
      </w:r>
      <w:r>
        <w:rPr>
          <w:rFonts w:cs="Times New Roman"/>
          <w:color w:val="auto"/>
          <w:highlight w:val="none"/>
        </w:rPr>
        <w:t>1000天。由于本项目企业自身的环境管理且有定期跟踪监测和环境保护主管部门的监管，因此出现1000d以上的非正常状况持续泄露，污染地下水而未发现或发现却不采取应急响应措施是不现实的，因此本项目最长的持续泄漏时间取导则规定的时间为1000d。</w:t>
      </w:r>
    </w:p>
    <w:p w14:paraId="503B10FA">
      <w:pPr>
        <w:spacing w:line="500" w:lineRule="exact"/>
        <w:ind w:firstLine="482"/>
        <w:rPr>
          <w:rFonts w:cs="Times New Roman"/>
          <w:b/>
          <w:bCs/>
          <w:color w:val="auto"/>
          <w:highlight w:val="none"/>
        </w:rPr>
      </w:pPr>
      <w:r>
        <w:rPr>
          <w:rFonts w:cs="Times New Roman"/>
          <w:b/>
          <w:bCs/>
          <w:color w:val="auto"/>
          <w:highlight w:val="none"/>
        </w:rPr>
        <w:t>3、情景设置</w:t>
      </w:r>
    </w:p>
    <w:p w14:paraId="675116E3">
      <w:pPr>
        <w:spacing w:line="500" w:lineRule="exact"/>
        <w:rPr>
          <w:rFonts w:cs="Times New Roman"/>
          <w:color w:val="auto"/>
          <w:highlight w:val="none"/>
        </w:rPr>
      </w:pPr>
      <w:r>
        <w:rPr>
          <w:rFonts w:cs="Times New Roman"/>
          <w:color w:val="auto"/>
          <w:highlight w:val="none"/>
        </w:rPr>
        <w:t>依据《环境影响评价技术导则 地下水环境》（HJ610-2016），已依据相关规范设计地下水防渗措施的建设项目，可不进行正常状况情景下的预测。本项目对与污水接触的砼、钢筋砼结构进行防腐蚀处理，各种构造均应满足《工业建筑防腐蚀设计规范》（GB50046-2008）的要求，防渗技术要求满足《环境影响评价技术导则 地下水环境》（HJ610-2016）表7中要求。由于构筑物的渗透性能极弱，构筑物中污废水与地下水之间几乎不存在水力联系，正常运行情况下，项目基本不会对地下水的水质造成影响。因此，本次评价仅开展事故工况下地下水预测，重点关注调节池泄漏对地下水的影响。</w:t>
      </w:r>
    </w:p>
    <w:p w14:paraId="7C1BB899">
      <w:pPr>
        <w:spacing w:line="500" w:lineRule="exact"/>
        <w:ind w:firstLine="482"/>
        <w:rPr>
          <w:rFonts w:cs="Times New Roman"/>
          <w:b/>
          <w:bCs/>
          <w:color w:val="auto"/>
          <w:highlight w:val="none"/>
        </w:rPr>
      </w:pPr>
      <w:r>
        <w:rPr>
          <w:rFonts w:cs="Times New Roman"/>
          <w:b/>
          <w:bCs/>
          <w:color w:val="auto"/>
          <w:highlight w:val="none"/>
        </w:rPr>
        <w:t>4、预测因子</w:t>
      </w:r>
    </w:p>
    <w:p w14:paraId="7D383190">
      <w:pPr>
        <w:spacing w:line="500" w:lineRule="exact"/>
        <w:rPr>
          <w:rFonts w:cs="Times New Roman"/>
          <w:color w:val="auto"/>
          <w:highlight w:val="none"/>
        </w:rPr>
      </w:pPr>
      <w:r>
        <w:rPr>
          <w:rFonts w:cs="Times New Roman"/>
          <w:color w:val="auto"/>
          <w:highlight w:val="none"/>
        </w:rPr>
        <w:t>本项目主要污染物为pH、COD、氨氮、SS等，</w:t>
      </w:r>
      <w:r>
        <w:rPr>
          <w:rFonts w:cs="Times New Roman" w:eastAsiaTheme="minorEastAsia"/>
          <w:color w:val="auto"/>
          <w:highlight w:val="none"/>
        </w:rPr>
        <w:t>根据《环境影响评价技术导则 地下水环境》（HJ610-2016），预测因子的选取应采用标准指数法进行排序，取标准指数最大的因子作为预测因子，</w:t>
      </w:r>
      <w:r>
        <w:rPr>
          <w:rFonts w:cs="Times New Roman"/>
          <w:color w:val="auto"/>
          <w:highlight w:val="none"/>
        </w:rPr>
        <w:t>以氨氮、COD作为特征污染物进行预测。</w:t>
      </w:r>
    </w:p>
    <w:p w14:paraId="036B312C">
      <w:pPr>
        <w:spacing w:line="500" w:lineRule="exact"/>
        <w:rPr>
          <w:rFonts w:cs="Times New Roman"/>
          <w:color w:val="auto"/>
          <w:highlight w:val="none"/>
        </w:rPr>
      </w:pPr>
      <w:r>
        <w:rPr>
          <w:rFonts w:cs="Times New Roman"/>
          <w:color w:val="auto"/>
          <w:highlight w:val="none"/>
        </w:rPr>
        <w:t>氨氮的环境质量标准执行《地下水质量标准》（GB/T14848-2017）中Ⅲ类水质标准，即0.5mg/L。</w:t>
      </w:r>
    </w:p>
    <w:p w14:paraId="4B93E8DB">
      <w:pPr>
        <w:spacing w:line="500" w:lineRule="exact"/>
        <w:rPr>
          <w:rFonts w:cs="Times New Roman"/>
          <w:color w:val="auto"/>
          <w:highlight w:val="none"/>
        </w:rPr>
      </w:pPr>
      <w:r>
        <w:rPr>
          <w:rFonts w:cs="Times New Roman"/>
          <w:color w:val="auto"/>
          <w:highlight w:val="none"/>
        </w:rPr>
        <w:t>COD</w:t>
      </w:r>
      <w:r>
        <w:rPr>
          <w:rFonts w:hint="eastAsia" w:cs="Times New Roman"/>
          <w:color w:val="auto"/>
          <w:highlight w:val="none"/>
          <w:lang w:eastAsia="zh-CN"/>
        </w:rPr>
        <w:t>的</w:t>
      </w:r>
      <w:r>
        <w:rPr>
          <w:rFonts w:cs="Times New Roman"/>
          <w:color w:val="auto"/>
          <w:highlight w:val="none"/>
        </w:rPr>
        <w:t>环境质量标准</w:t>
      </w:r>
      <w:r>
        <w:rPr>
          <w:rFonts w:hint="eastAsia" w:cs="Times New Roman"/>
          <w:color w:val="auto"/>
          <w:highlight w:val="none"/>
          <w:lang w:val="en-US" w:eastAsia="zh-CN"/>
        </w:rPr>
        <w:t>参照</w:t>
      </w:r>
      <w:r>
        <w:rPr>
          <w:rFonts w:cs="Times New Roman"/>
          <w:color w:val="auto"/>
          <w:highlight w:val="none"/>
        </w:rPr>
        <w:t>《地下水质量标准》（GB/T14848-2017）</w:t>
      </w:r>
      <w:r>
        <w:rPr>
          <w:rFonts w:hint="eastAsia"/>
          <w:color w:val="auto"/>
          <w:highlight w:val="none"/>
          <w:lang w:val="en-US" w:eastAsia="zh-CN"/>
        </w:rPr>
        <w:t>耗氧量（</w:t>
      </w:r>
      <w:r>
        <w:rPr>
          <w:rFonts w:hint="eastAsia" w:cs="Times New Roman"/>
          <w:color w:val="auto"/>
          <w:highlight w:val="none"/>
          <w:lang w:val="en-US" w:eastAsia="zh-CN"/>
        </w:rPr>
        <w:t>COD</w:t>
      </w:r>
      <w:r>
        <w:rPr>
          <w:rFonts w:hint="eastAsia" w:cs="Times New Roman"/>
          <w:color w:val="auto"/>
          <w:highlight w:val="none"/>
          <w:vertAlign w:val="subscript"/>
          <w:lang w:val="en-US" w:eastAsia="zh-CN"/>
        </w:rPr>
        <w:t>Mn</w:t>
      </w:r>
      <w:r>
        <w:rPr>
          <w:rFonts w:hint="eastAsia" w:cs="Times New Roman"/>
          <w:color w:val="auto"/>
          <w:highlight w:val="none"/>
          <w:lang w:val="en-US" w:eastAsia="zh-CN"/>
        </w:rPr>
        <w:t>法，</w:t>
      </w:r>
      <w:r>
        <w:rPr>
          <w:rFonts w:hint="eastAsia"/>
          <w:color w:val="auto"/>
          <w:highlight w:val="none"/>
          <w:lang w:val="en-US" w:eastAsia="zh-CN"/>
        </w:rPr>
        <w:t>以O</w:t>
      </w:r>
      <w:r>
        <w:rPr>
          <w:rFonts w:hint="eastAsia"/>
          <w:color w:val="auto"/>
          <w:highlight w:val="none"/>
          <w:vertAlign w:val="subscript"/>
          <w:lang w:val="en-US" w:eastAsia="zh-CN"/>
        </w:rPr>
        <w:t>2</w:t>
      </w:r>
      <w:r>
        <w:rPr>
          <w:rFonts w:hint="eastAsia"/>
          <w:color w:val="auto"/>
          <w:highlight w:val="none"/>
          <w:lang w:val="en-US" w:eastAsia="zh-CN"/>
        </w:rPr>
        <w:t>计</w:t>
      </w:r>
      <w:r>
        <w:rPr>
          <w:rFonts w:hint="eastAsia" w:cs="Times New Roman"/>
          <w:color w:val="auto"/>
          <w:highlight w:val="none"/>
          <w:lang w:val="en-US" w:eastAsia="zh-CN"/>
        </w:rPr>
        <w:t>）</w:t>
      </w:r>
      <w:r>
        <w:rPr>
          <w:rFonts w:cs="Times New Roman"/>
          <w:color w:val="auto"/>
          <w:highlight w:val="none"/>
        </w:rPr>
        <w:t>中Ⅲ类水质标准，即</w:t>
      </w:r>
      <w:r>
        <w:rPr>
          <w:rFonts w:hint="eastAsia" w:cs="Times New Roman"/>
          <w:color w:val="auto"/>
          <w:highlight w:val="none"/>
          <w:lang w:val="en-US" w:eastAsia="zh-CN"/>
        </w:rPr>
        <w:t>3</w:t>
      </w:r>
      <w:r>
        <w:rPr>
          <w:rFonts w:cs="Times New Roman"/>
          <w:color w:val="auto"/>
          <w:highlight w:val="none"/>
        </w:rPr>
        <w:t>mg/L。</w:t>
      </w:r>
    </w:p>
    <w:p w14:paraId="1E6D68FA">
      <w:pPr>
        <w:spacing w:line="500" w:lineRule="exact"/>
        <w:rPr>
          <w:rFonts w:cs="Times New Roman"/>
          <w:color w:val="auto"/>
          <w:szCs w:val="24"/>
          <w:highlight w:val="none"/>
        </w:rPr>
      </w:pPr>
      <w:r>
        <w:rPr>
          <w:rFonts w:cs="Times New Roman"/>
          <w:color w:val="auto"/>
          <w:szCs w:val="24"/>
          <w:highlight w:val="none"/>
        </w:rPr>
        <w:t>（5）预测源强</w:t>
      </w:r>
    </w:p>
    <w:p w14:paraId="289568B8">
      <w:pPr>
        <w:spacing w:line="500" w:lineRule="exact"/>
        <w:rPr>
          <w:rFonts w:cs="Times New Roman"/>
          <w:color w:val="auto"/>
          <w:highlight w:val="none"/>
        </w:rPr>
      </w:pPr>
      <w:r>
        <w:rPr>
          <w:rFonts w:cs="Times New Roman"/>
          <w:color w:val="auto"/>
          <w:szCs w:val="24"/>
          <w:highlight w:val="none"/>
        </w:rPr>
        <w:t>结合项目的特点，本项目调节池容积最大，存水量大，污染物浓度最高，如泄漏对地下水影响最大，从最大风险原则考虑，非正常状况下为调节池体破裂和防渗层同时破裂时污水泄漏对地下水水质造成影响。根据《给排水构筑物工程施工及验收规范》，水池允许最大渗水量按池壁和池底浸湿面积计算，钢筋混凝土结构水池渗漏量不得超过2L/（m</w:t>
      </w:r>
      <w:r>
        <w:rPr>
          <w:rFonts w:cs="Times New Roman"/>
          <w:color w:val="auto"/>
          <w:szCs w:val="24"/>
          <w:highlight w:val="none"/>
          <w:vertAlign w:val="superscript"/>
        </w:rPr>
        <w:t>2</w:t>
      </w:r>
      <w:r>
        <w:rPr>
          <w:rFonts w:cs="Times New Roman"/>
          <w:color w:val="auto"/>
          <w:szCs w:val="24"/>
          <w:highlight w:val="none"/>
        </w:rPr>
        <w:t>·d）。</w:t>
      </w:r>
    </w:p>
    <w:p w14:paraId="508B0A0A">
      <w:pPr>
        <w:spacing w:line="500" w:lineRule="exact"/>
        <w:ind w:right="-240" w:rightChars="-100"/>
        <w:rPr>
          <w:rFonts w:cs="Times New Roman"/>
          <w:color w:val="auto"/>
          <w:szCs w:val="24"/>
          <w:highlight w:val="none"/>
        </w:rPr>
      </w:pPr>
      <w:r>
        <w:rPr>
          <w:rFonts w:cs="Times New Roman"/>
          <w:color w:val="auto"/>
          <w:kern w:val="0"/>
          <w:szCs w:val="24"/>
          <w:highlight w:val="none"/>
          <w:lang w:bidi="ar"/>
        </w:rPr>
        <w:t>本项目</w:t>
      </w:r>
      <w:r>
        <w:rPr>
          <w:rFonts w:cs="Times New Roman"/>
          <w:snapToGrid w:val="0"/>
          <w:color w:val="auto"/>
          <w:highlight w:val="none"/>
        </w:rPr>
        <w:t>调节池</w:t>
      </w:r>
      <w:r>
        <w:rPr>
          <w:rFonts w:cs="Times New Roman"/>
          <w:color w:val="auto"/>
          <w:kern w:val="0"/>
          <w:szCs w:val="24"/>
          <w:highlight w:val="none"/>
          <w:lang w:bidi="ar"/>
        </w:rPr>
        <w:t>设计规格为</w:t>
      </w:r>
      <w:r>
        <w:rPr>
          <w:rFonts w:hint="eastAsia" w:cs="Times New Roman"/>
          <w:snapToGrid w:val="0"/>
          <w:color w:val="auto"/>
          <w:highlight w:val="none"/>
          <w:lang w:val="en-US" w:eastAsia="zh-CN"/>
        </w:rPr>
        <w:t>10</w:t>
      </w:r>
      <w:r>
        <w:rPr>
          <w:rFonts w:cs="Times New Roman"/>
          <w:snapToGrid w:val="0"/>
          <w:color w:val="auto"/>
          <w:highlight w:val="none"/>
        </w:rPr>
        <w:t>m×</w:t>
      </w:r>
      <w:r>
        <w:rPr>
          <w:rFonts w:hint="eastAsia" w:cs="Times New Roman"/>
          <w:snapToGrid w:val="0"/>
          <w:color w:val="auto"/>
          <w:highlight w:val="none"/>
          <w:lang w:val="en-US" w:eastAsia="zh-CN"/>
        </w:rPr>
        <w:t>7.5</w:t>
      </w:r>
      <w:r>
        <w:rPr>
          <w:rFonts w:cs="Times New Roman"/>
          <w:snapToGrid w:val="0"/>
          <w:color w:val="auto"/>
          <w:highlight w:val="none"/>
        </w:rPr>
        <w:t>m×4m，</w:t>
      </w:r>
      <w:r>
        <w:rPr>
          <w:rFonts w:cs="Times New Roman"/>
          <w:color w:val="auto"/>
          <w:kern w:val="0"/>
          <w:szCs w:val="24"/>
          <w:highlight w:val="none"/>
          <w:lang w:bidi="ar"/>
        </w:rPr>
        <w:t>在正常状况下，</w:t>
      </w:r>
      <w:r>
        <w:rPr>
          <w:rFonts w:cs="Times New Roman"/>
          <w:snapToGrid w:val="0"/>
          <w:color w:val="auto"/>
          <w:highlight w:val="none"/>
        </w:rPr>
        <w:t>调节池</w:t>
      </w:r>
      <w:r>
        <w:rPr>
          <w:rFonts w:cs="Times New Roman"/>
          <w:color w:val="auto"/>
          <w:kern w:val="0"/>
          <w:szCs w:val="24"/>
          <w:highlight w:val="none"/>
          <w:lang w:bidi="ar"/>
        </w:rPr>
        <w:t>渗漏面积为：池底面积+池壁面积=L×B+2×L×H+2×B×H=</w:t>
      </w:r>
      <w:r>
        <w:rPr>
          <w:rFonts w:hint="eastAsia" w:cs="Times New Roman"/>
          <w:color w:val="auto"/>
          <w:kern w:val="0"/>
          <w:szCs w:val="24"/>
          <w:highlight w:val="none"/>
          <w:lang w:val="en-US" w:eastAsia="zh-CN" w:bidi="ar"/>
        </w:rPr>
        <w:t>10</w:t>
      </w:r>
      <w:r>
        <w:rPr>
          <w:rFonts w:cs="Times New Roman"/>
          <w:color w:val="auto"/>
          <w:kern w:val="0"/>
          <w:szCs w:val="24"/>
          <w:highlight w:val="none"/>
          <w:lang w:bidi="ar"/>
        </w:rPr>
        <w:t>×</w:t>
      </w:r>
      <w:r>
        <w:rPr>
          <w:rFonts w:hint="eastAsia" w:cs="Times New Roman"/>
          <w:color w:val="auto"/>
          <w:kern w:val="0"/>
          <w:szCs w:val="24"/>
          <w:highlight w:val="none"/>
          <w:lang w:val="en-US" w:eastAsia="zh-CN" w:bidi="ar"/>
        </w:rPr>
        <w:t>7.5</w:t>
      </w:r>
      <w:r>
        <w:rPr>
          <w:rFonts w:cs="Times New Roman"/>
          <w:color w:val="auto"/>
          <w:kern w:val="0"/>
          <w:szCs w:val="24"/>
          <w:highlight w:val="none"/>
          <w:lang w:bidi="ar"/>
        </w:rPr>
        <w:t>+2×</w:t>
      </w:r>
      <w:r>
        <w:rPr>
          <w:rFonts w:hint="eastAsia" w:cs="Times New Roman"/>
          <w:color w:val="auto"/>
          <w:kern w:val="0"/>
          <w:szCs w:val="24"/>
          <w:highlight w:val="none"/>
          <w:lang w:val="en-US" w:eastAsia="zh-CN" w:bidi="ar"/>
        </w:rPr>
        <w:t>10</w:t>
      </w:r>
      <w:r>
        <w:rPr>
          <w:rFonts w:cs="Times New Roman"/>
          <w:color w:val="auto"/>
          <w:kern w:val="0"/>
          <w:szCs w:val="24"/>
          <w:highlight w:val="none"/>
          <w:lang w:bidi="ar"/>
        </w:rPr>
        <w:t>×4+2×</w:t>
      </w:r>
      <w:r>
        <w:rPr>
          <w:rFonts w:hint="eastAsia" w:cs="Times New Roman"/>
          <w:color w:val="auto"/>
          <w:kern w:val="0"/>
          <w:szCs w:val="24"/>
          <w:highlight w:val="none"/>
          <w:lang w:val="en-US" w:eastAsia="zh-CN" w:bidi="ar"/>
        </w:rPr>
        <w:t>7.5</w:t>
      </w:r>
      <w:r>
        <w:rPr>
          <w:rFonts w:cs="Times New Roman"/>
          <w:color w:val="auto"/>
          <w:kern w:val="0"/>
          <w:szCs w:val="24"/>
          <w:highlight w:val="none"/>
          <w:lang w:bidi="ar"/>
        </w:rPr>
        <w:t>×4=</w:t>
      </w:r>
      <w:r>
        <w:rPr>
          <w:rFonts w:hint="eastAsia" w:cs="Times New Roman"/>
          <w:color w:val="auto"/>
          <w:kern w:val="0"/>
          <w:szCs w:val="24"/>
          <w:highlight w:val="none"/>
          <w:lang w:val="en-US" w:eastAsia="zh-CN" w:bidi="ar"/>
        </w:rPr>
        <w:t>215</w:t>
      </w:r>
      <w:r>
        <w:rPr>
          <w:rFonts w:cs="Times New Roman"/>
          <w:color w:val="auto"/>
          <w:kern w:val="0"/>
          <w:szCs w:val="24"/>
          <w:highlight w:val="none"/>
          <w:lang w:bidi="ar"/>
        </w:rPr>
        <w:t>m</w:t>
      </w:r>
      <w:r>
        <w:rPr>
          <w:rFonts w:cs="Times New Roman"/>
          <w:color w:val="auto"/>
          <w:kern w:val="0"/>
          <w:szCs w:val="24"/>
          <w:highlight w:val="none"/>
          <w:vertAlign w:val="superscript"/>
          <w:lang w:bidi="ar"/>
        </w:rPr>
        <w:t>2</w:t>
      </w:r>
      <w:r>
        <w:rPr>
          <w:rFonts w:cs="Times New Roman"/>
          <w:color w:val="auto"/>
          <w:kern w:val="0"/>
          <w:szCs w:val="24"/>
          <w:highlight w:val="none"/>
          <w:lang w:bidi="ar"/>
        </w:rPr>
        <w:t>，</w:t>
      </w:r>
      <w:r>
        <w:rPr>
          <w:rFonts w:cs="Times New Roman"/>
          <w:snapToGrid w:val="0"/>
          <w:color w:val="auto"/>
          <w:highlight w:val="none"/>
        </w:rPr>
        <w:t>调节池</w:t>
      </w:r>
      <w:r>
        <w:rPr>
          <w:rFonts w:cs="Times New Roman"/>
          <w:color w:val="auto"/>
          <w:kern w:val="0"/>
          <w:szCs w:val="24"/>
          <w:highlight w:val="none"/>
          <w:lang w:bidi="ar"/>
        </w:rPr>
        <w:t>正常情况下每日的最大允许污水渗透量Q计算如下：渗漏量=渗漏面积×渗漏强度=2L/（m</w:t>
      </w:r>
      <w:r>
        <w:rPr>
          <w:rFonts w:cs="Times New Roman"/>
          <w:color w:val="auto"/>
          <w:kern w:val="0"/>
          <w:szCs w:val="24"/>
          <w:highlight w:val="none"/>
          <w:vertAlign w:val="superscript"/>
          <w:lang w:bidi="ar"/>
        </w:rPr>
        <w:t>2</w:t>
      </w:r>
      <w:r>
        <w:rPr>
          <w:rFonts w:cs="Times New Roman"/>
          <w:color w:val="auto"/>
          <w:kern w:val="0"/>
          <w:szCs w:val="24"/>
          <w:highlight w:val="none"/>
          <w:lang w:bidi="ar"/>
        </w:rPr>
        <w:t>·d）×</w:t>
      </w:r>
      <w:r>
        <w:rPr>
          <w:rFonts w:hint="eastAsia" w:cs="Times New Roman"/>
          <w:color w:val="auto"/>
          <w:kern w:val="0"/>
          <w:szCs w:val="24"/>
          <w:highlight w:val="none"/>
          <w:lang w:val="en-US" w:eastAsia="zh-CN" w:bidi="ar"/>
        </w:rPr>
        <w:t>215</w:t>
      </w:r>
      <w:r>
        <w:rPr>
          <w:rFonts w:cs="Times New Roman"/>
          <w:color w:val="auto"/>
          <w:kern w:val="0"/>
          <w:szCs w:val="24"/>
          <w:highlight w:val="none"/>
          <w:lang w:bidi="ar"/>
        </w:rPr>
        <w:t>m</w:t>
      </w:r>
      <w:r>
        <w:rPr>
          <w:rFonts w:cs="Times New Roman"/>
          <w:color w:val="auto"/>
          <w:kern w:val="0"/>
          <w:szCs w:val="24"/>
          <w:highlight w:val="none"/>
          <w:vertAlign w:val="superscript"/>
          <w:lang w:bidi="ar"/>
        </w:rPr>
        <w:t>2</w:t>
      </w:r>
      <w:r>
        <w:rPr>
          <w:rFonts w:cs="Times New Roman"/>
          <w:color w:val="auto"/>
          <w:kern w:val="0"/>
          <w:szCs w:val="24"/>
          <w:highlight w:val="none"/>
          <w:lang w:bidi="ar"/>
        </w:rPr>
        <w:t>=</w:t>
      </w:r>
      <w:r>
        <w:rPr>
          <w:rFonts w:hint="eastAsia" w:cs="Times New Roman"/>
          <w:color w:val="auto"/>
          <w:kern w:val="0"/>
          <w:szCs w:val="24"/>
          <w:highlight w:val="none"/>
          <w:lang w:val="en-US" w:eastAsia="zh-CN" w:bidi="ar"/>
        </w:rPr>
        <w:t>430</w:t>
      </w:r>
      <w:r>
        <w:rPr>
          <w:rFonts w:cs="Times New Roman"/>
          <w:color w:val="auto"/>
          <w:kern w:val="0"/>
          <w:szCs w:val="24"/>
          <w:highlight w:val="none"/>
          <w:lang w:bidi="ar"/>
        </w:rPr>
        <w:t>L/d。</w:t>
      </w:r>
    </w:p>
    <w:p w14:paraId="40F26287">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本次事故工况下的污染源强按</w:t>
      </w:r>
      <w:r>
        <w:rPr>
          <w:rFonts w:hint="eastAsia" w:cs="Times New Roman"/>
          <w:color w:val="auto"/>
          <w:kern w:val="0"/>
          <w:szCs w:val="24"/>
          <w:highlight w:val="none"/>
          <w:lang w:val="en-US" w:eastAsia="zh-CN" w:bidi="ar"/>
        </w:rPr>
        <w:t>直接排放未处理水质浓度</w:t>
      </w:r>
      <w:r>
        <w:rPr>
          <w:rFonts w:cs="Times New Roman"/>
          <w:color w:val="auto"/>
          <w:kern w:val="0"/>
          <w:szCs w:val="24"/>
          <w:highlight w:val="none"/>
          <w:lang w:bidi="ar"/>
        </w:rPr>
        <w:t xml:space="preserve">计算，污染浓度为COD </w:t>
      </w:r>
      <w:r>
        <w:rPr>
          <w:rFonts w:hint="eastAsia" w:cs="Times New Roman"/>
          <w:color w:val="auto"/>
          <w:kern w:val="0"/>
          <w:szCs w:val="24"/>
          <w:highlight w:val="none"/>
          <w:lang w:val="en-US" w:eastAsia="zh-CN" w:bidi="ar"/>
        </w:rPr>
        <w:t>2717</w:t>
      </w:r>
      <w:r>
        <w:rPr>
          <w:rFonts w:cs="Times New Roman"/>
          <w:color w:val="auto"/>
          <w:kern w:val="0"/>
          <w:szCs w:val="24"/>
          <w:highlight w:val="none"/>
          <w:lang w:bidi="ar"/>
        </w:rPr>
        <w:t>mg/L、氨氮</w:t>
      </w:r>
      <w:r>
        <w:rPr>
          <w:rFonts w:hint="eastAsia" w:cs="Times New Roman"/>
          <w:color w:val="auto"/>
          <w:kern w:val="0"/>
          <w:szCs w:val="24"/>
          <w:highlight w:val="none"/>
          <w:lang w:val="en-US" w:eastAsia="zh-CN" w:bidi="ar"/>
        </w:rPr>
        <w:t>86</w:t>
      </w:r>
      <w:r>
        <w:rPr>
          <w:rFonts w:cs="Times New Roman"/>
          <w:color w:val="auto"/>
          <w:kern w:val="0"/>
          <w:szCs w:val="24"/>
          <w:highlight w:val="none"/>
          <w:lang w:bidi="ar"/>
        </w:rPr>
        <w:t>mg/L，则事故工况下源强如下表所示。</w:t>
      </w:r>
    </w:p>
    <w:p w14:paraId="78692E4F">
      <w:pPr>
        <w:widowControl/>
        <w:spacing w:before="163" w:beforeLines="50" w:line="240" w:lineRule="auto"/>
        <w:ind w:firstLine="0" w:firstLineChars="0"/>
        <w:jc w:val="center"/>
        <w:rPr>
          <w:rFonts w:cs="Times New Roman"/>
          <w:b/>
          <w:bCs/>
          <w:color w:val="auto"/>
          <w:kern w:val="0"/>
          <w:szCs w:val="24"/>
          <w:highlight w:val="none"/>
          <w:lang w:bidi="ar"/>
        </w:rPr>
      </w:pPr>
      <w:r>
        <w:rPr>
          <w:rFonts w:cs="Times New Roman"/>
          <w:b/>
          <w:bCs/>
          <w:color w:val="auto"/>
          <w:kern w:val="0"/>
          <w:szCs w:val="24"/>
          <w:highlight w:val="none"/>
          <w:lang w:bidi="ar"/>
        </w:rPr>
        <w:t>表5-2-2</w:t>
      </w:r>
      <w:r>
        <w:rPr>
          <w:rFonts w:hint="eastAsia" w:cs="Times New Roman"/>
          <w:b/>
          <w:bCs/>
          <w:color w:val="auto"/>
          <w:kern w:val="0"/>
          <w:szCs w:val="24"/>
          <w:highlight w:val="none"/>
          <w:lang w:val="en-US" w:eastAsia="zh-CN" w:bidi="ar"/>
        </w:rPr>
        <w:t>0</w:t>
      </w:r>
      <w:r>
        <w:rPr>
          <w:rFonts w:cs="Times New Roman"/>
          <w:b/>
          <w:bCs/>
          <w:color w:val="auto"/>
          <w:kern w:val="0"/>
          <w:szCs w:val="24"/>
          <w:highlight w:val="none"/>
          <w:lang w:bidi="ar"/>
        </w:rPr>
        <w:t xml:space="preserve">  调节池泄漏源强</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1"/>
        <w:gridCol w:w="1702"/>
        <w:gridCol w:w="1283"/>
        <w:gridCol w:w="1019"/>
        <w:gridCol w:w="1444"/>
        <w:gridCol w:w="1739"/>
      </w:tblGrid>
      <w:tr w14:paraId="0ABFF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0" w:type="auto"/>
            <w:tcBorders>
              <w:tl2br w:val="nil"/>
              <w:tr2bl w:val="nil"/>
            </w:tcBorders>
            <w:vAlign w:val="center"/>
          </w:tcPr>
          <w:p w14:paraId="43452E97">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渗漏面积（m</w:t>
            </w:r>
            <w:r>
              <w:rPr>
                <w:rFonts w:cs="Times New Roman"/>
                <w:color w:val="auto"/>
                <w:kern w:val="0"/>
                <w:sz w:val="21"/>
                <w:szCs w:val="21"/>
                <w:highlight w:val="none"/>
                <w:vertAlign w:val="superscript"/>
                <w:lang w:bidi="ar"/>
              </w:rPr>
              <w:t>2</w:t>
            </w:r>
            <w:r>
              <w:rPr>
                <w:rFonts w:cs="Times New Roman"/>
                <w:color w:val="auto"/>
                <w:kern w:val="0"/>
                <w:sz w:val="21"/>
                <w:szCs w:val="21"/>
                <w:highlight w:val="none"/>
                <w:lang w:bidi="ar"/>
              </w:rPr>
              <w:t>）</w:t>
            </w:r>
          </w:p>
        </w:tc>
        <w:tc>
          <w:tcPr>
            <w:tcW w:w="0" w:type="auto"/>
            <w:tcBorders>
              <w:tl2br w:val="nil"/>
              <w:tr2bl w:val="nil"/>
            </w:tcBorders>
            <w:vAlign w:val="center"/>
          </w:tcPr>
          <w:p w14:paraId="7B7294AC">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渗漏强度（L/m</w:t>
            </w:r>
            <w:r>
              <w:rPr>
                <w:rFonts w:cs="Times New Roman"/>
                <w:color w:val="auto"/>
                <w:kern w:val="0"/>
                <w:sz w:val="21"/>
                <w:szCs w:val="21"/>
                <w:highlight w:val="none"/>
                <w:vertAlign w:val="superscript"/>
                <w:lang w:bidi="ar"/>
              </w:rPr>
              <w:t>2</w:t>
            </w:r>
            <w:r>
              <w:rPr>
                <w:rFonts w:cs="Times New Roman"/>
                <w:color w:val="auto"/>
                <w:kern w:val="0"/>
                <w:sz w:val="21"/>
                <w:szCs w:val="21"/>
                <w:highlight w:val="none"/>
                <w:lang w:bidi="ar"/>
              </w:rPr>
              <w:t>·d）</w:t>
            </w:r>
          </w:p>
        </w:tc>
        <w:tc>
          <w:tcPr>
            <w:tcW w:w="0" w:type="auto"/>
            <w:tcBorders>
              <w:tl2br w:val="nil"/>
              <w:tr2bl w:val="nil"/>
            </w:tcBorders>
            <w:vAlign w:val="center"/>
          </w:tcPr>
          <w:p w14:paraId="60854548">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渗漏量（L/d）</w:t>
            </w:r>
          </w:p>
        </w:tc>
        <w:tc>
          <w:tcPr>
            <w:tcW w:w="1019" w:type="dxa"/>
            <w:tcBorders>
              <w:tl2br w:val="nil"/>
              <w:tr2bl w:val="nil"/>
            </w:tcBorders>
            <w:vAlign w:val="center"/>
          </w:tcPr>
          <w:p w14:paraId="02487F5B">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污染物</w:t>
            </w:r>
          </w:p>
        </w:tc>
        <w:tc>
          <w:tcPr>
            <w:tcW w:w="1444" w:type="dxa"/>
            <w:tcBorders>
              <w:tl2br w:val="nil"/>
              <w:tr2bl w:val="nil"/>
            </w:tcBorders>
            <w:vAlign w:val="center"/>
          </w:tcPr>
          <w:p w14:paraId="493CD132">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浓度（mg/L）</w:t>
            </w:r>
          </w:p>
        </w:tc>
        <w:tc>
          <w:tcPr>
            <w:tcW w:w="1738" w:type="dxa"/>
            <w:tcBorders>
              <w:tl2br w:val="nil"/>
              <w:tr2bl w:val="nil"/>
            </w:tcBorders>
            <w:vAlign w:val="center"/>
          </w:tcPr>
          <w:p w14:paraId="1CE356AF">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污染物质量（kg/d）</w:t>
            </w:r>
          </w:p>
        </w:tc>
      </w:tr>
      <w:tr w14:paraId="282A9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0" w:type="auto"/>
            <w:vMerge w:val="restart"/>
            <w:tcBorders>
              <w:tl2br w:val="nil"/>
              <w:tr2bl w:val="nil"/>
            </w:tcBorders>
            <w:vAlign w:val="center"/>
          </w:tcPr>
          <w:p w14:paraId="5C8A3D95">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215</w:t>
            </w:r>
          </w:p>
        </w:tc>
        <w:tc>
          <w:tcPr>
            <w:tcW w:w="0" w:type="auto"/>
            <w:vMerge w:val="restart"/>
            <w:tcBorders>
              <w:tl2br w:val="nil"/>
              <w:tr2bl w:val="nil"/>
            </w:tcBorders>
            <w:vAlign w:val="center"/>
          </w:tcPr>
          <w:p w14:paraId="266047AE">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2</w:t>
            </w:r>
          </w:p>
        </w:tc>
        <w:tc>
          <w:tcPr>
            <w:tcW w:w="0" w:type="auto"/>
            <w:vMerge w:val="restart"/>
            <w:tcBorders>
              <w:tl2br w:val="nil"/>
              <w:tr2bl w:val="nil"/>
            </w:tcBorders>
            <w:vAlign w:val="center"/>
          </w:tcPr>
          <w:p w14:paraId="0DBD8B8B">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430</w:t>
            </w:r>
          </w:p>
        </w:tc>
        <w:tc>
          <w:tcPr>
            <w:tcW w:w="1019" w:type="dxa"/>
            <w:tcBorders>
              <w:tl2br w:val="nil"/>
              <w:tr2bl w:val="nil"/>
            </w:tcBorders>
            <w:vAlign w:val="center"/>
          </w:tcPr>
          <w:p w14:paraId="2D92DE09">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COD</w:t>
            </w:r>
          </w:p>
        </w:tc>
        <w:tc>
          <w:tcPr>
            <w:tcW w:w="1444" w:type="dxa"/>
            <w:tcBorders>
              <w:tl2br w:val="nil"/>
              <w:tr2bl w:val="nil"/>
            </w:tcBorders>
            <w:vAlign w:val="center"/>
          </w:tcPr>
          <w:p w14:paraId="2717CE2C">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2717</w:t>
            </w:r>
          </w:p>
        </w:tc>
        <w:tc>
          <w:tcPr>
            <w:tcW w:w="1738" w:type="dxa"/>
            <w:tcBorders>
              <w:tl2br w:val="nil"/>
              <w:tr2bl w:val="nil"/>
            </w:tcBorders>
            <w:vAlign w:val="center"/>
          </w:tcPr>
          <w:p w14:paraId="5CC340B9">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1.168</w:t>
            </w:r>
          </w:p>
        </w:tc>
      </w:tr>
      <w:tr w14:paraId="629F9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0" w:type="auto"/>
            <w:vMerge w:val="continue"/>
            <w:tcBorders>
              <w:tl2br w:val="nil"/>
              <w:tr2bl w:val="nil"/>
            </w:tcBorders>
            <w:vAlign w:val="center"/>
          </w:tcPr>
          <w:p w14:paraId="35E5A82D">
            <w:pPr>
              <w:widowControl/>
              <w:spacing w:line="360" w:lineRule="exact"/>
              <w:ind w:firstLine="0" w:firstLineChars="0"/>
              <w:jc w:val="center"/>
              <w:rPr>
                <w:rFonts w:cs="Times New Roman"/>
                <w:color w:val="auto"/>
                <w:kern w:val="0"/>
                <w:sz w:val="21"/>
                <w:szCs w:val="21"/>
                <w:highlight w:val="none"/>
                <w:lang w:bidi="ar"/>
              </w:rPr>
            </w:pPr>
          </w:p>
        </w:tc>
        <w:tc>
          <w:tcPr>
            <w:tcW w:w="0" w:type="auto"/>
            <w:vMerge w:val="continue"/>
            <w:tcBorders>
              <w:tl2br w:val="nil"/>
              <w:tr2bl w:val="nil"/>
            </w:tcBorders>
            <w:vAlign w:val="center"/>
          </w:tcPr>
          <w:p w14:paraId="0EE2C4B0">
            <w:pPr>
              <w:widowControl/>
              <w:spacing w:line="360" w:lineRule="exact"/>
              <w:ind w:firstLine="0" w:firstLineChars="0"/>
              <w:jc w:val="center"/>
              <w:rPr>
                <w:rFonts w:cs="Times New Roman"/>
                <w:color w:val="auto"/>
                <w:kern w:val="0"/>
                <w:sz w:val="21"/>
                <w:szCs w:val="21"/>
                <w:highlight w:val="none"/>
                <w:lang w:bidi="ar"/>
              </w:rPr>
            </w:pPr>
          </w:p>
        </w:tc>
        <w:tc>
          <w:tcPr>
            <w:tcW w:w="0" w:type="auto"/>
            <w:vMerge w:val="continue"/>
            <w:tcBorders>
              <w:tl2br w:val="nil"/>
              <w:tr2bl w:val="nil"/>
            </w:tcBorders>
            <w:vAlign w:val="center"/>
          </w:tcPr>
          <w:p w14:paraId="61E62895">
            <w:pPr>
              <w:widowControl/>
              <w:spacing w:line="360" w:lineRule="exact"/>
              <w:ind w:firstLine="0" w:firstLineChars="0"/>
              <w:jc w:val="center"/>
              <w:rPr>
                <w:rFonts w:cs="Times New Roman"/>
                <w:color w:val="auto"/>
                <w:kern w:val="0"/>
                <w:sz w:val="21"/>
                <w:szCs w:val="21"/>
                <w:highlight w:val="none"/>
                <w:lang w:bidi="ar"/>
              </w:rPr>
            </w:pPr>
          </w:p>
        </w:tc>
        <w:tc>
          <w:tcPr>
            <w:tcW w:w="1019" w:type="dxa"/>
            <w:tcBorders>
              <w:tl2br w:val="nil"/>
              <w:tr2bl w:val="nil"/>
            </w:tcBorders>
            <w:vAlign w:val="center"/>
          </w:tcPr>
          <w:p w14:paraId="0C1FF37A">
            <w:pPr>
              <w:widowControl/>
              <w:spacing w:line="360" w:lineRule="exact"/>
              <w:ind w:firstLine="0" w:firstLineChars="0"/>
              <w:jc w:val="center"/>
              <w:rPr>
                <w:rFonts w:cs="Times New Roman"/>
                <w:color w:val="auto"/>
                <w:kern w:val="0"/>
                <w:sz w:val="21"/>
                <w:szCs w:val="21"/>
                <w:highlight w:val="none"/>
                <w:lang w:bidi="ar"/>
              </w:rPr>
            </w:pPr>
            <w:r>
              <w:rPr>
                <w:rFonts w:cs="Times New Roman"/>
                <w:color w:val="auto"/>
                <w:kern w:val="0"/>
                <w:sz w:val="21"/>
                <w:szCs w:val="21"/>
                <w:highlight w:val="none"/>
                <w:lang w:bidi="ar"/>
              </w:rPr>
              <w:t>氨氮</w:t>
            </w:r>
          </w:p>
        </w:tc>
        <w:tc>
          <w:tcPr>
            <w:tcW w:w="1444" w:type="dxa"/>
            <w:tcBorders>
              <w:tl2br w:val="nil"/>
              <w:tr2bl w:val="nil"/>
            </w:tcBorders>
            <w:vAlign w:val="center"/>
          </w:tcPr>
          <w:p w14:paraId="47197B19">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86</w:t>
            </w:r>
          </w:p>
        </w:tc>
        <w:tc>
          <w:tcPr>
            <w:tcW w:w="1738" w:type="dxa"/>
            <w:tcBorders>
              <w:tl2br w:val="nil"/>
              <w:tr2bl w:val="nil"/>
            </w:tcBorders>
            <w:vAlign w:val="center"/>
          </w:tcPr>
          <w:p w14:paraId="52D880BB">
            <w:pPr>
              <w:widowControl/>
              <w:spacing w:line="360" w:lineRule="exact"/>
              <w:ind w:firstLine="0" w:firstLineChars="0"/>
              <w:jc w:val="center"/>
              <w:rPr>
                <w:rFonts w:hint="default"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0.037</w:t>
            </w:r>
          </w:p>
        </w:tc>
      </w:tr>
    </w:tbl>
    <w:p w14:paraId="11215EB9">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（6）预测模型及参数的确定</w:t>
      </w:r>
    </w:p>
    <w:p w14:paraId="2088486A">
      <w:pPr>
        <w:widowControl/>
        <w:spacing w:line="500" w:lineRule="exact"/>
        <w:rPr>
          <w:rFonts w:cs="Times New Roman"/>
          <w:color w:val="auto"/>
          <w:kern w:val="0"/>
          <w:szCs w:val="24"/>
          <w:highlight w:val="none"/>
          <w:lang w:bidi="ar"/>
        </w:rPr>
      </w:pPr>
      <w:r>
        <w:rPr>
          <w:rFonts w:cs="Times New Roman"/>
          <w:color w:val="auto"/>
          <w:kern w:val="0"/>
          <w:szCs w:val="24"/>
          <w:highlight w:val="none"/>
          <w:lang w:bidi="ar"/>
        </w:rPr>
        <w:t>1）预测模型</w:t>
      </w:r>
    </w:p>
    <w:p w14:paraId="3976107D">
      <w:pPr>
        <w:widowControl/>
        <w:spacing w:line="500" w:lineRule="exact"/>
        <w:rPr>
          <w:rFonts w:cs="Times New Roman"/>
          <w:color w:val="auto"/>
          <w:kern w:val="0"/>
          <w:szCs w:val="24"/>
          <w:highlight w:val="none"/>
          <w:lang w:bidi="ar"/>
        </w:rPr>
      </w:pPr>
      <w:r>
        <w:rPr>
          <w:rFonts w:cs="Times New Roman"/>
          <w:color w:val="auto"/>
          <w:szCs w:val="24"/>
          <w:highlight w:val="none"/>
        </w:rPr>
        <w:drawing>
          <wp:anchor distT="0" distB="0" distL="114300" distR="114300" simplePos="0" relativeHeight="251684864" behindDoc="1" locked="0" layoutInCell="1" allowOverlap="1">
            <wp:simplePos x="0" y="0"/>
            <wp:positionH relativeFrom="column">
              <wp:posOffset>1303655</wp:posOffset>
            </wp:positionH>
            <wp:positionV relativeFrom="paragraph">
              <wp:posOffset>941705</wp:posOffset>
            </wp:positionV>
            <wp:extent cx="2905125" cy="671830"/>
            <wp:effectExtent l="0" t="0" r="9525" b="13970"/>
            <wp:wrapNone/>
            <wp:docPr id="54" name="图片 16" descr="C:/Users/Administrator/AppData/Local/Temp/picturecompress_20211105115811/output_68.jpgoutput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6" descr="C:/Users/Administrator/AppData/Local/Temp/picturecompress_20211105115811/output_68.jpgoutput_68"/>
                    <pic:cNvPicPr>
                      <a:picLocks noChangeAspect="1"/>
                    </pic:cNvPicPr>
                  </pic:nvPicPr>
                  <pic:blipFill>
                    <a:blip r:embed="rId37"/>
                    <a:stretch>
                      <a:fillRect/>
                    </a:stretch>
                  </pic:blipFill>
                  <pic:spPr>
                    <a:xfrm>
                      <a:off x="0" y="0"/>
                      <a:ext cx="2905125" cy="671830"/>
                    </a:xfrm>
                    <a:prstGeom prst="rect">
                      <a:avLst/>
                    </a:prstGeom>
                    <a:noFill/>
                    <a:ln>
                      <a:noFill/>
                    </a:ln>
                  </pic:spPr>
                </pic:pic>
              </a:graphicData>
            </a:graphic>
          </wp:anchor>
        </w:drawing>
      </w:r>
      <w:r>
        <w:rPr>
          <w:rFonts w:cs="Times New Roman"/>
          <w:color w:val="auto"/>
          <w:kern w:val="0"/>
          <w:szCs w:val="24"/>
          <w:highlight w:val="none"/>
          <w:lang w:bidi="ar"/>
        </w:rPr>
        <w:t>根据《环境影响评价技术导则 地下水环境》（HJ610-2016）要求，地下水环境影响评价三级评价预测方法可以选用解析法。根据本项目地下水的污染特性选用“一维无限长多孔介质柱体，一端为定浓度边界”，公式如下。</w:t>
      </w:r>
    </w:p>
    <w:p w14:paraId="771E0DB8">
      <w:pPr>
        <w:spacing w:line="500" w:lineRule="exact"/>
        <w:ind w:firstLine="0" w:firstLineChars="0"/>
        <w:jc w:val="center"/>
        <w:rPr>
          <w:rFonts w:cs="Times New Roman"/>
          <w:color w:val="auto"/>
          <w:szCs w:val="24"/>
          <w:highlight w:val="none"/>
        </w:rPr>
      </w:pPr>
    </w:p>
    <w:p w14:paraId="3A577C8E">
      <w:pPr>
        <w:spacing w:line="500" w:lineRule="exact"/>
        <w:ind w:firstLine="0" w:firstLineChars="0"/>
        <w:jc w:val="center"/>
        <w:rPr>
          <w:rFonts w:cs="Times New Roman"/>
          <w:color w:val="auto"/>
          <w:szCs w:val="24"/>
          <w:highlight w:val="none"/>
        </w:rPr>
      </w:pPr>
    </w:p>
    <w:p w14:paraId="4E9EBC69">
      <w:pPr>
        <w:spacing w:line="500" w:lineRule="exact"/>
        <w:rPr>
          <w:rFonts w:cs="Times New Roman"/>
          <w:color w:val="auto"/>
          <w:szCs w:val="24"/>
          <w:highlight w:val="none"/>
        </w:rPr>
      </w:pPr>
      <w:r>
        <w:rPr>
          <w:rFonts w:cs="Times New Roman"/>
          <w:color w:val="auto"/>
          <w:szCs w:val="24"/>
          <w:highlight w:val="none"/>
        </w:rPr>
        <w:t>式中：x—距注入点的距离，m；</w:t>
      </w:r>
    </w:p>
    <w:p w14:paraId="5508E453">
      <w:pPr>
        <w:spacing w:line="500" w:lineRule="exact"/>
        <w:ind w:firstLine="1200" w:firstLineChars="500"/>
        <w:rPr>
          <w:rFonts w:cs="Times New Roman"/>
          <w:color w:val="auto"/>
          <w:szCs w:val="24"/>
          <w:highlight w:val="none"/>
        </w:rPr>
      </w:pPr>
      <w:r>
        <w:rPr>
          <w:rFonts w:cs="Times New Roman"/>
          <w:color w:val="auto"/>
          <w:szCs w:val="24"/>
          <w:highlight w:val="none"/>
        </w:rPr>
        <w:t>t—时间，d；</w:t>
      </w:r>
    </w:p>
    <w:p w14:paraId="2D7CE8C3">
      <w:pPr>
        <w:spacing w:line="500" w:lineRule="exact"/>
        <w:ind w:firstLine="1200" w:firstLineChars="500"/>
        <w:rPr>
          <w:rFonts w:cs="Times New Roman"/>
          <w:color w:val="auto"/>
          <w:szCs w:val="24"/>
          <w:highlight w:val="none"/>
        </w:rPr>
      </w:pPr>
      <w:r>
        <w:rPr>
          <w:rFonts w:cs="Times New Roman"/>
          <w:color w:val="auto"/>
          <w:szCs w:val="24"/>
          <w:highlight w:val="none"/>
        </w:rPr>
        <w:t>C（x</w:t>
      </w:r>
      <w:r>
        <w:rPr>
          <w:rFonts w:hint="eastAsia" w:cs="Times New Roman"/>
          <w:color w:val="auto"/>
          <w:szCs w:val="24"/>
          <w:highlight w:val="none"/>
        </w:rPr>
        <w:t>，</w:t>
      </w:r>
      <w:r>
        <w:rPr>
          <w:rFonts w:cs="Times New Roman"/>
          <w:color w:val="auto"/>
          <w:szCs w:val="24"/>
          <w:highlight w:val="none"/>
        </w:rPr>
        <w:t>t）—t 时刻点x处的示踪剂浓度，g/L；</w:t>
      </w:r>
    </w:p>
    <w:p w14:paraId="7251814F">
      <w:pPr>
        <w:spacing w:line="500" w:lineRule="exact"/>
        <w:ind w:firstLine="1200" w:firstLineChars="500"/>
        <w:rPr>
          <w:rFonts w:cs="Times New Roman"/>
          <w:color w:val="auto"/>
          <w:szCs w:val="24"/>
          <w:highlight w:val="none"/>
        </w:rPr>
      </w:pPr>
      <w:r>
        <w:rPr>
          <w:rFonts w:cs="Times New Roman"/>
          <w:color w:val="auto"/>
          <w:szCs w:val="24"/>
          <w:highlight w:val="none"/>
        </w:rPr>
        <w:t>C</w:t>
      </w:r>
      <w:r>
        <w:rPr>
          <w:rFonts w:cs="Times New Roman"/>
          <w:color w:val="auto"/>
          <w:szCs w:val="24"/>
          <w:highlight w:val="none"/>
          <w:vertAlign w:val="subscript"/>
        </w:rPr>
        <w:t>0</w:t>
      </w:r>
      <w:r>
        <w:rPr>
          <w:rFonts w:cs="Times New Roman"/>
          <w:color w:val="auto"/>
          <w:szCs w:val="24"/>
          <w:highlight w:val="none"/>
        </w:rPr>
        <w:t>—注入示踪剂浓度，g/L；</w:t>
      </w:r>
    </w:p>
    <w:p w14:paraId="038E50AF">
      <w:pPr>
        <w:spacing w:line="500" w:lineRule="exact"/>
        <w:ind w:firstLine="1200" w:firstLineChars="500"/>
        <w:rPr>
          <w:rFonts w:cs="Times New Roman"/>
          <w:color w:val="auto"/>
          <w:szCs w:val="24"/>
          <w:highlight w:val="none"/>
        </w:rPr>
      </w:pPr>
      <w:r>
        <w:rPr>
          <w:rFonts w:cs="Times New Roman"/>
          <w:color w:val="auto"/>
          <w:szCs w:val="24"/>
          <w:highlight w:val="none"/>
        </w:rPr>
        <w:t>u—水流速度，m/d；</w:t>
      </w:r>
    </w:p>
    <w:p w14:paraId="6393D412">
      <w:pPr>
        <w:spacing w:line="500" w:lineRule="exact"/>
        <w:ind w:firstLine="1200" w:firstLineChars="500"/>
        <w:rPr>
          <w:rFonts w:cs="Times New Roman"/>
          <w:color w:val="auto"/>
          <w:szCs w:val="24"/>
          <w:highlight w:val="none"/>
        </w:rPr>
      </w:pPr>
      <w:r>
        <w:rPr>
          <w:rFonts w:cs="Times New Roman"/>
          <w:color w:val="auto"/>
          <w:szCs w:val="24"/>
          <w:highlight w:val="none"/>
        </w:rPr>
        <mc:AlternateContent>
          <mc:Choice Requires="wps">
            <w:drawing>
              <wp:anchor distT="0" distB="0" distL="114300" distR="114300" simplePos="0" relativeHeight="251660288" behindDoc="1" locked="0" layoutInCell="1" allowOverlap="1">
                <wp:simplePos x="0" y="0"/>
                <wp:positionH relativeFrom="page">
                  <wp:posOffset>1970405</wp:posOffset>
                </wp:positionH>
                <wp:positionV relativeFrom="paragraph">
                  <wp:posOffset>159385</wp:posOffset>
                </wp:positionV>
                <wp:extent cx="38100" cy="762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38100" cy="76200"/>
                        </a:xfrm>
                        <a:prstGeom prst="rect">
                          <a:avLst/>
                        </a:prstGeom>
                        <a:noFill/>
                        <a:ln>
                          <a:noFill/>
                        </a:ln>
                      </wps:spPr>
                      <wps:txbx>
                        <w:txbxContent>
                          <w:p w14:paraId="2C23F719">
                            <w:pPr>
                              <w:spacing w:line="120" w:lineRule="exact"/>
                              <w:ind w:firstLine="240"/>
                              <w:rPr>
                                <w:rFonts w:ascii="宋体" w:hAnsi="宋体" w:cs="宋体"/>
                                <w:sz w:val="12"/>
                                <w:szCs w:val="12"/>
                              </w:rPr>
                            </w:pPr>
                            <w:r>
                              <w:rPr>
                                <w:rFonts w:hint="eastAsia" w:ascii="宋体"/>
                                <w:sz w:val="12"/>
                              </w:rPr>
                              <w:t>L</w:t>
                            </w:r>
                          </w:p>
                        </w:txbxContent>
                      </wps:txbx>
                      <wps:bodyPr lIns="0" tIns="0" rIns="0" bIns="0" upright="1"/>
                    </wps:wsp>
                  </a:graphicData>
                </a:graphic>
              </wp:anchor>
            </w:drawing>
          </mc:Choice>
          <mc:Fallback>
            <w:pict>
              <v:shape id="_x0000_s1026" o:spid="_x0000_s1026" o:spt="202" type="#_x0000_t202" style="position:absolute;left:0pt;margin-left:155.15pt;margin-top:12.55pt;height:6pt;width:3pt;mso-position-horizontal-relative:page;z-index:-251656192;mso-width-relative:page;mso-height-relative:page;" filled="f" stroked="f" coordsize="21600,21600" o:gfxdata="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RmvIjdcAAAAJAQAADwAAAAAAAAABACAAAAAiAAAAZHJzL2Rvd25yZXYueG1sUEsBAhQAFAAA&#10;AAgAh07iQDt24pe3AQAAcQMAAA4AAAAAAAAAAQAgAAAAJgEAAGRycy9lMm9Eb2MueG1sUEsFBgAA&#10;AAAGAAYAWQEAAE8FAAAAAA==&#10;">
                <v:fill on="f" focussize="0,0"/>
                <v:stroke on="f"/>
                <v:imagedata o:title=""/>
                <o:lock v:ext="edit" aspectratio="f"/>
                <v:textbox inset="0mm,0mm,0mm,0mm">
                  <w:txbxContent>
                    <w:p w14:paraId="2C23F719">
                      <w:pPr>
                        <w:spacing w:line="120" w:lineRule="exact"/>
                        <w:ind w:firstLine="240"/>
                        <w:rPr>
                          <w:rFonts w:ascii="宋体" w:hAnsi="宋体" w:cs="宋体"/>
                          <w:sz w:val="12"/>
                          <w:szCs w:val="12"/>
                        </w:rPr>
                      </w:pPr>
                      <w:r>
                        <w:rPr>
                          <w:rFonts w:hint="eastAsia" w:ascii="宋体"/>
                          <w:sz w:val="12"/>
                        </w:rPr>
                        <w:t>L</w:t>
                      </w:r>
                    </w:p>
                  </w:txbxContent>
                </v:textbox>
              </v:shape>
            </w:pict>
          </mc:Fallback>
        </mc:AlternateContent>
      </w:r>
      <w:r>
        <w:rPr>
          <w:rFonts w:cs="Times New Roman"/>
          <w:color w:val="auto"/>
          <w:szCs w:val="24"/>
          <w:highlight w:val="none"/>
        </w:rPr>
        <w:t>D—纵向弥散系数，m</w:t>
      </w:r>
      <w:r>
        <w:rPr>
          <w:rFonts w:cs="Times New Roman"/>
          <w:color w:val="auto"/>
          <w:szCs w:val="24"/>
          <w:highlight w:val="none"/>
          <w:vertAlign w:val="superscript"/>
        </w:rPr>
        <w:t>2</w:t>
      </w:r>
      <w:r>
        <w:rPr>
          <w:rFonts w:cs="Times New Roman"/>
          <w:color w:val="auto"/>
          <w:szCs w:val="24"/>
          <w:highlight w:val="none"/>
        </w:rPr>
        <w:t>/d；</w:t>
      </w:r>
    </w:p>
    <w:p w14:paraId="6C50983D">
      <w:pPr>
        <w:spacing w:line="500" w:lineRule="exact"/>
        <w:ind w:firstLine="1200" w:firstLineChars="500"/>
        <w:rPr>
          <w:rFonts w:cs="Times New Roman"/>
          <w:color w:val="auto"/>
          <w:szCs w:val="24"/>
          <w:highlight w:val="none"/>
        </w:rPr>
      </w:pPr>
      <w:r>
        <w:rPr>
          <w:rFonts w:cs="Times New Roman"/>
          <w:color w:val="auto"/>
          <w:szCs w:val="24"/>
          <w:highlight w:val="none"/>
        </w:rPr>
        <w:t>erfc（）—余差数函数；</w:t>
      </w:r>
    </w:p>
    <w:p w14:paraId="50DC6B48">
      <w:pPr>
        <w:spacing w:line="500" w:lineRule="exact"/>
        <w:rPr>
          <w:rFonts w:cs="Times New Roman"/>
          <w:color w:val="auto"/>
          <w:szCs w:val="24"/>
          <w:highlight w:val="none"/>
        </w:rPr>
      </w:pPr>
      <w:r>
        <w:rPr>
          <w:rFonts w:cs="Times New Roman"/>
          <w:color w:val="auto"/>
          <w:szCs w:val="24"/>
          <w:highlight w:val="none"/>
        </w:rPr>
        <w:t>2）模式中参数的确定</w:t>
      </w:r>
    </w:p>
    <w:p w14:paraId="56B2C49B">
      <w:pPr>
        <w:spacing w:line="500" w:lineRule="exact"/>
        <w:rPr>
          <w:rFonts w:cs="Times New Roman"/>
          <w:color w:val="auto"/>
          <w:szCs w:val="24"/>
          <w:highlight w:val="none"/>
        </w:rPr>
      </w:pPr>
      <w:r>
        <w:rPr>
          <w:rFonts w:cs="Times New Roman"/>
          <w:color w:val="auto"/>
          <w:szCs w:val="24"/>
          <w:highlight w:val="none"/>
        </w:rPr>
        <w:t>①注入示踪剂浓度</w:t>
      </w:r>
    </w:p>
    <w:p w14:paraId="280A23F2">
      <w:pPr>
        <w:spacing w:line="500" w:lineRule="exact"/>
        <w:rPr>
          <w:rFonts w:cs="Times New Roman"/>
          <w:color w:val="auto"/>
          <w:szCs w:val="24"/>
          <w:highlight w:val="none"/>
        </w:rPr>
      </w:pPr>
      <w:r>
        <w:rPr>
          <w:rFonts w:cs="Times New Roman"/>
          <w:color w:val="auto"/>
          <w:szCs w:val="24"/>
          <w:highlight w:val="none"/>
        </w:rPr>
        <w:t>本项目地下水预测中注入示踪剂浓度COD为</w:t>
      </w:r>
      <w:r>
        <w:rPr>
          <w:rFonts w:hint="eastAsia" w:cs="Times New Roman"/>
          <w:color w:val="auto"/>
          <w:szCs w:val="24"/>
          <w:highlight w:val="none"/>
          <w:lang w:val="en-US" w:eastAsia="zh-CN"/>
        </w:rPr>
        <w:t>2717</w:t>
      </w:r>
      <w:r>
        <w:rPr>
          <w:rFonts w:cs="Times New Roman"/>
          <w:color w:val="auto"/>
          <w:szCs w:val="24"/>
          <w:highlight w:val="none"/>
        </w:rPr>
        <w:t>mg/L，</w:t>
      </w:r>
      <w:r>
        <w:rPr>
          <w:rFonts w:hint="eastAsia" w:cs="Times New Roman"/>
          <w:color w:val="auto"/>
          <w:szCs w:val="24"/>
          <w:highlight w:val="none"/>
          <w:lang w:val="en-US" w:eastAsia="zh-CN"/>
        </w:rPr>
        <w:t>1.168</w:t>
      </w:r>
      <w:r>
        <w:rPr>
          <w:rFonts w:cs="Times New Roman"/>
          <w:color w:val="auto"/>
          <w:szCs w:val="24"/>
          <w:highlight w:val="none"/>
        </w:rPr>
        <w:t>kg/d；氨氮为</w:t>
      </w:r>
      <w:r>
        <w:rPr>
          <w:rFonts w:hint="eastAsia" w:cs="Times New Roman"/>
          <w:color w:val="auto"/>
          <w:szCs w:val="24"/>
          <w:highlight w:val="none"/>
          <w:lang w:val="en-US" w:eastAsia="zh-CN"/>
        </w:rPr>
        <w:t>86</w:t>
      </w:r>
      <w:r>
        <w:rPr>
          <w:rFonts w:cs="Times New Roman"/>
          <w:color w:val="auto"/>
          <w:szCs w:val="24"/>
          <w:highlight w:val="none"/>
        </w:rPr>
        <w:t>mg/L，</w:t>
      </w:r>
      <w:r>
        <w:rPr>
          <w:rFonts w:hint="eastAsia" w:cs="Times New Roman"/>
          <w:color w:val="auto"/>
          <w:szCs w:val="24"/>
          <w:highlight w:val="none"/>
          <w:lang w:val="en-US" w:eastAsia="zh-CN"/>
        </w:rPr>
        <w:t>0.037</w:t>
      </w:r>
      <w:r>
        <w:rPr>
          <w:rFonts w:cs="Times New Roman"/>
          <w:color w:val="auto"/>
          <w:szCs w:val="24"/>
          <w:highlight w:val="none"/>
        </w:rPr>
        <w:t>kg/d。</w:t>
      </w:r>
    </w:p>
    <w:p w14:paraId="57FB0374">
      <w:pPr>
        <w:spacing w:line="500" w:lineRule="exact"/>
        <w:rPr>
          <w:rFonts w:cs="Times New Roman"/>
          <w:color w:val="auto"/>
          <w:szCs w:val="24"/>
          <w:highlight w:val="none"/>
        </w:rPr>
      </w:pPr>
      <w:r>
        <w:rPr>
          <w:rFonts w:cs="Times New Roman"/>
          <w:color w:val="auto"/>
          <w:szCs w:val="24"/>
          <w:highlight w:val="none"/>
        </w:rPr>
        <w:t>②地下水流速</w:t>
      </w:r>
    </w:p>
    <w:p w14:paraId="2CBAF24C">
      <w:pPr>
        <w:spacing w:line="500" w:lineRule="exact"/>
        <w:rPr>
          <w:rFonts w:cs="Times New Roman"/>
          <w:color w:val="auto"/>
          <w:szCs w:val="24"/>
          <w:highlight w:val="none"/>
        </w:rPr>
      </w:pPr>
      <w:r>
        <w:rPr>
          <w:rFonts w:cs="Times New Roman"/>
          <w:color w:val="auto"/>
          <w:szCs w:val="24"/>
          <w:highlight w:val="none"/>
        </w:rPr>
        <w:t>根据达西定律u=含水层渗透系数×地下水水力坡度。根据</w:t>
      </w:r>
      <w:r>
        <w:rPr>
          <w:rFonts w:hint="eastAsia"/>
          <w:color w:val="auto"/>
          <w:sz w:val="24"/>
          <w:highlight w:val="none"/>
        </w:rPr>
        <w:t>《</w:t>
      </w:r>
      <w:r>
        <w:rPr>
          <w:rFonts w:hint="eastAsia"/>
          <w:color w:val="auto"/>
          <w:sz w:val="24"/>
          <w:highlight w:val="none"/>
          <w:lang w:val="en-US" w:eastAsia="zh-CN"/>
        </w:rPr>
        <w:t>双鸭山市城区地下水资源调查于评价</w:t>
      </w:r>
      <w:r>
        <w:rPr>
          <w:rFonts w:hint="eastAsia"/>
          <w:color w:val="auto"/>
          <w:sz w:val="24"/>
          <w:highlight w:val="none"/>
        </w:rPr>
        <w:t>》</w:t>
      </w:r>
      <w:r>
        <w:rPr>
          <w:rFonts w:hint="eastAsia"/>
          <w:color w:val="auto"/>
          <w:sz w:val="24"/>
          <w:highlight w:val="none"/>
          <w:lang w:val="en-US" w:eastAsia="zh-CN"/>
        </w:rPr>
        <w:t>中</w:t>
      </w:r>
      <w:r>
        <w:rPr>
          <w:rFonts w:cs="Times New Roman"/>
          <w:color w:val="auto"/>
          <w:szCs w:val="24"/>
          <w:highlight w:val="none"/>
        </w:rPr>
        <w:t>水文地质条件</w:t>
      </w:r>
      <w:r>
        <w:rPr>
          <w:rFonts w:cs="Times New Roman"/>
          <w:color w:val="auto"/>
          <w:szCs w:val="24"/>
          <w:highlight w:val="none"/>
        </w:rPr>
        <w:t>，K=</w:t>
      </w:r>
      <w:r>
        <w:rPr>
          <w:rFonts w:hint="eastAsia" w:cs="Times New Roman"/>
          <w:color w:val="auto"/>
          <w:szCs w:val="24"/>
          <w:highlight w:val="none"/>
          <w:lang w:val="en-US" w:eastAsia="zh-CN"/>
        </w:rPr>
        <w:t>23.5</w:t>
      </w:r>
      <w:r>
        <w:rPr>
          <w:rFonts w:cs="Times New Roman"/>
          <w:color w:val="auto"/>
          <w:szCs w:val="24"/>
          <w:highlight w:val="none"/>
        </w:rPr>
        <w:t>m/d，</w:t>
      </w:r>
      <w:r>
        <w:rPr>
          <w:rFonts w:cs="Times New Roman"/>
          <w:color w:val="auto"/>
          <w:szCs w:val="24"/>
          <w:highlight w:val="none"/>
        </w:rPr>
        <w:t>I=</w:t>
      </w:r>
      <w:r>
        <w:rPr>
          <w:rFonts w:hint="eastAsia" w:cs="Times New Roman"/>
          <w:color w:val="auto"/>
          <w:szCs w:val="24"/>
          <w:highlight w:val="none"/>
          <w:lang w:val="en-US" w:eastAsia="zh-CN"/>
        </w:rPr>
        <w:t>0.0015</w:t>
      </w:r>
      <w:r>
        <w:rPr>
          <w:rFonts w:cs="Times New Roman"/>
          <w:color w:val="auto"/>
          <w:szCs w:val="24"/>
          <w:highlight w:val="none"/>
        </w:rPr>
        <w:t>，经计算，水流速度为0.0</w:t>
      </w:r>
      <w:r>
        <w:rPr>
          <w:rFonts w:hint="eastAsia" w:cs="Times New Roman"/>
          <w:color w:val="auto"/>
          <w:szCs w:val="24"/>
          <w:highlight w:val="none"/>
          <w:lang w:val="en-US" w:eastAsia="zh-CN"/>
        </w:rPr>
        <w:t>35</w:t>
      </w:r>
      <w:r>
        <w:rPr>
          <w:rFonts w:cs="Times New Roman"/>
          <w:color w:val="auto"/>
          <w:szCs w:val="24"/>
          <w:highlight w:val="none"/>
        </w:rPr>
        <w:t>m/d。</w:t>
      </w:r>
    </w:p>
    <w:p w14:paraId="50FA197C">
      <w:pPr>
        <w:spacing w:line="500" w:lineRule="exact"/>
        <w:rPr>
          <w:rFonts w:cs="Times New Roman"/>
          <w:color w:val="auto"/>
          <w:szCs w:val="24"/>
          <w:highlight w:val="none"/>
        </w:rPr>
      </w:pPr>
      <w:r>
        <w:rPr>
          <w:rFonts w:cs="Times New Roman"/>
          <w:color w:val="auto"/>
          <w:szCs w:val="24"/>
          <w:highlight w:val="none"/>
        </w:rPr>
        <w:t>③弥散系数</w:t>
      </w:r>
    </w:p>
    <w:p w14:paraId="14046114">
      <w:pPr>
        <w:spacing w:line="500" w:lineRule="exact"/>
        <w:ind w:firstLine="528"/>
        <w:rPr>
          <w:rFonts w:cs="Times New Roman"/>
          <w:color w:val="auto"/>
          <w:szCs w:val="24"/>
          <w:highlight w:val="none"/>
        </w:rPr>
      </w:pPr>
      <w:r>
        <w:rPr>
          <w:rFonts w:cs="Times New Roman"/>
          <w:color w:val="auto"/>
          <w:spacing w:val="12"/>
          <w:szCs w:val="24"/>
          <w:highlight w:val="none"/>
        </w:rPr>
        <w:t>根据《水文地质学》对于弥散系数的经验值，同时考虑地层结构、含水层岩性，确定论证区纵向弥散系数为</w:t>
      </w:r>
      <w:r>
        <w:rPr>
          <w:rFonts w:cs="Times New Roman"/>
          <w:color w:val="auto"/>
          <w:szCs w:val="24"/>
          <w:highlight w:val="none"/>
        </w:rPr>
        <w:t>D</w:t>
      </w:r>
      <w:r>
        <w:rPr>
          <w:rFonts w:cs="Times New Roman"/>
          <w:color w:val="auto"/>
          <w:szCs w:val="24"/>
          <w:highlight w:val="none"/>
          <w:vertAlign w:val="subscript"/>
        </w:rPr>
        <w:t>L</w:t>
      </w:r>
      <w:r>
        <w:rPr>
          <w:rFonts w:cs="Times New Roman"/>
          <w:color w:val="auto"/>
          <w:szCs w:val="24"/>
          <w:highlight w:val="none"/>
        </w:rPr>
        <w:t>=0.1m</w:t>
      </w:r>
      <w:r>
        <w:rPr>
          <w:rFonts w:cs="Times New Roman"/>
          <w:color w:val="auto"/>
          <w:szCs w:val="24"/>
          <w:highlight w:val="none"/>
          <w:vertAlign w:val="superscript"/>
        </w:rPr>
        <w:t>2</w:t>
      </w:r>
      <w:r>
        <w:rPr>
          <w:rFonts w:cs="Times New Roman"/>
          <w:color w:val="auto"/>
          <w:szCs w:val="24"/>
          <w:highlight w:val="none"/>
        </w:rPr>
        <w:t>/d。</w:t>
      </w:r>
    </w:p>
    <w:p w14:paraId="1C977374">
      <w:pPr>
        <w:spacing w:line="500" w:lineRule="exact"/>
        <w:rPr>
          <w:rFonts w:cs="Times New Roman"/>
          <w:color w:val="auto"/>
          <w:szCs w:val="24"/>
          <w:highlight w:val="none"/>
        </w:rPr>
      </w:pPr>
      <w:r>
        <w:rPr>
          <w:rFonts w:cs="Times New Roman"/>
          <w:color w:val="auto"/>
          <w:szCs w:val="24"/>
          <w:highlight w:val="none"/>
        </w:rPr>
        <w:t>3、预测结果</w:t>
      </w:r>
    </w:p>
    <w:p w14:paraId="1F58DD0A">
      <w:pPr>
        <w:widowControl/>
        <w:spacing w:line="500" w:lineRule="exact"/>
        <w:jc w:val="left"/>
        <w:rPr>
          <w:rFonts w:cs="Times New Roman"/>
          <w:b/>
          <w:bCs/>
          <w:color w:val="auto"/>
          <w:kern w:val="0"/>
          <w:szCs w:val="24"/>
          <w:highlight w:val="none"/>
          <w:lang w:bidi="ar"/>
        </w:rPr>
      </w:pPr>
      <w:r>
        <w:rPr>
          <w:rFonts w:cs="Times New Roman"/>
          <w:color w:val="auto"/>
          <w:kern w:val="0"/>
          <w:szCs w:val="24"/>
          <w:highlight w:val="none"/>
          <w:lang w:bidi="ar"/>
        </w:rPr>
        <w:t>本评价以保守估计为原则，假定在泄漏废水直接进入浅层地下水情形下进行预测，预测计算结果见下表。</w:t>
      </w:r>
    </w:p>
    <w:p w14:paraId="20FFD07F">
      <w:pPr>
        <w:widowControl/>
        <w:spacing w:before="163" w:beforeLines="50" w:line="240" w:lineRule="auto"/>
        <w:ind w:firstLine="0" w:firstLineChars="0"/>
        <w:jc w:val="center"/>
        <w:rPr>
          <w:rFonts w:cs="Times New Roman"/>
          <w:b/>
          <w:bCs/>
          <w:color w:val="auto"/>
          <w:kern w:val="0"/>
          <w:szCs w:val="24"/>
          <w:highlight w:val="none"/>
          <w:lang w:bidi="ar"/>
        </w:rPr>
      </w:pPr>
      <w:r>
        <w:rPr>
          <w:rFonts w:cs="Times New Roman"/>
          <w:b/>
          <w:bCs/>
          <w:color w:val="auto"/>
          <w:kern w:val="0"/>
          <w:szCs w:val="24"/>
          <w:highlight w:val="none"/>
          <w:lang w:bidi="ar"/>
        </w:rPr>
        <w:t>表5-2-2</w:t>
      </w:r>
      <w:r>
        <w:rPr>
          <w:rFonts w:hint="eastAsia" w:cs="Times New Roman"/>
          <w:b/>
          <w:bCs/>
          <w:color w:val="auto"/>
          <w:kern w:val="0"/>
          <w:szCs w:val="24"/>
          <w:highlight w:val="none"/>
          <w:lang w:val="en-US" w:eastAsia="zh-CN" w:bidi="ar"/>
        </w:rPr>
        <w:t>1</w:t>
      </w:r>
      <w:r>
        <w:rPr>
          <w:rFonts w:cs="Times New Roman"/>
          <w:b/>
          <w:bCs/>
          <w:color w:val="auto"/>
          <w:kern w:val="0"/>
          <w:szCs w:val="24"/>
          <w:highlight w:val="none"/>
          <w:lang w:bidi="ar"/>
        </w:rPr>
        <w:t xml:space="preserve">  污染物超标扩散距离表</w:t>
      </w:r>
    </w:p>
    <w:tbl>
      <w:tblPr>
        <w:tblStyle w:val="48"/>
        <w:tblW w:w="481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5"/>
        <w:gridCol w:w="1740"/>
        <w:gridCol w:w="1641"/>
        <w:gridCol w:w="1924"/>
        <w:gridCol w:w="1926"/>
      </w:tblGrid>
      <w:tr w14:paraId="0CB875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599" w:type="pct"/>
            <w:tcBorders>
              <w:tl2br w:val="nil"/>
              <w:tr2bl w:val="nil"/>
            </w:tcBorders>
            <w:vAlign w:val="center"/>
          </w:tcPr>
          <w:p w14:paraId="7C25E8DC">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1058" w:type="pct"/>
            <w:tcBorders>
              <w:tl2br w:val="nil"/>
              <w:tr2bl w:val="nil"/>
            </w:tcBorders>
            <w:vAlign w:val="center"/>
          </w:tcPr>
          <w:p w14:paraId="0E298586">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标准值（mg/L）</w:t>
            </w:r>
          </w:p>
        </w:tc>
        <w:tc>
          <w:tcPr>
            <w:tcW w:w="998" w:type="pct"/>
            <w:tcBorders>
              <w:tl2br w:val="nil"/>
              <w:tr2bl w:val="nil"/>
            </w:tcBorders>
            <w:vAlign w:val="center"/>
          </w:tcPr>
          <w:p w14:paraId="3E660883">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时间（d）</w:t>
            </w:r>
          </w:p>
        </w:tc>
        <w:tc>
          <w:tcPr>
            <w:tcW w:w="1170" w:type="pct"/>
            <w:tcBorders>
              <w:tl2br w:val="nil"/>
              <w:tr2bl w:val="nil"/>
            </w:tcBorders>
            <w:vAlign w:val="center"/>
          </w:tcPr>
          <w:p w14:paraId="0B9C922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达标距离（m）</w:t>
            </w:r>
          </w:p>
        </w:tc>
        <w:tc>
          <w:tcPr>
            <w:tcW w:w="1171" w:type="pct"/>
            <w:tcBorders>
              <w:tl2br w:val="nil"/>
              <w:tr2bl w:val="nil"/>
            </w:tcBorders>
            <w:vAlign w:val="center"/>
          </w:tcPr>
          <w:p w14:paraId="63754BF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最大迁移距离（m）</w:t>
            </w:r>
          </w:p>
        </w:tc>
      </w:tr>
      <w:tr w14:paraId="436DAB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599" w:type="pct"/>
            <w:vMerge w:val="restart"/>
            <w:tcBorders>
              <w:tl2br w:val="nil"/>
              <w:tr2bl w:val="nil"/>
            </w:tcBorders>
            <w:vAlign w:val="center"/>
          </w:tcPr>
          <w:p w14:paraId="33B0CE55">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COD</w:t>
            </w:r>
          </w:p>
        </w:tc>
        <w:tc>
          <w:tcPr>
            <w:tcW w:w="1058" w:type="pct"/>
            <w:vMerge w:val="restart"/>
            <w:tcBorders>
              <w:tl2br w:val="nil"/>
              <w:tr2bl w:val="nil"/>
            </w:tcBorders>
            <w:vAlign w:val="center"/>
          </w:tcPr>
          <w:p w14:paraId="01542962">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998" w:type="pct"/>
            <w:tcBorders>
              <w:tl2br w:val="nil"/>
              <w:tr2bl w:val="nil"/>
            </w:tcBorders>
            <w:vAlign w:val="center"/>
          </w:tcPr>
          <w:p w14:paraId="267F301B">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100</w:t>
            </w:r>
          </w:p>
        </w:tc>
        <w:tc>
          <w:tcPr>
            <w:tcW w:w="1170" w:type="pct"/>
            <w:tcBorders>
              <w:tl2br w:val="nil"/>
              <w:tr2bl w:val="nil"/>
            </w:tcBorders>
            <w:vAlign w:val="center"/>
          </w:tcPr>
          <w:p w14:paraId="7CC84B34">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w:t>
            </w:r>
          </w:p>
        </w:tc>
        <w:tc>
          <w:tcPr>
            <w:tcW w:w="1171" w:type="pct"/>
            <w:tcBorders>
              <w:tl2br w:val="nil"/>
              <w:tr2bl w:val="nil"/>
            </w:tcBorders>
            <w:vAlign w:val="center"/>
          </w:tcPr>
          <w:p w14:paraId="3DC2D8C6">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w:t>
            </w:r>
          </w:p>
        </w:tc>
      </w:tr>
      <w:tr w14:paraId="767E9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599" w:type="pct"/>
            <w:vMerge w:val="continue"/>
            <w:tcBorders>
              <w:tl2br w:val="nil"/>
              <w:tr2bl w:val="nil"/>
            </w:tcBorders>
            <w:vAlign w:val="center"/>
          </w:tcPr>
          <w:p w14:paraId="2C5B2227">
            <w:pPr>
              <w:spacing w:line="240" w:lineRule="auto"/>
              <w:ind w:firstLine="0" w:firstLineChars="0"/>
              <w:jc w:val="center"/>
              <w:rPr>
                <w:rFonts w:cs="Times New Roman"/>
                <w:color w:val="auto"/>
                <w:sz w:val="21"/>
                <w:szCs w:val="21"/>
                <w:highlight w:val="none"/>
              </w:rPr>
            </w:pPr>
          </w:p>
        </w:tc>
        <w:tc>
          <w:tcPr>
            <w:tcW w:w="1058" w:type="pct"/>
            <w:vMerge w:val="continue"/>
            <w:tcBorders>
              <w:tl2br w:val="nil"/>
              <w:tr2bl w:val="nil"/>
            </w:tcBorders>
            <w:vAlign w:val="center"/>
          </w:tcPr>
          <w:p w14:paraId="74B65BB8">
            <w:pPr>
              <w:spacing w:line="240" w:lineRule="auto"/>
              <w:ind w:firstLine="0" w:firstLineChars="0"/>
              <w:jc w:val="center"/>
              <w:rPr>
                <w:rFonts w:cs="Times New Roman"/>
                <w:color w:val="auto"/>
                <w:sz w:val="21"/>
                <w:szCs w:val="21"/>
                <w:highlight w:val="none"/>
              </w:rPr>
            </w:pPr>
          </w:p>
        </w:tc>
        <w:tc>
          <w:tcPr>
            <w:tcW w:w="998" w:type="pct"/>
            <w:tcBorders>
              <w:tl2br w:val="nil"/>
              <w:tr2bl w:val="nil"/>
            </w:tcBorders>
            <w:vAlign w:val="center"/>
          </w:tcPr>
          <w:p w14:paraId="53C13F95">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365</w:t>
            </w:r>
          </w:p>
        </w:tc>
        <w:tc>
          <w:tcPr>
            <w:tcW w:w="1170" w:type="pct"/>
            <w:tcBorders>
              <w:tl2br w:val="nil"/>
              <w:tr2bl w:val="nil"/>
            </w:tcBorders>
            <w:vAlign w:val="center"/>
          </w:tcPr>
          <w:p w14:paraId="00FB22AC">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w:t>
            </w:r>
          </w:p>
        </w:tc>
        <w:tc>
          <w:tcPr>
            <w:tcW w:w="1171" w:type="pct"/>
            <w:tcBorders>
              <w:tl2br w:val="nil"/>
              <w:tr2bl w:val="nil"/>
            </w:tcBorders>
            <w:vAlign w:val="center"/>
          </w:tcPr>
          <w:p w14:paraId="7C0BA60D">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47</w:t>
            </w:r>
          </w:p>
        </w:tc>
      </w:tr>
      <w:tr w14:paraId="28F13D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599" w:type="pct"/>
            <w:vMerge w:val="continue"/>
            <w:tcBorders>
              <w:tl2br w:val="nil"/>
              <w:tr2bl w:val="nil"/>
            </w:tcBorders>
            <w:vAlign w:val="center"/>
          </w:tcPr>
          <w:p w14:paraId="5A77612D">
            <w:pPr>
              <w:spacing w:line="240" w:lineRule="auto"/>
              <w:ind w:firstLine="0" w:firstLineChars="0"/>
              <w:jc w:val="center"/>
              <w:rPr>
                <w:rFonts w:cs="Times New Roman"/>
                <w:color w:val="auto"/>
                <w:sz w:val="21"/>
                <w:szCs w:val="21"/>
                <w:highlight w:val="none"/>
              </w:rPr>
            </w:pPr>
          </w:p>
        </w:tc>
        <w:tc>
          <w:tcPr>
            <w:tcW w:w="1058" w:type="pct"/>
            <w:vMerge w:val="continue"/>
            <w:tcBorders>
              <w:tl2br w:val="nil"/>
              <w:tr2bl w:val="nil"/>
            </w:tcBorders>
            <w:vAlign w:val="center"/>
          </w:tcPr>
          <w:p w14:paraId="2838DF09">
            <w:pPr>
              <w:spacing w:line="240" w:lineRule="auto"/>
              <w:ind w:firstLine="0" w:firstLineChars="0"/>
              <w:jc w:val="center"/>
              <w:rPr>
                <w:rFonts w:cs="Times New Roman"/>
                <w:color w:val="auto"/>
                <w:sz w:val="21"/>
                <w:szCs w:val="21"/>
                <w:highlight w:val="none"/>
              </w:rPr>
            </w:pPr>
          </w:p>
        </w:tc>
        <w:tc>
          <w:tcPr>
            <w:tcW w:w="998" w:type="pct"/>
            <w:tcBorders>
              <w:tl2br w:val="nil"/>
              <w:tr2bl w:val="nil"/>
            </w:tcBorders>
            <w:vAlign w:val="center"/>
          </w:tcPr>
          <w:p w14:paraId="42C4BC26">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1000</w:t>
            </w:r>
          </w:p>
        </w:tc>
        <w:tc>
          <w:tcPr>
            <w:tcW w:w="1170" w:type="pct"/>
            <w:tcBorders>
              <w:tl2br w:val="nil"/>
              <w:tr2bl w:val="nil"/>
            </w:tcBorders>
            <w:vAlign w:val="center"/>
          </w:tcPr>
          <w:p w14:paraId="3F6B4178">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79</w:t>
            </w:r>
          </w:p>
        </w:tc>
        <w:tc>
          <w:tcPr>
            <w:tcW w:w="1171" w:type="pct"/>
            <w:tcBorders>
              <w:tl2br w:val="nil"/>
              <w:tr2bl w:val="nil"/>
            </w:tcBorders>
            <w:vAlign w:val="center"/>
          </w:tcPr>
          <w:p w14:paraId="11EE16F8">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91</w:t>
            </w:r>
          </w:p>
        </w:tc>
      </w:tr>
      <w:tr w14:paraId="5B0C82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599" w:type="pct"/>
            <w:vMerge w:val="restart"/>
            <w:tcBorders>
              <w:tl2br w:val="nil"/>
              <w:tr2bl w:val="nil"/>
            </w:tcBorders>
            <w:vAlign w:val="center"/>
          </w:tcPr>
          <w:p w14:paraId="4AC9B64E">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氨氮</w:t>
            </w:r>
          </w:p>
        </w:tc>
        <w:tc>
          <w:tcPr>
            <w:tcW w:w="1058" w:type="pct"/>
            <w:vMerge w:val="restart"/>
            <w:tcBorders>
              <w:tl2br w:val="nil"/>
              <w:tr2bl w:val="nil"/>
            </w:tcBorders>
            <w:vAlign w:val="center"/>
          </w:tcPr>
          <w:p w14:paraId="346AC042">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0.5</w:t>
            </w:r>
          </w:p>
        </w:tc>
        <w:tc>
          <w:tcPr>
            <w:tcW w:w="998" w:type="pct"/>
            <w:tcBorders>
              <w:tl2br w:val="nil"/>
              <w:tr2bl w:val="nil"/>
            </w:tcBorders>
            <w:vAlign w:val="center"/>
          </w:tcPr>
          <w:p w14:paraId="6A9FB6DD">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100</w:t>
            </w:r>
          </w:p>
        </w:tc>
        <w:tc>
          <w:tcPr>
            <w:tcW w:w="1170" w:type="pct"/>
            <w:tcBorders>
              <w:tl2br w:val="nil"/>
              <w:tr2bl w:val="nil"/>
            </w:tcBorders>
            <w:vAlign w:val="center"/>
          </w:tcPr>
          <w:p w14:paraId="60C3387A">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1171" w:type="pct"/>
            <w:tcBorders>
              <w:tl2br w:val="nil"/>
              <w:tr2bl w:val="nil"/>
            </w:tcBorders>
            <w:vAlign w:val="center"/>
          </w:tcPr>
          <w:p w14:paraId="7009E9DB">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w:t>
            </w:r>
          </w:p>
        </w:tc>
      </w:tr>
      <w:tr w14:paraId="179048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599" w:type="pct"/>
            <w:vMerge w:val="continue"/>
            <w:tcBorders>
              <w:tl2br w:val="nil"/>
              <w:tr2bl w:val="nil"/>
            </w:tcBorders>
            <w:vAlign w:val="center"/>
          </w:tcPr>
          <w:p w14:paraId="330B5E60">
            <w:pPr>
              <w:spacing w:line="240" w:lineRule="auto"/>
              <w:ind w:firstLine="0" w:firstLineChars="0"/>
              <w:jc w:val="center"/>
              <w:rPr>
                <w:rFonts w:cs="Times New Roman"/>
                <w:color w:val="auto"/>
                <w:sz w:val="21"/>
                <w:szCs w:val="21"/>
                <w:highlight w:val="none"/>
              </w:rPr>
            </w:pPr>
          </w:p>
        </w:tc>
        <w:tc>
          <w:tcPr>
            <w:tcW w:w="1058" w:type="pct"/>
            <w:vMerge w:val="continue"/>
            <w:tcBorders>
              <w:tl2br w:val="nil"/>
              <w:tr2bl w:val="nil"/>
            </w:tcBorders>
            <w:vAlign w:val="center"/>
          </w:tcPr>
          <w:p w14:paraId="6733FD63">
            <w:pPr>
              <w:spacing w:line="240" w:lineRule="auto"/>
              <w:ind w:firstLine="0" w:firstLineChars="0"/>
              <w:jc w:val="center"/>
              <w:rPr>
                <w:rFonts w:cs="Times New Roman"/>
                <w:color w:val="auto"/>
                <w:sz w:val="21"/>
                <w:szCs w:val="21"/>
                <w:highlight w:val="none"/>
              </w:rPr>
            </w:pPr>
          </w:p>
        </w:tc>
        <w:tc>
          <w:tcPr>
            <w:tcW w:w="998" w:type="pct"/>
            <w:tcBorders>
              <w:tl2br w:val="nil"/>
              <w:tr2bl w:val="nil"/>
            </w:tcBorders>
            <w:vAlign w:val="center"/>
          </w:tcPr>
          <w:p w14:paraId="6A04DE00">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365</w:t>
            </w:r>
          </w:p>
        </w:tc>
        <w:tc>
          <w:tcPr>
            <w:tcW w:w="1170" w:type="pct"/>
            <w:tcBorders>
              <w:tl2br w:val="nil"/>
              <w:tr2bl w:val="nil"/>
            </w:tcBorders>
            <w:vAlign w:val="center"/>
          </w:tcPr>
          <w:p w14:paraId="445129C3">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w:t>
            </w:r>
          </w:p>
        </w:tc>
        <w:tc>
          <w:tcPr>
            <w:tcW w:w="1171" w:type="pct"/>
            <w:tcBorders>
              <w:tl2br w:val="nil"/>
              <w:tr2bl w:val="nil"/>
            </w:tcBorders>
            <w:vAlign w:val="center"/>
          </w:tcPr>
          <w:p w14:paraId="1677068A">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39</w:t>
            </w:r>
          </w:p>
        </w:tc>
      </w:tr>
      <w:tr w14:paraId="68A804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599" w:type="pct"/>
            <w:vMerge w:val="continue"/>
            <w:tcBorders>
              <w:tl2br w:val="nil"/>
              <w:tr2bl w:val="nil"/>
            </w:tcBorders>
            <w:vAlign w:val="center"/>
          </w:tcPr>
          <w:p w14:paraId="20A47132">
            <w:pPr>
              <w:spacing w:line="240" w:lineRule="auto"/>
              <w:ind w:firstLine="0" w:firstLineChars="0"/>
              <w:jc w:val="center"/>
              <w:rPr>
                <w:rFonts w:cs="Times New Roman"/>
                <w:color w:val="auto"/>
                <w:sz w:val="21"/>
                <w:szCs w:val="21"/>
                <w:highlight w:val="none"/>
              </w:rPr>
            </w:pPr>
          </w:p>
        </w:tc>
        <w:tc>
          <w:tcPr>
            <w:tcW w:w="1058" w:type="pct"/>
            <w:vMerge w:val="continue"/>
            <w:tcBorders>
              <w:tl2br w:val="nil"/>
              <w:tr2bl w:val="nil"/>
            </w:tcBorders>
            <w:vAlign w:val="center"/>
          </w:tcPr>
          <w:p w14:paraId="31683928">
            <w:pPr>
              <w:spacing w:line="240" w:lineRule="auto"/>
              <w:ind w:firstLine="0" w:firstLineChars="0"/>
              <w:jc w:val="center"/>
              <w:rPr>
                <w:rFonts w:cs="Times New Roman"/>
                <w:color w:val="auto"/>
                <w:sz w:val="21"/>
                <w:szCs w:val="21"/>
                <w:highlight w:val="none"/>
              </w:rPr>
            </w:pPr>
          </w:p>
        </w:tc>
        <w:tc>
          <w:tcPr>
            <w:tcW w:w="998" w:type="pct"/>
            <w:tcBorders>
              <w:tl2br w:val="nil"/>
              <w:tr2bl w:val="nil"/>
            </w:tcBorders>
            <w:vAlign w:val="center"/>
          </w:tcPr>
          <w:p w14:paraId="3B06DCF2">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1000</w:t>
            </w:r>
          </w:p>
        </w:tc>
        <w:tc>
          <w:tcPr>
            <w:tcW w:w="1170" w:type="pct"/>
            <w:tcBorders>
              <w:tl2br w:val="nil"/>
              <w:tr2bl w:val="nil"/>
            </w:tcBorders>
            <w:vAlign w:val="center"/>
          </w:tcPr>
          <w:p w14:paraId="74E6598A">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72</w:t>
            </w:r>
          </w:p>
        </w:tc>
        <w:tc>
          <w:tcPr>
            <w:tcW w:w="1171" w:type="pct"/>
            <w:tcBorders>
              <w:tl2br w:val="nil"/>
              <w:tr2bl w:val="nil"/>
            </w:tcBorders>
            <w:vAlign w:val="center"/>
          </w:tcPr>
          <w:p w14:paraId="11586702">
            <w:pPr>
              <w:spacing w:line="24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79</w:t>
            </w:r>
          </w:p>
        </w:tc>
      </w:tr>
    </w:tbl>
    <w:p w14:paraId="288659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highlight w:val="none"/>
        </w:rPr>
      </w:pPr>
    </w:p>
    <w:p w14:paraId="4EA98B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auto"/>
          <w:highlight w:val="none"/>
        </w:rPr>
      </w:pPr>
      <w:r>
        <w:rPr>
          <w:color w:val="auto"/>
          <w:highlight w:val="none"/>
        </w:rPr>
        <w:drawing>
          <wp:inline distT="0" distB="0" distL="114300" distR="114300">
            <wp:extent cx="4686300" cy="2028825"/>
            <wp:effectExtent l="0" t="0" r="0" b="9525"/>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38"/>
                    <a:stretch>
                      <a:fillRect/>
                    </a:stretch>
                  </pic:blipFill>
                  <pic:spPr>
                    <a:xfrm>
                      <a:off x="0" y="0"/>
                      <a:ext cx="4686300" cy="2028825"/>
                    </a:xfrm>
                    <a:prstGeom prst="rect">
                      <a:avLst/>
                    </a:prstGeom>
                    <a:noFill/>
                    <a:ln>
                      <a:noFill/>
                    </a:ln>
                  </pic:spPr>
                </pic:pic>
              </a:graphicData>
            </a:graphic>
          </wp:inline>
        </w:drawing>
      </w:r>
    </w:p>
    <w:p w14:paraId="0D4FB3E4">
      <w:pPr>
        <w:ind w:firstLine="0" w:firstLineChars="0"/>
        <w:jc w:val="center"/>
        <w:rPr>
          <w:rFonts w:cs="Times New Roman"/>
          <w:b/>
          <w:color w:val="auto"/>
          <w:kern w:val="0"/>
          <w:highlight w:val="none"/>
        </w:rPr>
      </w:pPr>
      <w:r>
        <w:rPr>
          <w:rFonts w:cs="Times New Roman"/>
          <w:b/>
          <w:color w:val="auto"/>
          <w:kern w:val="0"/>
          <w:highlight w:val="none"/>
        </w:rPr>
        <w:t>图5-2-2 废水泄漏后的100天预测图（COD）</w:t>
      </w:r>
    </w:p>
    <w:p w14:paraId="3643BB42">
      <w:pPr>
        <w:pStyle w:val="36"/>
        <w:ind w:left="0"/>
        <w:jc w:val="center"/>
        <w:rPr>
          <w:color w:val="auto"/>
          <w:highlight w:val="none"/>
        </w:rPr>
      </w:pPr>
      <w:r>
        <w:rPr>
          <w:rFonts w:hint="eastAsia"/>
          <w:color w:val="auto"/>
          <w:highlight w:val="none"/>
          <w:lang w:val="en-US" w:eastAsia="zh-CN"/>
        </w:rPr>
        <w:t xml:space="preserve"> </w:t>
      </w:r>
      <w:r>
        <w:rPr>
          <w:color w:val="auto"/>
          <w:highlight w:val="none"/>
        </w:rPr>
        <w:drawing>
          <wp:inline distT="0" distB="0" distL="114300" distR="114300">
            <wp:extent cx="4781550" cy="1990725"/>
            <wp:effectExtent l="0" t="0" r="0" b="9525"/>
            <wp:docPr id="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
                    <pic:cNvPicPr>
                      <a:picLocks noChangeAspect="1"/>
                    </pic:cNvPicPr>
                  </pic:nvPicPr>
                  <pic:blipFill>
                    <a:blip r:embed="rId39"/>
                    <a:stretch>
                      <a:fillRect/>
                    </a:stretch>
                  </pic:blipFill>
                  <pic:spPr>
                    <a:xfrm>
                      <a:off x="0" y="0"/>
                      <a:ext cx="4781550" cy="1990725"/>
                    </a:xfrm>
                    <a:prstGeom prst="rect">
                      <a:avLst/>
                    </a:prstGeom>
                    <a:noFill/>
                    <a:ln>
                      <a:noFill/>
                    </a:ln>
                  </pic:spPr>
                </pic:pic>
              </a:graphicData>
            </a:graphic>
          </wp:inline>
        </w:drawing>
      </w:r>
    </w:p>
    <w:p w14:paraId="4CC0B973">
      <w:pPr>
        <w:ind w:firstLine="482"/>
        <w:jc w:val="center"/>
        <w:rPr>
          <w:rFonts w:cs="Times New Roman"/>
          <w:b/>
          <w:color w:val="auto"/>
          <w:kern w:val="0"/>
          <w:highlight w:val="none"/>
        </w:rPr>
      </w:pPr>
      <w:r>
        <w:rPr>
          <w:rFonts w:cs="Times New Roman"/>
          <w:b/>
          <w:color w:val="auto"/>
          <w:kern w:val="0"/>
          <w:highlight w:val="none"/>
        </w:rPr>
        <w:t>图5-2-3 废水泄漏后的</w:t>
      </w:r>
      <w:r>
        <w:rPr>
          <w:rFonts w:hint="eastAsia" w:cs="Times New Roman"/>
          <w:b/>
          <w:color w:val="auto"/>
          <w:kern w:val="0"/>
          <w:highlight w:val="none"/>
          <w:lang w:val="en-US" w:eastAsia="zh-CN"/>
        </w:rPr>
        <w:t>365</w:t>
      </w:r>
      <w:r>
        <w:rPr>
          <w:rFonts w:cs="Times New Roman"/>
          <w:b/>
          <w:color w:val="auto"/>
          <w:kern w:val="0"/>
          <w:highlight w:val="none"/>
        </w:rPr>
        <w:t>天预测图（COD）</w:t>
      </w:r>
    </w:p>
    <w:p w14:paraId="6B31958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cs="Times New Roman"/>
          <w:b/>
          <w:color w:val="auto"/>
          <w:kern w:val="0"/>
          <w:highlight w:val="none"/>
        </w:rPr>
      </w:pPr>
      <w:r>
        <w:rPr>
          <w:color w:val="auto"/>
          <w:highlight w:val="none"/>
        </w:rPr>
        <w:drawing>
          <wp:inline distT="0" distB="0" distL="114300" distR="114300">
            <wp:extent cx="4743450" cy="2000250"/>
            <wp:effectExtent l="0" t="0" r="0" b="0"/>
            <wp:docPr id="1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
                    <pic:cNvPicPr>
                      <a:picLocks noChangeAspect="1"/>
                    </pic:cNvPicPr>
                  </pic:nvPicPr>
                  <pic:blipFill>
                    <a:blip r:embed="rId40"/>
                    <a:stretch>
                      <a:fillRect/>
                    </a:stretch>
                  </pic:blipFill>
                  <pic:spPr>
                    <a:xfrm>
                      <a:off x="0" y="0"/>
                      <a:ext cx="4743450" cy="2000250"/>
                    </a:xfrm>
                    <a:prstGeom prst="rect">
                      <a:avLst/>
                    </a:prstGeom>
                    <a:noFill/>
                    <a:ln>
                      <a:noFill/>
                    </a:ln>
                  </pic:spPr>
                </pic:pic>
              </a:graphicData>
            </a:graphic>
          </wp:inline>
        </w:drawing>
      </w:r>
    </w:p>
    <w:p w14:paraId="721D9E0E">
      <w:pPr>
        <w:ind w:firstLine="482"/>
        <w:jc w:val="center"/>
        <w:rPr>
          <w:rFonts w:cs="Times New Roman"/>
          <w:b/>
          <w:color w:val="auto"/>
          <w:kern w:val="0"/>
          <w:highlight w:val="none"/>
        </w:rPr>
      </w:pPr>
      <w:r>
        <w:rPr>
          <w:rFonts w:cs="Times New Roman"/>
          <w:b/>
          <w:color w:val="auto"/>
          <w:kern w:val="0"/>
          <w:highlight w:val="none"/>
        </w:rPr>
        <w:t>图5-2-</w:t>
      </w:r>
      <w:r>
        <w:rPr>
          <w:rFonts w:hint="eastAsia" w:cs="Times New Roman"/>
          <w:b/>
          <w:color w:val="auto"/>
          <w:kern w:val="0"/>
          <w:highlight w:val="none"/>
          <w:lang w:val="en-US" w:eastAsia="zh-CN"/>
        </w:rPr>
        <w:t>4</w:t>
      </w:r>
      <w:r>
        <w:rPr>
          <w:rFonts w:cs="Times New Roman"/>
          <w:b/>
          <w:color w:val="auto"/>
          <w:kern w:val="0"/>
          <w:highlight w:val="none"/>
        </w:rPr>
        <w:t xml:space="preserve"> 废水泄漏后的1000天预测图（COD）</w:t>
      </w:r>
    </w:p>
    <w:p w14:paraId="7EE56577">
      <w:pPr>
        <w:pStyle w:val="36"/>
        <w:ind w:left="0"/>
        <w:jc w:val="center"/>
        <w:rPr>
          <w:color w:val="auto"/>
          <w:highlight w:val="none"/>
        </w:rPr>
      </w:pPr>
      <w:r>
        <w:rPr>
          <w:color w:val="auto"/>
          <w:highlight w:val="none"/>
        </w:rPr>
        <w:drawing>
          <wp:inline distT="0" distB="0" distL="114300" distR="114300">
            <wp:extent cx="4924425" cy="2428875"/>
            <wp:effectExtent l="0" t="0" r="9525" b="9525"/>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41"/>
                    <a:stretch>
                      <a:fillRect/>
                    </a:stretch>
                  </pic:blipFill>
                  <pic:spPr>
                    <a:xfrm>
                      <a:off x="0" y="0"/>
                      <a:ext cx="4924425" cy="2428875"/>
                    </a:xfrm>
                    <a:prstGeom prst="rect">
                      <a:avLst/>
                    </a:prstGeom>
                    <a:noFill/>
                    <a:ln>
                      <a:noFill/>
                    </a:ln>
                  </pic:spPr>
                </pic:pic>
              </a:graphicData>
            </a:graphic>
          </wp:inline>
        </w:drawing>
      </w:r>
    </w:p>
    <w:p w14:paraId="701161DD">
      <w:pPr>
        <w:ind w:firstLine="482"/>
        <w:jc w:val="center"/>
        <w:rPr>
          <w:rFonts w:cs="Times New Roman"/>
          <w:color w:val="auto"/>
          <w:highlight w:val="none"/>
        </w:rPr>
      </w:pPr>
      <w:r>
        <w:rPr>
          <w:rFonts w:cs="Times New Roman"/>
          <w:b/>
          <w:color w:val="auto"/>
          <w:kern w:val="0"/>
          <w:highlight w:val="none"/>
        </w:rPr>
        <w:t>图5-2-</w:t>
      </w:r>
      <w:r>
        <w:rPr>
          <w:rFonts w:hint="eastAsia" w:cs="Times New Roman"/>
          <w:b/>
          <w:color w:val="auto"/>
          <w:kern w:val="0"/>
          <w:highlight w:val="none"/>
          <w:lang w:val="en-US" w:eastAsia="zh-CN"/>
        </w:rPr>
        <w:t>5</w:t>
      </w:r>
      <w:r>
        <w:rPr>
          <w:rFonts w:cs="Times New Roman"/>
          <w:b/>
          <w:color w:val="auto"/>
          <w:kern w:val="0"/>
          <w:highlight w:val="none"/>
        </w:rPr>
        <w:t xml:space="preserve"> 废水泄漏后的100天预测图（氨氮）</w:t>
      </w:r>
    </w:p>
    <w:p w14:paraId="405D825F">
      <w:pPr>
        <w:pStyle w:val="36"/>
        <w:ind w:left="0"/>
        <w:jc w:val="center"/>
        <w:rPr>
          <w:color w:val="auto"/>
          <w:highlight w:val="none"/>
        </w:rPr>
      </w:pPr>
      <w:r>
        <w:rPr>
          <w:color w:val="auto"/>
          <w:highlight w:val="none"/>
        </w:rPr>
        <w:drawing>
          <wp:inline distT="0" distB="0" distL="114300" distR="114300">
            <wp:extent cx="4762500" cy="2057400"/>
            <wp:effectExtent l="0" t="0" r="0" b="0"/>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42"/>
                    <a:stretch>
                      <a:fillRect/>
                    </a:stretch>
                  </pic:blipFill>
                  <pic:spPr>
                    <a:xfrm>
                      <a:off x="0" y="0"/>
                      <a:ext cx="4762500" cy="2057400"/>
                    </a:xfrm>
                    <a:prstGeom prst="rect">
                      <a:avLst/>
                    </a:prstGeom>
                    <a:noFill/>
                    <a:ln>
                      <a:noFill/>
                    </a:ln>
                  </pic:spPr>
                </pic:pic>
              </a:graphicData>
            </a:graphic>
          </wp:inline>
        </w:drawing>
      </w:r>
    </w:p>
    <w:p w14:paraId="166AB36D">
      <w:pPr>
        <w:ind w:firstLine="482"/>
        <w:jc w:val="center"/>
        <w:rPr>
          <w:rFonts w:cs="Times New Roman"/>
          <w:b/>
          <w:color w:val="auto"/>
          <w:kern w:val="0"/>
          <w:highlight w:val="none"/>
        </w:rPr>
      </w:pPr>
      <w:r>
        <w:rPr>
          <w:rFonts w:cs="Times New Roman"/>
          <w:b/>
          <w:color w:val="auto"/>
          <w:kern w:val="0"/>
          <w:highlight w:val="none"/>
        </w:rPr>
        <w:t>图5-2-</w:t>
      </w:r>
      <w:r>
        <w:rPr>
          <w:rFonts w:hint="eastAsia" w:cs="Times New Roman"/>
          <w:b/>
          <w:color w:val="auto"/>
          <w:kern w:val="0"/>
          <w:highlight w:val="none"/>
          <w:lang w:val="en-US" w:eastAsia="zh-CN"/>
        </w:rPr>
        <w:t>6</w:t>
      </w:r>
      <w:r>
        <w:rPr>
          <w:rFonts w:cs="Times New Roman"/>
          <w:b/>
          <w:color w:val="auto"/>
          <w:kern w:val="0"/>
          <w:highlight w:val="none"/>
        </w:rPr>
        <w:t xml:space="preserve"> 废水泄漏后的</w:t>
      </w:r>
      <w:r>
        <w:rPr>
          <w:rFonts w:hint="eastAsia" w:cs="Times New Roman"/>
          <w:b/>
          <w:color w:val="auto"/>
          <w:kern w:val="0"/>
          <w:highlight w:val="none"/>
          <w:lang w:val="en-US" w:eastAsia="zh-CN"/>
        </w:rPr>
        <w:t>365</w:t>
      </w:r>
      <w:r>
        <w:rPr>
          <w:rFonts w:cs="Times New Roman"/>
          <w:b/>
          <w:color w:val="auto"/>
          <w:kern w:val="0"/>
          <w:highlight w:val="none"/>
        </w:rPr>
        <w:t>天预测图（氨氮）</w:t>
      </w:r>
    </w:p>
    <w:p w14:paraId="4FCD48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b/>
          <w:color w:val="auto"/>
          <w:kern w:val="0"/>
          <w:highlight w:val="none"/>
        </w:rPr>
      </w:pPr>
      <w:r>
        <w:rPr>
          <w:color w:val="auto"/>
          <w:highlight w:val="none"/>
        </w:rPr>
        <w:drawing>
          <wp:inline distT="0" distB="0" distL="114300" distR="114300">
            <wp:extent cx="4695825" cy="2105025"/>
            <wp:effectExtent l="0" t="0" r="9525" b="9525"/>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43"/>
                    <a:stretch>
                      <a:fillRect/>
                    </a:stretch>
                  </pic:blipFill>
                  <pic:spPr>
                    <a:xfrm>
                      <a:off x="0" y="0"/>
                      <a:ext cx="4695825" cy="2105025"/>
                    </a:xfrm>
                    <a:prstGeom prst="rect">
                      <a:avLst/>
                    </a:prstGeom>
                    <a:noFill/>
                    <a:ln>
                      <a:noFill/>
                    </a:ln>
                  </pic:spPr>
                </pic:pic>
              </a:graphicData>
            </a:graphic>
          </wp:inline>
        </w:drawing>
      </w:r>
    </w:p>
    <w:p w14:paraId="06FE7295">
      <w:pPr>
        <w:ind w:firstLine="482"/>
        <w:jc w:val="center"/>
        <w:rPr>
          <w:rFonts w:cs="Times New Roman"/>
          <w:b/>
          <w:color w:val="auto"/>
          <w:kern w:val="0"/>
          <w:highlight w:val="none"/>
        </w:rPr>
      </w:pPr>
      <w:r>
        <w:rPr>
          <w:rFonts w:cs="Times New Roman"/>
          <w:b/>
          <w:color w:val="auto"/>
          <w:kern w:val="0"/>
          <w:highlight w:val="none"/>
        </w:rPr>
        <w:t>图5-2-</w:t>
      </w:r>
      <w:r>
        <w:rPr>
          <w:rFonts w:hint="eastAsia" w:cs="Times New Roman"/>
          <w:b/>
          <w:color w:val="auto"/>
          <w:kern w:val="0"/>
          <w:highlight w:val="none"/>
          <w:lang w:val="en-US" w:eastAsia="zh-CN"/>
        </w:rPr>
        <w:t>7</w:t>
      </w:r>
      <w:r>
        <w:rPr>
          <w:rFonts w:cs="Times New Roman"/>
          <w:b/>
          <w:color w:val="auto"/>
          <w:kern w:val="0"/>
          <w:highlight w:val="none"/>
        </w:rPr>
        <w:t xml:space="preserve"> 废水泄漏后的100</w:t>
      </w:r>
      <w:r>
        <w:rPr>
          <w:rFonts w:hint="eastAsia" w:cs="Times New Roman"/>
          <w:b/>
          <w:color w:val="auto"/>
          <w:kern w:val="0"/>
          <w:highlight w:val="none"/>
          <w:lang w:val="en-US" w:eastAsia="zh-CN"/>
        </w:rPr>
        <w:t>0</w:t>
      </w:r>
      <w:r>
        <w:rPr>
          <w:rFonts w:cs="Times New Roman"/>
          <w:b/>
          <w:color w:val="auto"/>
          <w:kern w:val="0"/>
          <w:highlight w:val="none"/>
        </w:rPr>
        <w:t>天预测图（氨氮）</w:t>
      </w:r>
    </w:p>
    <w:p w14:paraId="75B2504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color w:val="auto"/>
          <w:highlight w:val="none"/>
        </w:rPr>
      </w:pPr>
    </w:p>
    <w:p w14:paraId="6ACAFC81">
      <w:pPr>
        <w:rPr>
          <w:rFonts w:cs="Times New Roman"/>
          <w:color w:val="auto"/>
          <w:szCs w:val="24"/>
          <w:highlight w:val="none"/>
        </w:rPr>
      </w:pPr>
      <w:r>
        <w:rPr>
          <w:rFonts w:cs="Times New Roman"/>
          <w:color w:val="auto"/>
          <w:szCs w:val="24"/>
          <w:highlight w:val="none"/>
        </w:rPr>
        <w:t>根据预测结果可知，本项目污水处理站非正常工况下，COD运移100d时，下游</w:t>
      </w:r>
      <w:r>
        <w:rPr>
          <w:rFonts w:hint="eastAsia" w:cs="Times New Roman"/>
          <w:color w:val="auto"/>
          <w:szCs w:val="24"/>
          <w:highlight w:val="none"/>
          <w:lang w:val="en-US" w:eastAsia="zh-CN"/>
        </w:rPr>
        <w:t>17</w:t>
      </w:r>
      <w:r>
        <w:rPr>
          <w:rFonts w:cs="Times New Roman"/>
          <w:color w:val="auto"/>
          <w:szCs w:val="24"/>
          <w:highlight w:val="none"/>
        </w:rPr>
        <w:t>m处可达标，影响范围在泄漏点至下游</w:t>
      </w:r>
      <w:r>
        <w:rPr>
          <w:rFonts w:hint="eastAsia" w:cs="Times New Roman"/>
          <w:color w:val="auto"/>
          <w:szCs w:val="24"/>
          <w:highlight w:val="none"/>
          <w:lang w:val="en-US" w:eastAsia="zh-CN"/>
        </w:rPr>
        <w:t>21</w:t>
      </w:r>
      <w:r>
        <w:rPr>
          <w:rFonts w:cs="Times New Roman"/>
          <w:color w:val="auto"/>
          <w:szCs w:val="24"/>
          <w:highlight w:val="none"/>
        </w:rPr>
        <w:t>m范围内；运移</w:t>
      </w:r>
      <w:r>
        <w:rPr>
          <w:rFonts w:hint="eastAsia" w:cs="Times New Roman"/>
          <w:color w:val="auto"/>
          <w:szCs w:val="24"/>
          <w:highlight w:val="none"/>
          <w:lang w:val="en-US" w:eastAsia="zh-CN"/>
        </w:rPr>
        <w:t>365</w:t>
      </w:r>
      <w:r>
        <w:rPr>
          <w:rFonts w:cs="Times New Roman"/>
          <w:color w:val="auto"/>
          <w:szCs w:val="24"/>
          <w:highlight w:val="none"/>
        </w:rPr>
        <w:t>d时，下游</w:t>
      </w:r>
      <w:r>
        <w:rPr>
          <w:rFonts w:hint="eastAsia" w:cs="Times New Roman"/>
          <w:color w:val="auto"/>
          <w:szCs w:val="24"/>
          <w:highlight w:val="none"/>
          <w:lang w:val="en-US" w:eastAsia="zh-CN"/>
        </w:rPr>
        <w:t>40</w:t>
      </w:r>
      <w:r>
        <w:rPr>
          <w:rFonts w:cs="Times New Roman"/>
          <w:color w:val="auto"/>
          <w:szCs w:val="24"/>
          <w:highlight w:val="none"/>
        </w:rPr>
        <w:t>m处可达标，影响范围在泄漏点至下游</w:t>
      </w:r>
      <w:r>
        <w:rPr>
          <w:rFonts w:hint="eastAsia" w:cs="Times New Roman"/>
          <w:color w:val="auto"/>
          <w:szCs w:val="24"/>
          <w:highlight w:val="none"/>
          <w:lang w:val="en-US" w:eastAsia="zh-CN"/>
        </w:rPr>
        <w:t>47</w:t>
      </w:r>
      <w:r>
        <w:rPr>
          <w:rFonts w:cs="Times New Roman"/>
          <w:color w:val="auto"/>
          <w:szCs w:val="24"/>
          <w:highlight w:val="none"/>
        </w:rPr>
        <w:t>m范围内；运移1000d时，下游</w:t>
      </w:r>
      <w:r>
        <w:rPr>
          <w:rFonts w:hint="eastAsia" w:cs="Times New Roman"/>
          <w:color w:val="auto"/>
          <w:szCs w:val="24"/>
          <w:highlight w:val="none"/>
          <w:lang w:val="en-US" w:eastAsia="zh-CN"/>
        </w:rPr>
        <w:t>79</w:t>
      </w:r>
      <w:r>
        <w:rPr>
          <w:rFonts w:cs="Times New Roman"/>
          <w:color w:val="auto"/>
          <w:szCs w:val="24"/>
          <w:highlight w:val="none"/>
        </w:rPr>
        <w:t>m处可达标，影响范围在泄漏点至下游</w:t>
      </w:r>
      <w:r>
        <w:rPr>
          <w:rFonts w:hint="eastAsia" w:cs="Times New Roman"/>
          <w:color w:val="auto"/>
          <w:szCs w:val="24"/>
          <w:highlight w:val="none"/>
          <w:lang w:val="en-US" w:eastAsia="zh-CN"/>
        </w:rPr>
        <w:t>91</w:t>
      </w:r>
      <w:r>
        <w:rPr>
          <w:rFonts w:cs="Times New Roman"/>
          <w:color w:val="auto"/>
          <w:szCs w:val="24"/>
          <w:highlight w:val="none"/>
        </w:rPr>
        <w:t>m范围内。氨氮运移100d时，下游</w:t>
      </w:r>
      <w:r>
        <w:rPr>
          <w:rFonts w:hint="eastAsia" w:cs="Times New Roman"/>
          <w:color w:val="auto"/>
          <w:szCs w:val="24"/>
          <w:highlight w:val="none"/>
          <w:lang w:val="en-US" w:eastAsia="zh-CN"/>
        </w:rPr>
        <w:t>15</w:t>
      </w:r>
      <w:r>
        <w:rPr>
          <w:rFonts w:cs="Times New Roman"/>
          <w:color w:val="auto"/>
          <w:szCs w:val="24"/>
          <w:highlight w:val="none"/>
        </w:rPr>
        <w:t>m处可达标，影响范围在泄漏点至下游</w:t>
      </w:r>
      <w:r>
        <w:rPr>
          <w:rFonts w:hint="eastAsia" w:cs="Times New Roman"/>
          <w:color w:val="auto"/>
          <w:szCs w:val="24"/>
          <w:highlight w:val="none"/>
          <w:lang w:val="en-US" w:eastAsia="zh-CN"/>
        </w:rPr>
        <w:t>17</w:t>
      </w:r>
      <w:r>
        <w:rPr>
          <w:rFonts w:cs="Times New Roman"/>
          <w:color w:val="auto"/>
          <w:szCs w:val="24"/>
          <w:highlight w:val="none"/>
        </w:rPr>
        <w:t>m范围内；运移</w:t>
      </w:r>
      <w:r>
        <w:rPr>
          <w:rFonts w:hint="eastAsia" w:cs="Times New Roman"/>
          <w:color w:val="auto"/>
          <w:szCs w:val="24"/>
          <w:highlight w:val="none"/>
          <w:lang w:val="en-US" w:eastAsia="zh-CN"/>
        </w:rPr>
        <w:t>365</w:t>
      </w:r>
      <w:r>
        <w:rPr>
          <w:rFonts w:cs="Times New Roman"/>
          <w:color w:val="auto"/>
          <w:szCs w:val="24"/>
          <w:highlight w:val="none"/>
        </w:rPr>
        <w:t>d时，下游</w:t>
      </w:r>
      <w:r>
        <w:rPr>
          <w:rFonts w:hint="eastAsia" w:cs="Times New Roman"/>
          <w:color w:val="auto"/>
          <w:szCs w:val="24"/>
          <w:highlight w:val="none"/>
          <w:lang w:val="en-US" w:eastAsia="zh-CN"/>
        </w:rPr>
        <w:t>35</w:t>
      </w:r>
      <w:r>
        <w:rPr>
          <w:rFonts w:cs="Times New Roman"/>
          <w:color w:val="auto"/>
          <w:szCs w:val="24"/>
          <w:highlight w:val="none"/>
        </w:rPr>
        <w:t>m处可达标，影响范围在泄漏点至下游</w:t>
      </w:r>
      <w:r>
        <w:rPr>
          <w:rFonts w:hint="eastAsia" w:cs="Times New Roman"/>
          <w:color w:val="auto"/>
          <w:szCs w:val="24"/>
          <w:highlight w:val="none"/>
          <w:lang w:val="en-US" w:eastAsia="zh-CN"/>
        </w:rPr>
        <w:t>39</w:t>
      </w:r>
      <w:r>
        <w:rPr>
          <w:rFonts w:cs="Times New Roman"/>
          <w:color w:val="auto"/>
          <w:szCs w:val="24"/>
          <w:highlight w:val="none"/>
        </w:rPr>
        <w:t>m范围内；运移1000d时，下游</w:t>
      </w:r>
      <w:r>
        <w:rPr>
          <w:rFonts w:hint="eastAsia" w:cs="Times New Roman"/>
          <w:color w:val="auto"/>
          <w:szCs w:val="24"/>
          <w:highlight w:val="none"/>
          <w:lang w:val="en-US" w:eastAsia="zh-CN"/>
        </w:rPr>
        <w:t>72</w:t>
      </w:r>
      <w:r>
        <w:rPr>
          <w:rFonts w:cs="Times New Roman"/>
          <w:color w:val="auto"/>
          <w:szCs w:val="24"/>
          <w:highlight w:val="none"/>
        </w:rPr>
        <w:t>m处可达标，影响范围在泄漏点至下游</w:t>
      </w:r>
      <w:r>
        <w:rPr>
          <w:rFonts w:hint="eastAsia" w:cs="Times New Roman"/>
          <w:color w:val="auto"/>
          <w:szCs w:val="24"/>
          <w:highlight w:val="none"/>
          <w:lang w:val="en-US" w:eastAsia="zh-CN"/>
        </w:rPr>
        <w:t>79</w:t>
      </w:r>
      <w:r>
        <w:rPr>
          <w:rFonts w:cs="Times New Roman"/>
          <w:color w:val="auto"/>
          <w:szCs w:val="24"/>
          <w:highlight w:val="none"/>
        </w:rPr>
        <w:t>m范围内。COD</w:t>
      </w:r>
      <w:r>
        <w:rPr>
          <w:rFonts w:hint="eastAsia" w:cs="Times New Roman"/>
          <w:color w:val="auto"/>
          <w:szCs w:val="24"/>
          <w:highlight w:val="none"/>
          <w:lang w:eastAsia="zh-CN"/>
        </w:rPr>
        <w:t>、</w:t>
      </w:r>
      <w:r>
        <w:rPr>
          <w:rFonts w:hint="eastAsia" w:cs="Times New Roman"/>
          <w:color w:val="auto"/>
          <w:szCs w:val="24"/>
          <w:highlight w:val="none"/>
          <w:lang w:val="en-US" w:eastAsia="zh-CN"/>
        </w:rPr>
        <w:t>氨氮运移1000d后超标点位于厂界内</w:t>
      </w:r>
      <w:r>
        <w:rPr>
          <w:rFonts w:cs="Times New Roman"/>
          <w:color w:val="auto"/>
          <w:szCs w:val="24"/>
          <w:highlight w:val="none"/>
        </w:rPr>
        <w:t>，因此项目建设对区域地下水环境影响较小。</w:t>
      </w:r>
    </w:p>
    <w:p w14:paraId="65C3E605">
      <w:pPr>
        <w:pStyle w:val="4"/>
        <w:spacing w:after="163"/>
        <w:rPr>
          <w:rFonts w:cs="Times New Roman"/>
          <w:color w:val="auto"/>
          <w:highlight w:val="none"/>
        </w:rPr>
      </w:pPr>
      <w:bookmarkStart w:id="292" w:name="_Toc25244"/>
      <w:r>
        <w:rPr>
          <w:rFonts w:cs="Times New Roman"/>
          <w:color w:val="auto"/>
          <w:highlight w:val="none"/>
        </w:rPr>
        <w:t>5.2.4声环境影响预测评价</w:t>
      </w:r>
      <w:bookmarkEnd w:id="292"/>
    </w:p>
    <w:p w14:paraId="64BF1E75">
      <w:pPr>
        <w:ind w:firstLine="482"/>
        <w:rPr>
          <w:rFonts w:cs="Times New Roman"/>
          <w:b/>
          <w:bCs/>
          <w:color w:val="auto"/>
          <w:highlight w:val="none"/>
        </w:rPr>
      </w:pPr>
      <w:r>
        <w:rPr>
          <w:rFonts w:cs="Times New Roman"/>
          <w:b/>
          <w:bCs/>
          <w:color w:val="auto"/>
          <w:highlight w:val="none"/>
        </w:rPr>
        <w:t>1、预测内容</w:t>
      </w:r>
    </w:p>
    <w:p w14:paraId="07C4636A">
      <w:pPr>
        <w:rPr>
          <w:rFonts w:cs="Times New Roman"/>
          <w:color w:val="auto"/>
          <w:highlight w:val="none"/>
        </w:rPr>
      </w:pPr>
      <w:r>
        <w:rPr>
          <w:rFonts w:cs="Times New Roman"/>
          <w:color w:val="auto"/>
          <w:highlight w:val="none"/>
        </w:rPr>
        <w:t>本项目运营期噪声主要为设备噪声和牛、羊嚎叫，噪声源强在70dB（A）~80（A）之间，项目运营期采取的降噪措施主要为厂房隔声、选用低噪声设备、安装减振垫、消声器等。车间外的降噪效果可达20dB（A）。预测噪声源对厂界外1m处的影响程度。</w:t>
      </w:r>
    </w:p>
    <w:p w14:paraId="5685F357">
      <w:pPr>
        <w:ind w:firstLine="482"/>
        <w:rPr>
          <w:rFonts w:cs="Times New Roman"/>
          <w:b/>
          <w:bCs/>
          <w:color w:val="auto"/>
          <w:highlight w:val="none"/>
        </w:rPr>
      </w:pPr>
      <w:r>
        <w:rPr>
          <w:rFonts w:cs="Times New Roman"/>
          <w:b/>
          <w:bCs/>
          <w:color w:val="auto"/>
          <w:highlight w:val="none"/>
        </w:rPr>
        <w:t>2、预测模式</w:t>
      </w:r>
    </w:p>
    <w:p w14:paraId="7A2B99CF">
      <w:pPr>
        <w:rPr>
          <w:rFonts w:cs="Times New Roman"/>
          <w:color w:val="auto"/>
          <w:highlight w:val="none"/>
        </w:rPr>
      </w:pPr>
      <w:r>
        <w:rPr>
          <w:rFonts w:cs="Times New Roman"/>
          <w:color w:val="auto"/>
          <w:highlight w:val="none"/>
        </w:rPr>
        <w:t>噪声预测采用HJ2.4-2021附录典型行业噪声噪声预测模型。</w:t>
      </w:r>
    </w:p>
    <w:p w14:paraId="57CC26AA">
      <w:pPr>
        <w:rPr>
          <w:rFonts w:cs="Times New Roman"/>
          <w:color w:val="auto"/>
          <w:highlight w:val="none"/>
        </w:rPr>
      </w:pPr>
      <w:r>
        <w:rPr>
          <w:rFonts w:cs="Times New Roman"/>
          <w:color w:val="auto"/>
          <w:highlight w:val="none"/>
        </w:rPr>
        <w:t>本项目设备声源主要为室内声源，故按照室内点声源模式进行预测。</w:t>
      </w:r>
    </w:p>
    <w:p w14:paraId="26092D7F">
      <w:pPr>
        <w:rPr>
          <w:rFonts w:cs="Times New Roman"/>
          <w:color w:val="auto"/>
          <w:highlight w:val="none"/>
        </w:rPr>
      </w:pPr>
      <w:r>
        <w:rPr>
          <w:rFonts w:cs="Times New Roman"/>
          <w:color w:val="auto"/>
          <w:highlight w:val="none"/>
        </w:rPr>
        <w:t>1）室内点声源</w:t>
      </w:r>
    </w:p>
    <w:p w14:paraId="6DD57400">
      <w:pPr>
        <w:rPr>
          <w:rFonts w:cs="Times New Roman"/>
          <w:color w:val="auto"/>
          <w:highlight w:val="none"/>
        </w:rPr>
      </w:pPr>
      <w:r>
        <w:rPr>
          <w:rFonts w:cs="Times New Roman"/>
          <w:color w:val="auto"/>
          <w:highlight w:val="none"/>
        </w:rPr>
        <w:t>室内声源采用等效室外声源声功率级法进行计算。先计算出某个室内靠近围护结构处产生的倍频带声压级：</w:t>
      </w:r>
    </w:p>
    <w:p w14:paraId="3D0083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auto"/>
          <w:highlight w:val="none"/>
        </w:rPr>
      </w:pPr>
      <w:r>
        <w:rPr>
          <w:rFonts w:cs="Times New Roman"/>
          <w:color w:val="auto"/>
          <w:highlight w:val="none"/>
        </w:rPr>
        <w:drawing>
          <wp:inline distT="0" distB="0" distL="114300" distR="114300">
            <wp:extent cx="1750060" cy="444500"/>
            <wp:effectExtent l="0" t="0" r="2540" b="13335"/>
            <wp:docPr id="1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3"/>
                    <pic:cNvPicPr>
                      <a:picLocks noChangeAspect="1"/>
                    </pic:cNvPicPr>
                  </pic:nvPicPr>
                  <pic:blipFill>
                    <a:blip r:embed="rId44"/>
                    <a:stretch>
                      <a:fillRect/>
                    </a:stretch>
                  </pic:blipFill>
                  <pic:spPr>
                    <a:xfrm>
                      <a:off x="0" y="0"/>
                      <a:ext cx="1750060" cy="444500"/>
                    </a:xfrm>
                    <a:prstGeom prst="rect">
                      <a:avLst/>
                    </a:prstGeom>
                    <a:noFill/>
                    <a:ln>
                      <a:noFill/>
                    </a:ln>
                  </pic:spPr>
                </pic:pic>
              </a:graphicData>
            </a:graphic>
          </wp:inline>
        </w:drawing>
      </w:r>
    </w:p>
    <w:p w14:paraId="13E5855C">
      <w:pPr>
        <w:rPr>
          <w:rFonts w:cs="Times New Roman"/>
          <w:color w:val="auto"/>
          <w:highlight w:val="none"/>
        </w:rPr>
      </w:pPr>
      <w:r>
        <w:rPr>
          <w:rFonts w:cs="Times New Roman"/>
          <w:color w:val="auto"/>
          <w:highlight w:val="none"/>
        </w:rPr>
        <w:t>然后计算出所有室内声源在围护结构处产生的i倍频带叠加声压级：</w:t>
      </w:r>
    </w:p>
    <w:p w14:paraId="6AEC00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auto"/>
          <w:highlight w:val="none"/>
        </w:rPr>
      </w:pPr>
      <w:r>
        <w:rPr>
          <w:rFonts w:cs="Times New Roman"/>
          <w:color w:val="auto"/>
          <w:highlight w:val="none"/>
        </w:rPr>
        <w:drawing>
          <wp:inline distT="0" distB="0" distL="114300" distR="114300">
            <wp:extent cx="1687195" cy="523875"/>
            <wp:effectExtent l="0" t="0" r="8255" b="8890"/>
            <wp:docPr id="1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4"/>
                    <pic:cNvPicPr>
                      <a:picLocks noChangeAspect="1"/>
                    </pic:cNvPicPr>
                  </pic:nvPicPr>
                  <pic:blipFill>
                    <a:blip r:embed="rId45"/>
                    <a:stretch>
                      <a:fillRect/>
                    </a:stretch>
                  </pic:blipFill>
                  <pic:spPr>
                    <a:xfrm>
                      <a:off x="0" y="0"/>
                      <a:ext cx="1687195" cy="523875"/>
                    </a:xfrm>
                    <a:prstGeom prst="rect">
                      <a:avLst/>
                    </a:prstGeom>
                    <a:noFill/>
                    <a:ln>
                      <a:noFill/>
                    </a:ln>
                  </pic:spPr>
                </pic:pic>
              </a:graphicData>
            </a:graphic>
          </wp:inline>
        </w:drawing>
      </w:r>
    </w:p>
    <w:p w14:paraId="25DE0710">
      <w:pPr>
        <w:rPr>
          <w:rFonts w:cs="Times New Roman"/>
          <w:color w:val="auto"/>
          <w:highlight w:val="none"/>
        </w:rPr>
      </w:pPr>
      <w:r>
        <w:rPr>
          <w:rFonts w:cs="Times New Roman"/>
          <w:color w:val="auto"/>
          <w:highlight w:val="none"/>
        </w:rPr>
        <w:t>在室内近似为扩散声场时，按下式计算出靠近室外围护结构处的声压级：</w:t>
      </w:r>
    </w:p>
    <w:p w14:paraId="229752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auto"/>
          <w:highlight w:val="none"/>
        </w:rPr>
      </w:pPr>
      <w:r>
        <w:rPr>
          <w:rFonts w:cs="Times New Roman"/>
          <w:color w:val="auto"/>
          <w:highlight w:val="none"/>
        </w:rPr>
        <w:drawing>
          <wp:inline distT="0" distB="0" distL="114300" distR="114300">
            <wp:extent cx="1750060" cy="222250"/>
            <wp:effectExtent l="0" t="0" r="0" b="5080"/>
            <wp:docPr id="7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5"/>
                    <pic:cNvPicPr>
                      <a:picLocks noChangeAspect="1"/>
                    </pic:cNvPicPr>
                  </pic:nvPicPr>
                  <pic:blipFill>
                    <a:blip r:embed="rId46"/>
                    <a:stretch>
                      <a:fillRect/>
                    </a:stretch>
                  </pic:blipFill>
                  <pic:spPr>
                    <a:xfrm>
                      <a:off x="0" y="0"/>
                      <a:ext cx="1750060" cy="222250"/>
                    </a:xfrm>
                    <a:prstGeom prst="rect">
                      <a:avLst/>
                    </a:prstGeom>
                    <a:noFill/>
                    <a:ln>
                      <a:noFill/>
                    </a:ln>
                  </pic:spPr>
                </pic:pic>
              </a:graphicData>
            </a:graphic>
          </wp:inline>
        </w:drawing>
      </w:r>
    </w:p>
    <w:p w14:paraId="51F544A6">
      <w:pPr>
        <w:rPr>
          <w:rFonts w:cs="Times New Roman"/>
          <w:color w:val="auto"/>
          <w:highlight w:val="none"/>
        </w:rPr>
      </w:pPr>
      <w:r>
        <w:rPr>
          <w:rFonts w:cs="Times New Roman"/>
          <w:color w:val="auto"/>
          <w:highlight w:val="none"/>
        </w:rPr>
        <w:t>将室外声源的声压级和透过面积换算成等效的室外声源，计算出中心位置位于透声面积处的等效声源的倍频带声功率级：</w:t>
      </w:r>
    </w:p>
    <w:p w14:paraId="0C1F7625">
      <w:pPr>
        <w:jc w:val="center"/>
        <w:rPr>
          <w:rFonts w:cs="Times New Roman"/>
          <w:color w:val="auto"/>
          <w:highlight w:val="none"/>
        </w:rPr>
      </w:pPr>
      <w:r>
        <w:rPr>
          <w:rFonts w:cs="Times New Roman"/>
          <w:color w:val="auto"/>
          <w:highlight w:val="none"/>
        </w:rPr>
        <w:drawing>
          <wp:inline distT="0" distB="0" distL="114300" distR="114300">
            <wp:extent cx="1327785" cy="222250"/>
            <wp:effectExtent l="0" t="0" r="0" b="5080"/>
            <wp:docPr id="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6"/>
                    <pic:cNvPicPr>
                      <a:picLocks noChangeAspect="1"/>
                    </pic:cNvPicPr>
                  </pic:nvPicPr>
                  <pic:blipFill>
                    <a:blip r:embed="rId47"/>
                    <a:stretch>
                      <a:fillRect/>
                    </a:stretch>
                  </pic:blipFill>
                  <pic:spPr>
                    <a:xfrm>
                      <a:off x="0" y="0"/>
                      <a:ext cx="1327785" cy="222250"/>
                    </a:xfrm>
                    <a:prstGeom prst="rect">
                      <a:avLst/>
                    </a:prstGeom>
                    <a:noFill/>
                    <a:ln>
                      <a:noFill/>
                    </a:ln>
                  </pic:spPr>
                </pic:pic>
              </a:graphicData>
            </a:graphic>
          </wp:inline>
        </w:drawing>
      </w:r>
    </w:p>
    <w:p w14:paraId="1EEEBDF5">
      <w:pPr>
        <w:rPr>
          <w:rFonts w:cs="Times New Roman"/>
          <w:color w:val="auto"/>
          <w:highlight w:val="none"/>
        </w:rPr>
      </w:pPr>
      <w:r>
        <w:rPr>
          <w:rFonts w:cs="Times New Roman"/>
          <w:color w:val="auto"/>
          <w:highlight w:val="none"/>
        </w:rPr>
        <w:t>然后按室外声源预测方法计算预测点处的A声级。</w:t>
      </w:r>
    </w:p>
    <w:p w14:paraId="26C164B2">
      <w:pPr>
        <w:rPr>
          <w:rFonts w:cs="Times New Roman"/>
          <w:color w:val="auto"/>
          <w:highlight w:val="none"/>
        </w:rPr>
      </w:pPr>
      <w:r>
        <w:rPr>
          <w:rFonts w:cs="Times New Roman"/>
          <w:color w:val="auto"/>
          <w:highlight w:val="none"/>
        </w:rPr>
        <w:t>2）室外声源</w:t>
      </w:r>
    </w:p>
    <w:p w14:paraId="3E12F2F8">
      <w:pPr>
        <w:rPr>
          <w:rFonts w:cs="Times New Roman"/>
          <w:color w:val="auto"/>
          <w:highlight w:val="none"/>
        </w:rPr>
      </w:pPr>
      <w:r>
        <w:rPr>
          <w:rFonts w:cs="Times New Roman"/>
          <w:color w:val="auto"/>
          <w:highlight w:val="none"/>
        </w:rPr>
        <w:t>在不能取得声源倍频带声功率级或倍频带声压级，只能获得A声功率级或某点的A声级时，可按下式作近似计算：</w:t>
      </w:r>
    </w:p>
    <w:p w14:paraId="2791F9B0">
      <w:pPr>
        <w:jc w:val="center"/>
        <w:rPr>
          <w:rFonts w:cs="Times New Roman"/>
          <w:color w:val="auto"/>
          <w:highlight w:val="none"/>
        </w:rPr>
      </w:pPr>
      <w:r>
        <w:rPr>
          <w:rFonts w:cs="Times New Roman"/>
          <w:color w:val="auto"/>
          <w:highlight w:val="none"/>
        </w:rPr>
        <w:drawing>
          <wp:inline distT="0" distB="0" distL="114300" distR="114300">
            <wp:extent cx="1294765" cy="222250"/>
            <wp:effectExtent l="0" t="0" r="635" b="5080"/>
            <wp:docPr id="16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7"/>
                    <pic:cNvPicPr>
                      <a:picLocks noChangeAspect="1"/>
                    </pic:cNvPicPr>
                  </pic:nvPicPr>
                  <pic:blipFill>
                    <a:blip r:embed="rId48"/>
                    <a:stretch>
                      <a:fillRect/>
                    </a:stretch>
                  </pic:blipFill>
                  <pic:spPr>
                    <a:xfrm>
                      <a:off x="0" y="0"/>
                      <a:ext cx="1294765" cy="222250"/>
                    </a:xfrm>
                    <a:prstGeom prst="rect">
                      <a:avLst/>
                    </a:prstGeom>
                    <a:noFill/>
                    <a:ln>
                      <a:noFill/>
                    </a:ln>
                  </pic:spPr>
                </pic:pic>
              </a:graphicData>
            </a:graphic>
          </wp:inline>
        </w:drawing>
      </w:r>
    </w:p>
    <w:p w14:paraId="3D84608E">
      <w:pPr>
        <w:jc w:val="center"/>
        <w:rPr>
          <w:rFonts w:cs="Times New Roman"/>
          <w:color w:val="auto"/>
          <w:highlight w:val="none"/>
        </w:rPr>
      </w:pPr>
      <w:r>
        <w:rPr>
          <w:rFonts w:cs="Times New Roman"/>
          <w:color w:val="auto"/>
          <w:highlight w:val="none"/>
        </w:rPr>
        <w:drawing>
          <wp:inline distT="0" distB="0" distL="114300" distR="114300">
            <wp:extent cx="1988820" cy="222250"/>
            <wp:effectExtent l="0" t="0" r="11430" b="5080"/>
            <wp:docPr id="16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8"/>
                    <pic:cNvPicPr>
                      <a:picLocks noChangeAspect="1"/>
                    </pic:cNvPicPr>
                  </pic:nvPicPr>
                  <pic:blipFill>
                    <a:blip r:embed="rId49"/>
                    <a:stretch>
                      <a:fillRect/>
                    </a:stretch>
                  </pic:blipFill>
                  <pic:spPr>
                    <a:xfrm>
                      <a:off x="0" y="0"/>
                      <a:ext cx="1988820" cy="222250"/>
                    </a:xfrm>
                    <a:prstGeom prst="rect">
                      <a:avLst/>
                    </a:prstGeom>
                    <a:noFill/>
                    <a:ln>
                      <a:noFill/>
                    </a:ln>
                  </pic:spPr>
                </pic:pic>
              </a:graphicData>
            </a:graphic>
          </wp:inline>
        </w:drawing>
      </w:r>
    </w:p>
    <w:p w14:paraId="5483C183">
      <w:pPr>
        <w:rPr>
          <w:rFonts w:cs="Times New Roman"/>
          <w:color w:val="auto"/>
          <w:highlight w:val="none"/>
        </w:rPr>
      </w:pPr>
      <w:r>
        <w:rPr>
          <w:rFonts w:cs="Times New Roman"/>
          <w:color w:val="auto"/>
          <w:highlight w:val="none"/>
        </w:rPr>
        <w:t>室外线源可分为若干线的分区，而每个线的分区可用处于中心位置的点声源表示。</w:t>
      </w:r>
    </w:p>
    <w:p w14:paraId="65AD3521">
      <w:pPr>
        <w:rPr>
          <w:rFonts w:cs="Times New Roman"/>
          <w:color w:val="auto"/>
          <w:highlight w:val="none"/>
        </w:rPr>
      </w:pPr>
      <w:r>
        <w:rPr>
          <w:rFonts w:cs="Times New Roman"/>
          <w:color w:val="auto"/>
          <w:highlight w:val="none"/>
        </w:rPr>
        <w:t>3）工业企业噪声计算</w:t>
      </w:r>
    </w:p>
    <w:p w14:paraId="470E1B97">
      <w:pPr>
        <w:rPr>
          <w:rFonts w:cs="Times New Roman"/>
          <w:color w:val="auto"/>
          <w:highlight w:val="none"/>
        </w:rPr>
      </w:pPr>
      <w:r>
        <w:rPr>
          <w:rFonts w:cs="Times New Roman"/>
          <w:color w:val="auto"/>
          <w:highlight w:val="none"/>
        </w:rPr>
        <w:t>设第i个室外声源在预测点产生的A声级为L</w:t>
      </w:r>
      <w:r>
        <w:rPr>
          <w:rFonts w:cs="Times New Roman"/>
          <w:color w:val="auto"/>
          <w:highlight w:val="none"/>
          <w:vertAlign w:val="subscript"/>
        </w:rPr>
        <w:t>Ai</w:t>
      </w:r>
      <w:r>
        <w:rPr>
          <w:rFonts w:cs="Times New Roman"/>
          <w:color w:val="auto"/>
          <w:highlight w:val="none"/>
        </w:rPr>
        <w:t>，在T时间内该声源工作时间为t</w:t>
      </w:r>
      <w:r>
        <w:rPr>
          <w:rFonts w:cs="Times New Roman"/>
          <w:color w:val="auto"/>
          <w:highlight w:val="none"/>
          <w:vertAlign w:val="subscript"/>
        </w:rPr>
        <w:t>i</w:t>
      </w:r>
      <w:r>
        <w:rPr>
          <w:rFonts w:cs="Times New Roman"/>
          <w:color w:val="auto"/>
          <w:highlight w:val="none"/>
        </w:rPr>
        <w:t>；第j个等效室外声源在预测点产生的A声级为L</w:t>
      </w:r>
      <w:r>
        <w:rPr>
          <w:rFonts w:cs="Times New Roman"/>
          <w:color w:val="auto"/>
          <w:highlight w:val="none"/>
          <w:vertAlign w:val="subscript"/>
        </w:rPr>
        <w:t>Aj</w:t>
      </w:r>
      <w:r>
        <w:rPr>
          <w:rFonts w:cs="Times New Roman"/>
          <w:color w:val="auto"/>
          <w:highlight w:val="none"/>
        </w:rPr>
        <w:t>，在T时间内该声源工作时间为t</w:t>
      </w:r>
      <w:r>
        <w:rPr>
          <w:rFonts w:cs="Times New Roman"/>
          <w:color w:val="auto"/>
          <w:highlight w:val="none"/>
          <w:vertAlign w:val="subscript"/>
        </w:rPr>
        <w:t>j</w:t>
      </w:r>
      <w:r>
        <w:rPr>
          <w:rFonts w:cs="Times New Roman"/>
          <w:color w:val="auto"/>
          <w:highlight w:val="none"/>
        </w:rPr>
        <w:t>，则拟建工程声源对预测点产生的贡献值为：</w:t>
      </w:r>
    </w:p>
    <w:p w14:paraId="27BB00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auto"/>
          <w:highlight w:val="none"/>
        </w:rPr>
      </w:pPr>
      <w:r>
        <w:rPr>
          <w:rFonts w:cs="Times New Roman"/>
          <w:color w:val="auto"/>
          <w:highlight w:val="none"/>
        </w:rPr>
        <w:drawing>
          <wp:inline distT="0" distB="0" distL="114300" distR="114300">
            <wp:extent cx="2608580" cy="523875"/>
            <wp:effectExtent l="0" t="0" r="1270" b="8890"/>
            <wp:docPr id="1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9"/>
                    <pic:cNvPicPr>
                      <a:picLocks noChangeAspect="1"/>
                    </pic:cNvPicPr>
                  </pic:nvPicPr>
                  <pic:blipFill>
                    <a:blip r:embed="rId50"/>
                    <a:stretch>
                      <a:fillRect/>
                    </a:stretch>
                  </pic:blipFill>
                  <pic:spPr>
                    <a:xfrm>
                      <a:off x="0" y="0"/>
                      <a:ext cx="2608580" cy="523875"/>
                    </a:xfrm>
                    <a:prstGeom prst="rect">
                      <a:avLst/>
                    </a:prstGeom>
                    <a:noFill/>
                    <a:ln>
                      <a:noFill/>
                    </a:ln>
                  </pic:spPr>
                </pic:pic>
              </a:graphicData>
            </a:graphic>
          </wp:inline>
        </w:drawing>
      </w:r>
    </w:p>
    <w:p w14:paraId="08941CC9">
      <w:pPr>
        <w:rPr>
          <w:rFonts w:cs="Times New Roman"/>
          <w:color w:val="auto"/>
          <w:highlight w:val="none"/>
        </w:rPr>
      </w:pPr>
      <w:r>
        <w:rPr>
          <w:rFonts w:cs="Times New Roman"/>
          <w:color w:val="auto"/>
          <w:highlight w:val="none"/>
        </w:rPr>
        <w:t>4）预测值计算</w:t>
      </w:r>
    </w:p>
    <w:p w14:paraId="3E1369C8">
      <w:pPr>
        <w:rPr>
          <w:rFonts w:cs="Times New Roman"/>
          <w:color w:val="auto"/>
          <w:highlight w:val="none"/>
        </w:rPr>
      </w:pPr>
      <w:r>
        <w:rPr>
          <w:rFonts w:cs="Times New Roman"/>
          <w:color w:val="auto"/>
          <w:highlight w:val="none"/>
        </w:rPr>
        <w:t>预测点的预测等效声级为：</w:t>
      </w:r>
    </w:p>
    <w:p w14:paraId="695DED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auto"/>
          <w:highlight w:val="none"/>
        </w:rPr>
      </w:pPr>
      <w:r>
        <w:rPr>
          <w:rFonts w:cs="Times New Roman"/>
          <w:color w:val="auto"/>
          <w:highlight w:val="none"/>
        </w:rPr>
        <w:drawing>
          <wp:inline distT="0" distB="0" distL="114300" distR="114300">
            <wp:extent cx="1750060" cy="318135"/>
            <wp:effectExtent l="0" t="0" r="2540" b="4445"/>
            <wp:docPr id="16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0"/>
                    <pic:cNvPicPr>
                      <a:picLocks noChangeAspect="1"/>
                    </pic:cNvPicPr>
                  </pic:nvPicPr>
                  <pic:blipFill>
                    <a:blip r:embed="rId51"/>
                    <a:stretch>
                      <a:fillRect/>
                    </a:stretch>
                  </pic:blipFill>
                  <pic:spPr>
                    <a:xfrm>
                      <a:off x="0" y="0"/>
                      <a:ext cx="1750060" cy="318135"/>
                    </a:xfrm>
                    <a:prstGeom prst="rect">
                      <a:avLst/>
                    </a:prstGeom>
                    <a:noFill/>
                    <a:ln>
                      <a:noFill/>
                    </a:ln>
                  </pic:spPr>
                </pic:pic>
              </a:graphicData>
            </a:graphic>
          </wp:inline>
        </w:drawing>
      </w:r>
    </w:p>
    <w:p w14:paraId="67C15B9A">
      <w:pPr>
        <w:rPr>
          <w:rFonts w:cs="Times New Roman"/>
          <w:color w:val="auto"/>
          <w:highlight w:val="none"/>
        </w:rPr>
      </w:pPr>
      <w:r>
        <w:rPr>
          <w:rFonts w:cs="Times New Roman"/>
          <w:color w:val="auto"/>
          <w:highlight w:val="none"/>
        </w:rPr>
        <w:t>上式中各符号的意义和单位见HJ2.4-2021。</w:t>
      </w:r>
    </w:p>
    <w:p w14:paraId="54BF2A78">
      <w:pPr>
        <w:ind w:firstLine="482"/>
        <w:rPr>
          <w:rFonts w:cs="Times New Roman"/>
          <w:b/>
          <w:bCs/>
          <w:color w:val="auto"/>
          <w:highlight w:val="none"/>
        </w:rPr>
      </w:pPr>
      <w:r>
        <w:rPr>
          <w:rFonts w:cs="Times New Roman"/>
          <w:b/>
          <w:bCs/>
          <w:color w:val="auto"/>
          <w:highlight w:val="none"/>
        </w:rPr>
        <w:t>3、预测参数</w:t>
      </w:r>
    </w:p>
    <w:p w14:paraId="531480CB">
      <w:pPr>
        <w:rPr>
          <w:rFonts w:cs="Times New Roman"/>
          <w:color w:val="auto"/>
          <w:highlight w:val="none"/>
        </w:rPr>
      </w:pPr>
      <w:r>
        <w:rPr>
          <w:rFonts w:hint="eastAsia" w:cs="Times New Roman"/>
          <w:color w:val="auto"/>
          <w:highlight w:val="none"/>
          <w:lang w:val="en-US" w:eastAsia="zh-CN"/>
        </w:rPr>
        <w:t>本项目仅昼间运行，夜间不生产，</w:t>
      </w:r>
      <w:r>
        <w:rPr>
          <w:rFonts w:cs="Times New Roman"/>
          <w:color w:val="auto"/>
          <w:highlight w:val="none"/>
        </w:rPr>
        <w:t>考虑最不利影响，所有设备同时运行，本项目噪声预测参数见表3-4-12。</w:t>
      </w:r>
    </w:p>
    <w:p w14:paraId="14A038F7">
      <w:pPr>
        <w:ind w:firstLine="482"/>
        <w:rPr>
          <w:rFonts w:cs="Times New Roman"/>
          <w:b/>
          <w:bCs/>
          <w:color w:val="auto"/>
          <w:highlight w:val="none"/>
        </w:rPr>
      </w:pPr>
      <w:r>
        <w:rPr>
          <w:rFonts w:cs="Times New Roman"/>
          <w:b/>
          <w:bCs/>
          <w:color w:val="auto"/>
          <w:highlight w:val="none"/>
        </w:rPr>
        <w:t>4、预测结果</w:t>
      </w:r>
    </w:p>
    <w:p w14:paraId="76417020">
      <w:pPr>
        <w:widowControl/>
        <w:spacing w:line="240" w:lineRule="auto"/>
        <w:ind w:firstLine="0" w:firstLineChars="0"/>
        <w:jc w:val="center"/>
        <w:rPr>
          <w:rFonts w:cs="Times New Roman"/>
          <w:b/>
          <w:bCs/>
          <w:color w:val="auto"/>
          <w:kern w:val="0"/>
          <w:szCs w:val="24"/>
          <w:highlight w:val="none"/>
          <w:lang w:bidi="ar"/>
        </w:rPr>
      </w:pPr>
      <w:r>
        <w:rPr>
          <w:rFonts w:cs="Times New Roman"/>
          <w:b/>
          <w:bCs/>
          <w:color w:val="auto"/>
          <w:kern w:val="0"/>
          <w:szCs w:val="24"/>
          <w:highlight w:val="none"/>
          <w:lang w:bidi="ar"/>
        </w:rPr>
        <w:t>表5-2-2</w:t>
      </w:r>
      <w:r>
        <w:rPr>
          <w:rFonts w:hint="eastAsia" w:cs="Times New Roman"/>
          <w:b/>
          <w:bCs/>
          <w:color w:val="auto"/>
          <w:kern w:val="0"/>
          <w:szCs w:val="24"/>
          <w:highlight w:val="none"/>
          <w:lang w:val="en-US" w:eastAsia="zh-CN" w:bidi="ar"/>
        </w:rPr>
        <w:t>2</w:t>
      </w:r>
      <w:r>
        <w:rPr>
          <w:rFonts w:cs="Times New Roman"/>
          <w:b/>
          <w:bCs/>
          <w:color w:val="auto"/>
          <w:kern w:val="0"/>
          <w:szCs w:val="24"/>
          <w:highlight w:val="none"/>
          <w:lang w:bidi="ar"/>
        </w:rPr>
        <w:t xml:space="preserve">  </w:t>
      </w:r>
      <w:r>
        <w:rPr>
          <w:rFonts w:hint="eastAsia" w:cs="Times New Roman"/>
          <w:b/>
          <w:bCs/>
          <w:color w:val="auto"/>
          <w:kern w:val="0"/>
          <w:szCs w:val="24"/>
          <w:highlight w:val="none"/>
          <w:lang w:val="en-US" w:eastAsia="zh-CN" w:bidi="ar"/>
        </w:rPr>
        <w:t>厂界</w:t>
      </w:r>
      <w:r>
        <w:rPr>
          <w:rFonts w:cs="Times New Roman"/>
          <w:b/>
          <w:bCs/>
          <w:color w:val="auto"/>
          <w:kern w:val="0"/>
          <w:szCs w:val="24"/>
          <w:highlight w:val="none"/>
          <w:lang w:bidi="ar"/>
        </w:rPr>
        <w:t>噪声环境影响预测结果   单位：dB（A）</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347"/>
        <w:gridCol w:w="1076"/>
        <w:gridCol w:w="1228"/>
        <w:gridCol w:w="1272"/>
        <w:gridCol w:w="1516"/>
        <w:gridCol w:w="2086"/>
      </w:tblGrid>
      <w:tr w14:paraId="178165A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90" w:type="pct"/>
            <w:tcBorders>
              <w:tl2br w:val="nil"/>
              <w:tr2bl w:val="nil"/>
            </w:tcBorders>
            <w:noWrap w:val="0"/>
            <w:vAlign w:val="center"/>
          </w:tcPr>
          <w:p w14:paraId="2D47B909">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预测点</w:t>
            </w:r>
          </w:p>
        </w:tc>
        <w:tc>
          <w:tcPr>
            <w:tcW w:w="631" w:type="pct"/>
            <w:tcBorders>
              <w:tl2br w:val="nil"/>
              <w:tr2bl w:val="nil"/>
            </w:tcBorders>
            <w:noWrap w:val="0"/>
            <w:vAlign w:val="center"/>
          </w:tcPr>
          <w:p w14:paraId="23C136B7">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贡献值</w:t>
            </w:r>
          </w:p>
        </w:tc>
        <w:tc>
          <w:tcPr>
            <w:tcW w:w="720" w:type="pct"/>
            <w:tcBorders>
              <w:tl2br w:val="nil"/>
              <w:tr2bl w:val="nil"/>
            </w:tcBorders>
            <w:noWrap w:val="0"/>
            <w:vAlign w:val="center"/>
          </w:tcPr>
          <w:p w14:paraId="196D2C64">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背景值</w:t>
            </w:r>
          </w:p>
        </w:tc>
        <w:tc>
          <w:tcPr>
            <w:tcW w:w="746" w:type="pct"/>
            <w:tcBorders>
              <w:tl2br w:val="nil"/>
              <w:tr2bl w:val="nil"/>
            </w:tcBorders>
            <w:noWrap w:val="0"/>
            <w:vAlign w:val="center"/>
          </w:tcPr>
          <w:p w14:paraId="20610A76">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预测值</w:t>
            </w:r>
          </w:p>
        </w:tc>
        <w:tc>
          <w:tcPr>
            <w:tcW w:w="889" w:type="pct"/>
            <w:tcBorders>
              <w:tl2br w:val="nil"/>
              <w:tr2bl w:val="nil"/>
            </w:tcBorders>
            <w:noWrap w:val="0"/>
            <w:vAlign w:val="center"/>
          </w:tcPr>
          <w:p w14:paraId="14EBF8DE">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相对厂界距离/m</w:t>
            </w:r>
          </w:p>
        </w:tc>
        <w:tc>
          <w:tcPr>
            <w:tcW w:w="1223" w:type="pct"/>
            <w:tcBorders>
              <w:tl2br w:val="nil"/>
              <w:tr2bl w:val="nil"/>
            </w:tcBorders>
            <w:noWrap w:val="0"/>
            <w:vAlign w:val="center"/>
          </w:tcPr>
          <w:p w14:paraId="04249C56">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标准（昼间）</w:t>
            </w:r>
          </w:p>
        </w:tc>
      </w:tr>
      <w:tr w14:paraId="1FF08C9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90" w:type="pct"/>
            <w:tcBorders>
              <w:tl2br w:val="nil"/>
              <w:tr2bl w:val="nil"/>
            </w:tcBorders>
            <w:noWrap w:val="0"/>
            <w:vAlign w:val="center"/>
          </w:tcPr>
          <w:p w14:paraId="232F3E71">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东</w:t>
            </w:r>
            <w:r>
              <w:rPr>
                <w:rFonts w:hint="eastAsia" w:ascii="Times New Roman" w:hAnsi="Times New Roman" w:eastAsia="宋体" w:cs="Times New Roman"/>
                <w:color w:val="auto"/>
                <w:sz w:val="21"/>
                <w:szCs w:val="21"/>
                <w:highlight w:val="none"/>
                <w:lang w:val="en-US" w:eastAsia="zh-CN"/>
              </w:rPr>
              <w:t>侧</w:t>
            </w:r>
            <w:r>
              <w:rPr>
                <w:rFonts w:hint="default" w:ascii="Times New Roman" w:hAnsi="Times New Roman" w:eastAsia="宋体" w:cs="Times New Roman"/>
                <w:color w:val="auto"/>
                <w:sz w:val="21"/>
                <w:szCs w:val="21"/>
                <w:highlight w:val="none"/>
              </w:rPr>
              <w:t>厂界</w:t>
            </w:r>
          </w:p>
        </w:tc>
        <w:tc>
          <w:tcPr>
            <w:tcW w:w="631" w:type="pct"/>
            <w:tcBorders>
              <w:tl2br w:val="nil"/>
              <w:tr2bl w:val="nil"/>
            </w:tcBorders>
            <w:noWrap w:val="0"/>
            <w:vAlign w:val="center"/>
          </w:tcPr>
          <w:p w14:paraId="7B66AA58">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25.6</w:t>
            </w:r>
          </w:p>
        </w:tc>
        <w:tc>
          <w:tcPr>
            <w:tcW w:w="720" w:type="pct"/>
            <w:tcBorders>
              <w:tl2br w:val="nil"/>
              <w:tr2bl w:val="nil"/>
            </w:tcBorders>
            <w:noWrap w:val="0"/>
            <w:vAlign w:val="center"/>
          </w:tcPr>
          <w:p w14:paraId="2CFD742B">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46" w:type="pct"/>
            <w:tcBorders>
              <w:tl2br w:val="nil"/>
              <w:tr2bl w:val="nil"/>
            </w:tcBorders>
            <w:noWrap w:val="0"/>
            <w:vAlign w:val="center"/>
          </w:tcPr>
          <w:p w14:paraId="26416E1C">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89" w:type="pct"/>
            <w:tcBorders>
              <w:tl2br w:val="nil"/>
              <w:tr2bl w:val="nil"/>
            </w:tcBorders>
            <w:noWrap w:val="0"/>
            <w:vAlign w:val="center"/>
          </w:tcPr>
          <w:p w14:paraId="55B09351">
            <w:pPr>
              <w:spacing w:line="30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3" w:type="pct"/>
            <w:vMerge w:val="restart"/>
            <w:tcBorders>
              <w:tl2br w:val="nil"/>
              <w:tr2bl w:val="nil"/>
            </w:tcBorders>
            <w:noWrap w:val="0"/>
            <w:vAlign w:val="center"/>
          </w:tcPr>
          <w:p w14:paraId="0F1B4643">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r>
      <w:tr w14:paraId="23406099">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90" w:type="pct"/>
            <w:tcBorders>
              <w:tl2br w:val="nil"/>
              <w:tr2bl w:val="nil"/>
            </w:tcBorders>
            <w:noWrap w:val="0"/>
            <w:vAlign w:val="center"/>
          </w:tcPr>
          <w:p w14:paraId="304A30CF">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南</w:t>
            </w:r>
            <w:r>
              <w:rPr>
                <w:rFonts w:hint="eastAsia" w:ascii="Times New Roman" w:hAnsi="Times New Roman" w:eastAsia="宋体" w:cs="Times New Roman"/>
                <w:color w:val="auto"/>
                <w:sz w:val="21"/>
                <w:szCs w:val="21"/>
                <w:highlight w:val="none"/>
                <w:lang w:val="en-US" w:eastAsia="zh-CN"/>
              </w:rPr>
              <w:t>侧</w:t>
            </w:r>
            <w:r>
              <w:rPr>
                <w:rFonts w:hint="default" w:ascii="Times New Roman" w:hAnsi="Times New Roman" w:eastAsia="宋体" w:cs="Times New Roman"/>
                <w:color w:val="auto"/>
                <w:sz w:val="21"/>
                <w:szCs w:val="21"/>
                <w:highlight w:val="none"/>
              </w:rPr>
              <w:t>厂界</w:t>
            </w:r>
          </w:p>
        </w:tc>
        <w:tc>
          <w:tcPr>
            <w:tcW w:w="631" w:type="pct"/>
            <w:tcBorders>
              <w:tl2br w:val="nil"/>
              <w:tr2bl w:val="nil"/>
            </w:tcBorders>
            <w:noWrap w:val="0"/>
            <w:vAlign w:val="center"/>
          </w:tcPr>
          <w:p w14:paraId="6209886C">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49.3</w:t>
            </w:r>
          </w:p>
        </w:tc>
        <w:tc>
          <w:tcPr>
            <w:tcW w:w="720" w:type="pct"/>
            <w:tcBorders>
              <w:tl2br w:val="nil"/>
              <w:tr2bl w:val="nil"/>
            </w:tcBorders>
            <w:noWrap w:val="0"/>
            <w:vAlign w:val="center"/>
          </w:tcPr>
          <w:p w14:paraId="74ED6735">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46" w:type="pct"/>
            <w:tcBorders>
              <w:tl2br w:val="nil"/>
              <w:tr2bl w:val="nil"/>
            </w:tcBorders>
            <w:noWrap w:val="0"/>
            <w:vAlign w:val="center"/>
          </w:tcPr>
          <w:p w14:paraId="63FEF558">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89" w:type="pct"/>
            <w:tcBorders>
              <w:tl2br w:val="nil"/>
              <w:tr2bl w:val="nil"/>
            </w:tcBorders>
            <w:noWrap w:val="0"/>
            <w:vAlign w:val="center"/>
          </w:tcPr>
          <w:p w14:paraId="389268F6">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3" w:type="pct"/>
            <w:vMerge w:val="continue"/>
            <w:tcBorders>
              <w:tl2br w:val="nil"/>
              <w:tr2bl w:val="nil"/>
            </w:tcBorders>
            <w:noWrap w:val="0"/>
            <w:vAlign w:val="center"/>
          </w:tcPr>
          <w:p w14:paraId="08A94ED3">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r>
      <w:tr w14:paraId="019D98B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90" w:type="pct"/>
            <w:tcBorders>
              <w:tl2br w:val="nil"/>
              <w:tr2bl w:val="nil"/>
            </w:tcBorders>
            <w:noWrap w:val="0"/>
            <w:vAlign w:val="center"/>
          </w:tcPr>
          <w:p w14:paraId="7F443267">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西</w:t>
            </w:r>
            <w:r>
              <w:rPr>
                <w:rFonts w:hint="eastAsia" w:ascii="Times New Roman" w:hAnsi="Times New Roman" w:eastAsia="宋体" w:cs="Times New Roman"/>
                <w:color w:val="auto"/>
                <w:sz w:val="21"/>
                <w:szCs w:val="21"/>
                <w:highlight w:val="none"/>
                <w:lang w:val="en-US" w:eastAsia="zh-CN"/>
              </w:rPr>
              <w:t>侧</w:t>
            </w:r>
            <w:r>
              <w:rPr>
                <w:rFonts w:hint="default" w:ascii="Times New Roman" w:hAnsi="Times New Roman" w:eastAsia="宋体" w:cs="Times New Roman"/>
                <w:color w:val="auto"/>
                <w:sz w:val="21"/>
                <w:szCs w:val="21"/>
                <w:highlight w:val="none"/>
              </w:rPr>
              <w:t>厂界</w:t>
            </w:r>
          </w:p>
        </w:tc>
        <w:tc>
          <w:tcPr>
            <w:tcW w:w="631" w:type="pct"/>
            <w:tcBorders>
              <w:tl2br w:val="nil"/>
              <w:tr2bl w:val="nil"/>
            </w:tcBorders>
            <w:noWrap w:val="0"/>
            <w:vAlign w:val="center"/>
          </w:tcPr>
          <w:p w14:paraId="450BD0F1">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41.2</w:t>
            </w:r>
          </w:p>
        </w:tc>
        <w:tc>
          <w:tcPr>
            <w:tcW w:w="720" w:type="pct"/>
            <w:tcBorders>
              <w:tl2br w:val="nil"/>
              <w:tr2bl w:val="nil"/>
            </w:tcBorders>
            <w:noWrap w:val="0"/>
            <w:vAlign w:val="center"/>
          </w:tcPr>
          <w:p w14:paraId="1BE0BB21">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46" w:type="pct"/>
            <w:tcBorders>
              <w:tl2br w:val="nil"/>
              <w:tr2bl w:val="nil"/>
            </w:tcBorders>
            <w:noWrap w:val="0"/>
            <w:vAlign w:val="center"/>
          </w:tcPr>
          <w:p w14:paraId="7B64DD06">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89" w:type="pct"/>
            <w:tcBorders>
              <w:tl2br w:val="nil"/>
              <w:tr2bl w:val="nil"/>
            </w:tcBorders>
            <w:noWrap w:val="0"/>
            <w:vAlign w:val="center"/>
          </w:tcPr>
          <w:p w14:paraId="7F926DFC">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1223" w:type="pct"/>
            <w:vMerge w:val="continue"/>
            <w:tcBorders>
              <w:tl2br w:val="nil"/>
              <w:tr2bl w:val="nil"/>
            </w:tcBorders>
            <w:noWrap w:val="0"/>
            <w:vAlign w:val="center"/>
          </w:tcPr>
          <w:p w14:paraId="099BE84B">
            <w:pPr>
              <w:spacing w:line="300" w:lineRule="atLeast"/>
              <w:ind w:firstLine="0" w:firstLineChars="0"/>
              <w:jc w:val="center"/>
              <w:rPr>
                <w:rFonts w:hint="default" w:ascii="Times New Roman" w:hAnsi="Times New Roman" w:eastAsia="宋体" w:cs="Times New Roman"/>
                <w:color w:val="auto"/>
                <w:sz w:val="21"/>
                <w:szCs w:val="21"/>
                <w:highlight w:val="none"/>
              </w:rPr>
            </w:pPr>
          </w:p>
        </w:tc>
      </w:tr>
      <w:tr w14:paraId="3F96475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90" w:type="pct"/>
            <w:tcBorders>
              <w:tl2br w:val="nil"/>
              <w:tr2bl w:val="nil"/>
            </w:tcBorders>
            <w:noWrap w:val="0"/>
            <w:vAlign w:val="center"/>
          </w:tcPr>
          <w:p w14:paraId="45241233">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北</w:t>
            </w:r>
            <w:r>
              <w:rPr>
                <w:rFonts w:hint="eastAsia" w:ascii="Times New Roman" w:hAnsi="Times New Roman" w:eastAsia="宋体" w:cs="Times New Roman"/>
                <w:color w:val="auto"/>
                <w:sz w:val="21"/>
                <w:szCs w:val="21"/>
                <w:highlight w:val="none"/>
                <w:lang w:val="en-US" w:eastAsia="zh-CN"/>
              </w:rPr>
              <w:t>侧</w:t>
            </w:r>
            <w:r>
              <w:rPr>
                <w:rFonts w:hint="default" w:ascii="Times New Roman" w:hAnsi="Times New Roman" w:eastAsia="宋体" w:cs="Times New Roman"/>
                <w:color w:val="auto"/>
                <w:sz w:val="21"/>
                <w:szCs w:val="21"/>
                <w:highlight w:val="none"/>
              </w:rPr>
              <w:t>厂界</w:t>
            </w:r>
          </w:p>
        </w:tc>
        <w:tc>
          <w:tcPr>
            <w:tcW w:w="631" w:type="pct"/>
            <w:tcBorders>
              <w:tl2br w:val="nil"/>
              <w:tr2bl w:val="nil"/>
            </w:tcBorders>
            <w:noWrap w:val="0"/>
            <w:vAlign w:val="center"/>
          </w:tcPr>
          <w:p w14:paraId="41B70210">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10.6</w:t>
            </w:r>
          </w:p>
        </w:tc>
        <w:tc>
          <w:tcPr>
            <w:tcW w:w="720" w:type="pct"/>
            <w:tcBorders>
              <w:tl2br w:val="nil"/>
              <w:tr2bl w:val="nil"/>
            </w:tcBorders>
            <w:noWrap w:val="0"/>
            <w:vAlign w:val="center"/>
          </w:tcPr>
          <w:p w14:paraId="6F0EDD8A">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46" w:type="pct"/>
            <w:tcBorders>
              <w:bottom w:val="single" w:color="auto" w:sz="4" w:space="0"/>
              <w:tl2br w:val="nil"/>
              <w:tr2bl w:val="nil"/>
            </w:tcBorders>
            <w:noWrap w:val="0"/>
            <w:vAlign w:val="center"/>
          </w:tcPr>
          <w:p w14:paraId="511F7A86">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89" w:type="pct"/>
            <w:tcBorders>
              <w:bottom w:val="single" w:color="auto" w:sz="4" w:space="0"/>
              <w:tl2br w:val="nil"/>
              <w:tr2bl w:val="nil"/>
            </w:tcBorders>
            <w:noWrap w:val="0"/>
            <w:vAlign w:val="center"/>
          </w:tcPr>
          <w:p w14:paraId="6DDF3290">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1223" w:type="pct"/>
            <w:vMerge w:val="continue"/>
            <w:tcBorders>
              <w:bottom w:val="single" w:color="auto" w:sz="4" w:space="0"/>
              <w:tl2br w:val="nil"/>
              <w:tr2bl w:val="nil"/>
            </w:tcBorders>
            <w:noWrap w:val="0"/>
            <w:vAlign w:val="center"/>
          </w:tcPr>
          <w:p w14:paraId="036B05BD">
            <w:pPr>
              <w:spacing w:line="300" w:lineRule="atLeast"/>
              <w:ind w:firstLine="0" w:firstLineChars="0"/>
              <w:jc w:val="center"/>
              <w:rPr>
                <w:rFonts w:hint="default" w:ascii="Times New Roman" w:hAnsi="Times New Roman" w:eastAsia="宋体" w:cs="Times New Roman"/>
                <w:color w:val="auto"/>
                <w:sz w:val="21"/>
                <w:szCs w:val="21"/>
                <w:highlight w:val="none"/>
              </w:rPr>
            </w:pPr>
          </w:p>
        </w:tc>
      </w:tr>
      <w:tr w14:paraId="45623AF6">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90" w:type="pct"/>
            <w:tcBorders>
              <w:tl2br w:val="nil"/>
              <w:tr2bl w:val="nil"/>
            </w:tcBorders>
            <w:noWrap w:val="0"/>
            <w:vAlign w:val="center"/>
          </w:tcPr>
          <w:p w14:paraId="0CA76610">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西侧居民区</w:t>
            </w:r>
          </w:p>
        </w:tc>
        <w:tc>
          <w:tcPr>
            <w:tcW w:w="631" w:type="pct"/>
            <w:tcBorders>
              <w:tl2br w:val="nil"/>
              <w:tr2bl w:val="nil"/>
            </w:tcBorders>
            <w:noWrap w:val="0"/>
            <w:vAlign w:val="center"/>
          </w:tcPr>
          <w:p w14:paraId="7FAB7F46">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24.1</w:t>
            </w:r>
          </w:p>
        </w:tc>
        <w:tc>
          <w:tcPr>
            <w:tcW w:w="720" w:type="pct"/>
            <w:tcBorders>
              <w:tl2br w:val="nil"/>
              <w:tr2bl w:val="nil"/>
            </w:tcBorders>
            <w:noWrap w:val="0"/>
            <w:vAlign w:val="center"/>
          </w:tcPr>
          <w:p w14:paraId="3566CA74">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53</w:t>
            </w:r>
          </w:p>
        </w:tc>
        <w:tc>
          <w:tcPr>
            <w:tcW w:w="746" w:type="pct"/>
            <w:tcBorders>
              <w:top w:val="single" w:color="auto" w:sz="4" w:space="0"/>
              <w:tl2br w:val="nil"/>
              <w:tr2bl w:val="nil"/>
            </w:tcBorders>
            <w:noWrap w:val="0"/>
            <w:vAlign w:val="center"/>
          </w:tcPr>
          <w:p w14:paraId="1582622F">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53</w:t>
            </w:r>
          </w:p>
        </w:tc>
        <w:tc>
          <w:tcPr>
            <w:tcW w:w="889" w:type="pct"/>
            <w:tcBorders>
              <w:top w:val="single" w:color="auto" w:sz="4" w:space="0"/>
              <w:tl2br w:val="nil"/>
              <w:tr2bl w:val="nil"/>
            </w:tcBorders>
            <w:noWrap w:val="0"/>
            <w:vAlign w:val="center"/>
          </w:tcPr>
          <w:p w14:paraId="683CD839">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1223" w:type="pct"/>
            <w:tcBorders>
              <w:top w:val="single" w:color="auto" w:sz="4" w:space="0"/>
              <w:tl2br w:val="nil"/>
              <w:tr2bl w:val="nil"/>
            </w:tcBorders>
            <w:noWrap w:val="0"/>
            <w:vAlign w:val="center"/>
          </w:tcPr>
          <w:p w14:paraId="14977E0B">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w:t>
            </w:r>
          </w:p>
        </w:tc>
      </w:tr>
    </w:tbl>
    <w:p w14:paraId="5DD93429">
      <w:pPr>
        <w:spacing w:line="500" w:lineRule="exact"/>
        <w:rPr>
          <w:rFonts w:hint="default" w:cs="Times New Roman"/>
          <w:b/>
          <w:bCs/>
          <w:color w:val="auto"/>
          <w:sz w:val="21"/>
          <w:szCs w:val="21"/>
          <w:highlight w:val="none"/>
          <w:lang w:val="en-US"/>
        </w:rPr>
      </w:pPr>
      <w:r>
        <w:rPr>
          <w:rFonts w:cs="Times New Roman"/>
          <w:color w:val="auto"/>
          <w:szCs w:val="24"/>
          <w:highlight w:val="none"/>
        </w:rPr>
        <w:t>由上表可知，本项目运营后，经选用低噪声设备、利用厂房进行隔声、安装减振垫、加强管理和优化平面布置等措施后，项目各厂界噪声均能够达到《工业企业厂界环境噪声排放标准》（GB12348-2008）中</w:t>
      </w:r>
      <w:r>
        <w:rPr>
          <w:rFonts w:hint="eastAsia" w:cs="Times New Roman"/>
          <w:color w:val="auto"/>
          <w:szCs w:val="24"/>
          <w:highlight w:val="none"/>
          <w:lang w:val="en-US" w:eastAsia="zh-CN"/>
        </w:rPr>
        <w:t>2</w:t>
      </w:r>
      <w:r>
        <w:rPr>
          <w:rFonts w:cs="Times New Roman"/>
          <w:color w:val="auto"/>
          <w:szCs w:val="24"/>
          <w:highlight w:val="none"/>
        </w:rPr>
        <w:t>类区标准，实现厂界达标，对周边的影响很小</w:t>
      </w:r>
      <w:r>
        <w:rPr>
          <w:rFonts w:hint="eastAsia" w:cs="Times New Roman"/>
          <w:color w:val="auto"/>
          <w:szCs w:val="24"/>
          <w:highlight w:val="none"/>
          <w:lang w:eastAsia="zh-CN"/>
        </w:rPr>
        <w:t>。</w:t>
      </w:r>
      <w:r>
        <w:rPr>
          <w:rFonts w:hint="eastAsia" w:cs="Times New Roman"/>
          <w:color w:val="auto"/>
          <w:szCs w:val="24"/>
          <w:highlight w:val="none"/>
          <w:lang w:val="en-US" w:eastAsia="zh-CN"/>
        </w:rPr>
        <w:t>厂区西侧敏感点噪声值能达到《声环境质量标准》（GB3096-2008）中2类标准，项目可行。</w:t>
      </w:r>
    </w:p>
    <w:p w14:paraId="29E3D5A2">
      <w:pPr>
        <w:keepNext/>
        <w:keepLines/>
        <w:adjustRightInd/>
        <w:snapToGrid/>
        <w:spacing w:line="500" w:lineRule="exact"/>
        <w:ind w:firstLine="0" w:firstLineChars="0"/>
        <w:jc w:val="left"/>
        <w:outlineLvl w:val="2"/>
        <w:rPr>
          <w:rFonts w:eastAsia="黑体" w:cs="Times New Roman"/>
          <w:bCs/>
          <w:snapToGrid w:val="0"/>
          <w:color w:val="auto"/>
          <w:kern w:val="0"/>
          <w:szCs w:val="32"/>
          <w:highlight w:val="none"/>
        </w:rPr>
      </w:pPr>
      <w:bookmarkStart w:id="293" w:name="_Toc13206"/>
      <w:r>
        <w:rPr>
          <w:rFonts w:eastAsia="黑体" w:cs="Times New Roman"/>
          <w:bCs/>
          <w:snapToGrid w:val="0"/>
          <w:color w:val="auto"/>
          <w:kern w:val="0"/>
          <w:szCs w:val="32"/>
          <w:highlight w:val="none"/>
        </w:rPr>
        <w:t>5.2.5固体废物环境影响评价</w:t>
      </w:r>
      <w:bookmarkEnd w:id="293"/>
    </w:p>
    <w:p w14:paraId="060A15E9">
      <w:pPr>
        <w:pStyle w:val="117"/>
        <w:rPr>
          <w:rFonts w:cs="Times New Roman"/>
          <w:b/>
          <w:bCs/>
          <w:color w:val="auto"/>
          <w:kern w:val="0"/>
          <w:szCs w:val="24"/>
          <w:highlight w:val="none"/>
          <w:lang w:bidi="ar"/>
        </w:rPr>
      </w:pPr>
      <w:r>
        <w:rPr>
          <w:rFonts w:cs="Times New Roman"/>
          <w:snapToGrid w:val="0"/>
          <w:color w:val="auto"/>
          <w:kern w:val="0"/>
          <w:szCs w:val="24"/>
          <w:highlight w:val="none"/>
        </w:rPr>
        <w:t>本项目运营期产生的固体废物为一般固体废物及危险废物，一般固体废物主要包括检疫不合格品、病死牛羊、粪便、边角料、胃容物及肠内物</w:t>
      </w:r>
      <w:r>
        <w:rPr>
          <w:rFonts w:cs="Times New Roman"/>
          <w:snapToGrid w:val="0"/>
          <w:color w:val="auto"/>
          <w:kern w:val="0"/>
          <w:szCs w:val="24"/>
          <w:highlight w:val="none"/>
        </w:rPr>
        <w:t>、</w:t>
      </w:r>
      <w:r>
        <w:rPr>
          <w:rFonts w:hint="eastAsia" w:cs="Times New Roman"/>
          <w:snapToGrid w:val="0"/>
          <w:color w:val="auto"/>
          <w:kern w:val="0"/>
          <w:szCs w:val="24"/>
          <w:highlight w:val="none"/>
          <w:lang w:val="en-US" w:eastAsia="zh-CN"/>
        </w:rPr>
        <w:t>隔油池废油脂</w:t>
      </w:r>
      <w:r>
        <w:rPr>
          <w:rFonts w:hint="eastAsia" w:cs="Times New Roman"/>
          <w:snapToGrid w:val="0"/>
          <w:color w:val="auto"/>
          <w:kern w:val="0"/>
          <w:szCs w:val="24"/>
          <w:highlight w:val="none"/>
          <w:lang w:val="en-US" w:eastAsia="zh-CN"/>
        </w:rPr>
        <w:t>、</w:t>
      </w:r>
      <w:r>
        <w:rPr>
          <w:rFonts w:cs="Times New Roman"/>
          <w:snapToGrid w:val="0"/>
          <w:color w:val="auto"/>
          <w:kern w:val="0"/>
          <w:szCs w:val="24"/>
          <w:highlight w:val="none"/>
        </w:rPr>
        <w:t>污泥（含栅渣）、废包装以及生活垃圾；</w:t>
      </w:r>
      <w:r>
        <w:rPr>
          <w:rFonts w:hint="eastAsia" w:cs="Times New Roman"/>
          <w:snapToGrid w:val="0"/>
          <w:color w:val="auto"/>
          <w:kern w:val="0"/>
          <w:szCs w:val="24"/>
          <w:highlight w:val="none"/>
          <w:lang w:eastAsia="zh-CN"/>
        </w:rPr>
        <w:t>危险废物主要为检疫废物</w:t>
      </w:r>
      <w:r>
        <w:rPr>
          <w:rFonts w:cs="Times New Roman"/>
          <w:snapToGrid w:val="0"/>
          <w:color w:val="auto"/>
          <w:kern w:val="0"/>
          <w:szCs w:val="24"/>
          <w:highlight w:val="none"/>
        </w:rPr>
        <w:t>、废活性炭</w:t>
      </w:r>
      <w:r>
        <w:rPr>
          <w:rFonts w:hint="eastAsia" w:cs="Times New Roman"/>
          <w:snapToGrid w:val="0"/>
          <w:color w:val="auto"/>
          <w:kern w:val="0"/>
          <w:szCs w:val="24"/>
          <w:highlight w:val="none"/>
          <w:lang w:eastAsia="zh-CN"/>
        </w:rPr>
        <w:t>、废润滑油及含油抹布、劳保手套</w:t>
      </w:r>
      <w:r>
        <w:rPr>
          <w:rFonts w:cs="Times New Roman"/>
          <w:snapToGrid w:val="0"/>
          <w:color w:val="auto"/>
          <w:kern w:val="0"/>
          <w:szCs w:val="24"/>
          <w:highlight w:val="none"/>
        </w:rPr>
        <w:t>。</w:t>
      </w:r>
      <w:bookmarkStart w:id="294" w:name="_Hlk15372908"/>
    </w:p>
    <w:p w14:paraId="32CC68E4">
      <w:pPr>
        <w:widowControl/>
        <w:spacing w:before="163" w:beforeLines="50" w:line="240" w:lineRule="auto"/>
        <w:ind w:firstLine="0" w:firstLineChars="0"/>
        <w:jc w:val="center"/>
        <w:rPr>
          <w:rFonts w:cs="Times New Roman"/>
          <w:b/>
          <w:bCs/>
          <w:color w:val="auto"/>
          <w:kern w:val="0"/>
          <w:szCs w:val="24"/>
          <w:highlight w:val="none"/>
          <w:lang w:bidi="ar"/>
        </w:rPr>
      </w:pPr>
      <w:r>
        <w:rPr>
          <w:rFonts w:cs="Times New Roman"/>
          <w:b/>
          <w:bCs/>
          <w:color w:val="auto"/>
          <w:kern w:val="0"/>
          <w:szCs w:val="24"/>
          <w:highlight w:val="none"/>
          <w:lang w:bidi="ar"/>
        </w:rPr>
        <w:t>表5-2-2</w:t>
      </w:r>
      <w:r>
        <w:rPr>
          <w:rFonts w:hint="eastAsia" w:cs="Times New Roman"/>
          <w:b/>
          <w:bCs/>
          <w:color w:val="auto"/>
          <w:kern w:val="0"/>
          <w:szCs w:val="24"/>
          <w:highlight w:val="none"/>
          <w:lang w:val="en-US" w:eastAsia="zh-CN" w:bidi="ar"/>
        </w:rPr>
        <w:t>3</w:t>
      </w:r>
      <w:r>
        <w:rPr>
          <w:rFonts w:cs="Times New Roman"/>
          <w:b/>
          <w:bCs/>
          <w:color w:val="auto"/>
          <w:kern w:val="0"/>
          <w:szCs w:val="24"/>
          <w:highlight w:val="none"/>
          <w:lang w:bidi="ar"/>
        </w:rPr>
        <w:t xml:space="preserve">  固体废物产生量汇总   单位t/a</w:t>
      </w:r>
    </w:p>
    <w:tbl>
      <w:tblPr>
        <w:tblStyle w:val="47"/>
        <w:tblW w:w="5099" w:type="pct"/>
        <w:jc w:val="center"/>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97"/>
        <w:gridCol w:w="1932"/>
        <w:gridCol w:w="1295"/>
        <w:gridCol w:w="1408"/>
        <w:gridCol w:w="940"/>
        <w:gridCol w:w="2525"/>
      </w:tblGrid>
      <w:tr w14:paraId="735DF8F7">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61" w:hRule="atLeast"/>
          <w:jc w:val="center"/>
        </w:trPr>
        <w:tc>
          <w:tcPr>
            <w:tcW w:w="343" w:type="pct"/>
            <w:tcBorders>
              <w:tl2br w:val="nil"/>
              <w:tr2bl w:val="nil"/>
            </w:tcBorders>
            <w:vAlign w:val="center"/>
          </w:tcPr>
          <w:p w14:paraId="57236F3E">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序号</w:t>
            </w:r>
          </w:p>
        </w:tc>
        <w:tc>
          <w:tcPr>
            <w:tcW w:w="1110" w:type="pct"/>
            <w:tcBorders>
              <w:tl2br w:val="nil"/>
              <w:tr2bl w:val="nil"/>
            </w:tcBorders>
            <w:vAlign w:val="center"/>
          </w:tcPr>
          <w:p w14:paraId="0A1696FB">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固体废物名称</w:t>
            </w:r>
          </w:p>
        </w:tc>
        <w:tc>
          <w:tcPr>
            <w:tcW w:w="744" w:type="pct"/>
            <w:tcBorders>
              <w:tl2br w:val="nil"/>
              <w:tr2bl w:val="nil"/>
            </w:tcBorders>
            <w:vAlign w:val="center"/>
          </w:tcPr>
          <w:p w14:paraId="16EC2677">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产生环节</w:t>
            </w:r>
          </w:p>
        </w:tc>
        <w:tc>
          <w:tcPr>
            <w:tcW w:w="809" w:type="pct"/>
            <w:tcBorders>
              <w:tl2br w:val="nil"/>
              <w:tr2bl w:val="nil"/>
            </w:tcBorders>
            <w:vAlign w:val="center"/>
          </w:tcPr>
          <w:p w14:paraId="05369A0F">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固废属性</w:t>
            </w:r>
          </w:p>
        </w:tc>
        <w:tc>
          <w:tcPr>
            <w:tcW w:w="540" w:type="pct"/>
            <w:tcBorders>
              <w:tl2br w:val="nil"/>
              <w:tr2bl w:val="nil"/>
            </w:tcBorders>
            <w:vAlign w:val="center"/>
          </w:tcPr>
          <w:p w14:paraId="5349873D">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产生量（t/a）</w:t>
            </w:r>
          </w:p>
        </w:tc>
        <w:tc>
          <w:tcPr>
            <w:tcW w:w="1451" w:type="pct"/>
            <w:tcBorders>
              <w:tl2br w:val="nil"/>
              <w:tr2bl w:val="nil"/>
            </w:tcBorders>
            <w:vAlign w:val="center"/>
          </w:tcPr>
          <w:p w14:paraId="5CE49C4B">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最终去向</w:t>
            </w:r>
          </w:p>
        </w:tc>
      </w:tr>
      <w:tr w14:paraId="138D26E4">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17" w:hRule="atLeast"/>
          <w:jc w:val="center"/>
        </w:trPr>
        <w:tc>
          <w:tcPr>
            <w:tcW w:w="343" w:type="pct"/>
            <w:tcBorders>
              <w:tl2br w:val="nil"/>
              <w:tr2bl w:val="nil"/>
            </w:tcBorders>
            <w:vAlign w:val="center"/>
          </w:tcPr>
          <w:p w14:paraId="2935100B">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1110" w:type="pct"/>
            <w:tcBorders>
              <w:tl2br w:val="nil"/>
              <w:tr2bl w:val="nil"/>
            </w:tcBorders>
            <w:vAlign w:val="center"/>
          </w:tcPr>
          <w:p w14:paraId="21B8949E">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生活垃圾</w:t>
            </w:r>
          </w:p>
        </w:tc>
        <w:tc>
          <w:tcPr>
            <w:tcW w:w="744" w:type="pct"/>
            <w:tcBorders>
              <w:tl2br w:val="nil"/>
              <w:tr2bl w:val="nil"/>
            </w:tcBorders>
            <w:vAlign w:val="center"/>
          </w:tcPr>
          <w:p w14:paraId="59F30A9A">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员工</w:t>
            </w:r>
          </w:p>
        </w:tc>
        <w:tc>
          <w:tcPr>
            <w:tcW w:w="809" w:type="pct"/>
            <w:tcBorders>
              <w:tl2br w:val="nil"/>
              <w:tr2bl w:val="nil"/>
            </w:tcBorders>
            <w:vAlign w:val="center"/>
          </w:tcPr>
          <w:p w14:paraId="63BB4031">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生活垃圾</w:t>
            </w:r>
          </w:p>
        </w:tc>
        <w:tc>
          <w:tcPr>
            <w:tcW w:w="540" w:type="pct"/>
            <w:tcBorders>
              <w:tl2br w:val="nil"/>
              <w:tr2bl w:val="nil"/>
            </w:tcBorders>
            <w:vAlign w:val="center"/>
          </w:tcPr>
          <w:p w14:paraId="0B13866F">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c>
          <w:tcPr>
            <w:tcW w:w="1451" w:type="pct"/>
            <w:tcBorders>
              <w:tl2br w:val="nil"/>
              <w:tr2bl w:val="nil"/>
            </w:tcBorders>
            <w:vAlign w:val="center"/>
          </w:tcPr>
          <w:p w14:paraId="430F7C1F">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eastAsia="zh-CN"/>
              </w:rPr>
              <w:t>由市政环卫部门统一清运</w:t>
            </w:r>
          </w:p>
        </w:tc>
      </w:tr>
      <w:tr w14:paraId="69D7ECFB">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4" w:hRule="atLeast"/>
          <w:jc w:val="center"/>
        </w:trPr>
        <w:tc>
          <w:tcPr>
            <w:tcW w:w="343" w:type="pct"/>
            <w:tcBorders>
              <w:tl2br w:val="nil"/>
              <w:tr2bl w:val="nil"/>
            </w:tcBorders>
            <w:vAlign w:val="center"/>
          </w:tcPr>
          <w:p w14:paraId="1289479F">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2</w:t>
            </w:r>
          </w:p>
        </w:tc>
        <w:tc>
          <w:tcPr>
            <w:tcW w:w="1110" w:type="pct"/>
            <w:tcBorders>
              <w:tl2br w:val="nil"/>
              <w:tr2bl w:val="nil"/>
            </w:tcBorders>
            <w:vAlign w:val="center"/>
          </w:tcPr>
          <w:p w14:paraId="603F8A9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检疫不合格品</w:t>
            </w:r>
          </w:p>
        </w:tc>
        <w:tc>
          <w:tcPr>
            <w:tcW w:w="744" w:type="pct"/>
            <w:vMerge w:val="restart"/>
            <w:tcBorders>
              <w:tl2br w:val="nil"/>
              <w:tr2bl w:val="nil"/>
            </w:tcBorders>
            <w:vAlign w:val="center"/>
          </w:tcPr>
          <w:p w14:paraId="7EFFE89C">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车间</w:t>
            </w:r>
          </w:p>
        </w:tc>
        <w:tc>
          <w:tcPr>
            <w:tcW w:w="809" w:type="pct"/>
            <w:tcBorders>
              <w:tl2br w:val="nil"/>
              <w:tr2bl w:val="nil"/>
            </w:tcBorders>
            <w:vAlign w:val="center"/>
          </w:tcPr>
          <w:p w14:paraId="39036D05">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一般固废</w:t>
            </w:r>
          </w:p>
        </w:tc>
        <w:tc>
          <w:tcPr>
            <w:tcW w:w="540" w:type="pct"/>
            <w:tcBorders>
              <w:tl2br w:val="nil"/>
              <w:tr2bl w:val="nil"/>
            </w:tcBorders>
            <w:shd w:val="clear" w:color="auto" w:fill="auto"/>
            <w:vAlign w:val="center"/>
          </w:tcPr>
          <w:p w14:paraId="47D9C07B">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90</w:t>
            </w:r>
          </w:p>
        </w:tc>
        <w:tc>
          <w:tcPr>
            <w:tcW w:w="1451" w:type="pct"/>
            <w:vMerge w:val="restart"/>
            <w:tcBorders>
              <w:tl2br w:val="nil"/>
              <w:tr2bl w:val="nil"/>
            </w:tcBorders>
            <w:vAlign w:val="center"/>
          </w:tcPr>
          <w:p w14:paraId="687C468A">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eastAsia="zh-CN"/>
              </w:rPr>
              <w:t>由双鸭山百奥迈斯生物科技有限公司</w:t>
            </w:r>
          </w:p>
        </w:tc>
      </w:tr>
      <w:tr w14:paraId="677DC05D">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343" w:type="pct"/>
            <w:tcBorders>
              <w:tl2br w:val="nil"/>
              <w:tr2bl w:val="nil"/>
            </w:tcBorders>
            <w:vAlign w:val="center"/>
          </w:tcPr>
          <w:p w14:paraId="2DCE6C34">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3</w:t>
            </w:r>
          </w:p>
        </w:tc>
        <w:tc>
          <w:tcPr>
            <w:tcW w:w="1110" w:type="pct"/>
            <w:tcBorders>
              <w:tl2br w:val="nil"/>
              <w:tr2bl w:val="nil"/>
            </w:tcBorders>
            <w:vAlign w:val="center"/>
          </w:tcPr>
          <w:p w14:paraId="533E610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病死牛羊</w:t>
            </w:r>
          </w:p>
        </w:tc>
        <w:tc>
          <w:tcPr>
            <w:tcW w:w="744" w:type="pct"/>
            <w:vMerge w:val="continue"/>
            <w:tcBorders>
              <w:tl2br w:val="nil"/>
              <w:tr2bl w:val="nil"/>
            </w:tcBorders>
            <w:vAlign w:val="center"/>
          </w:tcPr>
          <w:p w14:paraId="51F1B073">
            <w:pPr>
              <w:spacing w:line="360" w:lineRule="atLeast"/>
              <w:ind w:firstLine="0" w:firstLineChars="0"/>
              <w:jc w:val="center"/>
              <w:rPr>
                <w:rFonts w:cs="Times New Roman"/>
                <w:color w:val="auto"/>
                <w:sz w:val="21"/>
                <w:szCs w:val="21"/>
                <w:highlight w:val="none"/>
              </w:rPr>
            </w:pPr>
          </w:p>
        </w:tc>
        <w:tc>
          <w:tcPr>
            <w:tcW w:w="809" w:type="pct"/>
            <w:tcBorders>
              <w:tl2br w:val="nil"/>
              <w:tr2bl w:val="nil"/>
            </w:tcBorders>
            <w:vAlign w:val="center"/>
          </w:tcPr>
          <w:p w14:paraId="70B4011D">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一般固废</w:t>
            </w:r>
          </w:p>
        </w:tc>
        <w:tc>
          <w:tcPr>
            <w:tcW w:w="540" w:type="pct"/>
            <w:tcBorders>
              <w:tl2br w:val="nil"/>
              <w:tr2bl w:val="nil"/>
            </w:tcBorders>
            <w:shd w:val="clear" w:color="auto" w:fill="auto"/>
            <w:vAlign w:val="center"/>
          </w:tcPr>
          <w:p w14:paraId="505D3C41">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135</w:t>
            </w:r>
          </w:p>
        </w:tc>
        <w:tc>
          <w:tcPr>
            <w:tcW w:w="1451" w:type="pct"/>
            <w:vMerge w:val="continue"/>
            <w:tcBorders>
              <w:tl2br w:val="nil"/>
              <w:tr2bl w:val="nil"/>
            </w:tcBorders>
            <w:vAlign w:val="center"/>
          </w:tcPr>
          <w:p w14:paraId="081EA56E">
            <w:pPr>
              <w:spacing w:line="360" w:lineRule="atLeast"/>
              <w:ind w:firstLine="0" w:firstLineChars="0"/>
              <w:jc w:val="center"/>
              <w:rPr>
                <w:rFonts w:cs="Times New Roman"/>
                <w:color w:val="auto"/>
                <w:sz w:val="21"/>
                <w:szCs w:val="21"/>
                <w:highlight w:val="none"/>
              </w:rPr>
            </w:pPr>
          </w:p>
        </w:tc>
      </w:tr>
      <w:tr w14:paraId="7F909F16">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343" w:type="pct"/>
            <w:tcBorders>
              <w:tl2br w:val="nil"/>
              <w:tr2bl w:val="nil"/>
            </w:tcBorders>
            <w:vAlign w:val="center"/>
          </w:tcPr>
          <w:p w14:paraId="75385FFC">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4</w:t>
            </w:r>
          </w:p>
        </w:tc>
        <w:tc>
          <w:tcPr>
            <w:tcW w:w="1110" w:type="pct"/>
            <w:tcBorders>
              <w:tl2br w:val="nil"/>
              <w:tr2bl w:val="nil"/>
            </w:tcBorders>
            <w:vAlign w:val="center"/>
          </w:tcPr>
          <w:p w14:paraId="39D93F8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边角料</w:t>
            </w:r>
          </w:p>
        </w:tc>
        <w:tc>
          <w:tcPr>
            <w:tcW w:w="744" w:type="pct"/>
            <w:vMerge w:val="continue"/>
            <w:tcBorders>
              <w:tl2br w:val="nil"/>
              <w:tr2bl w:val="nil"/>
            </w:tcBorders>
            <w:vAlign w:val="center"/>
          </w:tcPr>
          <w:p w14:paraId="499BDA79">
            <w:pPr>
              <w:spacing w:line="360" w:lineRule="atLeast"/>
              <w:ind w:firstLine="0" w:firstLineChars="0"/>
              <w:jc w:val="center"/>
              <w:rPr>
                <w:rFonts w:cs="Times New Roman"/>
                <w:color w:val="auto"/>
                <w:sz w:val="21"/>
                <w:szCs w:val="21"/>
                <w:highlight w:val="none"/>
              </w:rPr>
            </w:pPr>
          </w:p>
        </w:tc>
        <w:tc>
          <w:tcPr>
            <w:tcW w:w="809" w:type="pct"/>
            <w:tcBorders>
              <w:tl2br w:val="nil"/>
              <w:tr2bl w:val="nil"/>
            </w:tcBorders>
            <w:vAlign w:val="center"/>
          </w:tcPr>
          <w:p w14:paraId="7798CE22">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一般固废</w:t>
            </w:r>
          </w:p>
        </w:tc>
        <w:tc>
          <w:tcPr>
            <w:tcW w:w="540" w:type="pct"/>
            <w:tcBorders>
              <w:tl2br w:val="nil"/>
              <w:tr2bl w:val="nil"/>
            </w:tcBorders>
            <w:shd w:val="clear" w:color="auto" w:fill="auto"/>
            <w:vAlign w:val="center"/>
          </w:tcPr>
          <w:p w14:paraId="65746271">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90</w:t>
            </w:r>
          </w:p>
        </w:tc>
        <w:tc>
          <w:tcPr>
            <w:tcW w:w="1451" w:type="pct"/>
            <w:vMerge w:val="restart"/>
            <w:tcBorders>
              <w:tl2br w:val="nil"/>
              <w:tr2bl w:val="nil"/>
            </w:tcBorders>
            <w:vAlign w:val="center"/>
          </w:tcPr>
          <w:p w14:paraId="3264653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作为有机肥原料外售</w:t>
            </w:r>
          </w:p>
        </w:tc>
      </w:tr>
      <w:tr w14:paraId="184E7EBE">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343" w:type="pct"/>
            <w:tcBorders>
              <w:tl2br w:val="nil"/>
              <w:tr2bl w:val="nil"/>
            </w:tcBorders>
            <w:vAlign w:val="center"/>
          </w:tcPr>
          <w:p w14:paraId="53924801">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5</w:t>
            </w:r>
          </w:p>
        </w:tc>
        <w:tc>
          <w:tcPr>
            <w:tcW w:w="1110" w:type="pct"/>
            <w:tcBorders>
              <w:tl2br w:val="nil"/>
              <w:tr2bl w:val="nil"/>
            </w:tcBorders>
            <w:vAlign w:val="center"/>
          </w:tcPr>
          <w:p w14:paraId="2ED213D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胃容物及肠内物</w:t>
            </w:r>
          </w:p>
        </w:tc>
        <w:tc>
          <w:tcPr>
            <w:tcW w:w="744" w:type="pct"/>
            <w:vMerge w:val="continue"/>
            <w:tcBorders>
              <w:tl2br w:val="nil"/>
              <w:tr2bl w:val="nil"/>
            </w:tcBorders>
            <w:vAlign w:val="center"/>
          </w:tcPr>
          <w:p w14:paraId="5028B0F1">
            <w:pPr>
              <w:spacing w:line="360" w:lineRule="atLeast"/>
              <w:ind w:firstLine="0" w:firstLineChars="0"/>
              <w:jc w:val="center"/>
              <w:rPr>
                <w:rFonts w:cs="Times New Roman"/>
                <w:color w:val="auto"/>
                <w:sz w:val="21"/>
                <w:szCs w:val="21"/>
                <w:highlight w:val="none"/>
              </w:rPr>
            </w:pPr>
          </w:p>
        </w:tc>
        <w:tc>
          <w:tcPr>
            <w:tcW w:w="809" w:type="pct"/>
            <w:tcBorders>
              <w:tl2br w:val="nil"/>
              <w:tr2bl w:val="nil"/>
            </w:tcBorders>
            <w:vAlign w:val="center"/>
          </w:tcPr>
          <w:p w14:paraId="630B6205">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一般固废</w:t>
            </w:r>
          </w:p>
        </w:tc>
        <w:tc>
          <w:tcPr>
            <w:tcW w:w="540" w:type="pct"/>
            <w:tcBorders>
              <w:tl2br w:val="nil"/>
              <w:tr2bl w:val="nil"/>
            </w:tcBorders>
            <w:shd w:val="clear" w:color="auto" w:fill="auto"/>
            <w:vAlign w:val="center"/>
          </w:tcPr>
          <w:p w14:paraId="5E4DEACF">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585</w:t>
            </w:r>
          </w:p>
        </w:tc>
        <w:tc>
          <w:tcPr>
            <w:tcW w:w="1451" w:type="pct"/>
            <w:vMerge w:val="continue"/>
            <w:tcBorders>
              <w:tl2br w:val="nil"/>
              <w:tr2bl w:val="nil"/>
            </w:tcBorders>
            <w:vAlign w:val="center"/>
          </w:tcPr>
          <w:p w14:paraId="246CEDE7">
            <w:pPr>
              <w:spacing w:line="360" w:lineRule="atLeast"/>
              <w:ind w:firstLine="0" w:firstLineChars="0"/>
              <w:jc w:val="center"/>
              <w:rPr>
                <w:rFonts w:cs="Times New Roman"/>
                <w:color w:val="auto"/>
                <w:sz w:val="21"/>
                <w:szCs w:val="21"/>
                <w:highlight w:val="none"/>
              </w:rPr>
            </w:pPr>
          </w:p>
        </w:tc>
      </w:tr>
      <w:tr w14:paraId="2542A0F3">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343" w:type="pct"/>
            <w:tcBorders>
              <w:tl2br w:val="nil"/>
              <w:tr2bl w:val="nil"/>
            </w:tcBorders>
            <w:vAlign w:val="center"/>
          </w:tcPr>
          <w:p w14:paraId="1B31DB0B">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6</w:t>
            </w:r>
          </w:p>
        </w:tc>
        <w:tc>
          <w:tcPr>
            <w:tcW w:w="1110" w:type="pct"/>
            <w:tcBorders>
              <w:tl2br w:val="nil"/>
              <w:tr2bl w:val="nil"/>
            </w:tcBorders>
            <w:vAlign w:val="center"/>
          </w:tcPr>
          <w:p w14:paraId="02E2142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粪便</w:t>
            </w:r>
          </w:p>
        </w:tc>
        <w:tc>
          <w:tcPr>
            <w:tcW w:w="744" w:type="pct"/>
            <w:vMerge w:val="continue"/>
            <w:tcBorders>
              <w:tl2br w:val="nil"/>
              <w:tr2bl w:val="nil"/>
            </w:tcBorders>
            <w:vAlign w:val="center"/>
          </w:tcPr>
          <w:p w14:paraId="1DBE5F8B">
            <w:pPr>
              <w:spacing w:line="360" w:lineRule="atLeast"/>
              <w:ind w:firstLine="0" w:firstLineChars="0"/>
              <w:jc w:val="center"/>
              <w:rPr>
                <w:rFonts w:cs="Times New Roman"/>
                <w:color w:val="auto"/>
                <w:sz w:val="21"/>
                <w:szCs w:val="21"/>
                <w:highlight w:val="none"/>
              </w:rPr>
            </w:pPr>
          </w:p>
        </w:tc>
        <w:tc>
          <w:tcPr>
            <w:tcW w:w="809" w:type="pct"/>
            <w:tcBorders>
              <w:tl2br w:val="nil"/>
              <w:tr2bl w:val="nil"/>
            </w:tcBorders>
            <w:vAlign w:val="center"/>
          </w:tcPr>
          <w:p w14:paraId="681BB680">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一般固废</w:t>
            </w:r>
          </w:p>
        </w:tc>
        <w:tc>
          <w:tcPr>
            <w:tcW w:w="540" w:type="pct"/>
            <w:tcBorders>
              <w:tl2br w:val="nil"/>
              <w:tr2bl w:val="nil"/>
            </w:tcBorders>
            <w:shd w:val="clear" w:color="auto" w:fill="auto"/>
            <w:vAlign w:val="center"/>
          </w:tcPr>
          <w:p w14:paraId="4C0B756E">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495</w:t>
            </w:r>
          </w:p>
        </w:tc>
        <w:tc>
          <w:tcPr>
            <w:tcW w:w="1451" w:type="pct"/>
            <w:vMerge w:val="continue"/>
            <w:tcBorders>
              <w:tl2br w:val="nil"/>
              <w:tr2bl w:val="nil"/>
            </w:tcBorders>
            <w:vAlign w:val="center"/>
          </w:tcPr>
          <w:p w14:paraId="195E19B2">
            <w:pPr>
              <w:spacing w:line="360" w:lineRule="atLeast"/>
              <w:ind w:firstLine="0" w:firstLineChars="0"/>
              <w:jc w:val="center"/>
              <w:rPr>
                <w:rFonts w:cs="Times New Roman"/>
                <w:color w:val="auto"/>
                <w:sz w:val="21"/>
                <w:szCs w:val="21"/>
                <w:highlight w:val="none"/>
              </w:rPr>
            </w:pPr>
          </w:p>
        </w:tc>
      </w:tr>
      <w:tr w14:paraId="125A1714">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343" w:type="pct"/>
            <w:tcBorders>
              <w:tl2br w:val="nil"/>
              <w:tr2bl w:val="nil"/>
            </w:tcBorders>
            <w:vAlign w:val="center"/>
          </w:tcPr>
          <w:p w14:paraId="7C0E3960">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7</w:t>
            </w:r>
          </w:p>
        </w:tc>
        <w:tc>
          <w:tcPr>
            <w:tcW w:w="1110" w:type="pct"/>
            <w:tcBorders>
              <w:tl2br w:val="nil"/>
              <w:tr2bl w:val="nil"/>
            </w:tcBorders>
            <w:vAlign w:val="center"/>
          </w:tcPr>
          <w:p w14:paraId="54D4725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废包装</w:t>
            </w:r>
          </w:p>
        </w:tc>
        <w:tc>
          <w:tcPr>
            <w:tcW w:w="744" w:type="pct"/>
            <w:vMerge w:val="continue"/>
            <w:tcBorders>
              <w:tl2br w:val="nil"/>
              <w:tr2bl w:val="nil"/>
            </w:tcBorders>
            <w:vAlign w:val="center"/>
          </w:tcPr>
          <w:p w14:paraId="79FD6B26">
            <w:pPr>
              <w:spacing w:line="360" w:lineRule="atLeast"/>
              <w:ind w:firstLine="0" w:firstLineChars="0"/>
              <w:jc w:val="center"/>
              <w:rPr>
                <w:rFonts w:cs="Times New Roman"/>
                <w:color w:val="auto"/>
                <w:sz w:val="21"/>
                <w:szCs w:val="21"/>
                <w:highlight w:val="none"/>
              </w:rPr>
            </w:pPr>
          </w:p>
        </w:tc>
        <w:tc>
          <w:tcPr>
            <w:tcW w:w="809" w:type="pct"/>
            <w:tcBorders>
              <w:tl2br w:val="nil"/>
              <w:tr2bl w:val="nil"/>
            </w:tcBorders>
            <w:vAlign w:val="center"/>
          </w:tcPr>
          <w:p w14:paraId="186A3A4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一般固废</w:t>
            </w:r>
          </w:p>
        </w:tc>
        <w:tc>
          <w:tcPr>
            <w:tcW w:w="540" w:type="pct"/>
            <w:tcBorders>
              <w:tl2br w:val="nil"/>
              <w:tr2bl w:val="nil"/>
            </w:tcBorders>
            <w:shd w:val="clear" w:color="auto" w:fill="auto"/>
            <w:vAlign w:val="center"/>
          </w:tcPr>
          <w:p w14:paraId="65884927">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1.6</w:t>
            </w:r>
          </w:p>
        </w:tc>
        <w:tc>
          <w:tcPr>
            <w:tcW w:w="1451" w:type="pct"/>
            <w:tcBorders>
              <w:tl2br w:val="nil"/>
              <w:tr2bl w:val="nil"/>
            </w:tcBorders>
            <w:vAlign w:val="center"/>
          </w:tcPr>
          <w:p w14:paraId="317C11E3">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外售综合利用</w:t>
            </w:r>
          </w:p>
        </w:tc>
      </w:tr>
      <w:tr w14:paraId="2DE672AA">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343" w:type="pct"/>
            <w:tcBorders>
              <w:tl2br w:val="nil"/>
              <w:tr2bl w:val="nil"/>
            </w:tcBorders>
            <w:vAlign w:val="center"/>
          </w:tcPr>
          <w:p w14:paraId="0DADF3A2">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8</w:t>
            </w:r>
          </w:p>
        </w:tc>
        <w:tc>
          <w:tcPr>
            <w:tcW w:w="1110" w:type="pct"/>
            <w:tcBorders>
              <w:tl2br w:val="nil"/>
              <w:tr2bl w:val="nil"/>
            </w:tcBorders>
            <w:vAlign w:val="center"/>
          </w:tcPr>
          <w:p w14:paraId="6FB3F8D2">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脱水污泥（含栅渣）</w:t>
            </w:r>
          </w:p>
        </w:tc>
        <w:tc>
          <w:tcPr>
            <w:tcW w:w="744" w:type="pct"/>
            <w:vMerge w:val="restart"/>
            <w:tcBorders>
              <w:tl2br w:val="nil"/>
              <w:tr2bl w:val="nil"/>
            </w:tcBorders>
            <w:vAlign w:val="center"/>
          </w:tcPr>
          <w:p w14:paraId="2384D8A2">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污水处理站</w:t>
            </w:r>
          </w:p>
        </w:tc>
        <w:tc>
          <w:tcPr>
            <w:tcW w:w="809" w:type="pct"/>
            <w:tcBorders>
              <w:tl2br w:val="nil"/>
              <w:tr2bl w:val="nil"/>
            </w:tcBorders>
            <w:vAlign w:val="center"/>
          </w:tcPr>
          <w:p w14:paraId="753F7B5C">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一般固废</w:t>
            </w:r>
          </w:p>
        </w:tc>
        <w:tc>
          <w:tcPr>
            <w:tcW w:w="540" w:type="pct"/>
            <w:tcBorders>
              <w:tl2br w:val="nil"/>
              <w:tr2bl w:val="nil"/>
            </w:tcBorders>
            <w:shd w:val="clear" w:color="auto" w:fill="auto"/>
            <w:vAlign w:val="center"/>
          </w:tcPr>
          <w:p w14:paraId="044BFA45">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128.35</w:t>
            </w:r>
          </w:p>
        </w:tc>
        <w:tc>
          <w:tcPr>
            <w:tcW w:w="1451" w:type="pct"/>
            <w:tcBorders>
              <w:tl2br w:val="nil"/>
              <w:tr2bl w:val="nil"/>
            </w:tcBorders>
            <w:vAlign w:val="center"/>
          </w:tcPr>
          <w:p w14:paraId="34F534C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送生活垃圾填埋场填埋</w:t>
            </w:r>
          </w:p>
        </w:tc>
      </w:tr>
      <w:tr w14:paraId="13D1923F">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9" w:hRule="atLeast"/>
          <w:jc w:val="center"/>
        </w:trPr>
        <w:tc>
          <w:tcPr>
            <w:tcW w:w="343" w:type="pct"/>
            <w:tcBorders>
              <w:tl2br w:val="nil"/>
              <w:tr2bl w:val="nil"/>
            </w:tcBorders>
            <w:shd w:val="clear" w:color="auto" w:fill="auto"/>
            <w:vAlign w:val="center"/>
          </w:tcPr>
          <w:p w14:paraId="78199CE1">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bookmarkStart w:id="295" w:name="_Toc14598"/>
            <w:r>
              <w:rPr>
                <w:rFonts w:hint="eastAsia" w:cs="Times New Roman"/>
                <w:color w:val="auto"/>
                <w:sz w:val="21"/>
                <w:szCs w:val="21"/>
                <w:highlight w:val="none"/>
                <w:lang w:val="en-US" w:eastAsia="zh-CN"/>
              </w:rPr>
              <w:t>9</w:t>
            </w:r>
          </w:p>
        </w:tc>
        <w:tc>
          <w:tcPr>
            <w:tcW w:w="1110" w:type="pct"/>
            <w:tcBorders>
              <w:tl2br w:val="nil"/>
              <w:tr2bl w:val="nil"/>
            </w:tcBorders>
            <w:vAlign w:val="center"/>
          </w:tcPr>
          <w:p w14:paraId="689C69EE">
            <w:pPr>
              <w:spacing w:line="360" w:lineRule="atLeas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废油脂</w:t>
            </w:r>
          </w:p>
        </w:tc>
        <w:tc>
          <w:tcPr>
            <w:tcW w:w="744" w:type="pct"/>
            <w:vMerge w:val="continue"/>
            <w:tcBorders>
              <w:tl2br w:val="nil"/>
              <w:tr2bl w:val="nil"/>
            </w:tcBorders>
            <w:vAlign w:val="center"/>
          </w:tcPr>
          <w:p w14:paraId="478992E5">
            <w:pPr>
              <w:spacing w:line="360" w:lineRule="atLeast"/>
              <w:ind w:firstLine="0" w:firstLineChars="0"/>
              <w:jc w:val="center"/>
              <w:rPr>
                <w:rFonts w:cs="Times New Roman"/>
                <w:color w:val="auto"/>
                <w:sz w:val="21"/>
                <w:szCs w:val="21"/>
                <w:highlight w:val="none"/>
              </w:rPr>
            </w:pPr>
          </w:p>
        </w:tc>
        <w:tc>
          <w:tcPr>
            <w:tcW w:w="809" w:type="pct"/>
            <w:tcBorders>
              <w:tl2br w:val="nil"/>
              <w:tr2bl w:val="nil"/>
            </w:tcBorders>
            <w:vAlign w:val="center"/>
          </w:tcPr>
          <w:p w14:paraId="092D94B8">
            <w:pPr>
              <w:spacing w:line="360" w:lineRule="atLeast"/>
              <w:ind w:firstLine="0" w:firstLineChars="0"/>
              <w:jc w:val="center"/>
              <w:rPr>
                <w:rFonts w:cs="Times New Roman"/>
                <w:color w:val="auto"/>
                <w:sz w:val="21"/>
                <w:szCs w:val="21"/>
                <w:highlight w:val="none"/>
              </w:rPr>
            </w:pPr>
            <w:r>
              <w:rPr>
                <w:rFonts w:cs="Times New Roman"/>
                <w:color w:val="auto"/>
                <w:sz w:val="21"/>
                <w:szCs w:val="21"/>
                <w:highlight w:val="none"/>
              </w:rPr>
              <w:t>一般固废</w:t>
            </w:r>
          </w:p>
        </w:tc>
        <w:tc>
          <w:tcPr>
            <w:tcW w:w="540" w:type="pct"/>
            <w:tcBorders>
              <w:tl2br w:val="nil"/>
              <w:tr2bl w:val="nil"/>
            </w:tcBorders>
            <w:shd w:val="clear" w:color="auto" w:fill="auto"/>
            <w:vAlign w:val="center"/>
          </w:tcPr>
          <w:p w14:paraId="12FF9CD6">
            <w:pPr>
              <w:spacing w:line="36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0.8</w:t>
            </w:r>
          </w:p>
        </w:tc>
        <w:tc>
          <w:tcPr>
            <w:tcW w:w="1451" w:type="pct"/>
            <w:tcBorders>
              <w:tl2br w:val="nil"/>
              <w:tr2bl w:val="nil"/>
            </w:tcBorders>
            <w:vAlign w:val="center"/>
          </w:tcPr>
          <w:p w14:paraId="7263B86E">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交由有能力处置单位进行运输处理</w:t>
            </w:r>
          </w:p>
        </w:tc>
      </w:tr>
      <w:tr w14:paraId="067FF703">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4" w:hRule="atLeast"/>
          <w:jc w:val="center"/>
        </w:trPr>
        <w:tc>
          <w:tcPr>
            <w:tcW w:w="343" w:type="pct"/>
            <w:tcBorders>
              <w:tl2br w:val="nil"/>
              <w:tr2bl w:val="nil"/>
            </w:tcBorders>
            <w:shd w:val="clear" w:color="auto" w:fill="auto"/>
            <w:vAlign w:val="center"/>
          </w:tcPr>
          <w:p w14:paraId="0640FE1F">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10</w:t>
            </w:r>
          </w:p>
        </w:tc>
        <w:tc>
          <w:tcPr>
            <w:tcW w:w="1110" w:type="pct"/>
            <w:tcBorders>
              <w:tl2br w:val="nil"/>
              <w:tr2bl w:val="nil"/>
            </w:tcBorders>
            <w:vAlign w:val="center"/>
          </w:tcPr>
          <w:p w14:paraId="1A3FFAE0">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检疫废物</w:t>
            </w:r>
          </w:p>
        </w:tc>
        <w:tc>
          <w:tcPr>
            <w:tcW w:w="744" w:type="pct"/>
            <w:tcBorders>
              <w:tl2br w:val="nil"/>
              <w:tr2bl w:val="nil"/>
            </w:tcBorders>
            <w:vAlign w:val="center"/>
          </w:tcPr>
          <w:p w14:paraId="4F5821D9">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实验室</w:t>
            </w:r>
          </w:p>
        </w:tc>
        <w:tc>
          <w:tcPr>
            <w:tcW w:w="809" w:type="pct"/>
            <w:tcBorders>
              <w:tl2br w:val="nil"/>
              <w:tr2bl w:val="nil"/>
            </w:tcBorders>
            <w:vAlign w:val="center"/>
          </w:tcPr>
          <w:p w14:paraId="52A12D3E">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540" w:type="pct"/>
            <w:tcBorders>
              <w:tl2br w:val="nil"/>
              <w:tr2bl w:val="nil"/>
            </w:tcBorders>
            <w:shd w:val="clear" w:color="auto" w:fill="auto"/>
            <w:vAlign w:val="center"/>
          </w:tcPr>
          <w:p w14:paraId="62225F5C">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3</w:t>
            </w:r>
          </w:p>
        </w:tc>
        <w:tc>
          <w:tcPr>
            <w:tcW w:w="1451" w:type="pct"/>
            <w:tcBorders>
              <w:tl2br w:val="nil"/>
              <w:tr2bl w:val="nil"/>
            </w:tcBorders>
            <w:vAlign w:val="center"/>
          </w:tcPr>
          <w:p w14:paraId="11134120">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定期由有资质的单位处置</w:t>
            </w:r>
          </w:p>
        </w:tc>
      </w:tr>
      <w:tr w14:paraId="34CDC36E">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4" w:hRule="atLeast"/>
          <w:jc w:val="center"/>
        </w:trPr>
        <w:tc>
          <w:tcPr>
            <w:tcW w:w="343" w:type="pct"/>
            <w:tcBorders>
              <w:tl2br w:val="nil"/>
              <w:tr2bl w:val="nil"/>
            </w:tcBorders>
            <w:shd w:val="clear" w:color="auto" w:fill="auto"/>
            <w:vAlign w:val="center"/>
          </w:tcPr>
          <w:p w14:paraId="170C3CC9">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11</w:t>
            </w:r>
          </w:p>
        </w:tc>
        <w:tc>
          <w:tcPr>
            <w:tcW w:w="1110" w:type="pct"/>
            <w:tcBorders>
              <w:tl2br w:val="nil"/>
              <w:tr2bl w:val="nil"/>
            </w:tcBorders>
            <w:vAlign w:val="center"/>
          </w:tcPr>
          <w:p w14:paraId="2487E1BA">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废润滑油</w:t>
            </w:r>
          </w:p>
        </w:tc>
        <w:tc>
          <w:tcPr>
            <w:tcW w:w="744" w:type="pct"/>
            <w:tcBorders>
              <w:tl2br w:val="nil"/>
              <w:tr2bl w:val="nil"/>
            </w:tcBorders>
            <w:vAlign w:val="center"/>
          </w:tcPr>
          <w:p w14:paraId="105C57AE">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生产车间</w:t>
            </w:r>
          </w:p>
        </w:tc>
        <w:tc>
          <w:tcPr>
            <w:tcW w:w="809" w:type="pct"/>
            <w:tcBorders>
              <w:tl2br w:val="nil"/>
              <w:tr2bl w:val="nil"/>
            </w:tcBorders>
            <w:vAlign w:val="center"/>
          </w:tcPr>
          <w:p w14:paraId="3B251D40">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540" w:type="pct"/>
            <w:tcBorders>
              <w:tl2br w:val="nil"/>
              <w:tr2bl w:val="nil"/>
            </w:tcBorders>
            <w:shd w:val="clear" w:color="auto" w:fill="auto"/>
            <w:vAlign w:val="center"/>
          </w:tcPr>
          <w:p w14:paraId="070955BA">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8</w:t>
            </w:r>
          </w:p>
        </w:tc>
        <w:tc>
          <w:tcPr>
            <w:tcW w:w="1451" w:type="pct"/>
            <w:tcBorders>
              <w:tl2br w:val="nil"/>
              <w:tr2bl w:val="nil"/>
            </w:tcBorders>
            <w:vAlign w:val="center"/>
          </w:tcPr>
          <w:p w14:paraId="5BE0E8B2">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定期由有资质的单位处置</w:t>
            </w:r>
          </w:p>
        </w:tc>
      </w:tr>
      <w:tr w14:paraId="003D0B64">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4" w:hRule="atLeast"/>
          <w:jc w:val="center"/>
        </w:trPr>
        <w:tc>
          <w:tcPr>
            <w:tcW w:w="343" w:type="pct"/>
            <w:tcBorders>
              <w:tl2br w:val="nil"/>
              <w:tr2bl w:val="nil"/>
            </w:tcBorders>
            <w:shd w:val="clear" w:color="auto" w:fill="auto"/>
            <w:vAlign w:val="center"/>
          </w:tcPr>
          <w:p w14:paraId="31BC1FAD">
            <w:pPr>
              <w:spacing w:line="36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12</w:t>
            </w:r>
          </w:p>
        </w:tc>
        <w:tc>
          <w:tcPr>
            <w:tcW w:w="1110" w:type="pct"/>
            <w:tcBorders>
              <w:tl2br w:val="nil"/>
              <w:tr2bl w:val="nil"/>
            </w:tcBorders>
            <w:vAlign w:val="center"/>
          </w:tcPr>
          <w:p w14:paraId="52BC27D9">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含油抹布、劳保手套</w:t>
            </w:r>
          </w:p>
        </w:tc>
        <w:tc>
          <w:tcPr>
            <w:tcW w:w="744" w:type="pct"/>
            <w:tcBorders>
              <w:tl2br w:val="nil"/>
              <w:tr2bl w:val="nil"/>
            </w:tcBorders>
            <w:vAlign w:val="center"/>
          </w:tcPr>
          <w:p w14:paraId="717C2D24">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生产车间</w:t>
            </w:r>
          </w:p>
        </w:tc>
        <w:tc>
          <w:tcPr>
            <w:tcW w:w="809" w:type="pct"/>
            <w:tcBorders>
              <w:tl2br w:val="nil"/>
              <w:tr2bl w:val="nil"/>
            </w:tcBorders>
            <w:vAlign w:val="center"/>
          </w:tcPr>
          <w:p w14:paraId="06218B85">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540" w:type="pct"/>
            <w:tcBorders>
              <w:tl2br w:val="nil"/>
              <w:tr2bl w:val="nil"/>
            </w:tcBorders>
            <w:shd w:val="clear" w:color="auto" w:fill="auto"/>
            <w:vAlign w:val="center"/>
          </w:tcPr>
          <w:p w14:paraId="70D872EE">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15</w:t>
            </w:r>
          </w:p>
        </w:tc>
        <w:tc>
          <w:tcPr>
            <w:tcW w:w="1451" w:type="pct"/>
            <w:tcBorders>
              <w:tl2br w:val="nil"/>
              <w:tr2bl w:val="nil"/>
            </w:tcBorders>
            <w:vAlign w:val="center"/>
          </w:tcPr>
          <w:p w14:paraId="55831BDB">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定期由有资质的单位处置</w:t>
            </w:r>
          </w:p>
        </w:tc>
      </w:tr>
      <w:tr w14:paraId="3D851C8F">
        <w:tblPrEx>
          <w:tblBorders>
            <w:top w:val="single" w:color="000000"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4" w:hRule="atLeast"/>
          <w:jc w:val="center"/>
        </w:trPr>
        <w:tc>
          <w:tcPr>
            <w:tcW w:w="343" w:type="pct"/>
            <w:tcBorders>
              <w:tl2br w:val="nil"/>
              <w:tr2bl w:val="nil"/>
            </w:tcBorders>
            <w:vAlign w:val="center"/>
          </w:tcPr>
          <w:p w14:paraId="3B1EB25F">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w:t>
            </w:r>
          </w:p>
        </w:tc>
        <w:tc>
          <w:tcPr>
            <w:tcW w:w="1110" w:type="pct"/>
            <w:tcBorders>
              <w:tl2br w:val="nil"/>
              <w:tr2bl w:val="nil"/>
            </w:tcBorders>
            <w:shd w:val="clear" w:color="auto" w:fill="auto"/>
            <w:vAlign w:val="center"/>
          </w:tcPr>
          <w:p w14:paraId="72E9DF29">
            <w:pPr>
              <w:spacing w:line="36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cs="Times New Roman"/>
                <w:color w:val="auto"/>
                <w:sz w:val="21"/>
                <w:szCs w:val="21"/>
                <w:highlight w:val="none"/>
              </w:rPr>
              <w:t>废活性炭</w:t>
            </w:r>
          </w:p>
        </w:tc>
        <w:tc>
          <w:tcPr>
            <w:tcW w:w="744" w:type="pct"/>
            <w:tcBorders>
              <w:tl2br w:val="nil"/>
              <w:tr2bl w:val="nil"/>
            </w:tcBorders>
            <w:shd w:val="clear" w:color="auto" w:fill="auto"/>
            <w:vAlign w:val="center"/>
          </w:tcPr>
          <w:p w14:paraId="305315A8">
            <w:pPr>
              <w:spacing w:line="36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生产车间</w:t>
            </w:r>
            <w:r>
              <w:rPr>
                <w:rFonts w:hint="eastAsia" w:cs="Times New Roman"/>
                <w:color w:val="auto"/>
                <w:sz w:val="21"/>
                <w:szCs w:val="21"/>
                <w:highlight w:val="none"/>
                <w:lang w:val="en-US" w:eastAsia="zh-CN"/>
              </w:rPr>
              <w:t>、</w:t>
            </w:r>
            <w:r>
              <w:rPr>
                <w:rFonts w:cs="Times New Roman"/>
                <w:color w:val="auto"/>
                <w:sz w:val="21"/>
                <w:szCs w:val="21"/>
                <w:highlight w:val="none"/>
              </w:rPr>
              <w:t>污水处理站</w:t>
            </w:r>
          </w:p>
        </w:tc>
        <w:tc>
          <w:tcPr>
            <w:tcW w:w="809" w:type="pct"/>
            <w:tcBorders>
              <w:tl2br w:val="nil"/>
              <w:tr2bl w:val="nil"/>
            </w:tcBorders>
            <w:shd w:val="clear" w:color="auto" w:fill="auto"/>
            <w:vAlign w:val="center"/>
          </w:tcPr>
          <w:p w14:paraId="60619C5E">
            <w:pPr>
              <w:spacing w:line="36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危险废物</w:t>
            </w:r>
          </w:p>
        </w:tc>
        <w:tc>
          <w:tcPr>
            <w:tcW w:w="540" w:type="pct"/>
            <w:tcBorders>
              <w:tl2br w:val="nil"/>
              <w:tr2bl w:val="nil"/>
            </w:tcBorders>
            <w:shd w:val="clear" w:color="auto" w:fill="auto"/>
            <w:vAlign w:val="center"/>
          </w:tcPr>
          <w:p w14:paraId="09DFC6A1">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w:t>
            </w:r>
          </w:p>
        </w:tc>
        <w:tc>
          <w:tcPr>
            <w:tcW w:w="1451" w:type="pct"/>
            <w:tcBorders>
              <w:tl2br w:val="nil"/>
              <w:tr2bl w:val="nil"/>
            </w:tcBorders>
            <w:shd w:val="clear" w:color="auto" w:fill="auto"/>
            <w:vAlign w:val="center"/>
          </w:tcPr>
          <w:p w14:paraId="26964625">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定期由有资质的单位处置</w:t>
            </w:r>
          </w:p>
        </w:tc>
      </w:tr>
      <w:bookmarkEnd w:id="294"/>
    </w:tbl>
    <w:p w14:paraId="374258A4">
      <w:pPr>
        <w:bidi w:val="0"/>
        <w:rPr>
          <w:color w:val="auto"/>
          <w:highlight w:val="none"/>
          <w:lang w:val="en-US" w:eastAsia="zh-CN"/>
        </w:rPr>
      </w:pPr>
      <w:r>
        <w:rPr>
          <w:color w:val="auto"/>
          <w:highlight w:val="none"/>
          <w:lang w:val="en-US" w:eastAsia="zh-CN"/>
        </w:rPr>
        <w:t>本项目固体废物100%处置，本项目运营期产生的固体废物对周围环境影响较小。</w:t>
      </w:r>
    </w:p>
    <w:p w14:paraId="57855BBD">
      <w:pPr>
        <w:pStyle w:val="4"/>
        <w:bidi w:val="0"/>
        <w:rPr>
          <w:color w:val="auto"/>
          <w:highlight w:val="none"/>
        </w:rPr>
      </w:pPr>
      <w:r>
        <w:rPr>
          <w:color w:val="auto"/>
          <w:highlight w:val="none"/>
        </w:rPr>
        <w:t>5.2.6生态环境影响分析</w:t>
      </w:r>
      <w:bookmarkEnd w:id="295"/>
    </w:p>
    <w:p w14:paraId="65753657">
      <w:pPr>
        <w:bidi w:val="0"/>
        <w:rPr>
          <w:color w:val="auto"/>
          <w:highlight w:val="none"/>
        </w:rPr>
      </w:pPr>
      <w:r>
        <w:rPr>
          <w:color w:val="auto"/>
          <w:highlight w:val="none"/>
        </w:rPr>
        <w:t>本项目位于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color w:val="auto"/>
          <w:highlight w:val="none"/>
        </w:rPr>
        <w:t>，项目占地类型为</w:t>
      </w:r>
      <w:r>
        <w:rPr>
          <w:rFonts w:hint="eastAsia"/>
          <w:color w:val="auto"/>
          <w:highlight w:val="none"/>
          <w:lang w:val="en-US" w:eastAsia="zh-CN"/>
        </w:rPr>
        <w:t>划拨</w:t>
      </w:r>
      <w:r>
        <w:rPr>
          <w:color w:val="auto"/>
          <w:highlight w:val="none"/>
        </w:rPr>
        <w:t>用地，区域内无珍稀、濒危动植物，生态环境比较简单，通过及时恢复地表植被、地面硬化措施，不会导致项目区的水土流失量增加。因此，从生态环境影响分析，本项目的建设是可行的。</w:t>
      </w:r>
    </w:p>
    <w:p w14:paraId="25F23D7B">
      <w:pPr>
        <w:keepNext/>
        <w:keepLines/>
        <w:ind w:firstLine="0" w:firstLineChars="0"/>
        <w:jc w:val="left"/>
        <w:outlineLvl w:val="2"/>
        <w:rPr>
          <w:rFonts w:cs="Times New Roman"/>
          <w:snapToGrid w:val="0"/>
          <w:color w:val="auto"/>
          <w:highlight w:val="none"/>
        </w:rPr>
      </w:pPr>
      <w:bookmarkStart w:id="296" w:name="_Toc3533"/>
      <w:r>
        <w:rPr>
          <w:rFonts w:eastAsia="黑体" w:cs="Times New Roman"/>
          <w:bCs/>
          <w:snapToGrid w:val="0"/>
          <w:color w:val="auto"/>
          <w:kern w:val="0"/>
          <w:szCs w:val="32"/>
          <w:highlight w:val="none"/>
        </w:rPr>
        <w:t>5.2.7风险环境影响分析</w:t>
      </w:r>
      <w:bookmarkEnd w:id="296"/>
      <w:bookmarkStart w:id="297" w:name="_Toc480447673"/>
      <w:bookmarkStart w:id="298" w:name="_Toc21211"/>
    </w:p>
    <w:p w14:paraId="43496B38">
      <w:pPr>
        <w:rPr>
          <w:rFonts w:cs="Times New Roman"/>
          <w:color w:val="auto"/>
          <w:highlight w:val="none"/>
        </w:rPr>
      </w:pPr>
      <w:r>
        <w:rPr>
          <w:rFonts w:cs="Times New Roman"/>
          <w:snapToGrid w:val="0"/>
          <w:color w:val="auto"/>
          <w:highlight w:val="none"/>
        </w:rPr>
        <w:t>根据2.3.7小节，</w:t>
      </w:r>
      <w:r>
        <w:rPr>
          <w:rFonts w:cs="Times New Roman"/>
          <w:color w:val="auto"/>
          <w:highlight w:val="none"/>
        </w:rPr>
        <w:t>环境风险评价等级确定为简单分析</w:t>
      </w:r>
    </w:p>
    <w:p w14:paraId="4C42A47F">
      <w:pPr>
        <w:rPr>
          <w:rFonts w:cs="Times New Roman"/>
          <w:b/>
          <w:bCs/>
          <w:color w:val="auto"/>
          <w:kern w:val="0"/>
          <w:szCs w:val="24"/>
          <w:highlight w:val="none"/>
          <w:lang w:bidi="ar"/>
        </w:rPr>
      </w:pPr>
      <w:r>
        <w:rPr>
          <w:rFonts w:cs="Times New Roman"/>
          <w:color w:val="auto"/>
          <w:szCs w:val="24"/>
          <w:highlight w:val="none"/>
        </w:rPr>
        <w:t>根据《建设项目环境风险评价技术导则》（HJ169-2018）附录A，简单分析基本内容详见下表。</w:t>
      </w:r>
    </w:p>
    <w:p w14:paraId="66C2A71B">
      <w:pPr>
        <w:widowControl/>
        <w:spacing w:before="163" w:beforeLines="50" w:line="240" w:lineRule="auto"/>
        <w:ind w:firstLine="0" w:firstLineChars="0"/>
        <w:jc w:val="center"/>
        <w:rPr>
          <w:rFonts w:cs="Times New Roman"/>
          <w:b/>
          <w:bCs/>
          <w:color w:val="auto"/>
          <w:kern w:val="0"/>
          <w:szCs w:val="24"/>
          <w:highlight w:val="none"/>
          <w:lang w:bidi="ar"/>
        </w:rPr>
      </w:pPr>
      <w:r>
        <w:rPr>
          <w:rFonts w:cs="Times New Roman"/>
          <w:b/>
          <w:bCs/>
          <w:color w:val="auto"/>
          <w:kern w:val="0"/>
          <w:szCs w:val="24"/>
          <w:highlight w:val="none"/>
          <w:lang w:bidi="ar"/>
        </w:rPr>
        <w:t>表5-2-2</w:t>
      </w:r>
      <w:r>
        <w:rPr>
          <w:rFonts w:hint="eastAsia" w:cs="Times New Roman"/>
          <w:b/>
          <w:bCs/>
          <w:color w:val="auto"/>
          <w:kern w:val="0"/>
          <w:szCs w:val="24"/>
          <w:highlight w:val="none"/>
          <w:lang w:val="en-US" w:eastAsia="zh-CN" w:bidi="ar"/>
        </w:rPr>
        <w:t>4</w:t>
      </w:r>
      <w:r>
        <w:rPr>
          <w:rFonts w:cs="Times New Roman"/>
          <w:b/>
          <w:bCs/>
          <w:color w:val="auto"/>
          <w:kern w:val="0"/>
          <w:szCs w:val="24"/>
          <w:highlight w:val="none"/>
          <w:lang w:bidi="ar"/>
        </w:rPr>
        <w:t xml:space="preserve">   建设项目环境风险简单分析内容表</w:t>
      </w:r>
    </w:p>
    <w:tbl>
      <w:tblPr>
        <w:tblStyle w:val="47"/>
        <w:tblW w:w="84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1763"/>
        <w:gridCol w:w="1720"/>
        <w:gridCol w:w="1241"/>
        <w:gridCol w:w="1212"/>
        <w:gridCol w:w="1428"/>
      </w:tblGrid>
      <w:tr w14:paraId="27308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667" w:type="pct"/>
            <w:tcBorders>
              <w:top w:val="single" w:color="auto" w:sz="12" w:space="0"/>
              <w:left w:val="nil"/>
              <w:bottom w:val="single" w:color="auto" w:sz="4" w:space="0"/>
              <w:right w:val="single" w:color="auto" w:sz="4" w:space="0"/>
            </w:tcBorders>
            <w:vAlign w:val="center"/>
          </w:tcPr>
          <w:p w14:paraId="5C2DB4F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项目名称</w:t>
            </w:r>
          </w:p>
        </w:tc>
        <w:tc>
          <w:tcPr>
            <w:tcW w:w="4332" w:type="pct"/>
            <w:gridSpan w:val="5"/>
            <w:tcBorders>
              <w:top w:val="single" w:color="auto" w:sz="12" w:space="0"/>
              <w:left w:val="single" w:color="auto" w:sz="4" w:space="0"/>
              <w:bottom w:val="single" w:color="auto" w:sz="4" w:space="0"/>
              <w:right w:val="nil"/>
            </w:tcBorders>
            <w:vAlign w:val="center"/>
          </w:tcPr>
          <w:p w14:paraId="43910A9C">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eastAsia="zh-CN"/>
              </w:rPr>
              <w:t>双鸭山市兴昌屠宰有限公司建设项目</w:t>
            </w:r>
          </w:p>
        </w:tc>
      </w:tr>
      <w:tr w14:paraId="50BD22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67" w:type="pct"/>
            <w:tcBorders>
              <w:top w:val="single" w:color="auto" w:sz="4" w:space="0"/>
              <w:left w:val="nil"/>
              <w:bottom w:val="single" w:color="auto" w:sz="4" w:space="0"/>
              <w:right w:val="single" w:color="auto" w:sz="4" w:space="0"/>
            </w:tcBorders>
            <w:vAlign w:val="center"/>
          </w:tcPr>
          <w:p w14:paraId="0EEBAFC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建设地点</w:t>
            </w:r>
          </w:p>
        </w:tc>
        <w:tc>
          <w:tcPr>
            <w:tcW w:w="1037" w:type="pct"/>
            <w:tcBorders>
              <w:top w:val="single" w:color="auto" w:sz="4" w:space="0"/>
              <w:left w:val="single" w:color="auto" w:sz="4" w:space="0"/>
              <w:bottom w:val="single" w:color="auto" w:sz="4" w:space="0"/>
              <w:right w:val="single" w:color="auto" w:sz="4" w:space="0"/>
            </w:tcBorders>
            <w:vAlign w:val="center"/>
          </w:tcPr>
          <w:p w14:paraId="6933568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（黑龙江）省</w:t>
            </w:r>
          </w:p>
        </w:tc>
        <w:tc>
          <w:tcPr>
            <w:tcW w:w="1011" w:type="pct"/>
            <w:tcBorders>
              <w:top w:val="single" w:color="auto" w:sz="4" w:space="0"/>
              <w:left w:val="single" w:color="auto" w:sz="4" w:space="0"/>
              <w:bottom w:val="single" w:color="auto" w:sz="4" w:space="0"/>
              <w:right w:val="single" w:color="auto" w:sz="4" w:space="0"/>
            </w:tcBorders>
            <w:vAlign w:val="center"/>
          </w:tcPr>
          <w:p w14:paraId="3D58737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r>
              <w:rPr>
                <w:rFonts w:hint="eastAsia" w:cs="Times New Roman"/>
                <w:color w:val="auto"/>
                <w:sz w:val="21"/>
                <w:szCs w:val="21"/>
                <w:highlight w:val="none"/>
                <w:lang w:val="en-US" w:eastAsia="zh-CN"/>
              </w:rPr>
              <w:t>双鸭山</w:t>
            </w:r>
            <w:r>
              <w:rPr>
                <w:rFonts w:cs="Times New Roman"/>
                <w:color w:val="auto"/>
                <w:sz w:val="21"/>
                <w:szCs w:val="21"/>
                <w:highlight w:val="none"/>
              </w:rPr>
              <w:t>）市</w:t>
            </w:r>
          </w:p>
        </w:tc>
        <w:tc>
          <w:tcPr>
            <w:tcW w:w="730" w:type="pct"/>
            <w:tcBorders>
              <w:top w:val="single" w:color="auto" w:sz="4" w:space="0"/>
              <w:left w:val="single" w:color="auto" w:sz="4" w:space="0"/>
              <w:bottom w:val="single" w:color="auto" w:sz="4" w:space="0"/>
              <w:right w:val="single" w:color="auto" w:sz="4" w:space="0"/>
            </w:tcBorders>
            <w:vAlign w:val="center"/>
          </w:tcPr>
          <w:p w14:paraId="6E4246B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r>
              <w:rPr>
                <w:rFonts w:hint="eastAsia" w:cs="Times New Roman"/>
                <w:color w:val="auto"/>
                <w:sz w:val="21"/>
                <w:szCs w:val="21"/>
                <w:highlight w:val="none"/>
                <w:lang w:val="en-US" w:eastAsia="zh-CN"/>
              </w:rPr>
              <w:t>岭东</w:t>
            </w:r>
            <w:r>
              <w:rPr>
                <w:rFonts w:cs="Times New Roman"/>
                <w:color w:val="auto"/>
                <w:sz w:val="21"/>
                <w:szCs w:val="21"/>
                <w:highlight w:val="none"/>
              </w:rPr>
              <w:t>）区</w:t>
            </w:r>
          </w:p>
        </w:tc>
        <w:tc>
          <w:tcPr>
            <w:tcW w:w="713" w:type="pct"/>
            <w:tcBorders>
              <w:top w:val="single" w:color="auto" w:sz="4" w:space="0"/>
              <w:left w:val="single" w:color="auto" w:sz="4" w:space="0"/>
              <w:bottom w:val="single" w:color="auto" w:sz="4" w:space="0"/>
              <w:right w:val="single" w:color="auto" w:sz="4" w:space="0"/>
            </w:tcBorders>
            <w:vAlign w:val="center"/>
          </w:tcPr>
          <w:p w14:paraId="36C7F94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（）县</w:t>
            </w:r>
          </w:p>
        </w:tc>
        <w:tc>
          <w:tcPr>
            <w:tcW w:w="840" w:type="pct"/>
            <w:tcBorders>
              <w:top w:val="single" w:color="auto" w:sz="4" w:space="0"/>
              <w:left w:val="single" w:color="auto" w:sz="4" w:space="0"/>
              <w:bottom w:val="single" w:color="auto" w:sz="4" w:space="0"/>
              <w:right w:val="nil"/>
            </w:tcBorders>
            <w:vAlign w:val="center"/>
          </w:tcPr>
          <w:p w14:paraId="7E5627E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（）园区</w:t>
            </w:r>
          </w:p>
        </w:tc>
      </w:tr>
      <w:tr w14:paraId="691C79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67" w:type="pct"/>
            <w:tcBorders>
              <w:top w:val="single" w:color="auto" w:sz="4" w:space="0"/>
              <w:left w:val="nil"/>
              <w:bottom w:val="single" w:color="auto" w:sz="4" w:space="0"/>
              <w:right w:val="single" w:color="auto" w:sz="4" w:space="0"/>
            </w:tcBorders>
            <w:vAlign w:val="center"/>
          </w:tcPr>
          <w:p w14:paraId="3469880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地理坐标</w:t>
            </w:r>
          </w:p>
        </w:tc>
        <w:tc>
          <w:tcPr>
            <w:tcW w:w="1037" w:type="pct"/>
            <w:tcBorders>
              <w:top w:val="single" w:color="auto" w:sz="4" w:space="0"/>
              <w:left w:val="single" w:color="auto" w:sz="4" w:space="0"/>
              <w:bottom w:val="single" w:color="auto" w:sz="4" w:space="0"/>
              <w:right w:val="single" w:color="auto" w:sz="4" w:space="0"/>
            </w:tcBorders>
            <w:vAlign w:val="center"/>
          </w:tcPr>
          <w:p w14:paraId="6CD3B14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经度</w:t>
            </w:r>
          </w:p>
        </w:tc>
        <w:tc>
          <w:tcPr>
            <w:tcW w:w="1011" w:type="pct"/>
            <w:tcBorders>
              <w:top w:val="single" w:color="auto" w:sz="4" w:space="0"/>
              <w:left w:val="single" w:color="auto" w:sz="4" w:space="0"/>
              <w:bottom w:val="single" w:color="auto" w:sz="4" w:space="0"/>
              <w:right w:val="single" w:color="auto" w:sz="4" w:space="0"/>
            </w:tcBorders>
            <w:vAlign w:val="center"/>
          </w:tcPr>
          <w:p w14:paraId="26781CD6">
            <w:pPr>
              <w:spacing w:line="36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131.14963963°</w:t>
            </w:r>
          </w:p>
        </w:tc>
        <w:tc>
          <w:tcPr>
            <w:tcW w:w="730" w:type="pct"/>
            <w:tcBorders>
              <w:top w:val="single" w:color="auto" w:sz="4" w:space="0"/>
              <w:left w:val="single" w:color="auto" w:sz="4" w:space="0"/>
              <w:bottom w:val="single" w:color="auto" w:sz="4" w:space="0"/>
              <w:right w:val="single" w:color="auto" w:sz="4" w:space="0"/>
            </w:tcBorders>
            <w:vAlign w:val="center"/>
          </w:tcPr>
          <w:p w14:paraId="40899F5C">
            <w:pPr>
              <w:spacing w:line="36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纬度</w:t>
            </w:r>
          </w:p>
        </w:tc>
        <w:tc>
          <w:tcPr>
            <w:tcW w:w="1553" w:type="pct"/>
            <w:gridSpan w:val="2"/>
            <w:tcBorders>
              <w:top w:val="single" w:color="auto" w:sz="4" w:space="0"/>
              <w:left w:val="single" w:color="auto" w:sz="4" w:space="0"/>
              <w:bottom w:val="single" w:color="auto" w:sz="4" w:space="0"/>
              <w:right w:val="nil"/>
            </w:tcBorders>
            <w:vAlign w:val="center"/>
          </w:tcPr>
          <w:p w14:paraId="15C15C01">
            <w:pPr>
              <w:spacing w:line="36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46.55711658°</w:t>
            </w:r>
          </w:p>
        </w:tc>
      </w:tr>
      <w:tr w14:paraId="7F9D85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667" w:type="pct"/>
            <w:tcBorders>
              <w:top w:val="single" w:color="auto" w:sz="4" w:space="0"/>
              <w:left w:val="nil"/>
              <w:bottom w:val="single" w:color="auto" w:sz="4" w:space="0"/>
              <w:right w:val="single" w:color="auto" w:sz="4" w:space="0"/>
            </w:tcBorders>
            <w:vAlign w:val="center"/>
          </w:tcPr>
          <w:p w14:paraId="57849A6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主要危险物质分布</w:t>
            </w:r>
          </w:p>
        </w:tc>
        <w:tc>
          <w:tcPr>
            <w:tcW w:w="4332" w:type="pct"/>
            <w:gridSpan w:val="5"/>
            <w:tcBorders>
              <w:top w:val="single" w:color="auto" w:sz="4" w:space="0"/>
              <w:left w:val="single" w:color="auto" w:sz="4" w:space="0"/>
              <w:bottom w:val="single" w:color="auto" w:sz="4" w:space="0"/>
              <w:right w:val="nil"/>
            </w:tcBorders>
            <w:vAlign w:val="center"/>
          </w:tcPr>
          <w:p w14:paraId="2292566C">
            <w:pPr>
              <w:spacing w:line="360" w:lineRule="exact"/>
              <w:ind w:firstLine="0" w:firstLineChars="0"/>
              <w:jc w:val="center"/>
              <w:rPr>
                <w:rFonts w:hint="eastAsia" w:eastAsia="宋体" w:cs="Times New Roman"/>
                <w:color w:val="auto"/>
                <w:sz w:val="21"/>
                <w:szCs w:val="21"/>
                <w:highlight w:val="none"/>
                <w:lang w:eastAsia="zh-CN"/>
              </w:rPr>
            </w:pPr>
            <w:r>
              <w:rPr>
                <w:rFonts w:cs="Times New Roman"/>
                <w:bCs/>
                <w:color w:val="auto"/>
                <w:kern w:val="0"/>
                <w:sz w:val="21"/>
                <w:szCs w:val="21"/>
                <w:highlight w:val="none"/>
              </w:rPr>
              <w:t>污水处理站消毒单元</w:t>
            </w:r>
            <w:r>
              <w:rPr>
                <w:rFonts w:hint="eastAsia" w:cs="Times New Roman"/>
                <w:bCs/>
                <w:color w:val="auto"/>
                <w:kern w:val="0"/>
                <w:sz w:val="21"/>
                <w:szCs w:val="21"/>
                <w:highlight w:val="none"/>
              </w:rPr>
              <w:t>（</w:t>
            </w:r>
            <w:r>
              <w:rPr>
                <w:rFonts w:hint="eastAsia" w:cs="Times New Roman"/>
                <w:bCs/>
                <w:color w:val="auto"/>
                <w:kern w:val="0"/>
                <w:sz w:val="21"/>
                <w:szCs w:val="21"/>
                <w:highlight w:val="none"/>
                <w:lang w:val="en-US" w:eastAsia="zh-CN"/>
              </w:rPr>
              <w:t>次氯酸钠</w:t>
            </w:r>
            <w:r>
              <w:rPr>
                <w:rFonts w:hint="eastAsia" w:cs="Times New Roman"/>
                <w:bCs/>
                <w:color w:val="auto"/>
                <w:kern w:val="0"/>
                <w:sz w:val="21"/>
                <w:szCs w:val="21"/>
                <w:highlight w:val="none"/>
              </w:rPr>
              <w:t>）</w:t>
            </w:r>
          </w:p>
        </w:tc>
      </w:tr>
      <w:tr w14:paraId="0B6314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8" w:hRule="atLeast"/>
          <w:jc w:val="center"/>
        </w:trPr>
        <w:tc>
          <w:tcPr>
            <w:tcW w:w="667" w:type="pct"/>
            <w:tcBorders>
              <w:top w:val="single" w:color="auto" w:sz="4" w:space="0"/>
              <w:left w:val="nil"/>
              <w:bottom w:val="single" w:color="auto" w:sz="4" w:space="0"/>
              <w:right w:val="single" w:color="auto" w:sz="4" w:space="0"/>
            </w:tcBorders>
            <w:vAlign w:val="center"/>
          </w:tcPr>
          <w:p w14:paraId="2EB090D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影响途径及危害后果</w:t>
            </w:r>
          </w:p>
        </w:tc>
        <w:tc>
          <w:tcPr>
            <w:tcW w:w="4332" w:type="pct"/>
            <w:gridSpan w:val="5"/>
            <w:tcBorders>
              <w:top w:val="single" w:color="auto" w:sz="4" w:space="0"/>
              <w:left w:val="single" w:color="auto" w:sz="4" w:space="0"/>
              <w:bottom w:val="single" w:color="auto" w:sz="4" w:space="0"/>
              <w:right w:val="nil"/>
            </w:tcBorders>
            <w:vAlign w:val="center"/>
          </w:tcPr>
          <w:p w14:paraId="3BD5EFF2">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当发生污水站突发性环境事故时，废水未经处理直接进入外环境造成地下水及土壤的污染，引起病毒细菌等有害物质的直接扩散，对接触人群造成感染性传播等危险。如果污水管道、池体防渗措施不到位，发生污水渗漏将对地下水造成严重污染。渗漏的污水中含有大量大肠杆菌、链球菌、葡萄球菌等与人体健康有关的细菌，将会污染到地下水，造成地下水中有机物、细菌病毒等超标，并通过人的饮用将对人体健康产生危害。</w:t>
            </w:r>
          </w:p>
          <w:p w14:paraId="3F9CE808">
            <w:pPr>
              <w:pStyle w:val="117"/>
              <w:adjustRightInd w:val="0"/>
              <w:snapToGrid w:val="0"/>
              <w:spacing w:line="360" w:lineRule="exact"/>
              <w:ind w:firstLine="420"/>
              <w:rPr>
                <w:rFonts w:cs="Times New Roman"/>
                <w:color w:val="auto"/>
                <w:highlight w:val="none"/>
              </w:rPr>
            </w:pPr>
            <w:r>
              <w:rPr>
                <w:rFonts w:cs="Times New Roman"/>
                <w:snapToGrid w:val="0"/>
                <w:color w:val="auto"/>
                <w:sz w:val="21"/>
                <w:szCs w:val="21"/>
                <w:highlight w:val="none"/>
              </w:rPr>
              <w:t>事故状态下，</w:t>
            </w:r>
            <w:r>
              <w:rPr>
                <w:rFonts w:hint="eastAsia" w:cs="Times New Roman"/>
                <w:snapToGrid w:val="0"/>
                <w:color w:val="auto"/>
                <w:sz w:val="21"/>
                <w:szCs w:val="21"/>
                <w:highlight w:val="none"/>
                <w:lang w:val="en-US" w:eastAsia="zh-CN"/>
              </w:rPr>
              <w:t>次氯酸钠</w:t>
            </w:r>
            <w:r>
              <w:rPr>
                <w:rFonts w:cs="Times New Roman"/>
                <w:snapToGrid w:val="0"/>
                <w:color w:val="auto"/>
                <w:sz w:val="21"/>
                <w:szCs w:val="21"/>
                <w:highlight w:val="none"/>
              </w:rPr>
              <w:t>挥发，有毒性和刺激性，直接接触液体或高浓度蒸气可能引发</w:t>
            </w:r>
            <w:r>
              <w:rPr>
                <w:rFonts w:hint="default" w:cs="Times New Roman"/>
                <w:snapToGrid w:val="0"/>
                <w:color w:val="auto"/>
                <w:sz w:val="21"/>
                <w:szCs w:val="21"/>
                <w:highlight w:val="none"/>
              </w:rPr>
              <w:t>灼伤、红肿、疼痛，严重时导致组织坏死或视力损伤。</w:t>
            </w:r>
            <w:r>
              <w:rPr>
                <w:rFonts w:cs="Times New Roman"/>
                <w:snapToGrid w:val="0"/>
                <w:color w:val="auto"/>
                <w:sz w:val="21"/>
                <w:szCs w:val="21"/>
                <w:highlight w:val="none"/>
              </w:rPr>
              <w:t>吸入次氯酸钠挥发的气体（如氯气）会刺激呼吸道，引发咳嗽、呼吸困难，高浓度下可能导致</w:t>
            </w:r>
            <w:r>
              <w:rPr>
                <w:rFonts w:hint="default" w:cs="Times New Roman"/>
                <w:snapToGrid w:val="0"/>
                <w:color w:val="auto"/>
                <w:sz w:val="21"/>
                <w:szCs w:val="21"/>
                <w:highlight w:val="none"/>
              </w:rPr>
              <w:t>肺水肿。</w:t>
            </w:r>
            <w:r>
              <w:rPr>
                <w:rFonts w:cs="Times New Roman"/>
                <w:snapToGrid w:val="0"/>
                <w:color w:val="auto"/>
                <w:sz w:val="21"/>
                <w:szCs w:val="21"/>
                <w:highlight w:val="none"/>
              </w:rPr>
              <w:t>误服后可能灼伤口腔、食道和胃黏膜，引发恶心、呕吐、腹痛，严重时可导致</w:t>
            </w:r>
            <w:r>
              <w:rPr>
                <w:rFonts w:hint="default" w:cs="Times New Roman"/>
                <w:snapToGrid w:val="0"/>
                <w:color w:val="auto"/>
                <w:sz w:val="21"/>
                <w:szCs w:val="21"/>
                <w:highlight w:val="none"/>
              </w:rPr>
              <w:t>休克或器官衰竭</w:t>
            </w:r>
          </w:p>
        </w:tc>
      </w:tr>
      <w:tr w14:paraId="66C926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667" w:type="pct"/>
            <w:tcBorders>
              <w:top w:val="single" w:color="auto" w:sz="4" w:space="0"/>
              <w:left w:val="nil"/>
              <w:bottom w:val="single" w:color="auto" w:sz="12" w:space="0"/>
              <w:right w:val="single" w:color="auto" w:sz="4" w:space="0"/>
            </w:tcBorders>
            <w:vAlign w:val="center"/>
          </w:tcPr>
          <w:p w14:paraId="2A2A1AE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风险防范措施</w:t>
            </w:r>
          </w:p>
        </w:tc>
        <w:tc>
          <w:tcPr>
            <w:tcW w:w="4332" w:type="pct"/>
            <w:gridSpan w:val="5"/>
            <w:tcBorders>
              <w:top w:val="single" w:color="auto" w:sz="4" w:space="0"/>
              <w:left w:val="single" w:color="auto" w:sz="4" w:space="0"/>
              <w:bottom w:val="single" w:color="auto" w:sz="12" w:space="0"/>
              <w:right w:val="nil"/>
            </w:tcBorders>
            <w:vAlign w:val="center"/>
          </w:tcPr>
          <w:p w14:paraId="566BD5C8">
            <w:pPr>
              <w:pStyle w:val="117"/>
              <w:adjustRightInd w:val="0"/>
              <w:snapToGrid w:val="0"/>
              <w:spacing w:line="360" w:lineRule="exact"/>
              <w:ind w:firstLine="422"/>
              <w:rPr>
                <w:rFonts w:cs="Times New Roman"/>
                <w:b/>
                <w:bCs/>
                <w:snapToGrid w:val="0"/>
                <w:color w:val="auto"/>
                <w:sz w:val="21"/>
                <w:szCs w:val="21"/>
                <w:highlight w:val="none"/>
              </w:rPr>
            </w:pPr>
            <w:r>
              <w:rPr>
                <w:rFonts w:cs="Times New Roman"/>
                <w:b/>
                <w:bCs/>
                <w:snapToGrid w:val="0"/>
                <w:color w:val="auto"/>
                <w:sz w:val="21"/>
                <w:szCs w:val="21"/>
                <w:highlight w:val="none"/>
              </w:rPr>
              <w:t>1、地表水环境风险防范措施</w:t>
            </w:r>
          </w:p>
          <w:p w14:paraId="19CF3852">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1）事故池及污水处理站各个池体均为地埋式，加盖密闭，避免雨水进入；</w:t>
            </w:r>
          </w:p>
          <w:p w14:paraId="5E5D3EC8">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2）沿厂区边界设置截洪沟，以防暴雨冲击；</w:t>
            </w:r>
          </w:p>
          <w:p w14:paraId="27410BE7">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3）密切关注天气变化情况，如有强降雨来临，应提前准备防雨防洪等拦截设置。</w:t>
            </w:r>
          </w:p>
          <w:p w14:paraId="3E2F24F2">
            <w:pPr>
              <w:pStyle w:val="117"/>
              <w:adjustRightInd w:val="0"/>
              <w:snapToGrid w:val="0"/>
              <w:spacing w:line="360" w:lineRule="exact"/>
              <w:ind w:firstLine="422"/>
              <w:rPr>
                <w:rFonts w:cs="Times New Roman"/>
                <w:snapToGrid w:val="0"/>
                <w:color w:val="auto"/>
                <w:sz w:val="21"/>
                <w:szCs w:val="21"/>
                <w:highlight w:val="none"/>
              </w:rPr>
            </w:pPr>
            <w:r>
              <w:rPr>
                <w:rFonts w:cs="Times New Roman"/>
                <w:b/>
                <w:bCs/>
                <w:color w:val="auto"/>
                <w:sz w:val="21"/>
                <w:szCs w:val="21"/>
                <w:highlight w:val="none"/>
              </w:rPr>
              <w:t>2、地下水环境及土壤环境风险防范措施</w:t>
            </w:r>
          </w:p>
          <w:p w14:paraId="1636100F">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1）</w:t>
            </w:r>
            <w:r>
              <w:rPr>
                <w:rFonts w:cs="Times New Roman"/>
                <w:snapToGrid w:val="0"/>
                <w:color w:val="auto"/>
                <w:kern w:val="0"/>
                <w:sz w:val="21"/>
                <w:szCs w:val="21"/>
                <w:highlight w:val="none"/>
              </w:rPr>
              <w:t>加强施工期的管理，提高施工质量，确保管线、池体的工程质量，减少泄漏事故的发生；发生泄漏事故时应及时采取措施，将影响将至最低；</w:t>
            </w:r>
          </w:p>
          <w:p w14:paraId="6BDF1791">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2）分区防渗</w:t>
            </w:r>
          </w:p>
          <w:p w14:paraId="29E440D1">
            <w:pPr>
              <w:pStyle w:val="117"/>
              <w:adjustRightInd w:val="0"/>
              <w:snapToGrid w:val="0"/>
              <w:spacing w:line="360" w:lineRule="exact"/>
              <w:ind w:firstLine="420"/>
              <w:rPr>
                <w:rFonts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危险废物暂存点</w:t>
            </w:r>
            <w:r>
              <w:rPr>
                <w:rFonts w:ascii="Times New Roman" w:hAnsi="Times New Roman" w:eastAsia="宋体" w:cs="Times New Roman"/>
                <w:snapToGrid w:val="0"/>
                <w:color w:val="auto"/>
                <w:kern w:val="0"/>
                <w:sz w:val="21"/>
                <w:szCs w:val="21"/>
                <w:highlight w:val="none"/>
              </w:rPr>
              <w:t>按重点防渗区采取防渗措施。</w:t>
            </w:r>
            <w:r>
              <w:rPr>
                <w:rFonts w:hint="eastAsia" w:ascii="Times New Roman" w:hAnsi="Times New Roman" w:eastAsia="宋体" w:cs="Times New Roman"/>
                <w:snapToGrid w:val="0"/>
                <w:color w:val="auto"/>
                <w:kern w:val="0"/>
                <w:sz w:val="21"/>
                <w:szCs w:val="21"/>
                <w:highlight w:val="none"/>
                <w:lang w:eastAsia="zh-CN"/>
              </w:rPr>
              <w:t>参照《危险废物贮存污染控制标准》（GB18597-20</w:t>
            </w:r>
            <w:r>
              <w:rPr>
                <w:rFonts w:hint="eastAsia" w:ascii="Times New Roman" w:hAnsi="Times New Roman" w:eastAsia="宋体" w:cs="Times New Roman"/>
                <w:snapToGrid w:val="0"/>
                <w:color w:val="auto"/>
                <w:kern w:val="0"/>
                <w:sz w:val="21"/>
                <w:szCs w:val="21"/>
                <w:highlight w:val="none"/>
                <w:lang w:val="en-US" w:eastAsia="zh-CN"/>
              </w:rPr>
              <w:t>23</w:t>
            </w:r>
            <w:r>
              <w:rPr>
                <w:rFonts w:hint="eastAsia" w:ascii="Times New Roman" w:hAnsi="Times New Roman" w:eastAsia="宋体" w:cs="Times New Roman"/>
                <w:snapToGrid w:val="0"/>
                <w:color w:val="auto"/>
                <w:kern w:val="0"/>
                <w:sz w:val="21"/>
                <w:szCs w:val="21"/>
                <w:highlight w:val="none"/>
                <w:lang w:eastAsia="zh-CN"/>
              </w:rPr>
              <w:t>）执行，基</w:t>
            </w:r>
            <w:r>
              <w:rPr>
                <w:rFonts w:hint="eastAsia" w:cs="Times New Roman"/>
                <w:snapToGrid w:val="0"/>
                <w:color w:val="auto"/>
                <w:kern w:val="0"/>
                <w:sz w:val="21"/>
                <w:szCs w:val="21"/>
                <w:highlight w:val="none"/>
                <w:lang w:eastAsia="zh-CN"/>
              </w:rPr>
              <w:t>础必须防渗，防渗层为至少1m厚粘土层（渗透系数≤10</w:t>
            </w:r>
            <w:r>
              <w:rPr>
                <w:rFonts w:hint="eastAsia" w:cs="Times New Roman"/>
                <w:snapToGrid w:val="0"/>
                <w:color w:val="auto"/>
                <w:kern w:val="0"/>
                <w:sz w:val="21"/>
                <w:szCs w:val="21"/>
                <w:highlight w:val="none"/>
                <w:vertAlign w:val="superscript"/>
                <w:lang w:eastAsia="zh-CN"/>
              </w:rPr>
              <w:t>-7</w:t>
            </w:r>
            <w:r>
              <w:rPr>
                <w:rFonts w:hint="eastAsia" w:cs="Times New Roman"/>
                <w:snapToGrid w:val="0"/>
                <w:color w:val="auto"/>
                <w:kern w:val="0"/>
                <w:sz w:val="21"/>
                <w:szCs w:val="21"/>
                <w:highlight w:val="none"/>
                <w:lang w:eastAsia="zh-CN"/>
              </w:rPr>
              <w:t>cm/s），或2mm厚高密度聚乙烯，或至少2mm厚的其它人工材料，渗透系数≤10</w:t>
            </w:r>
            <w:r>
              <w:rPr>
                <w:rFonts w:hint="eastAsia" w:cs="Times New Roman"/>
                <w:snapToGrid w:val="0"/>
                <w:color w:val="auto"/>
                <w:kern w:val="0"/>
                <w:sz w:val="21"/>
                <w:szCs w:val="21"/>
                <w:highlight w:val="none"/>
                <w:vertAlign w:val="superscript"/>
                <w:lang w:eastAsia="zh-CN"/>
              </w:rPr>
              <w:t>-10</w:t>
            </w:r>
            <w:r>
              <w:rPr>
                <w:rFonts w:hint="eastAsia" w:cs="Times New Roman"/>
                <w:snapToGrid w:val="0"/>
                <w:color w:val="auto"/>
                <w:kern w:val="0"/>
                <w:sz w:val="21"/>
                <w:szCs w:val="21"/>
                <w:highlight w:val="none"/>
                <w:lang w:eastAsia="zh-CN"/>
              </w:rPr>
              <w:t>cm/s</w:t>
            </w:r>
            <w:r>
              <w:rPr>
                <w:rFonts w:cs="Times New Roman"/>
                <w:snapToGrid w:val="0"/>
                <w:color w:val="auto"/>
                <w:kern w:val="0"/>
                <w:sz w:val="21"/>
                <w:szCs w:val="21"/>
                <w:highlight w:val="none"/>
              </w:rPr>
              <w:t>；</w:t>
            </w:r>
          </w:p>
          <w:p w14:paraId="3C025CFA">
            <w:pPr>
              <w:pStyle w:val="117"/>
              <w:adjustRightInd w:val="0"/>
              <w:snapToGrid w:val="0"/>
              <w:spacing w:line="360" w:lineRule="exact"/>
              <w:ind w:firstLine="420"/>
              <w:rPr>
                <w:rFonts w:cs="Times New Roman"/>
                <w:snapToGrid w:val="0"/>
                <w:color w:val="auto"/>
                <w:kern w:val="0"/>
                <w:sz w:val="21"/>
                <w:szCs w:val="21"/>
                <w:highlight w:val="none"/>
              </w:rPr>
            </w:pPr>
            <w:r>
              <w:rPr>
                <w:rFonts w:hint="eastAsia" w:cs="Times New Roman"/>
                <w:color w:val="auto"/>
                <w:sz w:val="21"/>
                <w:szCs w:val="21"/>
                <w:highlight w:val="none"/>
                <w:lang w:eastAsia="zh-CN"/>
              </w:rPr>
              <w:t>生产车间（包含冷库）、隔离圈、污水处理站、事故池及固体废物暂存间按一般防渗区采取防渗措施。基础防渗</w:t>
            </w:r>
            <w:r>
              <w:rPr>
                <w:rFonts w:cs="Times New Roman"/>
                <w:snapToGrid w:val="0"/>
                <w:color w:val="auto"/>
                <w:kern w:val="0"/>
                <w:sz w:val="21"/>
                <w:szCs w:val="21"/>
                <w:highlight w:val="none"/>
              </w:rPr>
              <w:t>，</w:t>
            </w:r>
            <w:r>
              <w:rPr>
                <w:rFonts w:cs="Times New Roman"/>
                <w:snapToGrid w:val="0"/>
                <w:color w:val="auto"/>
                <w:kern w:val="0"/>
                <w:sz w:val="21"/>
                <w:szCs w:val="21"/>
                <w:highlight w:val="none"/>
                <w:lang w:val="zh-CN"/>
              </w:rPr>
              <w:t>防渗层为至少1m厚粘土层或2mm厚高密度聚乙烯，</w:t>
            </w:r>
            <w:r>
              <w:rPr>
                <w:rFonts w:cs="Times New Roman"/>
                <w:snapToGrid w:val="0"/>
                <w:color w:val="auto"/>
                <w:kern w:val="0"/>
                <w:sz w:val="21"/>
                <w:szCs w:val="21"/>
                <w:highlight w:val="none"/>
              </w:rPr>
              <w:t>需满足等效黏土防渗层Mb≥1.5m，K≤1×10</w:t>
            </w:r>
            <w:r>
              <w:rPr>
                <w:rFonts w:cs="Times New Roman"/>
                <w:snapToGrid w:val="0"/>
                <w:color w:val="auto"/>
                <w:kern w:val="0"/>
                <w:sz w:val="21"/>
                <w:szCs w:val="21"/>
                <w:highlight w:val="none"/>
                <w:vertAlign w:val="superscript"/>
              </w:rPr>
              <w:t>-7</w:t>
            </w:r>
            <w:r>
              <w:rPr>
                <w:rFonts w:cs="Times New Roman"/>
                <w:snapToGrid w:val="0"/>
                <w:color w:val="auto"/>
                <w:kern w:val="0"/>
                <w:sz w:val="21"/>
                <w:szCs w:val="21"/>
                <w:highlight w:val="none"/>
              </w:rPr>
              <w:t>cm/s的要求，在做好基层防渗的基础上进行水泥硬化；</w:t>
            </w:r>
          </w:p>
          <w:p w14:paraId="08E59283">
            <w:pPr>
              <w:pStyle w:val="117"/>
              <w:adjustRightInd w:val="0"/>
              <w:snapToGrid w:val="0"/>
              <w:spacing w:line="360" w:lineRule="exact"/>
              <w:ind w:firstLine="420"/>
              <w:rPr>
                <w:rFonts w:cs="Times New Roman"/>
                <w:snapToGrid w:val="0"/>
                <w:color w:val="auto"/>
                <w:kern w:val="0"/>
                <w:sz w:val="21"/>
                <w:szCs w:val="21"/>
                <w:highlight w:val="none"/>
              </w:rPr>
            </w:pPr>
            <w:r>
              <w:rPr>
                <w:rFonts w:cs="Times New Roman"/>
                <w:snapToGrid w:val="0"/>
                <w:color w:val="auto"/>
                <w:kern w:val="0"/>
                <w:sz w:val="21"/>
                <w:szCs w:val="21"/>
                <w:highlight w:val="none"/>
              </w:rPr>
              <w:t>其他建筑物及道路采取简单防渗，对其地面采用混凝土进行一般地面硬化；</w:t>
            </w:r>
          </w:p>
          <w:p w14:paraId="76DCD325">
            <w:pPr>
              <w:pStyle w:val="117"/>
              <w:adjustRightInd w:val="0"/>
              <w:snapToGrid w:val="0"/>
              <w:spacing w:line="360" w:lineRule="exact"/>
              <w:ind w:firstLine="420"/>
              <w:rPr>
                <w:rFonts w:cs="Times New Roman"/>
                <w:snapToGrid w:val="0"/>
                <w:color w:val="auto"/>
                <w:kern w:val="0"/>
                <w:sz w:val="21"/>
                <w:szCs w:val="21"/>
                <w:highlight w:val="none"/>
              </w:rPr>
            </w:pPr>
            <w:r>
              <w:rPr>
                <w:rFonts w:cs="Times New Roman"/>
                <w:snapToGrid w:val="0"/>
                <w:color w:val="auto"/>
                <w:kern w:val="0"/>
                <w:sz w:val="21"/>
                <w:szCs w:val="21"/>
                <w:highlight w:val="none"/>
              </w:rPr>
              <w:t>污水管道采取防渗漏措施；</w:t>
            </w:r>
          </w:p>
          <w:p w14:paraId="2E630D22">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3）要有专人管理污水处理设备，发现设备不能正常运转，立刻停止生产，组织人员抢修，待设备正常运转后，方可生产；</w:t>
            </w:r>
          </w:p>
          <w:p w14:paraId="1C9B6CFC">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4）加强和强化公司安全检查和巡查体系的建立，定期、定点、定向的对公司所有存在安全隐患和环境风险隐患的设备设施进行安全排出和检查。对排查出的风险隐患要得到及时的处理，并作相关的记录，以便做到风险防范有帐可查；</w:t>
            </w:r>
          </w:p>
          <w:p w14:paraId="1661992E">
            <w:pPr>
              <w:pStyle w:val="117"/>
              <w:adjustRightInd w:val="0"/>
              <w:snapToGrid w:val="0"/>
              <w:spacing w:line="360" w:lineRule="exact"/>
              <w:ind w:firstLine="420"/>
              <w:rPr>
                <w:rFonts w:cs="Times New Roman"/>
                <w:snapToGrid w:val="0"/>
                <w:color w:val="auto"/>
                <w:kern w:val="0"/>
                <w:sz w:val="21"/>
                <w:szCs w:val="21"/>
                <w:highlight w:val="none"/>
              </w:rPr>
            </w:pPr>
            <w:r>
              <w:rPr>
                <w:rFonts w:cs="Times New Roman"/>
                <w:snapToGrid w:val="0"/>
                <w:color w:val="auto"/>
                <w:sz w:val="21"/>
                <w:szCs w:val="21"/>
                <w:highlight w:val="none"/>
              </w:rPr>
              <w:t>5）</w:t>
            </w:r>
            <w:r>
              <w:rPr>
                <w:rFonts w:cs="Times New Roman"/>
                <w:snapToGrid w:val="0"/>
                <w:color w:val="auto"/>
                <w:kern w:val="0"/>
                <w:sz w:val="21"/>
                <w:szCs w:val="21"/>
                <w:highlight w:val="none"/>
              </w:rPr>
              <w:t>设置事故池，有效容积为</w:t>
            </w:r>
            <w:r>
              <w:rPr>
                <w:rFonts w:hint="eastAsia" w:cs="Times New Roman"/>
                <w:snapToGrid w:val="0"/>
                <w:color w:val="auto"/>
                <w:kern w:val="0"/>
                <w:sz w:val="21"/>
                <w:szCs w:val="21"/>
                <w:highlight w:val="none"/>
                <w:lang w:val="en-US" w:eastAsia="zh-CN"/>
              </w:rPr>
              <w:t>300</w:t>
            </w:r>
            <w:r>
              <w:rPr>
                <w:rFonts w:cs="Times New Roman"/>
                <w:snapToGrid w:val="0"/>
                <w:color w:val="auto"/>
                <w:kern w:val="0"/>
                <w:sz w:val="21"/>
                <w:szCs w:val="21"/>
                <w:highlight w:val="none"/>
              </w:rPr>
              <w:t>m</w:t>
            </w:r>
            <w:r>
              <w:rPr>
                <w:rFonts w:cs="Times New Roman"/>
                <w:snapToGrid w:val="0"/>
                <w:color w:val="auto"/>
                <w:kern w:val="0"/>
                <w:sz w:val="21"/>
                <w:szCs w:val="21"/>
                <w:highlight w:val="none"/>
                <w:vertAlign w:val="superscript"/>
              </w:rPr>
              <w:t>3</w:t>
            </w:r>
            <w:r>
              <w:rPr>
                <w:rFonts w:cs="Times New Roman"/>
                <w:snapToGrid w:val="0"/>
                <w:color w:val="auto"/>
                <w:kern w:val="0"/>
                <w:sz w:val="21"/>
                <w:szCs w:val="21"/>
                <w:highlight w:val="none"/>
              </w:rPr>
              <w:t>，尺寸</w:t>
            </w:r>
            <w:r>
              <w:rPr>
                <w:rFonts w:hint="eastAsia" w:cs="Times New Roman"/>
                <w:snapToGrid w:val="0"/>
                <w:color w:val="auto"/>
                <w:kern w:val="0"/>
                <w:sz w:val="21"/>
                <w:szCs w:val="21"/>
                <w:highlight w:val="none"/>
                <w:lang w:val="en-US" w:eastAsia="zh-CN"/>
              </w:rPr>
              <w:t>10</w:t>
            </w:r>
            <w:r>
              <w:rPr>
                <w:rFonts w:cs="Times New Roman"/>
                <w:snapToGrid w:val="0"/>
                <w:color w:val="auto"/>
                <w:kern w:val="0"/>
                <w:sz w:val="21"/>
                <w:szCs w:val="21"/>
                <w:highlight w:val="none"/>
              </w:rPr>
              <w:t>m×</w:t>
            </w:r>
            <w:r>
              <w:rPr>
                <w:rFonts w:hint="eastAsia" w:cs="Times New Roman"/>
                <w:snapToGrid w:val="0"/>
                <w:color w:val="auto"/>
                <w:kern w:val="0"/>
                <w:sz w:val="21"/>
                <w:szCs w:val="21"/>
                <w:highlight w:val="none"/>
                <w:lang w:val="en-US" w:eastAsia="zh-CN"/>
              </w:rPr>
              <w:t>7.5</w:t>
            </w:r>
            <w:r>
              <w:rPr>
                <w:rFonts w:cs="Times New Roman"/>
                <w:snapToGrid w:val="0"/>
                <w:color w:val="auto"/>
                <w:kern w:val="0"/>
                <w:sz w:val="21"/>
                <w:szCs w:val="21"/>
                <w:highlight w:val="none"/>
              </w:rPr>
              <w:t>m×</w:t>
            </w:r>
            <w:r>
              <w:rPr>
                <w:rFonts w:hint="eastAsia" w:cs="Times New Roman"/>
                <w:snapToGrid w:val="0"/>
                <w:color w:val="auto"/>
                <w:kern w:val="0"/>
                <w:sz w:val="21"/>
                <w:szCs w:val="21"/>
                <w:highlight w:val="none"/>
                <w:lang w:val="en-US" w:eastAsia="zh-CN"/>
              </w:rPr>
              <w:t>4</w:t>
            </w:r>
            <w:r>
              <w:rPr>
                <w:rFonts w:cs="Times New Roman"/>
                <w:snapToGrid w:val="0"/>
                <w:color w:val="auto"/>
                <w:kern w:val="0"/>
                <w:sz w:val="21"/>
                <w:szCs w:val="21"/>
                <w:highlight w:val="none"/>
              </w:rPr>
              <w:t>m，可容纳1天的废水，位于污水处理站内，在污水处理系统检修或出现故障时存放废水，检修正常后将事故池存水引入厂区内污水处理站处理达标后排放。</w:t>
            </w:r>
          </w:p>
          <w:p w14:paraId="3BBF7E57">
            <w:pPr>
              <w:pStyle w:val="117"/>
              <w:adjustRightInd w:val="0"/>
              <w:snapToGrid w:val="0"/>
              <w:spacing w:line="360" w:lineRule="exact"/>
              <w:ind w:firstLine="422"/>
              <w:rPr>
                <w:rFonts w:cs="Times New Roman"/>
                <w:b/>
                <w:bCs/>
                <w:color w:val="auto"/>
                <w:sz w:val="21"/>
                <w:szCs w:val="21"/>
                <w:highlight w:val="none"/>
              </w:rPr>
            </w:pPr>
            <w:r>
              <w:rPr>
                <w:rFonts w:cs="Times New Roman"/>
                <w:b/>
                <w:bCs/>
                <w:color w:val="auto"/>
                <w:sz w:val="21"/>
                <w:szCs w:val="21"/>
                <w:highlight w:val="none"/>
              </w:rPr>
              <w:t>3、大气环境风险防范措施</w:t>
            </w:r>
          </w:p>
          <w:p w14:paraId="5C5916F8">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（1）</w:t>
            </w:r>
            <w:r>
              <w:rPr>
                <w:rFonts w:hint="eastAsia" w:cs="Times New Roman"/>
                <w:color w:val="auto"/>
                <w:sz w:val="21"/>
                <w:szCs w:val="21"/>
                <w:highlight w:val="none"/>
                <w:lang w:val="en-US" w:eastAsia="zh-CN"/>
              </w:rPr>
              <w:t>次氯酸钠</w:t>
            </w:r>
            <w:r>
              <w:rPr>
                <w:rFonts w:cs="Times New Roman"/>
                <w:color w:val="auto"/>
                <w:sz w:val="21"/>
                <w:szCs w:val="21"/>
                <w:highlight w:val="none"/>
              </w:rPr>
              <w:t>泄漏风险防范措施</w:t>
            </w:r>
          </w:p>
          <w:p w14:paraId="38F12DEB">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1）泄漏应急处理</w:t>
            </w:r>
          </w:p>
          <w:p w14:paraId="0BB7FD18">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疏散泄漏污染区人员至上风处，并隔离直至气体散尽。应急处理人员戴正压自给式呼吸器，穿化学防护服、切断火源、喷洒雾状水稀释，抽排(室内)或强力通风(室外)，漏气容器不能再用，且要经过技术处理以清除可能剩下的气体。</w:t>
            </w:r>
          </w:p>
          <w:p w14:paraId="2B900257">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2）防护措施</w:t>
            </w:r>
          </w:p>
          <w:p w14:paraId="778E07C0">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呼吸系统防护：空气中浓度较高时，应该佩戴防毒面具。紧急事态抢救或撤离时，建议佩戴正压自给式呼吸器。</w:t>
            </w:r>
          </w:p>
          <w:p w14:paraId="37ADF434">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眼睛防护：带化学安全防护眼镜。</w:t>
            </w:r>
          </w:p>
          <w:p w14:paraId="0984AEA7">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身体防护：穿防腐工作服。</w:t>
            </w:r>
          </w:p>
          <w:p w14:paraId="3FDE19F9">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手防护：可能接触毒物时</w:t>
            </w:r>
            <w:r>
              <w:rPr>
                <w:rFonts w:hint="eastAsia" w:cs="Times New Roman"/>
                <w:color w:val="auto"/>
                <w:sz w:val="21"/>
                <w:szCs w:val="21"/>
                <w:highlight w:val="none"/>
              </w:rPr>
              <w:t>，</w:t>
            </w:r>
            <w:r>
              <w:rPr>
                <w:rFonts w:cs="Times New Roman"/>
                <w:color w:val="auto"/>
                <w:sz w:val="21"/>
                <w:szCs w:val="21"/>
                <w:highlight w:val="none"/>
              </w:rPr>
              <w:t>戴防化学品手套。</w:t>
            </w:r>
          </w:p>
          <w:p w14:paraId="6356DC63">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其它：工作现场禁止吸烟。工作后，淋浴更衣。保持良好的卫生习惯。</w:t>
            </w:r>
          </w:p>
          <w:p w14:paraId="0CE6E658">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3）急救措施</w:t>
            </w:r>
          </w:p>
          <w:p w14:paraId="4233298B">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皮肤接触：脱去污染的衣着，立即用大量流动清水彻底冲洗至少15分钟。就医。</w:t>
            </w:r>
          </w:p>
          <w:p w14:paraId="7075A2F7">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眼睛接触：立即翻开上下眼睑</w:t>
            </w:r>
            <w:r>
              <w:rPr>
                <w:rFonts w:hint="eastAsia" w:cs="Times New Roman"/>
                <w:color w:val="auto"/>
                <w:sz w:val="21"/>
                <w:szCs w:val="21"/>
                <w:highlight w:val="none"/>
              </w:rPr>
              <w:t>，</w:t>
            </w:r>
            <w:r>
              <w:rPr>
                <w:rFonts w:cs="Times New Roman"/>
                <w:color w:val="auto"/>
                <w:sz w:val="21"/>
                <w:szCs w:val="21"/>
                <w:highlight w:val="none"/>
              </w:rPr>
              <w:t>用流动清水或生理盐水冲洗至少15分钟。就医。</w:t>
            </w:r>
          </w:p>
          <w:p w14:paraId="55327ED8">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吸入：迅速脱离现场至空气新鲜处。保持呼吸通畅。呼吸困难时给输氧。呼吸停止时，即进行人工呼吸。就医。</w:t>
            </w:r>
          </w:p>
          <w:p w14:paraId="13719D67">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食入：误服者漱口，饮牛奶或蛋清。就医。</w:t>
            </w:r>
          </w:p>
          <w:p w14:paraId="4B2C9ED1">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灭火方法：切断气源。喷水冷却容器，可能的话将容器从火场移至空旷处。</w:t>
            </w:r>
          </w:p>
          <w:p w14:paraId="764D409E">
            <w:pPr>
              <w:pStyle w:val="117"/>
              <w:adjustRightInd w:val="0"/>
              <w:snapToGrid w:val="0"/>
              <w:spacing w:line="360" w:lineRule="exact"/>
              <w:ind w:firstLine="422"/>
              <w:rPr>
                <w:rFonts w:cs="Times New Roman"/>
                <w:b/>
                <w:bCs/>
                <w:color w:val="auto"/>
                <w:sz w:val="21"/>
                <w:szCs w:val="21"/>
                <w:highlight w:val="none"/>
              </w:rPr>
            </w:pPr>
            <w:r>
              <w:rPr>
                <w:rFonts w:cs="Times New Roman"/>
                <w:b/>
                <w:bCs/>
                <w:color w:val="auto"/>
                <w:sz w:val="21"/>
                <w:szCs w:val="21"/>
                <w:highlight w:val="none"/>
              </w:rPr>
              <w:t>4、其他风险防范措施</w:t>
            </w:r>
          </w:p>
          <w:p w14:paraId="72D2D0F9">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1）为降低风险事故发生概率，企业应建立一套完善的安全管理制度，执行风险、工业安全卫生、劳动保护、环保、消防等相关规定；</w:t>
            </w:r>
          </w:p>
          <w:p w14:paraId="337F69C3">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2）加强对职工的安全教育及技术培训，提高职工的安全防护及环保意识，防患于未然；</w:t>
            </w:r>
          </w:p>
          <w:p w14:paraId="67B979BB">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3）应设有安全生产监督员，专门负责安全方面的检查监督工作，能处理突发事故，由监督员严格执行制定的各项安全生产规章制度；</w:t>
            </w:r>
          </w:p>
          <w:p w14:paraId="22C4C863">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4）确保所购设备及设施的安全性，根据生产工艺选用合理材质的设备、设施；</w:t>
            </w:r>
          </w:p>
          <w:p w14:paraId="7A133EE0">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5）企业必须设置强有力的安全生产管理机构，根据安全管理工作的需要，配备必要的人员进行安全管理工作，建立健全安生产责任制，制定并教育全体职工遵守《安全生产规程》；</w:t>
            </w:r>
          </w:p>
          <w:p w14:paraId="10833035">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6）加强对周围水环境的监测，对废水的泄露要及时掌握，防止废水的泄露对周围水环境造成危害；</w:t>
            </w:r>
          </w:p>
          <w:p w14:paraId="4DD09149">
            <w:pPr>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7）强化岗位责任制，严格各项操作规程和奖惩制度，除设置专门环保机构外，各生产单位都要设专人具体负责本单位的安全和环保问题，对易发事故的各生产环节必须经常检查，杜绝事故隐患，发现问题及时处置并立即向有关部门报告；</w:t>
            </w:r>
          </w:p>
          <w:p w14:paraId="68DDC266">
            <w:pPr>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8）加强和强化安全检查和巡查体系的建立，定期、定点、定向的对公司所有存在安全隐患和环境风险隐患的设备设施进行安全排出和检查。对排查出的风险隐患要得到及时的处理，并作相关的记录，以便做到风险防范有帐可查；</w:t>
            </w:r>
          </w:p>
          <w:p w14:paraId="49D9B2E8">
            <w:pPr>
              <w:shd w:val="clear"/>
              <w:spacing w:line="360" w:lineRule="exact"/>
              <w:ind w:firstLine="420"/>
              <w:rPr>
                <w:rFonts w:hint="eastAsia" w:ascii="Times New Roman" w:hAnsi="Times New Roman" w:eastAsia="宋体" w:cs="Times New Roman"/>
                <w:snapToGrid w:val="0"/>
                <w:color w:val="auto"/>
                <w:sz w:val="21"/>
                <w:szCs w:val="21"/>
                <w:highlight w:val="none"/>
                <w:lang w:eastAsia="zh-CN"/>
              </w:rPr>
            </w:pPr>
            <w:r>
              <w:rPr>
                <w:rFonts w:ascii="Times New Roman" w:hAnsi="Times New Roman" w:eastAsia="宋体" w:cs="Times New Roman"/>
                <w:snapToGrid w:val="0"/>
                <w:color w:val="auto"/>
                <w:sz w:val="21"/>
                <w:szCs w:val="21"/>
                <w:highlight w:val="none"/>
              </w:rPr>
              <w:t>9）进厂检疫</w:t>
            </w:r>
            <w:r>
              <w:rPr>
                <w:rFonts w:hint="eastAsia" w:ascii="Times New Roman" w:hAnsi="Times New Roman" w:eastAsia="宋体" w:cs="Times New Roman"/>
                <w:snapToGrid w:val="0"/>
                <w:color w:val="auto"/>
                <w:sz w:val="21"/>
                <w:szCs w:val="21"/>
                <w:highlight w:val="none"/>
                <w:lang w:eastAsia="zh-CN"/>
              </w:rPr>
              <w:t>，</w:t>
            </w:r>
            <w:r>
              <w:rPr>
                <w:rFonts w:ascii="Times New Roman" w:hAnsi="Times New Roman" w:eastAsia="宋体" w:cs="Times New Roman"/>
                <w:snapToGrid w:val="0"/>
                <w:color w:val="auto"/>
                <w:sz w:val="21"/>
                <w:szCs w:val="21"/>
                <w:highlight w:val="none"/>
              </w:rPr>
              <w:t>在</w:t>
            </w:r>
            <w:r>
              <w:rPr>
                <w:rFonts w:hint="eastAsia" w:ascii="Times New Roman" w:hAnsi="Times New Roman" w:eastAsia="宋体" w:cs="Times New Roman"/>
                <w:snapToGrid w:val="0"/>
                <w:color w:val="auto"/>
                <w:sz w:val="21"/>
                <w:szCs w:val="21"/>
                <w:highlight w:val="none"/>
                <w:lang w:val="en-US" w:eastAsia="zh-CN"/>
              </w:rPr>
              <w:t>牛、羊</w:t>
            </w:r>
            <w:r>
              <w:rPr>
                <w:rFonts w:ascii="Times New Roman" w:hAnsi="Times New Roman" w:eastAsia="宋体" w:cs="Times New Roman"/>
                <w:snapToGrid w:val="0"/>
                <w:color w:val="auto"/>
                <w:sz w:val="21"/>
                <w:szCs w:val="21"/>
                <w:highlight w:val="none"/>
              </w:rPr>
              <w:t>未卸车之前，检疫员向押运员索取检疫证或防疫注射证，以便了解产地疫情</w:t>
            </w:r>
            <w:r>
              <w:rPr>
                <w:rFonts w:hint="eastAsia" w:cs="Times New Roman"/>
                <w:snapToGrid w:val="0"/>
                <w:color w:val="auto"/>
                <w:sz w:val="21"/>
                <w:szCs w:val="21"/>
                <w:highlight w:val="none"/>
                <w:lang w:eastAsia="zh-CN"/>
              </w:rPr>
              <w:t>；</w:t>
            </w:r>
          </w:p>
          <w:p w14:paraId="37FC7F16">
            <w:pPr>
              <w:shd w:val="clear"/>
              <w:spacing w:line="360" w:lineRule="exact"/>
              <w:ind w:firstLine="420"/>
              <w:rPr>
                <w:rFonts w:hint="default" w:eastAsia="宋体" w:cs="Times New Roman"/>
                <w:snapToGrid w:val="0"/>
                <w:color w:val="auto"/>
                <w:sz w:val="21"/>
                <w:szCs w:val="21"/>
                <w:highlight w:val="none"/>
                <w:lang w:val="en-US" w:eastAsia="zh-CN"/>
              </w:rPr>
            </w:pPr>
            <w:r>
              <w:rPr>
                <w:rFonts w:ascii="Times New Roman" w:hAnsi="Times New Roman" w:eastAsia="宋体" w:cs="Times New Roman"/>
                <w:snapToGrid w:val="0"/>
                <w:color w:val="auto"/>
                <w:sz w:val="21"/>
                <w:szCs w:val="21"/>
                <w:highlight w:val="none"/>
              </w:rPr>
              <w:t>10）当确诊疫病时，及时封锁，上报疫情。同时立即采取措施，就地扑灭，确保人畜的安全</w:t>
            </w:r>
            <w:r>
              <w:rPr>
                <w:rFonts w:hint="eastAsia" w:cs="Times New Roman"/>
                <w:snapToGrid w:val="0"/>
                <w:color w:val="auto"/>
                <w:sz w:val="21"/>
                <w:szCs w:val="21"/>
                <w:highlight w:val="none"/>
                <w:lang w:eastAsia="zh-CN"/>
              </w:rPr>
              <w:t>。</w:t>
            </w:r>
            <w:r>
              <w:rPr>
                <w:rFonts w:hint="eastAsia" w:cs="Times New Roman"/>
                <w:snapToGrid w:val="0"/>
                <w:color w:val="auto"/>
                <w:sz w:val="21"/>
                <w:szCs w:val="21"/>
                <w:highlight w:val="none"/>
                <w:lang w:val="en-US" w:eastAsia="zh-CN"/>
              </w:rPr>
              <w:t>项目建设初期应预留消杀资金，以应对疫病时期，</w:t>
            </w:r>
          </w:p>
          <w:p w14:paraId="23D5EF06">
            <w:pPr>
              <w:spacing w:line="360" w:lineRule="exact"/>
              <w:ind w:firstLine="420"/>
              <w:rPr>
                <w:rFonts w:hint="default"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11）疫情状态下，对隔离圈、急宰间进行消毒，消毒频率为3-5次/天，连续7天。</w:t>
            </w:r>
          </w:p>
          <w:p w14:paraId="50E96761">
            <w:pPr>
              <w:spacing w:line="360" w:lineRule="exact"/>
              <w:ind w:firstLine="420"/>
              <w:rPr>
                <w:rFonts w:cs="Times New Roman"/>
                <w:color w:val="auto"/>
                <w:sz w:val="21"/>
                <w:szCs w:val="21"/>
                <w:highlight w:val="none"/>
              </w:rPr>
            </w:pPr>
            <w:r>
              <w:rPr>
                <w:rFonts w:hint="eastAsia" w:cs="Times New Roman"/>
                <w:snapToGrid w:val="0"/>
                <w:color w:val="auto"/>
                <w:sz w:val="21"/>
                <w:szCs w:val="21"/>
                <w:highlight w:val="none"/>
                <w:lang w:val="en-US" w:eastAsia="zh-CN"/>
              </w:rPr>
              <w:t>12）</w:t>
            </w:r>
            <w:r>
              <w:rPr>
                <w:rFonts w:cs="Times New Roman"/>
                <w:snapToGrid w:val="0"/>
                <w:color w:val="auto"/>
                <w:sz w:val="21"/>
                <w:szCs w:val="21"/>
                <w:highlight w:val="none"/>
              </w:rPr>
              <w:t>应编制突发事件应急预案，并定期开展演练。</w:t>
            </w:r>
          </w:p>
        </w:tc>
      </w:tr>
    </w:tbl>
    <w:p w14:paraId="5427C62B">
      <w:pPr>
        <w:pStyle w:val="36"/>
        <w:rPr>
          <w:color w:val="auto"/>
          <w:highlight w:val="none"/>
        </w:rPr>
        <w:sectPr>
          <w:headerReference r:id="rId10"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1D555FF9">
      <w:pPr>
        <w:pStyle w:val="2"/>
        <w:spacing w:line="360" w:lineRule="auto"/>
        <w:rPr>
          <w:rFonts w:cs="Times New Roman"/>
          <w:snapToGrid w:val="0"/>
          <w:color w:val="auto"/>
          <w:highlight w:val="none"/>
        </w:rPr>
      </w:pPr>
      <w:r>
        <w:rPr>
          <w:rFonts w:cs="Times New Roman"/>
          <w:snapToGrid w:val="0"/>
          <w:color w:val="auto"/>
          <w:highlight w:val="none"/>
        </w:rPr>
        <w:t>6</w:t>
      </w:r>
      <w:bookmarkEnd w:id="297"/>
      <w:r>
        <w:rPr>
          <w:rFonts w:cs="Times New Roman"/>
          <w:snapToGrid w:val="0"/>
          <w:color w:val="auto"/>
          <w:highlight w:val="none"/>
        </w:rPr>
        <w:t>环境保护措施及其可行性分析</w:t>
      </w:r>
      <w:bookmarkEnd w:id="298"/>
    </w:p>
    <w:p w14:paraId="638E9C59">
      <w:pPr>
        <w:keepNext/>
        <w:keepLines/>
        <w:ind w:firstLine="0" w:firstLineChars="0"/>
        <w:jc w:val="left"/>
        <w:outlineLvl w:val="1"/>
        <w:rPr>
          <w:rFonts w:eastAsia="黑体" w:cs="Times New Roman"/>
          <w:bCs/>
          <w:snapToGrid w:val="0"/>
          <w:color w:val="auto"/>
          <w:kern w:val="0"/>
          <w:sz w:val="28"/>
          <w:szCs w:val="32"/>
          <w:highlight w:val="none"/>
        </w:rPr>
      </w:pPr>
      <w:bookmarkStart w:id="299" w:name="_Toc255202308"/>
      <w:bookmarkStart w:id="300" w:name="_Toc225741621"/>
      <w:bookmarkStart w:id="301" w:name="_Toc237081935"/>
      <w:bookmarkStart w:id="302" w:name="_Toc480447674"/>
      <w:bookmarkStart w:id="303" w:name="_Toc277178439"/>
      <w:bookmarkStart w:id="304" w:name="_Toc241305662"/>
      <w:bookmarkStart w:id="305" w:name="_Toc13471"/>
      <w:bookmarkStart w:id="306" w:name="_Toc98920169"/>
      <w:bookmarkStart w:id="307" w:name="_Toc83525150"/>
      <w:r>
        <w:rPr>
          <w:rFonts w:eastAsia="黑体" w:cs="Times New Roman"/>
          <w:bCs/>
          <w:snapToGrid w:val="0"/>
          <w:color w:val="auto"/>
          <w:kern w:val="0"/>
          <w:sz w:val="28"/>
          <w:szCs w:val="32"/>
          <w:highlight w:val="none"/>
        </w:rPr>
        <w:t>6.1施工期</w:t>
      </w:r>
      <w:bookmarkEnd w:id="299"/>
      <w:bookmarkEnd w:id="300"/>
      <w:bookmarkEnd w:id="301"/>
      <w:bookmarkEnd w:id="302"/>
      <w:bookmarkEnd w:id="303"/>
      <w:bookmarkEnd w:id="304"/>
      <w:r>
        <w:rPr>
          <w:rFonts w:eastAsia="黑体" w:cs="Times New Roman"/>
          <w:bCs/>
          <w:snapToGrid w:val="0"/>
          <w:color w:val="auto"/>
          <w:kern w:val="0"/>
          <w:sz w:val="28"/>
          <w:szCs w:val="32"/>
          <w:highlight w:val="none"/>
        </w:rPr>
        <w:t>环境保护措施</w:t>
      </w:r>
      <w:bookmarkEnd w:id="305"/>
    </w:p>
    <w:p w14:paraId="55B9F8F3">
      <w:pPr>
        <w:keepNext/>
        <w:keepLines/>
        <w:ind w:firstLine="0" w:firstLineChars="0"/>
        <w:jc w:val="left"/>
        <w:outlineLvl w:val="2"/>
        <w:rPr>
          <w:rFonts w:eastAsia="黑体" w:cs="Times New Roman"/>
          <w:bCs/>
          <w:snapToGrid w:val="0"/>
          <w:color w:val="auto"/>
          <w:kern w:val="0"/>
          <w:szCs w:val="32"/>
          <w:highlight w:val="none"/>
        </w:rPr>
      </w:pPr>
      <w:bookmarkStart w:id="308" w:name="_Toc201330163"/>
      <w:bookmarkStart w:id="309" w:name="_Toc225741622"/>
      <w:bookmarkStart w:id="310" w:name="_Toc200952545"/>
      <w:bookmarkStart w:id="311" w:name="_Toc203373353"/>
      <w:bookmarkStart w:id="312" w:name="_Toc203113620"/>
      <w:bookmarkStart w:id="313" w:name="_Toc200162117"/>
      <w:bookmarkStart w:id="314" w:name="_Toc204572392"/>
      <w:bookmarkStart w:id="315" w:name="_Toc200162814"/>
      <w:bookmarkStart w:id="316" w:name="_Toc14663"/>
      <w:r>
        <w:rPr>
          <w:rFonts w:eastAsia="黑体" w:cs="Times New Roman"/>
          <w:bCs/>
          <w:snapToGrid w:val="0"/>
          <w:color w:val="auto"/>
          <w:kern w:val="0"/>
          <w:szCs w:val="32"/>
          <w:highlight w:val="none"/>
        </w:rPr>
        <w:t>6.1.1</w:t>
      </w:r>
      <w:bookmarkEnd w:id="308"/>
      <w:bookmarkEnd w:id="309"/>
      <w:bookmarkEnd w:id="310"/>
      <w:bookmarkEnd w:id="311"/>
      <w:bookmarkEnd w:id="312"/>
      <w:bookmarkEnd w:id="313"/>
      <w:bookmarkEnd w:id="314"/>
      <w:bookmarkEnd w:id="315"/>
      <w:r>
        <w:rPr>
          <w:rFonts w:eastAsia="黑体" w:cs="Times New Roman"/>
          <w:bCs/>
          <w:snapToGrid w:val="0"/>
          <w:color w:val="auto"/>
          <w:kern w:val="0"/>
          <w:szCs w:val="32"/>
          <w:highlight w:val="none"/>
        </w:rPr>
        <w:t>大气环境保护措施</w:t>
      </w:r>
      <w:bookmarkEnd w:id="316"/>
    </w:p>
    <w:p w14:paraId="091BE099">
      <w:pPr>
        <w:rPr>
          <w:rFonts w:cs="Times New Roman"/>
          <w:color w:val="auto"/>
          <w:szCs w:val="24"/>
          <w:highlight w:val="none"/>
        </w:rPr>
      </w:pPr>
      <w:r>
        <w:rPr>
          <w:rFonts w:cs="Times New Roman"/>
          <w:color w:val="auto"/>
          <w:szCs w:val="24"/>
          <w:highlight w:val="none"/>
        </w:rPr>
        <w:t>（1）扬尘</w:t>
      </w:r>
    </w:p>
    <w:p w14:paraId="4D9AD682">
      <w:pPr>
        <w:rPr>
          <w:rFonts w:cs="Times New Roman"/>
          <w:color w:val="auto"/>
          <w:szCs w:val="24"/>
          <w:highlight w:val="none"/>
        </w:rPr>
      </w:pPr>
      <w:r>
        <w:rPr>
          <w:rFonts w:cs="Times New Roman"/>
          <w:bCs/>
          <w:color w:val="auto"/>
          <w:szCs w:val="24"/>
          <w:highlight w:val="none"/>
        </w:rPr>
        <w:t>施工阶段汽车运输过程中，会产生扬尘污染。扬尘量、粒径大小等与多种因素有关，如路面状况、车辆行驶速度、载重量、天气情况等。</w:t>
      </w:r>
    </w:p>
    <w:p w14:paraId="27C32C9C">
      <w:pPr>
        <w:rPr>
          <w:rFonts w:cs="Times New Roman"/>
          <w:color w:val="auto"/>
          <w:szCs w:val="24"/>
          <w:highlight w:val="none"/>
        </w:rPr>
      </w:pPr>
      <w:r>
        <w:rPr>
          <w:rFonts w:cs="Times New Roman"/>
          <w:color w:val="auto"/>
          <w:szCs w:val="24"/>
          <w:highlight w:val="none"/>
        </w:rPr>
        <w:t>扬尘大多集中于距扬尘点100m范围，其中50m距离内扬尘浓度较高。在干燥、有风等气候条件下，如不注意施工管理，运输车辆导致的路面扬尘对临近空气环境必定会产生一定不利影响。</w:t>
      </w:r>
    </w:p>
    <w:p w14:paraId="3DB485C1">
      <w:pPr>
        <w:rPr>
          <w:rFonts w:cs="Times New Roman"/>
          <w:color w:val="auto"/>
          <w:szCs w:val="24"/>
          <w:highlight w:val="none"/>
        </w:rPr>
      </w:pPr>
      <w:r>
        <w:rPr>
          <w:rFonts w:cs="Times New Roman"/>
          <w:color w:val="auto"/>
          <w:szCs w:val="24"/>
          <w:highlight w:val="none"/>
        </w:rPr>
        <w:t>基本措施如下：</w:t>
      </w:r>
    </w:p>
    <w:p w14:paraId="6C787992">
      <w:pPr>
        <w:rPr>
          <w:rFonts w:cs="Times New Roman"/>
          <w:bCs/>
          <w:color w:val="auto"/>
          <w:szCs w:val="24"/>
          <w:highlight w:val="none"/>
        </w:rPr>
      </w:pPr>
      <w:r>
        <w:rPr>
          <w:rFonts w:cs="Times New Roman"/>
          <w:bCs/>
          <w:color w:val="auto"/>
          <w:szCs w:val="24"/>
          <w:highlight w:val="none"/>
        </w:rPr>
        <w:t>1）所有来往施工场地的多尘物料均应用帆布覆盖，工程弃土等运输采用密闭运输车辆；</w:t>
      </w:r>
    </w:p>
    <w:p w14:paraId="3FC5748B">
      <w:pPr>
        <w:rPr>
          <w:rFonts w:cs="Times New Roman"/>
          <w:bCs/>
          <w:color w:val="auto"/>
          <w:szCs w:val="24"/>
          <w:highlight w:val="none"/>
        </w:rPr>
      </w:pPr>
      <w:r>
        <w:rPr>
          <w:rFonts w:cs="Times New Roman"/>
          <w:bCs/>
          <w:color w:val="auto"/>
          <w:szCs w:val="24"/>
          <w:highlight w:val="none"/>
        </w:rPr>
        <w:t>2）运输道路应当及时洒水，保持湿润；采取喷雾洒水降尘后，自然水份挥发减缓，能保持一定的含水率（一般为15%~20%），则其启动风速很大，一般不会产生二次扬尘；</w:t>
      </w:r>
    </w:p>
    <w:p w14:paraId="58DAB022">
      <w:pPr>
        <w:rPr>
          <w:rFonts w:cs="Times New Roman"/>
          <w:bCs/>
          <w:color w:val="auto"/>
          <w:szCs w:val="24"/>
          <w:highlight w:val="none"/>
        </w:rPr>
      </w:pPr>
      <w:r>
        <w:rPr>
          <w:rFonts w:cs="Times New Roman"/>
          <w:bCs/>
          <w:color w:val="auto"/>
          <w:szCs w:val="24"/>
          <w:highlight w:val="none"/>
        </w:rPr>
        <w:t>3）应定期清扫施工场地减少扬尘产生量；</w:t>
      </w:r>
    </w:p>
    <w:p w14:paraId="3CF98CD9">
      <w:pPr>
        <w:rPr>
          <w:rFonts w:cs="Times New Roman"/>
          <w:bCs/>
          <w:color w:val="auto"/>
          <w:szCs w:val="24"/>
          <w:highlight w:val="none"/>
        </w:rPr>
      </w:pPr>
      <w:r>
        <w:rPr>
          <w:rFonts w:cs="Times New Roman"/>
          <w:bCs/>
          <w:color w:val="auto"/>
          <w:szCs w:val="24"/>
          <w:highlight w:val="none"/>
        </w:rPr>
        <w:t>4）应增设必要的防尘措施，在施工现场设置围挡，减少扬尘污染；</w:t>
      </w:r>
    </w:p>
    <w:p w14:paraId="46693277">
      <w:pPr>
        <w:rPr>
          <w:rFonts w:cs="Times New Roman"/>
          <w:bCs/>
          <w:color w:val="auto"/>
          <w:szCs w:val="24"/>
          <w:highlight w:val="none"/>
        </w:rPr>
      </w:pPr>
      <w:r>
        <w:rPr>
          <w:rFonts w:cs="Times New Roman"/>
          <w:bCs/>
          <w:color w:val="auto"/>
          <w:szCs w:val="24"/>
          <w:highlight w:val="none"/>
        </w:rPr>
        <w:t>5）物料运输车辆加盖篷布。</w:t>
      </w:r>
    </w:p>
    <w:p w14:paraId="4F1BE09B">
      <w:pPr>
        <w:rPr>
          <w:rFonts w:cs="Times New Roman"/>
          <w:bCs/>
          <w:color w:val="auto"/>
          <w:szCs w:val="24"/>
          <w:highlight w:val="none"/>
        </w:rPr>
      </w:pPr>
      <w:r>
        <w:rPr>
          <w:rFonts w:cs="Times New Roman"/>
          <w:bCs/>
          <w:color w:val="auto"/>
          <w:szCs w:val="24"/>
          <w:highlight w:val="none"/>
        </w:rPr>
        <w:t>由于汽车运输过程中产生的扬尘时间短、扬尘落地快、影响范围主要集中在运输道路两侧，故汽车运输扬尘对周边的环境空气影响程度和范围较小，影响时间也较短。</w:t>
      </w:r>
    </w:p>
    <w:p w14:paraId="79788C0E">
      <w:pPr>
        <w:rPr>
          <w:rFonts w:cs="Times New Roman"/>
          <w:color w:val="auto"/>
          <w:szCs w:val="24"/>
          <w:highlight w:val="none"/>
        </w:rPr>
      </w:pPr>
      <w:r>
        <w:rPr>
          <w:rFonts w:cs="Times New Roman"/>
          <w:color w:val="auto"/>
          <w:szCs w:val="24"/>
          <w:highlight w:val="none"/>
        </w:rPr>
        <w:t>（2）运输车辆尾气</w:t>
      </w:r>
    </w:p>
    <w:p w14:paraId="6A438876">
      <w:pPr>
        <w:rPr>
          <w:rFonts w:cs="Times New Roman"/>
          <w:color w:val="auto"/>
          <w:szCs w:val="24"/>
          <w:highlight w:val="none"/>
        </w:rPr>
      </w:pPr>
      <w:r>
        <w:rPr>
          <w:rFonts w:cs="Times New Roman"/>
          <w:color w:val="auto"/>
          <w:szCs w:val="24"/>
          <w:highlight w:val="none"/>
        </w:rPr>
        <w:t>运输车辆和其它燃油机械的尾气会导致局部空气中CO、NO</w:t>
      </w:r>
      <w:r>
        <w:rPr>
          <w:rFonts w:cs="Times New Roman"/>
          <w:color w:val="auto"/>
          <w:szCs w:val="24"/>
          <w:highlight w:val="none"/>
          <w:vertAlign w:val="subscript"/>
        </w:rPr>
        <w:t>X</w:t>
      </w:r>
      <w:r>
        <w:rPr>
          <w:rFonts w:cs="Times New Roman"/>
          <w:color w:val="auto"/>
          <w:szCs w:val="24"/>
          <w:highlight w:val="none"/>
        </w:rPr>
        <w:t>、HC等浓度的升高，一般情况下由于施工机械、车辆作业的流动性、阶段性和间断性的特点，施工场地平均单位时间排放的尾气污染物总量并不大。对周边环境影响较小。</w:t>
      </w:r>
    </w:p>
    <w:p w14:paraId="41157EBE">
      <w:pPr>
        <w:pageBreakBefore w:val="0"/>
        <w:widowControl w:val="0"/>
        <w:kinsoku/>
        <w:wordWrap/>
        <w:overflowPunct/>
        <w:topLinePunct w:val="0"/>
        <w:autoSpaceDE/>
        <w:autoSpaceDN/>
        <w:bidi w:val="0"/>
        <w:adjustRightInd w:val="0"/>
        <w:snapToGrid w:val="0"/>
        <w:spacing w:line="520" w:lineRule="atLeast"/>
        <w:textAlignment w:val="auto"/>
        <w:rPr>
          <w:rFonts w:cs="Times New Roman"/>
          <w:color w:val="auto"/>
          <w:szCs w:val="24"/>
          <w:highlight w:val="none"/>
        </w:rPr>
      </w:pPr>
      <w:r>
        <w:rPr>
          <w:rFonts w:cs="Times New Roman"/>
          <w:color w:val="auto"/>
          <w:szCs w:val="24"/>
          <w:highlight w:val="none"/>
        </w:rPr>
        <w:t>施工单位须使用污染物排放符合国家标准的运输车辆和施工机械设备，定期对车辆设备进行维护保养，使其始终处于良好的工作状态，严禁使用报废车辆，以减少施工车辆尾气对周围环境的影响。以确保施工场地周围区域环境空气达到</w:t>
      </w:r>
      <w:r>
        <w:rPr>
          <w:rFonts w:cs="Times New Roman"/>
          <w:bCs/>
          <w:color w:val="auto"/>
          <w:szCs w:val="24"/>
          <w:highlight w:val="none"/>
        </w:rPr>
        <w:t>《大气污染物综合排放标准》(GB16297-1996)表2的无组织排放限值</w:t>
      </w:r>
      <w:r>
        <w:rPr>
          <w:rFonts w:cs="Times New Roman"/>
          <w:color w:val="auto"/>
          <w:szCs w:val="24"/>
          <w:highlight w:val="none"/>
        </w:rPr>
        <w:t>。评价建议缩短怠速、减速和加速的时间，另外建议施工人员作业时佩戴口罩，以减少CO、THC、NOx等汽车尾气对施工人员及周围环境的影响。</w:t>
      </w:r>
    </w:p>
    <w:p w14:paraId="27460633">
      <w:pPr>
        <w:keepNext/>
        <w:keepLines/>
        <w:pageBreakBefore w:val="0"/>
        <w:widowControl w:val="0"/>
        <w:kinsoku/>
        <w:wordWrap/>
        <w:overflowPunct/>
        <w:topLinePunct w:val="0"/>
        <w:autoSpaceDE/>
        <w:autoSpaceDN/>
        <w:bidi w:val="0"/>
        <w:adjustRightInd w:val="0"/>
        <w:snapToGrid w:val="0"/>
        <w:spacing w:line="520" w:lineRule="atLeast"/>
        <w:ind w:firstLine="0" w:firstLineChars="0"/>
        <w:jc w:val="left"/>
        <w:textAlignment w:val="auto"/>
        <w:outlineLvl w:val="2"/>
        <w:rPr>
          <w:rFonts w:eastAsia="黑体" w:cs="Times New Roman"/>
          <w:bCs/>
          <w:snapToGrid w:val="0"/>
          <w:color w:val="auto"/>
          <w:kern w:val="0"/>
          <w:szCs w:val="32"/>
          <w:highlight w:val="none"/>
        </w:rPr>
      </w:pPr>
      <w:bookmarkStart w:id="317" w:name="_Toc203373354"/>
      <w:bookmarkStart w:id="318" w:name="_Toc225741623"/>
      <w:bookmarkStart w:id="319" w:name="_Toc200162118"/>
      <w:bookmarkStart w:id="320" w:name="_Toc200952546"/>
      <w:bookmarkStart w:id="321" w:name="_Toc203113621"/>
      <w:bookmarkStart w:id="322" w:name="_Toc204572393"/>
      <w:bookmarkStart w:id="323" w:name="_Toc200162815"/>
      <w:bookmarkStart w:id="324" w:name="_Toc201330164"/>
      <w:bookmarkStart w:id="325" w:name="_Toc22757"/>
      <w:r>
        <w:rPr>
          <w:rFonts w:eastAsia="黑体" w:cs="Times New Roman"/>
          <w:bCs/>
          <w:snapToGrid w:val="0"/>
          <w:color w:val="auto"/>
          <w:kern w:val="0"/>
          <w:szCs w:val="32"/>
          <w:highlight w:val="none"/>
        </w:rPr>
        <w:t>6.1.2</w:t>
      </w:r>
      <w:bookmarkEnd w:id="317"/>
      <w:bookmarkEnd w:id="318"/>
      <w:bookmarkEnd w:id="319"/>
      <w:bookmarkEnd w:id="320"/>
      <w:bookmarkEnd w:id="321"/>
      <w:bookmarkEnd w:id="322"/>
      <w:bookmarkEnd w:id="323"/>
      <w:bookmarkEnd w:id="324"/>
      <w:r>
        <w:rPr>
          <w:rFonts w:eastAsia="黑体" w:cs="Times New Roman"/>
          <w:bCs/>
          <w:snapToGrid w:val="0"/>
          <w:color w:val="auto"/>
          <w:kern w:val="0"/>
          <w:szCs w:val="32"/>
          <w:highlight w:val="none"/>
        </w:rPr>
        <w:t>废水环境保护措施</w:t>
      </w:r>
      <w:bookmarkEnd w:id="325"/>
    </w:p>
    <w:p w14:paraId="025A34AD">
      <w:pPr>
        <w:pageBreakBefore w:val="0"/>
        <w:widowControl w:val="0"/>
        <w:kinsoku/>
        <w:wordWrap/>
        <w:overflowPunct/>
        <w:topLinePunct w:val="0"/>
        <w:autoSpaceDE/>
        <w:autoSpaceDN/>
        <w:bidi w:val="0"/>
        <w:adjustRightInd w:val="0"/>
        <w:snapToGrid w:val="0"/>
        <w:spacing w:line="520" w:lineRule="atLeast"/>
        <w:textAlignment w:val="auto"/>
        <w:rPr>
          <w:rFonts w:cs="Times New Roman"/>
          <w:color w:val="auto"/>
          <w:szCs w:val="24"/>
          <w:highlight w:val="none"/>
        </w:rPr>
      </w:pPr>
      <w:r>
        <w:rPr>
          <w:rFonts w:cs="Times New Roman"/>
          <w:color w:val="auto"/>
          <w:szCs w:val="24"/>
          <w:highlight w:val="none"/>
        </w:rPr>
        <w:t>施工过程废水影响主要包括：施工废水及施工人员生活污水。具体措施如下：</w:t>
      </w:r>
    </w:p>
    <w:p w14:paraId="003F3A9F">
      <w:pPr>
        <w:pageBreakBefore w:val="0"/>
        <w:widowControl w:val="0"/>
        <w:kinsoku/>
        <w:wordWrap/>
        <w:overflowPunct/>
        <w:topLinePunct w:val="0"/>
        <w:autoSpaceDE/>
        <w:autoSpaceDN/>
        <w:bidi w:val="0"/>
        <w:adjustRightInd w:val="0"/>
        <w:snapToGrid w:val="0"/>
        <w:spacing w:line="520" w:lineRule="atLeast"/>
        <w:textAlignment w:val="auto"/>
        <w:rPr>
          <w:rFonts w:cs="Times New Roman"/>
          <w:color w:val="auto"/>
          <w:szCs w:val="24"/>
          <w:highlight w:val="none"/>
        </w:rPr>
      </w:pPr>
      <w:r>
        <w:rPr>
          <w:rFonts w:cs="Times New Roman"/>
          <w:color w:val="auto"/>
          <w:szCs w:val="24"/>
          <w:highlight w:val="none"/>
        </w:rPr>
        <w:t>在施工现场设置沉淀池，施工废水经沉淀后用于洒水降尘和施工回用水。施工时生活污水排入防渗旱厕，对周围水环境影响较小。</w:t>
      </w:r>
    </w:p>
    <w:p w14:paraId="6787EDD6">
      <w:pPr>
        <w:pageBreakBefore w:val="0"/>
        <w:widowControl w:val="0"/>
        <w:kinsoku/>
        <w:wordWrap/>
        <w:overflowPunct/>
        <w:topLinePunct w:val="0"/>
        <w:autoSpaceDE/>
        <w:autoSpaceDN/>
        <w:bidi w:val="0"/>
        <w:adjustRightInd w:val="0"/>
        <w:snapToGrid w:val="0"/>
        <w:spacing w:line="520" w:lineRule="atLeast"/>
        <w:textAlignment w:val="auto"/>
        <w:rPr>
          <w:rFonts w:cs="Times New Roman"/>
          <w:snapToGrid w:val="0"/>
          <w:color w:val="auto"/>
          <w:kern w:val="0"/>
          <w:szCs w:val="24"/>
          <w:highlight w:val="none"/>
        </w:rPr>
      </w:pPr>
      <w:r>
        <w:rPr>
          <w:rFonts w:cs="Times New Roman"/>
          <w:color w:val="auto"/>
          <w:szCs w:val="24"/>
          <w:highlight w:val="none"/>
        </w:rPr>
        <w:t>施工期所用的物料在雨季时必须做好围挡和遮盖措施</w:t>
      </w:r>
    </w:p>
    <w:p w14:paraId="4395C8BC">
      <w:pPr>
        <w:keepNext/>
        <w:keepLines/>
        <w:pageBreakBefore w:val="0"/>
        <w:widowControl w:val="0"/>
        <w:kinsoku/>
        <w:wordWrap/>
        <w:overflowPunct/>
        <w:topLinePunct w:val="0"/>
        <w:autoSpaceDE/>
        <w:autoSpaceDN/>
        <w:bidi w:val="0"/>
        <w:adjustRightInd w:val="0"/>
        <w:snapToGrid w:val="0"/>
        <w:spacing w:line="520" w:lineRule="atLeast"/>
        <w:ind w:firstLine="0" w:firstLineChars="0"/>
        <w:jc w:val="left"/>
        <w:textAlignment w:val="auto"/>
        <w:outlineLvl w:val="2"/>
        <w:rPr>
          <w:rFonts w:eastAsia="黑体" w:cs="Times New Roman"/>
          <w:bCs/>
          <w:snapToGrid w:val="0"/>
          <w:color w:val="auto"/>
          <w:kern w:val="0"/>
          <w:szCs w:val="32"/>
          <w:highlight w:val="none"/>
        </w:rPr>
      </w:pPr>
      <w:bookmarkStart w:id="326" w:name="_Toc225741624"/>
      <w:bookmarkStart w:id="327" w:name="_Toc203113622"/>
      <w:bookmarkStart w:id="328" w:name="_Toc201330165"/>
      <w:bookmarkStart w:id="329" w:name="_Toc200952547"/>
      <w:bookmarkStart w:id="330" w:name="_Toc204572394"/>
      <w:bookmarkStart w:id="331" w:name="_Toc203373355"/>
      <w:bookmarkStart w:id="332" w:name="_Toc200162119"/>
      <w:bookmarkStart w:id="333" w:name="_Toc200162816"/>
      <w:bookmarkStart w:id="334" w:name="_Toc12031"/>
      <w:r>
        <w:rPr>
          <w:rFonts w:eastAsia="黑体" w:cs="Times New Roman"/>
          <w:bCs/>
          <w:snapToGrid w:val="0"/>
          <w:color w:val="auto"/>
          <w:kern w:val="0"/>
          <w:szCs w:val="32"/>
          <w:highlight w:val="none"/>
        </w:rPr>
        <w:t>6.1.3</w:t>
      </w:r>
      <w:bookmarkEnd w:id="326"/>
      <w:bookmarkEnd w:id="327"/>
      <w:bookmarkEnd w:id="328"/>
      <w:bookmarkEnd w:id="329"/>
      <w:bookmarkEnd w:id="330"/>
      <w:bookmarkEnd w:id="331"/>
      <w:bookmarkEnd w:id="332"/>
      <w:bookmarkEnd w:id="333"/>
      <w:r>
        <w:rPr>
          <w:rFonts w:eastAsia="黑体" w:cs="Times New Roman"/>
          <w:bCs/>
          <w:snapToGrid w:val="0"/>
          <w:color w:val="auto"/>
          <w:kern w:val="0"/>
          <w:szCs w:val="32"/>
          <w:highlight w:val="none"/>
        </w:rPr>
        <w:t>噪声环境保护措施</w:t>
      </w:r>
      <w:bookmarkEnd w:id="334"/>
    </w:p>
    <w:p w14:paraId="5E5A84B3">
      <w:pPr>
        <w:keepNext w:val="0"/>
        <w:keepLines w:val="0"/>
        <w:pageBreakBefore w:val="0"/>
        <w:widowControl w:val="0"/>
        <w:kinsoku/>
        <w:wordWrap/>
        <w:overflowPunct/>
        <w:topLinePunct w:val="0"/>
        <w:autoSpaceDE/>
        <w:autoSpaceDN/>
        <w:bidi w:val="0"/>
        <w:adjustRightInd w:val="0"/>
        <w:snapToGrid w:val="0"/>
        <w:spacing w:line="520" w:lineRule="atLeast"/>
        <w:textAlignment w:val="auto"/>
        <w:rPr>
          <w:rFonts w:cs="Times New Roman"/>
          <w:color w:val="auto"/>
          <w:szCs w:val="24"/>
          <w:highlight w:val="none"/>
        </w:rPr>
      </w:pPr>
      <w:r>
        <w:rPr>
          <w:rFonts w:cs="Times New Roman"/>
          <w:color w:val="auto"/>
          <w:szCs w:val="24"/>
          <w:highlight w:val="none"/>
        </w:rPr>
        <w:t>施工时噪声对施工现场及周围环境将产生一定影响。以《建筑施工场界环境噪声排放标准》（GB12523-2011）评价，施工机械噪声距其50m处的源强为44～67dB（A）可知，预测值超标；若夜间施工，则200m以内的环境噪声超过55dB（A）的夜间标准值。由此可见，施工噪声对施工场地周围50m范围内的环境影响较大，对50-100m范围也将产生一定的影响，特别是夜间施工时影响更为严重。</w:t>
      </w:r>
    </w:p>
    <w:p w14:paraId="2585BD25">
      <w:pPr>
        <w:rPr>
          <w:rFonts w:cs="Times New Roman"/>
          <w:color w:val="auto"/>
          <w:szCs w:val="24"/>
          <w:highlight w:val="none"/>
        </w:rPr>
      </w:pPr>
      <w:r>
        <w:rPr>
          <w:rFonts w:cs="Times New Roman"/>
          <w:color w:val="auto"/>
          <w:szCs w:val="24"/>
          <w:highlight w:val="none"/>
        </w:rPr>
        <w:t>因此，施工单位必须要采取必要的降噪措施，使施工噪声的影响降到最低。因此对一些重点噪声设备和声源，提出下面一些治理措施和建议：</w:t>
      </w:r>
    </w:p>
    <w:p w14:paraId="24F7B98D">
      <w:pPr>
        <w:rPr>
          <w:rFonts w:cs="Times New Roman"/>
          <w:color w:val="auto"/>
          <w:szCs w:val="24"/>
          <w:highlight w:val="none"/>
        </w:rPr>
      </w:pPr>
      <w:r>
        <w:rPr>
          <w:rFonts w:cs="Times New Roman"/>
          <w:color w:val="auto"/>
          <w:szCs w:val="24"/>
          <w:highlight w:val="none"/>
        </w:rPr>
        <w:t>（1）在施工过程中，设置围墙和临时隔声围障，噪声源应尽量设置在远离环境敏感目标。</w:t>
      </w:r>
    </w:p>
    <w:p w14:paraId="5920DC14">
      <w:pPr>
        <w:rPr>
          <w:rFonts w:cs="Times New Roman"/>
          <w:color w:val="auto"/>
          <w:szCs w:val="24"/>
          <w:highlight w:val="none"/>
        </w:rPr>
      </w:pPr>
      <w:r>
        <w:rPr>
          <w:rFonts w:cs="Times New Roman"/>
          <w:color w:val="auto"/>
          <w:szCs w:val="24"/>
          <w:highlight w:val="none"/>
        </w:rPr>
        <w:t>（2）从规范施工秩序着手，合理安排施工时间，如工艺需要连续施工，必须办理夜间施工许可证，合理布局施工场地，选用良好的施工设备，降低设备声级。</w:t>
      </w:r>
    </w:p>
    <w:p w14:paraId="63B96A25">
      <w:pPr>
        <w:rPr>
          <w:rFonts w:cs="Times New Roman"/>
          <w:color w:val="auto"/>
          <w:szCs w:val="24"/>
          <w:highlight w:val="none"/>
        </w:rPr>
      </w:pPr>
      <w:r>
        <w:rPr>
          <w:rFonts w:cs="Times New Roman"/>
          <w:color w:val="auto"/>
          <w:szCs w:val="24"/>
          <w:highlight w:val="none"/>
        </w:rPr>
        <w:t>（3）降低声源的噪声强度对基础施工过程中主要发声设备，在条件允许情况下，应考虑采用其他措施进行代替，这将都将大大降低噪声源强。</w:t>
      </w:r>
    </w:p>
    <w:p w14:paraId="48785F36">
      <w:pPr>
        <w:rPr>
          <w:rFonts w:cs="Times New Roman"/>
          <w:color w:val="auto"/>
          <w:szCs w:val="24"/>
          <w:highlight w:val="none"/>
        </w:rPr>
      </w:pPr>
      <w:r>
        <w:rPr>
          <w:rFonts w:cs="Times New Roman"/>
          <w:color w:val="auto"/>
          <w:szCs w:val="24"/>
          <w:highlight w:val="none"/>
        </w:rPr>
        <w:t>（4）减轻声源叠加影响，施工机械产生的噪声往往具有突发、无规则、不连续和高强度等特点，施工单位应采取合理安排施工机械操作时间的方法加以缓解，并减少同时作业的高噪声施工机械数量，尽可能减轻声源叠加影响。</w:t>
      </w:r>
    </w:p>
    <w:p w14:paraId="23114A80">
      <w:pPr>
        <w:rPr>
          <w:rFonts w:cs="Times New Roman"/>
          <w:color w:val="auto"/>
          <w:szCs w:val="24"/>
          <w:highlight w:val="none"/>
        </w:rPr>
      </w:pPr>
      <w:r>
        <w:rPr>
          <w:rFonts w:cs="Times New Roman"/>
          <w:color w:val="auto"/>
          <w:szCs w:val="24"/>
          <w:highlight w:val="none"/>
        </w:rPr>
        <w:t>（5）施工车辆，特别是重型运载车辆的运行线路和时间，应尽量避开噪声敏感区域和敏感时段。</w:t>
      </w:r>
    </w:p>
    <w:p w14:paraId="49E4C13B">
      <w:pPr>
        <w:rPr>
          <w:rFonts w:cs="Times New Roman"/>
          <w:snapToGrid w:val="0"/>
          <w:color w:val="auto"/>
          <w:kern w:val="0"/>
          <w:highlight w:val="none"/>
        </w:rPr>
      </w:pPr>
      <w:r>
        <w:rPr>
          <w:rFonts w:cs="Times New Roman"/>
          <w:color w:val="auto"/>
          <w:szCs w:val="24"/>
          <w:highlight w:val="none"/>
        </w:rPr>
        <w:t>经采取上述噪声防治措施后，能大大降低施工噪声对周围环境的影响，</w:t>
      </w:r>
      <w:r>
        <w:rPr>
          <w:rFonts w:cs="Times New Roman"/>
          <w:color w:val="auto"/>
          <w:highlight w:val="none"/>
        </w:rPr>
        <w:t>场界噪声能达到《建筑施工环境噪声排放标准》（GB 12523</w:t>
      </w:r>
      <w:r>
        <w:rPr>
          <w:rFonts w:hint="eastAsia" w:cs="Times New Roman"/>
          <w:color w:val="auto"/>
          <w:highlight w:val="none"/>
        </w:rPr>
        <w:t>-</w:t>
      </w:r>
      <w:r>
        <w:rPr>
          <w:rFonts w:cs="Times New Roman"/>
          <w:color w:val="auto"/>
          <w:highlight w:val="none"/>
        </w:rPr>
        <w:t>2011）要求</w:t>
      </w:r>
      <w:r>
        <w:rPr>
          <w:rFonts w:cs="Times New Roman"/>
          <w:color w:val="auto"/>
          <w:szCs w:val="24"/>
          <w:highlight w:val="none"/>
        </w:rPr>
        <w:t>。施工期噪声污染是短期的、暂时的，一旦施工结束，施工噪声即随之消失。</w:t>
      </w:r>
    </w:p>
    <w:p w14:paraId="6BFFAFC7">
      <w:pPr>
        <w:keepNext/>
        <w:keepLines/>
        <w:ind w:firstLine="0" w:firstLineChars="0"/>
        <w:jc w:val="left"/>
        <w:outlineLvl w:val="2"/>
        <w:rPr>
          <w:rFonts w:eastAsia="黑体" w:cs="Times New Roman"/>
          <w:bCs/>
          <w:snapToGrid w:val="0"/>
          <w:color w:val="auto"/>
          <w:kern w:val="0"/>
          <w:szCs w:val="32"/>
          <w:highlight w:val="none"/>
        </w:rPr>
      </w:pPr>
      <w:bookmarkStart w:id="335" w:name="_Toc200162120"/>
      <w:bookmarkStart w:id="336" w:name="_Toc225741625"/>
      <w:bookmarkStart w:id="337" w:name="_Toc201330166"/>
      <w:bookmarkStart w:id="338" w:name="_Toc200952548"/>
      <w:bookmarkStart w:id="339" w:name="_Toc204572395"/>
      <w:bookmarkStart w:id="340" w:name="_Toc200162817"/>
      <w:bookmarkStart w:id="341" w:name="_Toc203373356"/>
      <w:bookmarkStart w:id="342" w:name="_Toc203113623"/>
      <w:bookmarkStart w:id="343" w:name="_Toc5314"/>
      <w:r>
        <w:rPr>
          <w:rFonts w:eastAsia="黑体" w:cs="Times New Roman"/>
          <w:bCs/>
          <w:snapToGrid w:val="0"/>
          <w:color w:val="auto"/>
          <w:kern w:val="0"/>
          <w:szCs w:val="32"/>
          <w:highlight w:val="none"/>
        </w:rPr>
        <w:t>6.1.4</w:t>
      </w:r>
      <w:bookmarkEnd w:id="335"/>
      <w:bookmarkEnd w:id="336"/>
      <w:bookmarkEnd w:id="337"/>
      <w:bookmarkEnd w:id="338"/>
      <w:bookmarkEnd w:id="339"/>
      <w:bookmarkEnd w:id="340"/>
      <w:bookmarkEnd w:id="341"/>
      <w:bookmarkEnd w:id="342"/>
      <w:r>
        <w:rPr>
          <w:rFonts w:eastAsia="黑体" w:cs="Times New Roman"/>
          <w:bCs/>
          <w:snapToGrid w:val="0"/>
          <w:color w:val="auto"/>
          <w:kern w:val="0"/>
          <w:szCs w:val="32"/>
          <w:highlight w:val="none"/>
        </w:rPr>
        <w:t>固体废物环境保护措施</w:t>
      </w:r>
      <w:bookmarkEnd w:id="343"/>
    </w:p>
    <w:p w14:paraId="22970244">
      <w:pPr>
        <w:rPr>
          <w:rFonts w:cs="Times New Roman"/>
          <w:color w:val="auto"/>
          <w:szCs w:val="24"/>
          <w:highlight w:val="none"/>
        </w:rPr>
      </w:pPr>
      <w:r>
        <w:rPr>
          <w:rFonts w:cs="Times New Roman"/>
          <w:color w:val="auto"/>
          <w:szCs w:val="24"/>
          <w:highlight w:val="none"/>
        </w:rPr>
        <w:t>建设施工期固体废物主要为建筑垃圾及施工人员的少量生活垃圾等。</w:t>
      </w:r>
    </w:p>
    <w:p w14:paraId="47D2AC6D">
      <w:pPr>
        <w:rPr>
          <w:rFonts w:cs="Times New Roman"/>
          <w:color w:val="auto"/>
          <w:szCs w:val="24"/>
          <w:highlight w:val="none"/>
        </w:rPr>
      </w:pPr>
      <w:r>
        <w:rPr>
          <w:rFonts w:cs="Times New Roman"/>
          <w:color w:val="auto"/>
          <w:szCs w:val="24"/>
          <w:highlight w:val="none"/>
        </w:rPr>
        <w:t>（1）施工人员产生的生活垃圾量较少，可设置固定垃圾箱存放，统一清运，不得随意丢弃。</w:t>
      </w:r>
    </w:p>
    <w:p w14:paraId="58716A6E">
      <w:pPr>
        <w:pStyle w:val="117"/>
        <w:rPr>
          <w:rFonts w:cs="Times New Roman"/>
          <w:color w:val="auto"/>
          <w:szCs w:val="24"/>
          <w:highlight w:val="none"/>
        </w:rPr>
      </w:pPr>
      <w:r>
        <w:rPr>
          <w:rFonts w:cs="Times New Roman"/>
          <w:color w:val="auto"/>
          <w:szCs w:val="24"/>
          <w:highlight w:val="none"/>
        </w:rPr>
        <w:t>（2）建筑垃圾运至指定地点处理。对施工过程中产生的建筑材料，应考虑其能否利用，并且要尽快利用，以减少堆存时间。若在不能确保其全部利用时，需对不能利用部分运至指定地点处理。</w:t>
      </w:r>
      <w:r>
        <w:rPr>
          <w:rFonts w:hint="default" w:ascii="Times New Roman" w:hAnsi="Times New Roman" w:cs="Times New Roman"/>
          <w:snapToGrid w:val="0"/>
          <w:color w:val="auto"/>
          <w:highlight w:val="none"/>
        </w:rPr>
        <w:t>多余土方用于平整场地；项目占地范围内表土须按照《黑龙江省黑土地保护利用条例》与《建设占用耕地耕作层土壤剥离利用技术规范》（DB23-T2913-2021）的要求进行表土的剥离与利用；建筑垃圾严禁随意抛弃倾倒。</w:t>
      </w:r>
    </w:p>
    <w:p w14:paraId="646E4973">
      <w:pPr>
        <w:pStyle w:val="4"/>
        <w:bidi w:val="0"/>
        <w:rPr>
          <w:color w:val="auto"/>
          <w:highlight w:val="none"/>
        </w:rPr>
      </w:pPr>
      <w:bookmarkStart w:id="344" w:name="_Toc201330167"/>
      <w:bookmarkStart w:id="345" w:name="_Toc200952549"/>
      <w:bookmarkStart w:id="346" w:name="_Toc225741626"/>
      <w:bookmarkStart w:id="347" w:name="_Toc200162818"/>
      <w:bookmarkStart w:id="348" w:name="_Toc203373357"/>
      <w:bookmarkStart w:id="349" w:name="_Toc204572396"/>
      <w:bookmarkStart w:id="350" w:name="_Toc203113624"/>
      <w:bookmarkStart w:id="351" w:name="_Toc200162121"/>
      <w:bookmarkStart w:id="352" w:name="_Toc22133"/>
      <w:r>
        <w:rPr>
          <w:color w:val="auto"/>
          <w:highlight w:val="none"/>
        </w:rPr>
        <w:t>6.1.5</w:t>
      </w:r>
      <w:bookmarkEnd w:id="344"/>
      <w:bookmarkEnd w:id="345"/>
      <w:bookmarkEnd w:id="346"/>
      <w:bookmarkEnd w:id="347"/>
      <w:bookmarkEnd w:id="348"/>
      <w:bookmarkEnd w:id="349"/>
      <w:bookmarkEnd w:id="350"/>
      <w:bookmarkEnd w:id="351"/>
      <w:r>
        <w:rPr>
          <w:color w:val="auto"/>
          <w:highlight w:val="none"/>
        </w:rPr>
        <w:t>生态环境保护措施</w:t>
      </w:r>
      <w:bookmarkEnd w:id="352"/>
    </w:p>
    <w:p w14:paraId="38F649BA">
      <w:pPr>
        <w:pStyle w:val="117"/>
        <w:adjustRightInd w:val="0"/>
        <w:snapToGrid w:val="0"/>
        <w:spacing w:line="360" w:lineRule="auto"/>
        <w:rPr>
          <w:rFonts w:ascii="Times New Roman" w:hAnsi="Times New Roman" w:eastAsia="宋体" w:cs="Times New Roman"/>
          <w:snapToGrid w:val="0"/>
          <w:color w:val="auto"/>
          <w:highlight w:val="none"/>
        </w:rPr>
      </w:pPr>
      <w:bookmarkStart w:id="353" w:name="_Toc480447675"/>
      <w:bookmarkStart w:id="354" w:name="_Toc255202309"/>
      <w:bookmarkStart w:id="355" w:name="_Toc277178440"/>
      <w:r>
        <w:rPr>
          <w:rFonts w:cs="Times New Roman"/>
          <w:snapToGrid w:val="0"/>
          <w:color w:val="auto"/>
          <w:highlight w:val="none"/>
        </w:rPr>
        <w:t>建设期的生态影响主要是土地平整及土方挖运施工导致的水土流失，工程应加强施工道路的路面建设，创造施工场地良好的排水条件，减少雨水冲刷和停留时间，从而达到减少水土流失的目的。</w:t>
      </w:r>
      <w:r>
        <w:rPr>
          <w:rFonts w:hint="default" w:ascii="Times New Roman" w:hAnsi="Times New Roman" w:eastAsia="宋体" w:cs="Times New Roman"/>
          <w:snapToGrid w:val="0"/>
          <w:color w:val="auto"/>
          <w:highlight w:val="none"/>
        </w:rPr>
        <w:t>施工时弃土</w:t>
      </w:r>
      <w:r>
        <w:rPr>
          <w:rFonts w:hint="default" w:ascii="Times New Roman" w:hAnsi="Times New Roman" w:cs="Times New Roman"/>
          <w:snapToGrid w:val="0"/>
          <w:color w:val="auto"/>
          <w:highlight w:val="none"/>
        </w:rPr>
        <w:t>用于平整场地</w:t>
      </w:r>
      <w:r>
        <w:rPr>
          <w:rFonts w:hint="default" w:ascii="Times New Roman" w:hAnsi="Times New Roman" w:eastAsia="宋体" w:cs="Times New Roman"/>
          <w:snapToGrid w:val="0"/>
          <w:color w:val="auto"/>
          <w:highlight w:val="none"/>
        </w:rPr>
        <w:t>，直接送至填方处堆存，减少倒运次数，可减轻水土流失。施工结束后立即进行地表植被恢复，减少水土流失和扬尘污染。</w:t>
      </w:r>
    </w:p>
    <w:p w14:paraId="0583E124">
      <w:pPr>
        <w:pStyle w:val="117"/>
        <w:adjustRightInd w:val="0"/>
        <w:snapToGrid w:val="0"/>
        <w:spacing w:line="360" w:lineRule="auto"/>
        <w:rPr>
          <w:rFonts w:cs="Times New Roman"/>
          <w:snapToGrid w:val="0"/>
          <w:color w:val="auto"/>
          <w:highlight w:val="none"/>
        </w:rPr>
      </w:pPr>
      <w:r>
        <w:rPr>
          <w:rFonts w:ascii="Times New Roman" w:hAnsi="Times New Roman" w:eastAsia="宋体" w:cs="Times New Roman"/>
          <w:snapToGrid w:val="0"/>
          <w:color w:val="auto"/>
          <w:highlight w:val="none"/>
        </w:rPr>
        <w:t>1、加强管理及施工人</w:t>
      </w:r>
      <w:r>
        <w:rPr>
          <w:rFonts w:cs="Times New Roman"/>
          <w:snapToGrid w:val="0"/>
          <w:color w:val="auto"/>
          <w:highlight w:val="none"/>
        </w:rPr>
        <w:t>员生态保护意识教育，保护施工场地周围的生态环境。</w:t>
      </w:r>
    </w:p>
    <w:p w14:paraId="299FEE5A">
      <w:pPr>
        <w:pStyle w:val="117"/>
        <w:adjustRightInd w:val="0"/>
        <w:snapToGrid w:val="0"/>
        <w:spacing w:line="360" w:lineRule="auto"/>
        <w:rPr>
          <w:rFonts w:cs="Times New Roman"/>
          <w:snapToGrid w:val="0"/>
          <w:color w:val="auto"/>
          <w:highlight w:val="none"/>
        </w:rPr>
      </w:pPr>
      <w:r>
        <w:rPr>
          <w:rFonts w:cs="Times New Roman"/>
          <w:snapToGrid w:val="0"/>
          <w:color w:val="auto"/>
          <w:highlight w:val="none"/>
        </w:rPr>
        <w:t>2、尽量减少工程占地，减轻对土壤及地面植被的破坏。</w:t>
      </w:r>
    </w:p>
    <w:p w14:paraId="7F5D11E8">
      <w:pPr>
        <w:pStyle w:val="117"/>
        <w:adjustRightInd w:val="0"/>
        <w:snapToGrid w:val="0"/>
        <w:spacing w:line="360" w:lineRule="auto"/>
        <w:rPr>
          <w:rFonts w:cs="Times New Roman"/>
          <w:snapToGrid w:val="0"/>
          <w:color w:val="auto"/>
          <w:highlight w:val="none"/>
        </w:rPr>
      </w:pPr>
      <w:r>
        <w:rPr>
          <w:rFonts w:cs="Times New Roman"/>
          <w:snapToGrid w:val="0"/>
          <w:color w:val="auto"/>
          <w:highlight w:val="none"/>
        </w:rPr>
        <w:t>3、合理设置施工时段，最大限度缩短施工周期。涉及大量开挖的工程，尽量避开雨季、大风天气。</w:t>
      </w:r>
    </w:p>
    <w:p w14:paraId="4DEDE96A">
      <w:pPr>
        <w:pStyle w:val="117"/>
        <w:adjustRightInd w:val="0"/>
        <w:snapToGrid w:val="0"/>
        <w:spacing w:line="360" w:lineRule="auto"/>
        <w:rPr>
          <w:rFonts w:cs="Times New Roman"/>
          <w:snapToGrid w:val="0"/>
          <w:color w:val="auto"/>
          <w:highlight w:val="none"/>
        </w:rPr>
      </w:pPr>
      <w:r>
        <w:rPr>
          <w:rFonts w:cs="Times New Roman"/>
          <w:snapToGrid w:val="0"/>
          <w:color w:val="auto"/>
          <w:highlight w:val="none"/>
        </w:rPr>
        <w:t>4、加强施工管理，严格按规程操作。</w:t>
      </w:r>
    </w:p>
    <w:p w14:paraId="21AA91D7">
      <w:pPr>
        <w:pStyle w:val="117"/>
        <w:adjustRightInd w:val="0"/>
        <w:snapToGrid w:val="0"/>
        <w:spacing w:line="360" w:lineRule="auto"/>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根据现场勘察，</w:t>
      </w:r>
      <w:r>
        <w:rPr>
          <w:rFonts w:hint="eastAsia" w:cs="Times New Roman"/>
          <w:snapToGrid w:val="0"/>
          <w:color w:val="auto"/>
          <w:highlight w:val="none"/>
          <w:lang w:val="en-US" w:eastAsia="zh-CN"/>
        </w:rPr>
        <w:t>项目占地范围内，土地利用现状为交通服务场地用地（见附图5）。</w:t>
      </w:r>
    </w:p>
    <w:p w14:paraId="0B7866AB">
      <w:pPr>
        <w:pStyle w:val="117"/>
        <w:adjustRightInd w:val="0"/>
        <w:snapToGrid w:val="0"/>
        <w:spacing w:line="360" w:lineRule="auto"/>
        <w:rPr>
          <w:rFonts w:hint="eastAsia" w:cs="Times New Roman"/>
          <w:snapToGrid w:val="0"/>
          <w:color w:val="auto"/>
          <w:highlight w:val="none"/>
        </w:rPr>
      </w:pPr>
      <w:r>
        <w:rPr>
          <w:rFonts w:cs="Times New Roman"/>
          <w:snapToGrid w:val="0"/>
          <w:color w:val="auto"/>
          <w:highlight w:val="none"/>
        </w:rPr>
        <w:t>（1）项目占地范围内表土须按照《黑龙江省黑土地保护利用条例》与《建设占用耕地耕作层土壤剥离利用技术规范》（DB23-T2913-2021）的要求</w:t>
      </w:r>
      <w:r>
        <w:rPr>
          <w:rFonts w:hint="eastAsia" w:cs="Times New Roman"/>
          <w:snapToGrid w:val="0"/>
          <w:color w:val="auto"/>
          <w:highlight w:val="none"/>
          <w:lang w:val="en-US" w:eastAsia="zh-CN"/>
        </w:rPr>
        <w:t>编制剥离利用方案，对</w:t>
      </w:r>
      <w:r>
        <w:rPr>
          <w:rFonts w:cs="Times New Roman"/>
          <w:snapToGrid w:val="0"/>
          <w:color w:val="auto"/>
          <w:highlight w:val="none"/>
        </w:rPr>
        <w:t>表土</w:t>
      </w:r>
      <w:r>
        <w:rPr>
          <w:rFonts w:hint="eastAsia" w:cs="Times New Roman"/>
          <w:snapToGrid w:val="0"/>
          <w:color w:val="auto"/>
          <w:highlight w:val="none"/>
          <w:lang w:val="en-US" w:eastAsia="zh-CN"/>
        </w:rPr>
        <w:t>进行</w:t>
      </w:r>
      <w:r>
        <w:rPr>
          <w:rFonts w:cs="Times New Roman"/>
          <w:snapToGrid w:val="0"/>
          <w:color w:val="auto"/>
          <w:highlight w:val="none"/>
        </w:rPr>
        <w:t>剥离与利用。</w:t>
      </w:r>
    </w:p>
    <w:p w14:paraId="3CF97948">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lang w:val="en-US" w:eastAsia="zh-CN"/>
        </w:rPr>
        <w:t>1）表土剥离过程中</w:t>
      </w:r>
      <w:r>
        <w:rPr>
          <w:rFonts w:hint="eastAsia" w:cs="Times New Roman"/>
          <w:snapToGrid w:val="0"/>
          <w:color w:val="auto"/>
          <w:highlight w:val="none"/>
        </w:rPr>
        <w:t>应满足下列要求：</w:t>
      </w:r>
    </w:p>
    <w:p w14:paraId="76896D44">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a) 严格按照方案规定的工程内容、实施计划和质量要求施工；</w:t>
      </w:r>
    </w:p>
    <w:p w14:paraId="207B7D9A">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b) 土壤剥离、运输、储存的相关规定、施工方法与技术要求按照本标准规定要求执行；</w:t>
      </w:r>
    </w:p>
    <w:p w14:paraId="1B8E2044">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c) 收集剥离区、储存区工程施工前后的全景照片和关键部位的局部照片；</w:t>
      </w:r>
    </w:p>
    <w:p w14:paraId="70A64178">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d) 建立施工台账，准确记录土壤剥离、储存的土方量；</w:t>
      </w:r>
    </w:p>
    <w:p w14:paraId="50EC029A">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e) 根据天气情况确定施工时间，禁止雨天作业；</w:t>
      </w:r>
    </w:p>
    <w:p w14:paraId="669F2F5F">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f) 邻近城镇村庄、主要道路、水源地等作业场所，晴天应定期洒水降尘。运输车辆应盖好土壤，并在规定的运输路线和操作区域内行驶。</w:t>
      </w:r>
    </w:p>
    <w:p w14:paraId="6C9CC66B">
      <w:pPr>
        <w:pStyle w:val="117"/>
        <w:adjustRightInd w:val="0"/>
        <w:snapToGrid w:val="0"/>
        <w:spacing w:line="360" w:lineRule="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2）作业参数满足下列要求：</w:t>
      </w:r>
    </w:p>
    <w:p w14:paraId="658BF228">
      <w:pPr>
        <w:pStyle w:val="117"/>
        <w:adjustRightInd w:val="0"/>
        <w:snapToGrid w:val="0"/>
        <w:spacing w:line="360" w:lineRule="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a) 根据剥离机械设备性能，确定每次剥离的宽度和轴线及适宜剥离厚度，机械的剥离宽度2 m—4 m为宜；</w:t>
      </w:r>
    </w:p>
    <w:p w14:paraId="13E98D27">
      <w:pPr>
        <w:pStyle w:val="117"/>
        <w:adjustRightInd w:val="0"/>
        <w:snapToGrid w:val="0"/>
        <w:spacing w:line="360" w:lineRule="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b) 根据耕作层土壤剥离利用方案，确定剥离单元与剥离厚度。基于土壤质量和剥离成本考虑，耕作层土壤剥离厚度宜在20cm～30cm。单次土壤剥离厚度不宜大于 30 cm；</w:t>
      </w:r>
    </w:p>
    <w:p w14:paraId="33544BD3">
      <w:pPr>
        <w:pStyle w:val="117"/>
        <w:adjustRightInd w:val="0"/>
        <w:snapToGrid w:val="0"/>
        <w:spacing w:line="360" w:lineRule="auto"/>
        <w:rPr>
          <w:rFonts w:hint="eastAsia" w:cs="Times New Roman"/>
          <w:snapToGrid w:val="0"/>
          <w:color w:val="auto"/>
          <w:highlight w:val="none"/>
          <w:lang w:val="en-US" w:eastAsia="zh-CN"/>
        </w:rPr>
      </w:pPr>
      <w:r>
        <w:rPr>
          <w:rFonts w:hint="eastAsia" w:cs="Times New Roman"/>
          <w:snapToGrid w:val="0"/>
          <w:color w:val="auto"/>
          <w:highlight w:val="none"/>
          <w:lang w:val="en-US" w:eastAsia="zh-CN"/>
        </w:rPr>
        <w:t>c) 耕作层较厚的区域可适当增加剥离厚度，原则上土壤剥离厚度不超过50cm。</w:t>
      </w:r>
    </w:p>
    <w:p w14:paraId="6EA68A7B">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lang w:val="en-US" w:eastAsia="zh-CN"/>
        </w:rPr>
        <w:t>3）</w:t>
      </w:r>
      <w:r>
        <w:rPr>
          <w:rFonts w:hint="eastAsia" w:cs="Times New Roman"/>
          <w:snapToGrid w:val="0"/>
          <w:color w:val="auto"/>
          <w:highlight w:val="none"/>
        </w:rPr>
        <w:t>土壤堆放应满足下列要求：</w:t>
      </w:r>
    </w:p>
    <w:p w14:paraId="3F74E3B0">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a) 储存区内土壤堆放应减少占地面积，合理紧凑。多种类型土壤储存宜采用棱台状堆放，堆高不超过5 m，每高1 m设置一个台阶，按1:1～1:1.5设置边坡；</w:t>
      </w:r>
    </w:p>
    <w:p w14:paraId="1F021B5E">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b) 每个储存区内道路宜环状或居中布置。大型储存区宜在下游设置机械停放、维修区域，该区域与土堆最近距离不宜小于 3 m，中间宜开挖隔油沟；</w:t>
      </w:r>
    </w:p>
    <w:p w14:paraId="6897A1CE">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c) 土壤堆放半年之内应用防尘网覆盖；堆放时间超过 1 年的，覆盖前宜播撒一年生或多年生浅根草类种子；</w:t>
      </w:r>
    </w:p>
    <w:p w14:paraId="308C6530">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d) 土壤堆放 2 年之内，土堆之间、土堆与道路之间用30 cm ～ 50 cm 装土的草袋或编织袋隔挡；</w:t>
      </w:r>
    </w:p>
    <w:p w14:paraId="64D136E6">
      <w:pPr>
        <w:pStyle w:val="117"/>
        <w:adjustRightInd w:val="0"/>
        <w:snapToGrid w:val="0"/>
        <w:spacing w:line="360" w:lineRule="auto"/>
        <w:rPr>
          <w:rFonts w:cs="Times New Roman"/>
          <w:snapToGrid w:val="0"/>
          <w:color w:val="auto"/>
          <w:highlight w:val="none"/>
        </w:rPr>
      </w:pPr>
      <w:r>
        <w:rPr>
          <w:rFonts w:hint="eastAsia" w:cs="Times New Roman"/>
          <w:snapToGrid w:val="0"/>
          <w:color w:val="auto"/>
          <w:highlight w:val="none"/>
        </w:rPr>
        <w:t>e) 堆放时间超过 2 年或地形坡度较大的，宜用干砌石或浆砌墙隔挡。土堆之间设置应 ≥ 4 m 机械通行过道，土堆与过道间应开挖隔油沟。</w:t>
      </w:r>
    </w:p>
    <w:p w14:paraId="561A34F2">
      <w:pPr>
        <w:pStyle w:val="117"/>
        <w:adjustRightInd w:val="0"/>
        <w:snapToGrid w:val="0"/>
        <w:spacing w:line="360" w:lineRule="auto"/>
        <w:rPr>
          <w:rFonts w:hint="default" w:eastAsia="宋体" w:cs="Times New Roman"/>
          <w:snapToGrid w:val="0"/>
          <w:color w:val="auto"/>
          <w:highlight w:val="none"/>
          <w:lang w:val="en-US" w:eastAsia="zh-CN"/>
        </w:rPr>
      </w:pPr>
      <w:r>
        <w:rPr>
          <w:rFonts w:hint="eastAsia" w:cs="Times New Roman"/>
          <w:snapToGrid w:val="0"/>
          <w:color w:val="auto"/>
          <w:highlight w:val="none"/>
          <w:lang w:val="en-US" w:eastAsia="zh-CN"/>
        </w:rPr>
        <w:t>4）利用方向</w:t>
      </w:r>
    </w:p>
    <w:p w14:paraId="12873BC4">
      <w:pPr>
        <w:pStyle w:val="117"/>
        <w:adjustRightInd w:val="0"/>
        <w:snapToGrid w:val="0"/>
        <w:spacing w:line="360" w:lineRule="auto"/>
        <w:rPr>
          <w:rFonts w:hint="eastAsia" w:cs="Times New Roman"/>
          <w:snapToGrid w:val="0"/>
          <w:color w:val="auto"/>
          <w:highlight w:val="none"/>
        </w:rPr>
      </w:pPr>
      <w:r>
        <w:rPr>
          <w:rFonts w:hint="eastAsia" w:cs="Times New Roman"/>
          <w:snapToGrid w:val="0"/>
          <w:color w:val="auto"/>
          <w:highlight w:val="none"/>
        </w:rPr>
        <w:t>剥离耕作层土壤质量较好的主要用于土地复垦，改良中、低产田，被污染耕地治理，新垦耕地和劣质耕地改良，高标准农田建设；土壤质量次之的主要用于国土空间生态保护修复工程、苗床用土，绿化等。</w:t>
      </w:r>
    </w:p>
    <w:p w14:paraId="34D6000C">
      <w:pPr>
        <w:pStyle w:val="117"/>
        <w:adjustRightInd w:val="0"/>
        <w:snapToGrid w:val="0"/>
        <w:spacing w:line="360" w:lineRule="auto"/>
        <w:rPr>
          <w:rFonts w:hint="eastAsia" w:eastAsia="宋体" w:cs="Times New Roman"/>
          <w:snapToGrid w:val="0"/>
          <w:color w:val="auto"/>
          <w:highlight w:val="none"/>
          <w:lang w:eastAsia="zh-CN"/>
        </w:rPr>
      </w:pPr>
      <w:r>
        <w:rPr>
          <w:rFonts w:hint="eastAsia" w:cs="Times New Roman"/>
          <w:snapToGrid w:val="0"/>
          <w:color w:val="auto"/>
          <w:highlight w:val="none"/>
          <w:lang w:eastAsia="zh-CN"/>
        </w:rPr>
        <w:t>（</w:t>
      </w:r>
      <w:r>
        <w:rPr>
          <w:rFonts w:hint="eastAsia" w:cs="Times New Roman"/>
          <w:snapToGrid w:val="0"/>
          <w:color w:val="auto"/>
          <w:highlight w:val="none"/>
          <w:lang w:val="en-US" w:eastAsia="zh-CN"/>
        </w:rPr>
        <w:t>1</w:t>
      </w:r>
      <w:r>
        <w:rPr>
          <w:rFonts w:hint="eastAsia" w:cs="Times New Roman"/>
          <w:snapToGrid w:val="0"/>
          <w:color w:val="auto"/>
          <w:highlight w:val="none"/>
          <w:lang w:eastAsia="zh-CN"/>
        </w:rPr>
        <w:t>）</w:t>
      </w:r>
      <w:r>
        <w:rPr>
          <w:rFonts w:hint="eastAsia" w:cs="Times New Roman"/>
          <w:snapToGrid w:val="0"/>
          <w:color w:val="auto"/>
          <w:highlight w:val="none"/>
        </w:rPr>
        <w:t>剥离土壤可以用于水稻育秧所用的苗床土，或者用于制作营养土用于水稻秧盘用土</w:t>
      </w:r>
      <w:r>
        <w:rPr>
          <w:rFonts w:hint="eastAsia" w:cs="Times New Roman"/>
          <w:snapToGrid w:val="0"/>
          <w:color w:val="auto"/>
          <w:highlight w:val="none"/>
          <w:lang w:eastAsia="zh-CN"/>
        </w:rPr>
        <w:t>。</w:t>
      </w:r>
    </w:p>
    <w:p w14:paraId="645D0AF1">
      <w:pPr>
        <w:pStyle w:val="117"/>
        <w:adjustRightInd w:val="0"/>
        <w:snapToGrid w:val="0"/>
        <w:spacing w:line="360" w:lineRule="auto"/>
        <w:rPr>
          <w:rFonts w:cs="Times New Roman"/>
          <w:snapToGrid w:val="0"/>
          <w:color w:val="auto"/>
          <w:highlight w:val="none"/>
        </w:rPr>
      </w:pPr>
      <w:r>
        <w:rPr>
          <w:rFonts w:cs="Times New Roman"/>
          <w:snapToGrid w:val="0"/>
          <w:color w:val="auto"/>
          <w:highlight w:val="none"/>
        </w:rPr>
        <w:t xml:space="preserve">（2）在场区平整过程中做到边取土边平整，有计划取土，及时平整。在主体工程完成后及时对相关区域进行绿化。 </w:t>
      </w:r>
    </w:p>
    <w:p w14:paraId="1A1289A2">
      <w:pPr>
        <w:pStyle w:val="117"/>
        <w:adjustRightInd w:val="0"/>
        <w:snapToGrid w:val="0"/>
        <w:spacing w:line="360" w:lineRule="auto"/>
        <w:rPr>
          <w:rFonts w:cs="Times New Roman"/>
          <w:snapToGrid w:val="0"/>
          <w:color w:val="auto"/>
          <w:highlight w:val="none"/>
        </w:rPr>
      </w:pPr>
      <w:r>
        <w:rPr>
          <w:rFonts w:cs="Times New Roman"/>
          <w:snapToGrid w:val="0"/>
          <w:color w:val="auto"/>
          <w:highlight w:val="none"/>
        </w:rPr>
        <w:t>（3）施工期间，修筑临时施工围挡，防止施工时随意破坏周围植被，防止水土流失。</w:t>
      </w:r>
    </w:p>
    <w:p w14:paraId="55F83C6D">
      <w:pPr>
        <w:pStyle w:val="117"/>
        <w:adjustRightInd w:val="0"/>
        <w:snapToGrid w:val="0"/>
        <w:spacing w:line="360" w:lineRule="auto"/>
        <w:rPr>
          <w:rFonts w:cs="Times New Roman"/>
          <w:snapToGrid w:val="0"/>
          <w:color w:val="auto"/>
          <w:highlight w:val="none"/>
        </w:rPr>
      </w:pPr>
      <w:r>
        <w:rPr>
          <w:rFonts w:cs="Times New Roman"/>
          <w:snapToGrid w:val="0"/>
          <w:color w:val="auto"/>
          <w:highlight w:val="none"/>
        </w:rPr>
        <w:t>（4）指定固定的行车路线，防止随意毁坏地表植被。</w:t>
      </w:r>
    </w:p>
    <w:p w14:paraId="4179EEA5">
      <w:pPr>
        <w:pStyle w:val="3"/>
        <w:bidi w:val="0"/>
        <w:rPr>
          <w:color w:val="auto"/>
          <w:highlight w:val="none"/>
        </w:rPr>
      </w:pPr>
      <w:bookmarkStart w:id="356" w:name="_Toc30423"/>
      <w:r>
        <w:rPr>
          <w:color w:val="auto"/>
          <w:highlight w:val="none"/>
        </w:rPr>
        <w:t>6.2运营期污染防治措施</w:t>
      </w:r>
      <w:bookmarkEnd w:id="353"/>
      <w:bookmarkEnd w:id="354"/>
      <w:bookmarkEnd w:id="355"/>
      <w:bookmarkEnd w:id="356"/>
    </w:p>
    <w:bookmarkEnd w:id="306"/>
    <w:bookmarkEnd w:id="307"/>
    <w:p w14:paraId="02E0C343">
      <w:pPr>
        <w:pStyle w:val="4"/>
        <w:bidi w:val="0"/>
        <w:rPr>
          <w:color w:val="auto"/>
          <w:highlight w:val="none"/>
        </w:rPr>
      </w:pPr>
      <w:bookmarkStart w:id="357" w:name="_Toc83525151"/>
      <w:bookmarkStart w:id="358" w:name="_Toc74537250"/>
      <w:bookmarkStart w:id="359" w:name="_Toc98920175"/>
      <w:bookmarkStart w:id="360" w:name="_Toc27124"/>
      <w:r>
        <w:rPr>
          <w:color w:val="auto"/>
          <w:highlight w:val="none"/>
        </w:rPr>
        <w:t>6.2.1</w:t>
      </w:r>
      <w:bookmarkEnd w:id="357"/>
      <w:bookmarkEnd w:id="358"/>
      <w:bookmarkEnd w:id="359"/>
      <w:r>
        <w:rPr>
          <w:color w:val="auto"/>
          <w:highlight w:val="none"/>
        </w:rPr>
        <w:t>大气环境保护措施</w:t>
      </w:r>
      <w:bookmarkEnd w:id="360"/>
    </w:p>
    <w:p w14:paraId="635D271A">
      <w:pPr>
        <w:pStyle w:val="117"/>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ascii="Times New Roman" w:hAnsi="Times New Roman" w:eastAsia="宋体" w:cs="Times New Roman"/>
          <w:snapToGrid w:val="0"/>
          <w:color w:val="auto"/>
          <w:kern w:val="0"/>
          <w:highlight w:val="none"/>
          <w:lang w:val="zh-CN"/>
        </w:rPr>
      </w:pPr>
      <w:r>
        <w:rPr>
          <w:rFonts w:ascii="Times New Roman" w:hAnsi="Times New Roman" w:eastAsia="宋体" w:cs="Times New Roman"/>
          <w:snapToGrid w:val="0"/>
          <w:color w:val="auto"/>
          <w:kern w:val="0"/>
          <w:highlight w:val="none"/>
          <w:lang w:val="zh-CN"/>
        </w:rPr>
        <w:t>本项目运营期产生的废气主要包括</w:t>
      </w:r>
      <w:r>
        <w:rPr>
          <w:rFonts w:hint="eastAsia" w:cs="Times New Roman"/>
          <w:snapToGrid w:val="0"/>
          <w:color w:val="auto"/>
          <w:highlight w:val="none"/>
          <w:lang w:val="zh-CN"/>
        </w:rPr>
        <w:t>待宰圈</w:t>
      </w:r>
      <w:r>
        <w:rPr>
          <w:rFonts w:cs="Times New Roman"/>
          <w:snapToGrid w:val="0"/>
          <w:color w:val="auto"/>
          <w:highlight w:val="none"/>
          <w:lang w:val="zh-CN"/>
        </w:rPr>
        <w:t>、</w:t>
      </w:r>
      <w:r>
        <w:rPr>
          <w:rFonts w:hint="eastAsia" w:cs="Times New Roman"/>
          <w:snapToGrid w:val="0"/>
          <w:color w:val="auto"/>
          <w:highlight w:val="none"/>
          <w:lang w:val="en-US" w:eastAsia="zh-CN"/>
        </w:rPr>
        <w:t>急宰间、</w:t>
      </w:r>
      <w:r>
        <w:rPr>
          <w:rFonts w:cs="Times New Roman"/>
          <w:snapToGrid w:val="0"/>
          <w:color w:val="auto"/>
          <w:highlight w:val="none"/>
          <w:lang w:val="zh-CN"/>
        </w:rPr>
        <w:t>屠宰车间</w:t>
      </w:r>
      <w:r>
        <w:rPr>
          <w:rFonts w:hint="eastAsia" w:cs="Times New Roman"/>
          <w:snapToGrid w:val="0"/>
          <w:color w:val="auto"/>
          <w:highlight w:val="none"/>
          <w:lang w:val="en-US" w:eastAsia="zh-CN"/>
        </w:rPr>
        <w:t>、</w:t>
      </w:r>
      <w:r>
        <w:rPr>
          <w:rFonts w:cs="Times New Roman"/>
          <w:snapToGrid w:val="0"/>
          <w:color w:val="auto"/>
          <w:highlight w:val="none"/>
          <w:lang w:val="zh-CN"/>
        </w:rPr>
        <w:t>污水处理站</w:t>
      </w:r>
      <w:r>
        <w:rPr>
          <w:rFonts w:cs="Times New Roman"/>
          <w:color w:val="auto"/>
          <w:spacing w:val="12"/>
          <w:szCs w:val="24"/>
          <w:highlight w:val="none"/>
        </w:rPr>
        <w:t>、隔离</w:t>
      </w:r>
      <w:r>
        <w:rPr>
          <w:rFonts w:hint="eastAsia" w:cs="Times New Roman"/>
          <w:color w:val="auto"/>
          <w:spacing w:val="12"/>
          <w:szCs w:val="24"/>
          <w:highlight w:val="none"/>
          <w:lang w:val="en-US" w:eastAsia="zh-CN"/>
        </w:rPr>
        <w:t>间</w:t>
      </w:r>
      <w:r>
        <w:rPr>
          <w:rFonts w:cs="Times New Roman"/>
          <w:color w:val="auto"/>
          <w:spacing w:val="12"/>
          <w:szCs w:val="24"/>
          <w:highlight w:val="none"/>
        </w:rPr>
        <w:t>及</w:t>
      </w:r>
      <w:r>
        <w:rPr>
          <w:rFonts w:hint="eastAsia" w:cs="Times New Roman"/>
          <w:color w:val="auto"/>
          <w:spacing w:val="12"/>
          <w:szCs w:val="24"/>
          <w:highlight w:val="none"/>
          <w:lang w:val="en-US" w:eastAsia="zh-CN"/>
        </w:rPr>
        <w:t>固体废物</w:t>
      </w:r>
      <w:r>
        <w:rPr>
          <w:rFonts w:cs="Times New Roman"/>
          <w:snapToGrid w:val="0"/>
          <w:color w:val="auto"/>
          <w:highlight w:val="none"/>
        </w:rPr>
        <w:t>暂存间</w:t>
      </w:r>
      <w:r>
        <w:rPr>
          <w:rFonts w:cs="Times New Roman"/>
          <w:snapToGrid w:val="0"/>
          <w:color w:val="auto"/>
          <w:highlight w:val="none"/>
          <w:lang w:val="zh-CN"/>
        </w:rPr>
        <w:t>产生的恶臭废气</w:t>
      </w:r>
      <w:r>
        <w:rPr>
          <w:rFonts w:ascii="Times New Roman" w:hAnsi="Times New Roman" w:eastAsia="宋体" w:cs="Times New Roman"/>
          <w:snapToGrid w:val="0"/>
          <w:color w:val="auto"/>
          <w:kern w:val="0"/>
          <w:highlight w:val="none"/>
          <w:lang w:val="zh-CN"/>
        </w:rPr>
        <w:t>。</w:t>
      </w:r>
    </w:p>
    <w:p w14:paraId="0FE4E123">
      <w:pPr>
        <w:pStyle w:val="117"/>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ascii="Times New Roman" w:hAnsi="Times New Roman" w:eastAsia="宋体" w:cs="Times New Roman"/>
          <w:b/>
          <w:bCs/>
          <w:snapToGrid w:val="0"/>
          <w:color w:val="auto"/>
          <w:kern w:val="0"/>
          <w:highlight w:val="none"/>
          <w:lang w:val="zh-CN"/>
        </w:rPr>
      </w:pPr>
      <w:r>
        <w:rPr>
          <w:rFonts w:hint="eastAsia" w:ascii="Times New Roman" w:hAnsi="Times New Roman" w:eastAsia="宋体" w:cs="Times New Roman"/>
          <w:b/>
          <w:bCs/>
          <w:snapToGrid w:val="0"/>
          <w:color w:val="auto"/>
          <w:kern w:val="0"/>
          <w:highlight w:val="none"/>
          <w:lang w:val="zh-CN"/>
        </w:rPr>
        <w:t>1、</w:t>
      </w:r>
      <w:r>
        <w:rPr>
          <w:rFonts w:ascii="Times New Roman" w:hAnsi="Times New Roman" w:eastAsia="宋体" w:cs="Times New Roman"/>
          <w:b/>
          <w:bCs/>
          <w:snapToGrid w:val="0"/>
          <w:color w:val="auto"/>
          <w:kern w:val="0"/>
          <w:highlight w:val="none"/>
          <w:lang w:val="zh-CN"/>
        </w:rPr>
        <w:t>有组织</w:t>
      </w:r>
    </w:p>
    <w:p w14:paraId="422CB7E5">
      <w:pPr>
        <w:pStyle w:val="117"/>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ascii="Times New Roman" w:hAnsi="Times New Roman" w:eastAsia="宋体" w:cs="Times New Roman"/>
          <w:snapToGrid w:val="0"/>
          <w:color w:val="auto"/>
          <w:kern w:val="0"/>
          <w:highlight w:val="none"/>
          <w:lang w:val="zh-CN"/>
        </w:rPr>
      </w:pPr>
      <w:r>
        <w:rPr>
          <w:rFonts w:ascii="Times New Roman" w:hAnsi="Times New Roman" w:eastAsia="宋体" w:cs="Times New Roman"/>
          <w:snapToGrid w:val="0"/>
          <w:color w:val="auto"/>
          <w:kern w:val="0"/>
          <w:highlight w:val="none"/>
          <w:lang w:val="zh-CN"/>
        </w:rPr>
        <w:t>（1）</w:t>
      </w:r>
      <w:r>
        <w:rPr>
          <w:rFonts w:hint="eastAsia" w:ascii="Times New Roman" w:hAnsi="Times New Roman" w:eastAsia="宋体" w:cs="Times New Roman"/>
          <w:snapToGrid w:val="0"/>
          <w:color w:val="auto"/>
          <w:kern w:val="0"/>
          <w:highlight w:val="none"/>
          <w:lang w:val="zh-CN"/>
        </w:rPr>
        <w:t>恶臭废气</w:t>
      </w:r>
    </w:p>
    <w:p w14:paraId="49C884E7">
      <w:pPr>
        <w:pStyle w:val="117"/>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ascii="Times New Roman" w:hAnsi="Times New Roman" w:eastAsia="宋体" w:cs="Times New Roman"/>
          <w:snapToGrid w:val="0"/>
          <w:color w:val="auto"/>
          <w:kern w:val="0"/>
          <w:highlight w:val="none"/>
          <w:lang w:val="zh-CN"/>
        </w:rPr>
      </w:pPr>
      <w:r>
        <w:rPr>
          <w:rFonts w:hint="eastAsia" w:cs="Times New Roman"/>
          <w:color w:val="auto"/>
          <w:highlight w:val="none"/>
          <w:lang w:val="en-US" w:eastAsia="zh-CN"/>
        </w:rPr>
        <w:t>急宰间、隔离间及固体废物暂存间</w:t>
      </w:r>
      <w:r>
        <w:rPr>
          <w:rFonts w:ascii="Times New Roman" w:hAnsi="Times New Roman" w:eastAsia="宋体" w:cs="Times New Roman"/>
          <w:snapToGrid w:val="0"/>
          <w:color w:val="auto"/>
          <w:kern w:val="0"/>
          <w:highlight w:val="none"/>
          <w:lang w:val="zh-CN"/>
        </w:rPr>
        <w:t>产生的恶臭</w:t>
      </w:r>
      <w:r>
        <w:rPr>
          <w:rFonts w:hint="eastAsia" w:cs="Times New Roman"/>
          <w:snapToGrid w:val="0"/>
          <w:color w:val="auto"/>
          <w:kern w:val="0"/>
          <w:highlight w:val="none"/>
          <w:lang w:val="zh-CN"/>
        </w:rPr>
        <w:t>采用微负压集中收集后</w:t>
      </w:r>
      <w:r>
        <w:rPr>
          <w:rFonts w:ascii="Times New Roman" w:hAnsi="Times New Roman" w:eastAsia="宋体" w:cs="Times New Roman"/>
          <w:snapToGrid w:val="0"/>
          <w:color w:val="auto"/>
          <w:kern w:val="0"/>
          <w:highlight w:val="none"/>
          <w:lang w:val="zh-CN"/>
        </w:rPr>
        <w:t>（收集率约90%左右），通过活性炭净化装置（</w:t>
      </w:r>
      <w:r>
        <w:rPr>
          <w:rFonts w:hint="eastAsia" w:cs="Times New Roman"/>
          <w:snapToGrid w:val="0"/>
          <w:color w:val="auto"/>
          <w:kern w:val="0"/>
          <w:highlight w:val="none"/>
          <w:lang w:val="zh-CN"/>
        </w:rPr>
        <w:t>净化效率80%</w:t>
      </w:r>
      <w:r>
        <w:rPr>
          <w:rFonts w:ascii="Times New Roman" w:hAnsi="Times New Roman" w:eastAsia="宋体" w:cs="Times New Roman"/>
          <w:snapToGrid w:val="0"/>
          <w:color w:val="auto"/>
          <w:kern w:val="0"/>
          <w:highlight w:val="none"/>
          <w:lang w:val="zh-CN"/>
        </w:rPr>
        <w:t>）处理，处理后经15m高的排气筒DA00</w:t>
      </w:r>
      <w:r>
        <w:rPr>
          <w:rFonts w:hint="eastAsia" w:ascii="Times New Roman" w:hAnsi="Times New Roman" w:eastAsia="宋体" w:cs="Times New Roman"/>
          <w:snapToGrid w:val="0"/>
          <w:color w:val="auto"/>
          <w:kern w:val="0"/>
          <w:highlight w:val="none"/>
          <w:lang w:val="zh-CN"/>
        </w:rPr>
        <w:t>1</w:t>
      </w:r>
      <w:r>
        <w:rPr>
          <w:rFonts w:ascii="Times New Roman" w:hAnsi="Times New Roman" w:eastAsia="宋体" w:cs="Times New Roman"/>
          <w:snapToGrid w:val="0"/>
          <w:color w:val="auto"/>
          <w:kern w:val="0"/>
          <w:highlight w:val="none"/>
          <w:lang w:val="zh-CN"/>
        </w:rPr>
        <w:t>排放，排放速率及浓度均可满足《恶臭污染物排放标准》（GB14554-93）表2中排放标准限值。</w:t>
      </w:r>
    </w:p>
    <w:p w14:paraId="4888677E">
      <w:pPr>
        <w:pStyle w:val="117"/>
        <w:pageBreakBefore w:val="0"/>
        <w:widowControl w:val="0"/>
        <w:kinsoku/>
        <w:wordWrap/>
        <w:overflowPunct/>
        <w:topLinePunct w:val="0"/>
        <w:autoSpaceDE/>
        <w:autoSpaceDN/>
        <w:bidi w:val="0"/>
        <w:adjustRightInd w:val="0"/>
        <w:snapToGrid w:val="0"/>
        <w:spacing w:line="500" w:lineRule="exact"/>
        <w:textAlignment w:val="auto"/>
        <w:rPr>
          <w:color w:val="auto"/>
          <w:highlight w:val="none"/>
          <w:lang w:val="zh-CN"/>
        </w:rPr>
      </w:pPr>
      <w:r>
        <w:rPr>
          <w:rFonts w:cs="Times New Roman"/>
          <w:snapToGrid w:val="0"/>
          <w:color w:val="auto"/>
          <w:highlight w:val="none"/>
        </w:rPr>
        <w:t>屠宰车间产生的恶臭</w:t>
      </w:r>
      <w:r>
        <w:rPr>
          <w:rFonts w:hint="eastAsia" w:cs="Times New Roman"/>
          <w:snapToGrid w:val="0"/>
          <w:color w:val="auto"/>
          <w:highlight w:val="none"/>
          <w:lang w:eastAsia="zh-CN"/>
        </w:rPr>
        <w:t>采用微负压集中收集后</w:t>
      </w:r>
      <w:r>
        <w:rPr>
          <w:rFonts w:cs="Times New Roman"/>
          <w:color w:val="auto"/>
          <w:highlight w:val="none"/>
        </w:rPr>
        <w:t>（收集率约90%左右）</w:t>
      </w:r>
      <w:r>
        <w:rPr>
          <w:rFonts w:cs="Times New Roman"/>
          <w:snapToGrid w:val="0"/>
          <w:color w:val="auto"/>
          <w:highlight w:val="none"/>
        </w:rPr>
        <w:t>，通过活性炭净化装置</w:t>
      </w:r>
      <w:r>
        <w:rPr>
          <w:rFonts w:cs="Times New Roman"/>
          <w:color w:val="auto"/>
          <w:highlight w:val="none"/>
        </w:rPr>
        <w:t>（</w:t>
      </w:r>
      <w:r>
        <w:rPr>
          <w:rFonts w:hint="eastAsia" w:cs="Times New Roman"/>
          <w:color w:val="auto"/>
          <w:highlight w:val="none"/>
          <w:lang w:eastAsia="zh-CN"/>
        </w:rPr>
        <w:t>净化效率80%</w:t>
      </w:r>
      <w:r>
        <w:rPr>
          <w:rFonts w:cs="Times New Roman"/>
          <w:color w:val="auto"/>
          <w:highlight w:val="none"/>
        </w:rPr>
        <w:t>）</w:t>
      </w:r>
      <w:r>
        <w:rPr>
          <w:rFonts w:cs="Times New Roman"/>
          <w:snapToGrid w:val="0"/>
          <w:color w:val="auto"/>
          <w:highlight w:val="none"/>
        </w:rPr>
        <w:t>处理，处理后经15m高的排气筒DA00</w:t>
      </w:r>
      <w:r>
        <w:rPr>
          <w:rFonts w:hint="eastAsia" w:cs="Times New Roman"/>
          <w:snapToGrid w:val="0"/>
          <w:color w:val="auto"/>
          <w:highlight w:val="none"/>
          <w:lang w:val="en-US" w:eastAsia="zh-CN"/>
        </w:rPr>
        <w:t>1</w:t>
      </w:r>
      <w:r>
        <w:rPr>
          <w:rFonts w:cs="Times New Roman"/>
          <w:snapToGrid w:val="0"/>
          <w:color w:val="auto"/>
          <w:highlight w:val="none"/>
        </w:rPr>
        <w:t>排放，排放速率及浓度均可满足《恶臭污染物排放标准》（GB14554-93）表2中排放标准限值</w:t>
      </w:r>
      <w:r>
        <w:rPr>
          <w:rFonts w:hint="eastAsia" w:cs="Times New Roman"/>
          <w:snapToGrid w:val="0"/>
          <w:color w:val="auto"/>
          <w:highlight w:val="none"/>
        </w:rPr>
        <w:t>。</w:t>
      </w:r>
    </w:p>
    <w:p w14:paraId="328393BB">
      <w:pPr>
        <w:pStyle w:val="117"/>
        <w:pageBreakBefore w:val="0"/>
        <w:widowControl w:val="0"/>
        <w:kinsoku/>
        <w:wordWrap/>
        <w:overflowPunct/>
        <w:topLinePunct w:val="0"/>
        <w:autoSpaceDE/>
        <w:autoSpaceDN/>
        <w:bidi w:val="0"/>
        <w:adjustRightInd w:val="0"/>
        <w:snapToGrid w:val="0"/>
        <w:spacing w:line="500" w:lineRule="exact"/>
        <w:textAlignment w:val="auto"/>
        <w:rPr>
          <w:rFonts w:cs="Times New Roman"/>
          <w:snapToGrid w:val="0"/>
          <w:color w:val="auto"/>
          <w:highlight w:val="none"/>
        </w:rPr>
      </w:pPr>
      <w:r>
        <w:rPr>
          <w:rFonts w:cs="Times New Roman"/>
          <w:snapToGrid w:val="0"/>
          <w:color w:val="auto"/>
          <w:highlight w:val="none"/>
        </w:rPr>
        <w:t>污水处理站产生的恶臭</w:t>
      </w:r>
      <w:r>
        <w:rPr>
          <w:rFonts w:hint="eastAsia" w:cs="Times New Roman"/>
          <w:snapToGrid w:val="0"/>
          <w:color w:val="auto"/>
          <w:highlight w:val="none"/>
          <w:lang w:eastAsia="zh-CN"/>
        </w:rPr>
        <w:t>采用微负压集中收集后</w:t>
      </w:r>
      <w:r>
        <w:rPr>
          <w:rFonts w:cs="Times New Roman"/>
          <w:color w:val="auto"/>
          <w:highlight w:val="none"/>
        </w:rPr>
        <w:t>（收集率约90%左右）</w:t>
      </w:r>
      <w:r>
        <w:rPr>
          <w:rFonts w:cs="Times New Roman"/>
          <w:snapToGrid w:val="0"/>
          <w:color w:val="auto"/>
          <w:highlight w:val="none"/>
        </w:rPr>
        <w:t>，通过活性炭净化装置</w:t>
      </w:r>
      <w:r>
        <w:rPr>
          <w:rFonts w:cs="Times New Roman"/>
          <w:color w:val="auto"/>
          <w:highlight w:val="none"/>
        </w:rPr>
        <w:t>（</w:t>
      </w:r>
      <w:r>
        <w:rPr>
          <w:rFonts w:hint="eastAsia" w:cs="Times New Roman"/>
          <w:color w:val="auto"/>
          <w:highlight w:val="none"/>
          <w:lang w:eastAsia="zh-CN"/>
        </w:rPr>
        <w:t>净化效率80%</w:t>
      </w:r>
      <w:r>
        <w:rPr>
          <w:rFonts w:cs="Times New Roman"/>
          <w:color w:val="auto"/>
          <w:highlight w:val="none"/>
        </w:rPr>
        <w:t>）</w:t>
      </w:r>
      <w:r>
        <w:rPr>
          <w:rFonts w:cs="Times New Roman"/>
          <w:snapToGrid w:val="0"/>
          <w:color w:val="auto"/>
          <w:highlight w:val="none"/>
        </w:rPr>
        <w:t>处理，处理后经15m高的排气筒DA00</w:t>
      </w:r>
      <w:r>
        <w:rPr>
          <w:rFonts w:hint="eastAsia" w:cs="Times New Roman"/>
          <w:snapToGrid w:val="0"/>
          <w:color w:val="auto"/>
          <w:highlight w:val="none"/>
          <w:lang w:val="en-US" w:eastAsia="zh-CN"/>
        </w:rPr>
        <w:t>2</w:t>
      </w:r>
      <w:r>
        <w:rPr>
          <w:rFonts w:cs="Times New Roman"/>
          <w:snapToGrid w:val="0"/>
          <w:color w:val="auto"/>
          <w:highlight w:val="none"/>
        </w:rPr>
        <w:t>排放，排放速率及浓度均可满足《恶臭污染物排放标准》（GB14554-93）表2中排放标准限值。</w:t>
      </w:r>
    </w:p>
    <w:p w14:paraId="09FDE143">
      <w:pPr>
        <w:pStyle w:val="117"/>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hint="eastAsia" w:cs="Times New Roman"/>
          <w:snapToGrid w:val="0"/>
          <w:color w:val="auto"/>
          <w:highlight w:val="none"/>
          <w:lang w:val="zh-CN"/>
        </w:rPr>
        <w:t>在</w:t>
      </w:r>
      <w:r>
        <w:rPr>
          <w:rFonts w:hint="eastAsia" w:cs="Times New Roman"/>
          <w:color w:val="auto"/>
          <w:highlight w:val="none"/>
          <w:lang w:val="en-US" w:eastAsia="zh-CN"/>
        </w:rPr>
        <w:t>急宰间、隔离间及固体废物暂存间</w:t>
      </w:r>
      <w:r>
        <w:rPr>
          <w:rFonts w:hint="eastAsia" w:cs="Times New Roman"/>
          <w:snapToGrid w:val="0"/>
          <w:color w:val="auto"/>
          <w:highlight w:val="none"/>
          <w:lang w:val="zh-CN"/>
        </w:rPr>
        <w:t>、</w:t>
      </w:r>
      <w:r>
        <w:rPr>
          <w:rFonts w:hint="eastAsia" w:cs="Times New Roman"/>
          <w:snapToGrid w:val="0"/>
          <w:color w:val="auto"/>
          <w:highlight w:val="none"/>
          <w:lang w:val="en-US" w:eastAsia="zh-CN"/>
        </w:rPr>
        <w:t>屠宰车间及污水处理间</w:t>
      </w:r>
      <w:r>
        <w:rPr>
          <w:rFonts w:hint="eastAsia" w:cs="Times New Roman"/>
          <w:snapToGrid w:val="0"/>
          <w:color w:val="auto"/>
          <w:highlight w:val="none"/>
          <w:lang w:val="zh-CN"/>
        </w:rPr>
        <w:t>的顶部设置集气装置，整体负压换气，对</w:t>
      </w:r>
      <w:r>
        <w:rPr>
          <w:rFonts w:hint="eastAsia" w:cs="Times New Roman"/>
          <w:snapToGrid w:val="0"/>
          <w:color w:val="auto"/>
          <w:highlight w:val="none"/>
          <w:lang w:val="en-US" w:eastAsia="zh-CN"/>
        </w:rPr>
        <w:t>车间</w:t>
      </w:r>
      <w:r>
        <w:rPr>
          <w:rFonts w:hint="eastAsia" w:cs="Times New Roman"/>
          <w:snapToGrid w:val="0"/>
          <w:color w:val="auto"/>
          <w:highlight w:val="none"/>
          <w:lang w:val="zh-CN"/>
        </w:rPr>
        <w:t>产生的恶臭气体进行收集，并设置送风装置（送风装置主要设置在车间下部），集气装置位于车间上部，下部送风，上部抽风，使车间内空气形成对流，加强车间内废气流向的一致性，提高车间废气的收集率，送风量略小于抽风量，使得</w:t>
      </w:r>
      <w:r>
        <w:rPr>
          <w:rFonts w:hint="eastAsia" w:cs="Times New Roman"/>
          <w:snapToGrid w:val="0"/>
          <w:color w:val="auto"/>
          <w:highlight w:val="none"/>
          <w:lang w:val="en-US" w:eastAsia="zh-CN"/>
        </w:rPr>
        <w:t>车间</w:t>
      </w:r>
      <w:r>
        <w:rPr>
          <w:rFonts w:hint="eastAsia" w:cs="Times New Roman"/>
          <w:snapToGrid w:val="0"/>
          <w:color w:val="auto"/>
          <w:highlight w:val="none"/>
          <w:lang w:val="zh-CN"/>
        </w:rPr>
        <w:t>内处于微负压状态，将废气最大限度的收集（</w:t>
      </w:r>
      <w:r>
        <w:rPr>
          <w:rFonts w:hint="eastAsia" w:cs="Times New Roman"/>
          <w:snapToGrid w:val="0"/>
          <w:color w:val="auto"/>
          <w:highlight w:val="none"/>
          <w:lang w:val="en-US" w:eastAsia="zh-CN"/>
        </w:rPr>
        <w:t>收集效率90%</w:t>
      </w:r>
      <w:r>
        <w:rPr>
          <w:rFonts w:hint="eastAsia" w:cs="Times New Roman"/>
          <w:snapToGrid w:val="0"/>
          <w:color w:val="auto"/>
          <w:highlight w:val="none"/>
          <w:lang w:val="zh-CN"/>
        </w:rPr>
        <w:t>）。</w:t>
      </w:r>
    </w:p>
    <w:p w14:paraId="15D4E22E">
      <w:pPr>
        <w:pStyle w:val="117"/>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cs="Times New Roman"/>
          <w:color w:val="auto"/>
          <w:highlight w:val="none"/>
        </w:rPr>
        <w:t>活性碳吸附装置采取曲线进风、环状过滤、中间出风、上部加料、下部卸料的结构，恶臭气体经过滤器除去固体颗粒物质，由上而下进入吸附</w:t>
      </w:r>
      <w:r>
        <w:rPr>
          <w:rFonts w:hint="eastAsia" w:cs="Times New Roman"/>
          <w:color w:val="auto"/>
          <w:highlight w:val="none"/>
        </w:rPr>
        <w:t>装置</w:t>
      </w:r>
      <w:r>
        <w:rPr>
          <w:rFonts w:cs="Times New Roman"/>
          <w:color w:val="auto"/>
          <w:highlight w:val="none"/>
        </w:rPr>
        <w:t>，恶臭气体被活性炭捕集、吸附并浓缩，净化的空气从吸附</w:t>
      </w:r>
      <w:r>
        <w:rPr>
          <w:rFonts w:hint="eastAsia" w:cs="Times New Roman"/>
          <w:color w:val="auto"/>
          <w:highlight w:val="none"/>
        </w:rPr>
        <w:t>装置</w:t>
      </w:r>
      <w:r>
        <w:rPr>
          <w:rFonts w:cs="Times New Roman"/>
          <w:color w:val="auto"/>
          <w:highlight w:val="none"/>
        </w:rPr>
        <w:t>下部经主风机排入排气筒。曲线进风的活性碳除臭装置是等体积传统活性碳过滤面积的2-4倍，阻力只有其1/2~1/3，因此具有较高的处理效率，可以达到</w:t>
      </w:r>
      <w:r>
        <w:rPr>
          <w:rFonts w:hint="eastAsia" w:cs="Times New Roman"/>
          <w:color w:val="auto"/>
          <w:highlight w:val="none"/>
          <w:lang w:val="en-US" w:eastAsia="zh-CN"/>
        </w:rPr>
        <w:t>80</w:t>
      </w:r>
      <w:r>
        <w:rPr>
          <w:rFonts w:cs="Times New Roman"/>
          <w:color w:val="auto"/>
          <w:highlight w:val="none"/>
        </w:rPr>
        <w:t>%。同时该工艺属于干法工艺，工艺流程简单、无腐蚀性，在保证恶臭气体达标排放的前提下具有稳定运行的可靠性。</w:t>
      </w:r>
      <w:r>
        <w:rPr>
          <w:rFonts w:cs="Times New Roman"/>
          <w:snapToGrid w:val="0"/>
          <w:color w:val="auto"/>
          <w:kern w:val="0"/>
          <w:szCs w:val="24"/>
          <w:highlight w:val="none"/>
        </w:rPr>
        <w:t>本项目运营期产生的恶臭废气，采用活性炭进行处理，本项目</w:t>
      </w:r>
      <w:r>
        <w:rPr>
          <w:rFonts w:hint="eastAsia" w:cs="Times New Roman"/>
          <w:snapToGrid w:val="0"/>
          <w:color w:val="auto"/>
          <w:kern w:val="0"/>
          <w:szCs w:val="24"/>
          <w:highlight w:val="none"/>
          <w:lang w:val="en-US" w:eastAsia="zh-CN"/>
        </w:rPr>
        <w:t>共3个活性炭吸附装置，每个</w:t>
      </w:r>
      <w:r>
        <w:rPr>
          <w:rFonts w:cs="Times New Roman"/>
          <w:snapToGrid w:val="0"/>
          <w:color w:val="auto"/>
          <w:kern w:val="0"/>
          <w:szCs w:val="24"/>
          <w:highlight w:val="none"/>
        </w:rPr>
        <w:t>活性炭的使用量为</w:t>
      </w:r>
      <w:r>
        <w:rPr>
          <w:rFonts w:hint="eastAsia" w:cs="Times New Roman"/>
          <w:snapToGrid w:val="0"/>
          <w:color w:val="auto"/>
          <w:kern w:val="0"/>
          <w:szCs w:val="24"/>
          <w:highlight w:val="none"/>
          <w:lang w:val="en-US" w:eastAsia="zh-CN"/>
        </w:rPr>
        <w:t>0.125</w:t>
      </w:r>
      <w:r>
        <w:rPr>
          <w:rFonts w:cs="Times New Roman"/>
          <w:snapToGrid w:val="0"/>
          <w:color w:val="auto"/>
          <w:kern w:val="0"/>
          <w:szCs w:val="24"/>
          <w:highlight w:val="none"/>
        </w:rPr>
        <w:t>t/a，</w:t>
      </w:r>
      <w:r>
        <w:rPr>
          <w:rFonts w:hint="eastAsia" w:cs="Times New Roman"/>
          <w:snapToGrid w:val="0"/>
          <w:color w:val="auto"/>
          <w:kern w:val="0"/>
          <w:szCs w:val="24"/>
          <w:highlight w:val="none"/>
          <w:lang w:val="en-US" w:eastAsia="zh-CN"/>
        </w:rPr>
        <w:t>每个季度更换一次，则废活性炭的产生量为1.5t/a，</w:t>
      </w:r>
      <w:r>
        <w:rPr>
          <w:rFonts w:cs="Times New Roman"/>
          <w:snapToGrid w:val="0"/>
          <w:color w:val="auto"/>
          <w:kern w:val="0"/>
          <w:szCs w:val="24"/>
          <w:highlight w:val="none"/>
        </w:rPr>
        <w:t>收集于专用垃圾桶（加盖）后，定期由厂家回收处置。</w:t>
      </w:r>
      <w:r>
        <w:rPr>
          <w:rFonts w:hint="eastAsia" w:cs="Times New Roman"/>
          <w:snapToGrid w:val="0"/>
          <w:color w:val="auto"/>
          <w:kern w:val="0"/>
          <w:szCs w:val="24"/>
          <w:highlight w:val="none"/>
          <w:lang w:val="en-US" w:eastAsia="zh-CN"/>
        </w:rPr>
        <w:t>本项目废活性炭吸附恶臭气体，不属于危险废物，厂家回收再生利用可行。</w:t>
      </w:r>
    </w:p>
    <w:p w14:paraId="4A0C6A5F">
      <w:pPr>
        <w:pStyle w:val="117"/>
        <w:pageBreakBefore w:val="0"/>
        <w:widowControl w:val="0"/>
        <w:kinsoku/>
        <w:wordWrap/>
        <w:overflowPunct/>
        <w:topLinePunct w:val="0"/>
        <w:autoSpaceDE/>
        <w:autoSpaceDN/>
        <w:bidi w:val="0"/>
        <w:adjustRightInd w:val="0"/>
        <w:snapToGrid w:val="0"/>
        <w:spacing w:line="500" w:lineRule="exact"/>
        <w:ind w:firstLine="482"/>
        <w:textAlignment w:val="auto"/>
        <w:rPr>
          <w:rFonts w:cs="Times New Roman"/>
          <w:b/>
          <w:bCs/>
          <w:snapToGrid w:val="0"/>
          <w:color w:val="auto"/>
          <w:highlight w:val="none"/>
        </w:rPr>
      </w:pPr>
      <w:r>
        <w:rPr>
          <w:rFonts w:hint="eastAsia" w:cs="Times New Roman"/>
          <w:b/>
          <w:bCs/>
          <w:snapToGrid w:val="0"/>
          <w:color w:val="auto"/>
          <w:highlight w:val="none"/>
        </w:rPr>
        <w:t>2、</w:t>
      </w:r>
      <w:r>
        <w:rPr>
          <w:rFonts w:cs="Times New Roman"/>
          <w:b/>
          <w:bCs/>
          <w:snapToGrid w:val="0"/>
          <w:color w:val="auto"/>
          <w:highlight w:val="none"/>
        </w:rPr>
        <w:t>无组织</w:t>
      </w:r>
    </w:p>
    <w:p w14:paraId="12396967">
      <w:pPr>
        <w:pStyle w:val="117"/>
        <w:pageBreakBefore w:val="0"/>
        <w:widowControl w:val="0"/>
        <w:kinsoku/>
        <w:wordWrap/>
        <w:overflowPunct/>
        <w:topLinePunct w:val="0"/>
        <w:autoSpaceDE/>
        <w:autoSpaceDN/>
        <w:bidi w:val="0"/>
        <w:adjustRightInd w:val="0"/>
        <w:snapToGrid w:val="0"/>
        <w:spacing w:line="500" w:lineRule="exact"/>
        <w:textAlignment w:val="auto"/>
        <w:rPr>
          <w:rFonts w:cs="Times New Roman"/>
          <w:snapToGrid w:val="0"/>
          <w:color w:val="auto"/>
          <w:kern w:val="0"/>
          <w:highlight w:val="none"/>
          <w:lang w:val="zh-CN"/>
        </w:rPr>
      </w:pPr>
      <w:r>
        <w:rPr>
          <w:rFonts w:cs="Times New Roman"/>
          <w:color w:val="auto"/>
          <w:highlight w:val="none"/>
        </w:rPr>
        <w:t>本项目产生的无组织废气主要包括</w:t>
      </w:r>
      <w:r>
        <w:rPr>
          <w:rFonts w:hint="eastAsia" w:cs="Times New Roman"/>
          <w:color w:val="auto"/>
          <w:highlight w:val="none"/>
          <w:lang w:val="en-US" w:eastAsia="zh-CN"/>
        </w:rPr>
        <w:t>急宰间、隔离间及固体废物暂存间</w:t>
      </w:r>
      <w:r>
        <w:rPr>
          <w:rFonts w:cs="Times New Roman"/>
          <w:color w:val="auto"/>
          <w:highlight w:val="none"/>
        </w:rPr>
        <w:t>、屠宰车间产生的废气</w:t>
      </w:r>
      <w:r>
        <w:rPr>
          <w:rFonts w:hint="eastAsia" w:cs="Times New Roman"/>
          <w:color w:val="auto"/>
          <w:highlight w:val="none"/>
          <w:lang w:val="en-US" w:eastAsia="zh-CN"/>
        </w:rPr>
        <w:t>以及</w:t>
      </w:r>
      <w:r>
        <w:rPr>
          <w:rFonts w:cs="Times New Roman"/>
          <w:color w:val="auto"/>
          <w:highlight w:val="none"/>
        </w:rPr>
        <w:t>污水处理站运行废气。主要污染物为氨和硫化氢。</w:t>
      </w:r>
    </w:p>
    <w:p w14:paraId="550E4A0D">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hint="eastAsia" w:cs="Times New Roman"/>
          <w:color w:val="auto"/>
          <w:highlight w:val="none"/>
        </w:rPr>
        <w:t>（1）</w:t>
      </w:r>
      <w:r>
        <w:rPr>
          <w:rFonts w:hint="eastAsia" w:cs="Times New Roman"/>
          <w:color w:val="auto"/>
          <w:highlight w:val="none"/>
          <w:lang w:eastAsia="zh-CN"/>
        </w:rPr>
        <w:t>待宰圈</w:t>
      </w:r>
      <w:r>
        <w:rPr>
          <w:rFonts w:cs="Times New Roman"/>
          <w:color w:val="auto"/>
          <w:highlight w:val="none"/>
        </w:rPr>
        <w:t>恶臭</w:t>
      </w:r>
    </w:p>
    <w:p w14:paraId="33F553D1">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hint="eastAsia" w:cs="Times New Roman"/>
          <w:color w:val="auto"/>
          <w:highlight w:val="none"/>
          <w:lang w:eastAsia="zh-CN"/>
        </w:rPr>
        <w:t>待宰圈</w:t>
      </w:r>
      <w:r>
        <w:rPr>
          <w:rFonts w:cs="Times New Roman"/>
          <w:color w:val="auto"/>
          <w:highlight w:val="none"/>
        </w:rPr>
        <w:t>是为牛、羊提供存放、观察及休息的场所，</w:t>
      </w:r>
      <w:r>
        <w:rPr>
          <w:rFonts w:hint="eastAsia" w:cs="Times New Roman"/>
          <w:color w:val="auto"/>
          <w:highlight w:val="none"/>
        </w:rPr>
        <w:t>隔离圈主要用于疑似病牛羊进行隔离观察，</w:t>
      </w:r>
      <w:r>
        <w:rPr>
          <w:rFonts w:cs="Times New Roman"/>
          <w:color w:val="auto"/>
          <w:highlight w:val="none"/>
        </w:rPr>
        <w:t>恶臭主要来自牲畜尿液，主要会产生氨、硫化氢等恶臭气体，若未及时清除或清除后不能及时处理，将会使臭味成倍增加，并会孳生大量蚊蝇，影响环境卫生。本项目</w:t>
      </w:r>
      <w:r>
        <w:rPr>
          <w:rFonts w:hint="eastAsia" w:cs="Times New Roman"/>
          <w:color w:val="auto"/>
          <w:highlight w:val="none"/>
          <w:lang w:eastAsia="zh-CN"/>
        </w:rPr>
        <w:t>待宰圈</w:t>
      </w:r>
      <w:r>
        <w:rPr>
          <w:rFonts w:cs="Times New Roman"/>
          <w:color w:val="auto"/>
          <w:highlight w:val="none"/>
        </w:rPr>
        <w:t>、隔离圈设置专人管理，及时清理地面上的粪便及尿液，</w:t>
      </w:r>
      <w:r>
        <w:rPr>
          <w:rFonts w:hint="eastAsia" w:cs="Times New Roman"/>
          <w:color w:val="auto"/>
          <w:highlight w:val="none"/>
        </w:rPr>
        <w:t>定期冲洗待地面</w:t>
      </w:r>
      <w:r>
        <w:rPr>
          <w:rFonts w:cs="Times New Roman"/>
          <w:color w:val="auto"/>
          <w:highlight w:val="none"/>
        </w:rPr>
        <w:t>，同时定期喷洒除臭剂，减少恶臭源的散发。项目通过加强管理来降低这部分臭气对环境产生的影响。</w:t>
      </w:r>
    </w:p>
    <w:p w14:paraId="6A5B2D85">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hint="eastAsia" w:cs="Times New Roman"/>
          <w:color w:val="auto"/>
          <w:highlight w:val="none"/>
        </w:rPr>
        <w:t>（2）</w:t>
      </w:r>
      <w:r>
        <w:rPr>
          <w:rFonts w:cs="Times New Roman"/>
          <w:color w:val="auto"/>
          <w:highlight w:val="none"/>
        </w:rPr>
        <w:t>屠宰车间恶臭</w:t>
      </w:r>
    </w:p>
    <w:p w14:paraId="5C4E028A">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cs="Times New Roman"/>
          <w:color w:val="auto"/>
          <w:highlight w:val="none"/>
        </w:rPr>
        <w:t>为了保护环境，屠宰车间及时清洗清运，定期喷洒除臭剂，降低这部分臭气对环境产生的影响。</w:t>
      </w:r>
    </w:p>
    <w:p w14:paraId="29BC4AA6">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hint="eastAsia" w:cs="Times New Roman"/>
          <w:color w:val="auto"/>
          <w:highlight w:val="none"/>
        </w:rPr>
        <w:t>（3）</w:t>
      </w:r>
      <w:r>
        <w:rPr>
          <w:rFonts w:cs="Times New Roman"/>
          <w:color w:val="auto"/>
          <w:highlight w:val="none"/>
        </w:rPr>
        <w:t>污水处理站恶臭</w:t>
      </w:r>
    </w:p>
    <w:p w14:paraId="18621368">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cs="Times New Roman"/>
          <w:color w:val="auto"/>
          <w:highlight w:val="none"/>
        </w:rPr>
        <w:t>项目废水中有机物类物质多，浓度高，极易腐蚀发臭，因此在厂内收集系统、废水预处理及污泥脱水工序将不可避免地产生一些臭气，主要是通过在产生恶臭区域加盖，</w:t>
      </w:r>
      <w:r>
        <w:rPr>
          <w:rFonts w:eastAsia="新宋体" w:cs="Times New Roman"/>
          <w:snapToGrid w:val="0"/>
          <w:color w:val="auto"/>
          <w:szCs w:val="21"/>
          <w:highlight w:val="none"/>
        </w:rPr>
        <w:t>定期喷洒除臭剂</w:t>
      </w:r>
      <w:r>
        <w:rPr>
          <w:rFonts w:eastAsia="新宋体" w:cs="Times New Roman"/>
          <w:bCs/>
          <w:snapToGrid w:val="0"/>
          <w:color w:val="auto"/>
          <w:szCs w:val="21"/>
          <w:highlight w:val="none"/>
        </w:rPr>
        <w:t>，</w:t>
      </w:r>
      <w:r>
        <w:rPr>
          <w:rFonts w:cs="Times New Roman"/>
          <w:color w:val="auto"/>
          <w:highlight w:val="none"/>
        </w:rPr>
        <w:t>来降低污水处理站恶臭对厂区内外的影响。</w:t>
      </w:r>
    </w:p>
    <w:p w14:paraId="4AE6A52F">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hint="eastAsia" w:cs="Times New Roman"/>
          <w:color w:val="auto"/>
          <w:highlight w:val="none"/>
        </w:rPr>
        <w:t>（4）</w:t>
      </w:r>
      <w:r>
        <w:rPr>
          <w:rFonts w:cs="Times New Roman"/>
          <w:snapToGrid w:val="0"/>
          <w:color w:val="auto"/>
          <w:highlight w:val="none"/>
        </w:rPr>
        <w:t>固废暂存间恶臭</w:t>
      </w:r>
    </w:p>
    <w:p w14:paraId="36A6CCF3">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cs="Times New Roman"/>
          <w:color w:val="auto"/>
          <w:highlight w:val="none"/>
        </w:rPr>
        <w:t>本项目在屠宰过程会产生边角料、胃容物及肠内物、检疫不合格品等，这些固体在屠宰过程中基本无异味产生，但脱离牛、羊一段时间后，极容易产生异味。边角料、胃容物及肠内物</w:t>
      </w:r>
      <w:r>
        <w:rPr>
          <w:rFonts w:cs="Times New Roman"/>
          <w:snapToGrid w:val="0"/>
          <w:color w:val="auto"/>
          <w:kern w:val="0"/>
          <w:szCs w:val="24"/>
          <w:highlight w:val="none"/>
        </w:rPr>
        <w:t>分别</w:t>
      </w:r>
      <w:r>
        <w:rPr>
          <w:rFonts w:cs="Times New Roman"/>
          <w:snapToGrid w:val="0"/>
          <w:color w:val="auto"/>
          <w:highlight w:val="none"/>
        </w:rPr>
        <w:t>储存在加盖的暂存池内，暂存于固废暂存间，储存池正常情况下为密封，仅输送生产废物时，将抽送泵与储存池连接，将储存池内废物输送至运输车上，产生的恶臭较小</w:t>
      </w:r>
      <w:r>
        <w:rPr>
          <w:rFonts w:hint="eastAsia" w:cs="Times New Roman"/>
          <w:snapToGrid w:val="0"/>
          <w:color w:val="auto"/>
          <w:highlight w:val="none"/>
        </w:rPr>
        <w:t>。</w:t>
      </w:r>
    </w:p>
    <w:p w14:paraId="1259F48B">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cs="Times New Roman"/>
          <w:color w:val="auto"/>
          <w:highlight w:val="none"/>
        </w:rPr>
        <w:t>无组织废气采取以上措施后可满足《恶臭污染物排放标准》（GB14554-93）表1中二级标准要求。</w:t>
      </w:r>
    </w:p>
    <w:p w14:paraId="1969A04F">
      <w:pPr>
        <w:pageBreakBefore w:val="0"/>
        <w:widowControl w:val="0"/>
        <w:kinsoku/>
        <w:wordWrap/>
        <w:overflowPunct/>
        <w:topLinePunct w:val="0"/>
        <w:autoSpaceDE/>
        <w:autoSpaceDN/>
        <w:bidi w:val="0"/>
        <w:adjustRightInd w:val="0"/>
        <w:snapToGrid w:val="0"/>
        <w:spacing w:line="500" w:lineRule="exact"/>
        <w:textAlignment w:val="auto"/>
        <w:rPr>
          <w:rFonts w:cs="Times New Roman"/>
          <w:snapToGrid w:val="0"/>
          <w:color w:val="auto"/>
          <w:kern w:val="0"/>
          <w:highlight w:val="none"/>
          <w:lang w:val="zh-CN"/>
        </w:rPr>
      </w:pPr>
      <w:r>
        <w:rPr>
          <w:rFonts w:cs="Times New Roman"/>
          <w:color w:val="auto"/>
          <w:highlight w:val="none"/>
        </w:rPr>
        <w:t>综上，本项目采用的废气防治措施工艺、技术上可行、可靠，对周边影响较小。</w:t>
      </w:r>
    </w:p>
    <w:p w14:paraId="4B8D2655">
      <w:pPr>
        <w:pStyle w:val="4"/>
        <w:bidi w:val="0"/>
        <w:rPr>
          <w:color w:val="auto"/>
          <w:highlight w:val="none"/>
        </w:rPr>
      </w:pPr>
      <w:bookmarkStart w:id="361" w:name="_Toc17859"/>
      <w:r>
        <w:rPr>
          <w:color w:val="auto"/>
          <w:highlight w:val="none"/>
        </w:rPr>
        <w:t>6.2.2地表水环境保护措施</w:t>
      </w:r>
      <w:bookmarkEnd w:id="361"/>
    </w:p>
    <w:p w14:paraId="183D04E5">
      <w:pPr>
        <w:pageBreakBefore w:val="0"/>
        <w:widowControl w:val="0"/>
        <w:kinsoku/>
        <w:wordWrap/>
        <w:overflowPunct/>
        <w:topLinePunct w:val="0"/>
        <w:autoSpaceDE/>
        <w:autoSpaceDN/>
        <w:bidi w:val="0"/>
        <w:adjustRightInd w:val="0"/>
        <w:snapToGrid w:val="0"/>
        <w:spacing w:line="500" w:lineRule="exact"/>
        <w:textAlignment w:val="auto"/>
        <w:rPr>
          <w:rFonts w:cs="Times New Roman"/>
          <w:color w:val="auto"/>
          <w:highlight w:val="none"/>
        </w:rPr>
      </w:pPr>
      <w:r>
        <w:rPr>
          <w:rFonts w:cs="Times New Roman"/>
          <w:color w:val="auto"/>
          <w:highlight w:val="none"/>
        </w:rPr>
        <w:t>本项目运营期产生的废水包括生产废水和生活污水。</w:t>
      </w:r>
      <w:r>
        <w:rPr>
          <w:rFonts w:cs="Times New Roman"/>
          <w:bCs/>
          <w:color w:val="auto"/>
          <w:szCs w:val="24"/>
          <w:highlight w:val="none"/>
        </w:rPr>
        <w:t>其中，生产废水</w:t>
      </w:r>
      <w:r>
        <w:rPr>
          <w:rFonts w:hint="eastAsia" w:cs="Times New Roman"/>
          <w:bCs/>
          <w:color w:val="auto"/>
          <w:szCs w:val="24"/>
          <w:highlight w:val="none"/>
          <w:lang w:eastAsia="zh-CN"/>
        </w:rPr>
        <w:t>包括</w:t>
      </w:r>
      <w:r>
        <w:rPr>
          <w:rFonts w:cs="Times New Roman"/>
          <w:bCs/>
          <w:color w:val="auto"/>
          <w:szCs w:val="24"/>
          <w:highlight w:val="none"/>
        </w:rPr>
        <w:t>屠宰废水</w:t>
      </w:r>
      <w:r>
        <w:rPr>
          <w:rFonts w:hint="eastAsia" w:cs="Times New Roman"/>
          <w:bCs/>
          <w:color w:val="auto"/>
          <w:szCs w:val="24"/>
          <w:highlight w:val="none"/>
          <w:lang w:eastAsia="zh-CN"/>
        </w:rPr>
        <w:t>、</w:t>
      </w:r>
      <w:r>
        <w:rPr>
          <w:rFonts w:hint="eastAsia" w:cs="Times New Roman"/>
          <w:bCs/>
          <w:color w:val="auto"/>
          <w:szCs w:val="24"/>
          <w:highlight w:val="none"/>
          <w:lang w:val="en-US" w:eastAsia="zh-CN"/>
        </w:rPr>
        <w:t>冲洗废水及排酸废水</w:t>
      </w:r>
      <w:r>
        <w:rPr>
          <w:rFonts w:cs="Times New Roman"/>
          <w:bCs/>
          <w:color w:val="auto"/>
          <w:szCs w:val="24"/>
          <w:highlight w:val="none"/>
        </w:rPr>
        <w:t>，</w:t>
      </w:r>
      <w:r>
        <w:rPr>
          <w:rFonts w:cs="Times New Roman"/>
          <w:color w:val="auto"/>
          <w:highlight w:val="none"/>
        </w:rPr>
        <w:t>生活污水为</w:t>
      </w:r>
      <w:r>
        <w:rPr>
          <w:rFonts w:cs="Times New Roman"/>
          <w:bCs/>
          <w:color w:val="auto"/>
          <w:szCs w:val="24"/>
          <w:highlight w:val="none"/>
        </w:rPr>
        <w:t>员工日常生活污水。</w:t>
      </w:r>
      <w:r>
        <w:rPr>
          <w:rFonts w:hint="eastAsia" w:cs="Times New Roman"/>
          <w:bCs/>
          <w:color w:val="auto"/>
          <w:szCs w:val="24"/>
          <w:highlight w:val="none"/>
        </w:rPr>
        <w:t>屠宰</w:t>
      </w:r>
      <w:r>
        <w:rPr>
          <w:rFonts w:cs="Times New Roman"/>
          <w:bCs/>
          <w:color w:val="auto"/>
          <w:szCs w:val="24"/>
          <w:highlight w:val="none"/>
        </w:rPr>
        <w:t>废水经厂区自建的污水处理站进行处理，</w:t>
      </w:r>
      <w:r>
        <w:rPr>
          <w:rFonts w:cs="Times New Roman"/>
          <w:snapToGrid w:val="0"/>
          <w:color w:val="auto"/>
          <w:highlight w:val="none"/>
          <w:lang w:val="en-GB"/>
        </w:rPr>
        <w:t>处理达到《肉类加工工业水污染物排放标准》（GB13457-92）中畜类屠宰加工三级标准，并满足</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进水水质要求后，</w:t>
      </w:r>
      <w:r>
        <w:rPr>
          <w:rFonts w:hint="eastAsia" w:cs="Times New Roman"/>
          <w:snapToGrid w:val="0"/>
          <w:color w:val="auto"/>
          <w:highlight w:val="none"/>
        </w:rPr>
        <w:t>同生活污</w:t>
      </w:r>
      <w:r>
        <w:rPr>
          <w:rFonts w:hint="eastAsia" w:cs="Times New Roman"/>
          <w:snapToGrid w:val="0"/>
          <w:color w:val="auto"/>
          <w:highlight w:val="none"/>
          <w:lang w:val="en-US" w:eastAsia="zh-CN"/>
        </w:rPr>
        <w:t>水</w:t>
      </w:r>
      <w:r>
        <w:rPr>
          <w:rFonts w:hint="eastAsia" w:cs="Times New Roman"/>
          <w:snapToGrid w:val="0"/>
          <w:color w:val="auto"/>
          <w:highlight w:val="none"/>
        </w:rPr>
        <w:t>一同</w:t>
      </w:r>
      <w:r>
        <w:rPr>
          <w:rFonts w:cs="Times New Roman"/>
          <w:snapToGrid w:val="0"/>
          <w:color w:val="auto"/>
          <w:highlight w:val="none"/>
          <w:lang w:val="en-GB"/>
        </w:rPr>
        <w:t>经市政污水管网排入</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处理，达标后排入</w:t>
      </w:r>
      <w:r>
        <w:rPr>
          <w:rFonts w:hint="eastAsia" w:cs="Times New Roman"/>
          <w:snapToGrid w:val="0"/>
          <w:color w:val="auto"/>
          <w:highlight w:val="none"/>
          <w:lang w:val="en-GB" w:eastAsia="zh-CN"/>
        </w:rPr>
        <w:t>安邦河</w:t>
      </w:r>
      <w:r>
        <w:rPr>
          <w:rFonts w:cs="Times New Roman"/>
          <w:snapToGrid w:val="0"/>
          <w:color w:val="auto"/>
          <w:highlight w:val="none"/>
          <w:lang w:val="en-GB"/>
        </w:rPr>
        <w:t>。</w:t>
      </w:r>
      <w:r>
        <w:rPr>
          <w:rFonts w:cs="Times New Roman"/>
          <w:bCs/>
          <w:color w:val="auto"/>
          <w:szCs w:val="24"/>
          <w:highlight w:val="none"/>
        </w:rPr>
        <w:t>在采取经上述措施处理后，本项目废水对周围水环境影响较小。</w:t>
      </w:r>
    </w:p>
    <w:p w14:paraId="29C8C1E7">
      <w:pPr>
        <w:widowControl/>
        <w:ind w:firstLine="482"/>
        <w:rPr>
          <w:rFonts w:cs="Times New Roman"/>
          <w:b/>
          <w:bCs/>
          <w:color w:val="auto"/>
          <w:szCs w:val="24"/>
          <w:highlight w:val="none"/>
        </w:rPr>
      </w:pPr>
      <w:r>
        <w:rPr>
          <w:rFonts w:cs="Times New Roman"/>
          <w:b/>
          <w:bCs/>
          <w:color w:val="auto"/>
          <w:szCs w:val="24"/>
          <w:highlight w:val="none"/>
        </w:rPr>
        <w:t>1、废水治理可行性分析：</w:t>
      </w:r>
    </w:p>
    <w:p w14:paraId="4F11C264">
      <w:pPr>
        <w:rPr>
          <w:rFonts w:cs="Times New Roman"/>
          <w:color w:val="auto"/>
          <w:szCs w:val="24"/>
          <w:highlight w:val="none"/>
        </w:rPr>
      </w:pPr>
      <w:r>
        <w:rPr>
          <w:rFonts w:cs="Times New Roman"/>
          <w:color w:val="auto"/>
          <w:szCs w:val="24"/>
          <w:highlight w:val="none"/>
        </w:rPr>
        <w:t>本项目废水治理措施按照《排污许可证申请与核发技术规范农副食品加工工业-屠宰及肉类加工工业》（HJ 860.3-2018）中表7屠宰及肉类加工工业排污单位废水治理可行技术参照表及《屠宰与肉类加工废水治理工程技术规范》（HJ 2004-2010）做为论证依据。</w:t>
      </w:r>
    </w:p>
    <w:p w14:paraId="2CEC084A">
      <w:pPr>
        <w:spacing w:line="240" w:lineRule="auto"/>
        <w:ind w:left="0" w:leftChars="0" w:firstLine="0" w:firstLineChars="0"/>
        <w:jc w:val="both"/>
        <w:rPr>
          <w:rFonts w:cs="Times New Roman"/>
          <w:b/>
          <w:bCs/>
          <w:color w:val="auto"/>
          <w:szCs w:val="24"/>
          <w:highlight w:val="none"/>
        </w:rPr>
      </w:pPr>
    </w:p>
    <w:p w14:paraId="697AA082">
      <w:pPr>
        <w:spacing w:line="240" w:lineRule="auto"/>
        <w:ind w:firstLine="482"/>
        <w:jc w:val="center"/>
        <w:rPr>
          <w:rFonts w:cs="Times New Roman"/>
          <w:b/>
          <w:bCs/>
          <w:color w:val="auto"/>
          <w:szCs w:val="24"/>
          <w:highlight w:val="none"/>
        </w:rPr>
      </w:pPr>
      <w:r>
        <w:rPr>
          <w:rFonts w:cs="Times New Roman"/>
          <w:b/>
          <w:bCs/>
          <w:color w:val="auto"/>
          <w:szCs w:val="24"/>
          <w:highlight w:val="none"/>
        </w:rPr>
        <w:t>表6-2-1  屠宰及肉类加工工业排污单位废水治理可行技术参照表</w:t>
      </w:r>
    </w:p>
    <w:tbl>
      <w:tblPr>
        <w:tblStyle w:val="47"/>
        <w:tblW w:w="876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27"/>
        <w:gridCol w:w="1462"/>
        <w:gridCol w:w="763"/>
        <w:gridCol w:w="702"/>
        <w:gridCol w:w="1023"/>
        <w:gridCol w:w="2987"/>
      </w:tblGrid>
      <w:tr w14:paraId="13CD78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shd w:val="clear" w:color="auto" w:fill="auto"/>
            <w:vAlign w:val="center"/>
          </w:tcPr>
          <w:p w14:paraId="66E5317F">
            <w:pPr>
              <w:spacing w:line="360" w:lineRule="exact"/>
              <w:ind w:firstLine="0" w:firstLineChars="0"/>
              <w:jc w:val="center"/>
              <w:rPr>
                <w:rFonts w:cs="Times New Roman"/>
                <w:color w:val="auto"/>
                <w:kern w:val="0"/>
                <w:sz w:val="18"/>
                <w:szCs w:val="18"/>
                <w:highlight w:val="none"/>
              </w:rPr>
            </w:pPr>
            <w:r>
              <w:rPr>
                <w:rFonts w:cs="Times New Roman"/>
                <w:color w:val="auto"/>
                <w:kern w:val="0"/>
                <w:sz w:val="18"/>
                <w:szCs w:val="18"/>
                <w:highlight w:val="none"/>
              </w:rPr>
              <w:t>废水类别</w:t>
            </w:r>
          </w:p>
        </w:tc>
        <w:tc>
          <w:tcPr>
            <w:tcW w:w="1462" w:type="dxa"/>
            <w:shd w:val="clear" w:color="auto" w:fill="auto"/>
            <w:vAlign w:val="center"/>
          </w:tcPr>
          <w:p w14:paraId="2CF88953">
            <w:pPr>
              <w:spacing w:line="360" w:lineRule="exact"/>
              <w:ind w:firstLine="0" w:firstLineChars="0"/>
              <w:jc w:val="center"/>
              <w:rPr>
                <w:rFonts w:cs="Times New Roman"/>
                <w:color w:val="auto"/>
                <w:kern w:val="0"/>
                <w:sz w:val="18"/>
                <w:szCs w:val="18"/>
                <w:highlight w:val="none"/>
              </w:rPr>
            </w:pPr>
            <w:r>
              <w:rPr>
                <w:rFonts w:cs="Times New Roman"/>
                <w:color w:val="auto"/>
                <w:kern w:val="0"/>
                <w:sz w:val="18"/>
                <w:szCs w:val="18"/>
                <w:highlight w:val="none"/>
              </w:rPr>
              <w:t>污染物控制指标</w:t>
            </w:r>
          </w:p>
        </w:tc>
        <w:tc>
          <w:tcPr>
            <w:tcW w:w="763" w:type="dxa"/>
            <w:shd w:val="clear" w:color="auto" w:fill="auto"/>
            <w:vAlign w:val="center"/>
          </w:tcPr>
          <w:p w14:paraId="322EA3E4">
            <w:pPr>
              <w:spacing w:line="360" w:lineRule="exact"/>
              <w:ind w:firstLine="0" w:firstLineChars="0"/>
              <w:jc w:val="center"/>
              <w:rPr>
                <w:rFonts w:cs="Times New Roman"/>
                <w:color w:val="auto"/>
                <w:kern w:val="0"/>
                <w:sz w:val="18"/>
                <w:szCs w:val="18"/>
                <w:highlight w:val="none"/>
              </w:rPr>
            </w:pPr>
            <w:r>
              <w:rPr>
                <w:rFonts w:cs="Times New Roman"/>
                <w:color w:val="auto"/>
                <w:kern w:val="0"/>
                <w:sz w:val="18"/>
                <w:szCs w:val="18"/>
                <w:highlight w:val="none"/>
              </w:rPr>
              <w:t>排放方式</w:t>
            </w:r>
          </w:p>
        </w:tc>
        <w:tc>
          <w:tcPr>
            <w:tcW w:w="702" w:type="dxa"/>
            <w:shd w:val="clear" w:color="auto" w:fill="auto"/>
            <w:vAlign w:val="center"/>
          </w:tcPr>
          <w:p w14:paraId="1E6FEEAC">
            <w:pPr>
              <w:spacing w:line="360" w:lineRule="exact"/>
              <w:ind w:firstLine="0" w:firstLineChars="0"/>
              <w:jc w:val="center"/>
              <w:rPr>
                <w:rFonts w:cs="Times New Roman"/>
                <w:color w:val="auto"/>
                <w:kern w:val="0"/>
                <w:sz w:val="18"/>
                <w:szCs w:val="18"/>
                <w:highlight w:val="none"/>
              </w:rPr>
            </w:pPr>
            <w:r>
              <w:rPr>
                <w:rFonts w:cs="Times New Roman"/>
                <w:color w:val="auto"/>
                <w:kern w:val="0"/>
                <w:sz w:val="18"/>
                <w:szCs w:val="18"/>
                <w:highlight w:val="none"/>
              </w:rPr>
              <w:t>排放监控位置</w:t>
            </w:r>
          </w:p>
        </w:tc>
        <w:tc>
          <w:tcPr>
            <w:tcW w:w="1023" w:type="dxa"/>
            <w:shd w:val="clear" w:color="auto" w:fill="auto"/>
            <w:vAlign w:val="center"/>
          </w:tcPr>
          <w:p w14:paraId="54B49AE6">
            <w:pPr>
              <w:spacing w:line="360" w:lineRule="exact"/>
              <w:ind w:firstLine="0" w:firstLineChars="0"/>
              <w:jc w:val="center"/>
              <w:rPr>
                <w:rFonts w:cs="Times New Roman"/>
                <w:color w:val="auto"/>
                <w:kern w:val="0"/>
                <w:sz w:val="18"/>
                <w:szCs w:val="18"/>
                <w:highlight w:val="none"/>
              </w:rPr>
            </w:pPr>
            <w:r>
              <w:rPr>
                <w:rFonts w:cs="Times New Roman"/>
                <w:color w:val="auto"/>
                <w:kern w:val="0"/>
                <w:sz w:val="18"/>
                <w:szCs w:val="18"/>
                <w:highlight w:val="none"/>
              </w:rPr>
              <w:t>执行标准</w:t>
            </w:r>
          </w:p>
        </w:tc>
        <w:tc>
          <w:tcPr>
            <w:tcW w:w="2987" w:type="dxa"/>
            <w:shd w:val="clear" w:color="auto" w:fill="auto"/>
            <w:vAlign w:val="center"/>
          </w:tcPr>
          <w:p w14:paraId="5DF769CF">
            <w:pPr>
              <w:spacing w:line="360" w:lineRule="exact"/>
              <w:ind w:firstLine="0" w:firstLineChars="0"/>
              <w:jc w:val="center"/>
              <w:rPr>
                <w:rFonts w:cs="Times New Roman"/>
                <w:color w:val="auto"/>
                <w:kern w:val="0"/>
                <w:sz w:val="18"/>
                <w:szCs w:val="18"/>
                <w:highlight w:val="none"/>
              </w:rPr>
            </w:pPr>
            <w:r>
              <w:rPr>
                <w:rFonts w:cs="Times New Roman"/>
                <w:color w:val="auto"/>
                <w:kern w:val="0"/>
                <w:sz w:val="18"/>
                <w:szCs w:val="18"/>
                <w:highlight w:val="none"/>
              </w:rPr>
              <w:t>可行技术</w:t>
            </w:r>
          </w:p>
        </w:tc>
      </w:tr>
      <w:tr w14:paraId="007828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shd w:val="clear" w:color="auto" w:fill="auto"/>
            <w:vAlign w:val="center"/>
          </w:tcPr>
          <w:p w14:paraId="52BA1631">
            <w:pPr>
              <w:spacing w:line="360" w:lineRule="exact"/>
              <w:ind w:firstLine="0" w:firstLineChars="0"/>
              <w:jc w:val="center"/>
              <w:rPr>
                <w:rFonts w:cs="Times New Roman"/>
                <w:color w:val="auto"/>
                <w:highlight w:val="none"/>
              </w:rPr>
            </w:pPr>
            <w:r>
              <w:rPr>
                <w:rFonts w:cs="Times New Roman"/>
                <w:color w:val="auto"/>
                <w:kern w:val="0"/>
                <w:sz w:val="18"/>
                <w:szCs w:val="18"/>
                <w:highlight w:val="none"/>
              </w:rPr>
              <w:t>厂内综合污水处理站的综合水、专门处理屠宰及肉类加工废水的集中式污水处理厂综合污水（屠宰及肉制品加工生产废、生活污水、初期雨水等）</w:t>
            </w:r>
          </w:p>
        </w:tc>
        <w:tc>
          <w:tcPr>
            <w:tcW w:w="1462" w:type="dxa"/>
            <w:shd w:val="clear" w:color="auto" w:fill="auto"/>
            <w:vAlign w:val="center"/>
          </w:tcPr>
          <w:p w14:paraId="3C947BA5">
            <w:pPr>
              <w:spacing w:line="360" w:lineRule="exact"/>
              <w:ind w:firstLine="0" w:firstLineChars="0"/>
              <w:jc w:val="center"/>
              <w:rPr>
                <w:rFonts w:cs="Times New Roman"/>
                <w:color w:val="auto"/>
                <w:highlight w:val="none"/>
              </w:rPr>
            </w:pPr>
            <w:r>
              <w:rPr>
                <w:rFonts w:cs="Times New Roman"/>
                <w:color w:val="auto"/>
                <w:kern w:val="0"/>
                <w:sz w:val="18"/>
                <w:szCs w:val="18"/>
                <w:highlight w:val="none"/>
              </w:rPr>
              <w:t>pH值、化学需氧量、五日生化需氧量、悬浮物、氨氮、动植物油、大肠菌群数</w:t>
            </w:r>
          </w:p>
        </w:tc>
        <w:tc>
          <w:tcPr>
            <w:tcW w:w="763" w:type="dxa"/>
            <w:shd w:val="clear" w:color="auto" w:fill="auto"/>
            <w:vAlign w:val="center"/>
          </w:tcPr>
          <w:p w14:paraId="4081FB70">
            <w:pPr>
              <w:spacing w:line="360" w:lineRule="exact"/>
              <w:ind w:firstLine="0" w:firstLineChars="0"/>
              <w:jc w:val="center"/>
              <w:rPr>
                <w:rFonts w:cs="Times New Roman"/>
                <w:color w:val="auto"/>
                <w:kern w:val="0"/>
                <w:sz w:val="18"/>
                <w:szCs w:val="18"/>
                <w:highlight w:val="none"/>
              </w:rPr>
            </w:pPr>
            <w:r>
              <w:rPr>
                <w:rFonts w:cs="Times New Roman"/>
                <w:color w:val="auto"/>
                <w:kern w:val="0"/>
                <w:sz w:val="18"/>
                <w:szCs w:val="18"/>
                <w:highlight w:val="none"/>
              </w:rPr>
              <w:t>间接排放</w:t>
            </w:r>
          </w:p>
        </w:tc>
        <w:tc>
          <w:tcPr>
            <w:tcW w:w="702" w:type="dxa"/>
            <w:shd w:val="clear" w:color="auto" w:fill="auto"/>
            <w:vAlign w:val="center"/>
          </w:tcPr>
          <w:p w14:paraId="21A00596">
            <w:pPr>
              <w:spacing w:line="360" w:lineRule="exact"/>
              <w:ind w:firstLine="0" w:firstLineChars="0"/>
              <w:jc w:val="center"/>
              <w:rPr>
                <w:rFonts w:cs="Times New Roman"/>
                <w:color w:val="auto"/>
                <w:kern w:val="0"/>
                <w:sz w:val="18"/>
                <w:szCs w:val="18"/>
                <w:highlight w:val="none"/>
              </w:rPr>
            </w:pPr>
            <w:r>
              <w:rPr>
                <w:rFonts w:cs="Times New Roman"/>
                <w:color w:val="auto"/>
                <w:kern w:val="0"/>
                <w:sz w:val="18"/>
                <w:szCs w:val="18"/>
                <w:highlight w:val="none"/>
              </w:rPr>
              <w:t>废水总排放口</w:t>
            </w:r>
          </w:p>
        </w:tc>
        <w:tc>
          <w:tcPr>
            <w:tcW w:w="1023" w:type="dxa"/>
            <w:shd w:val="clear" w:color="auto" w:fill="auto"/>
            <w:vAlign w:val="center"/>
          </w:tcPr>
          <w:p w14:paraId="600F4B60">
            <w:pPr>
              <w:spacing w:line="360" w:lineRule="exact"/>
              <w:ind w:firstLine="0" w:firstLineChars="0"/>
              <w:jc w:val="center"/>
              <w:rPr>
                <w:rFonts w:cs="Times New Roman"/>
                <w:color w:val="auto"/>
                <w:highlight w:val="none"/>
              </w:rPr>
            </w:pPr>
            <w:r>
              <w:rPr>
                <w:rFonts w:cs="Times New Roman"/>
                <w:color w:val="auto"/>
                <w:kern w:val="0"/>
                <w:sz w:val="18"/>
                <w:szCs w:val="18"/>
                <w:highlight w:val="none"/>
              </w:rPr>
              <w:t>排入城镇污水集中处理设施：执行GB13457的三级限值</w:t>
            </w:r>
          </w:p>
        </w:tc>
        <w:tc>
          <w:tcPr>
            <w:tcW w:w="2987" w:type="dxa"/>
            <w:shd w:val="clear" w:color="auto" w:fill="auto"/>
            <w:vAlign w:val="center"/>
          </w:tcPr>
          <w:p w14:paraId="3F57C3FB">
            <w:pPr>
              <w:spacing w:line="360" w:lineRule="exact"/>
              <w:ind w:firstLine="0" w:firstLineChars="0"/>
              <w:rPr>
                <w:rFonts w:cs="Times New Roman"/>
                <w:color w:val="auto"/>
                <w:kern w:val="0"/>
                <w:sz w:val="18"/>
                <w:szCs w:val="18"/>
                <w:highlight w:val="none"/>
              </w:rPr>
            </w:pPr>
            <w:r>
              <w:rPr>
                <w:rFonts w:cs="Times New Roman"/>
                <w:color w:val="auto"/>
                <w:kern w:val="0"/>
                <w:sz w:val="18"/>
                <w:szCs w:val="18"/>
                <w:highlight w:val="none"/>
              </w:rPr>
              <w:t>1）预处理：粗（细）格栅；平流或旋流式沉砂、竖流或辐流式沉淀、混凝沉淀；斜板或平流式隔油池；气浮；其他。</w:t>
            </w:r>
          </w:p>
          <w:p w14:paraId="0C4B6046">
            <w:pPr>
              <w:spacing w:line="360" w:lineRule="exact"/>
              <w:ind w:firstLine="0" w:firstLineChars="0"/>
              <w:rPr>
                <w:rFonts w:cs="Times New Roman"/>
                <w:color w:val="auto"/>
                <w:kern w:val="0"/>
                <w:sz w:val="18"/>
                <w:szCs w:val="18"/>
                <w:highlight w:val="none"/>
              </w:rPr>
            </w:pPr>
            <w:r>
              <w:rPr>
                <w:rFonts w:cs="Times New Roman"/>
                <w:color w:val="auto"/>
                <w:kern w:val="0"/>
                <w:sz w:val="18"/>
                <w:szCs w:val="18"/>
                <w:highlight w:val="none"/>
              </w:rPr>
              <w:t>2）生化法处理：</w:t>
            </w:r>
          </w:p>
          <w:p w14:paraId="27DA131A">
            <w:pPr>
              <w:spacing w:line="360" w:lineRule="exact"/>
              <w:ind w:firstLine="0" w:firstLineChars="0"/>
              <w:rPr>
                <w:rFonts w:cs="Times New Roman"/>
                <w:color w:val="auto"/>
                <w:kern w:val="0"/>
                <w:sz w:val="18"/>
                <w:szCs w:val="18"/>
                <w:highlight w:val="none"/>
              </w:rPr>
            </w:pPr>
            <w:r>
              <w:rPr>
                <w:rFonts w:cs="Times New Roman"/>
                <w:color w:val="auto"/>
                <w:kern w:val="0"/>
                <w:sz w:val="18"/>
                <w:szCs w:val="18"/>
                <w:highlight w:val="none"/>
              </w:rPr>
              <w:t>升流式厌氧污泥床（UASB）；IC 反应器或水解酸化技术；活性污泥法、氧化沟法及其各类改型工艺；生物接触氧化法；序批式活性污泥法（SBR）；缺氧/好氧活性污泥法（A/O 法）；厌氧-缺氧-好氧活性污泥法（A 2 /O 法）；膜生物反应器（MBR）法；其他。</w:t>
            </w:r>
          </w:p>
          <w:p w14:paraId="01A2537D">
            <w:pPr>
              <w:spacing w:line="360" w:lineRule="exact"/>
              <w:ind w:firstLine="0" w:firstLineChars="0"/>
              <w:rPr>
                <w:rFonts w:cs="Times New Roman"/>
                <w:color w:val="auto"/>
                <w:kern w:val="0"/>
                <w:sz w:val="18"/>
                <w:szCs w:val="18"/>
                <w:highlight w:val="none"/>
              </w:rPr>
            </w:pPr>
            <w:r>
              <w:rPr>
                <w:rFonts w:cs="Times New Roman"/>
                <w:color w:val="auto"/>
                <w:kern w:val="0"/>
                <w:sz w:val="18"/>
                <w:szCs w:val="18"/>
                <w:highlight w:val="none"/>
              </w:rPr>
              <w:t>3）除磷处理：化学除磷（注明混凝剂）；生物除磷；生物与化学组合除磷；其他。</w:t>
            </w:r>
          </w:p>
          <w:p w14:paraId="431EAA14">
            <w:pPr>
              <w:spacing w:line="360" w:lineRule="exact"/>
              <w:ind w:firstLine="0" w:firstLineChars="0"/>
              <w:rPr>
                <w:rFonts w:cs="Times New Roman"/>
                <w:color w:val="auto"/>
                <w:kern w:val="0"/>
                <w:sz w:val="18"/>
                <w:szCs w:val="18"/>
                <w:highlight w:val="none"/>
              </w:rPr>
            </w:pPr>
            <w:r>
              <w:rPr>
                <w:rFonts w:cs="Times New Roman"/>
                <w:color w:val="auto"/>
                <w:kern w:val="0"/>
                <w:sz w:val="18"/>
                <w:szCs w:val="18"/>
                <w:highlight w:val="none"/>
              </w:rPr>
              <w:t>4）消毒处理：加氯（二氧化氯或次氯酸钠）消毒；臭氧消毒；紫外消毒；其他。</w:t>
            </w:r>
          </w:p>
          <w:p w14:paraId="7E50790C">
            <w:pPr>
              <w:spacing w:line="360" w:lineRule="exact"/>
              <w:ind w:firstLine="0" w:firstLineChars="0"/>
              <w:rPr>
                <w:rFonts w:cs="Times New Roman"/>
                <w:color w:val="auto"/>
                <w:highlight w:val="none"/>
              </w:rPr>
            </w:pPr>
            <w:r>
              <w:rPr>
                <w:rFonts w:cs="Times New Roman"/>
                <w:color w:val="auto"/>
                <w:kern w:val="0"/>
                <w:sz w:val="18"/>
                <w:szCs w:val="18"/>
                <w:highlight w:val="none"/>
              </w:rPr>
              <w:t>5）深度处理：V 型滤池；臭氧氧化；膜分离技术（超滤、反渗透等）；电渗析；人工湿地；其他。</w:t>
            </w:r>
          </w:p>
        </w:tc>
      </w:tr>
    </w:tbl>
    <w:p w14:paraId="6D7E8BAA">
      <w:pPr>
        <w:widowControl/>
        <w:spacing w:line="500" w:lineRule="exact"/>
        <w:ind w:firstLine="482"/>
        <w:rPr>
          <w:rFonts w:cs="Times New Roman"/>
          <w:b/>
          <w:color w:val="auto"/>
          <w:szCs w:val="24"/>
          <w:highlight w:val="none"/>
        </w:rPr>
      </w:pPr>
      <w:r>
        <w:rPr>
          <w:rFonts w:cs="Times New Roman"/>
          <w:b/>
          <w:color w:val="auto"/>
          <w:szCs w:val="24"/>
          <w:highlight w:val="none"/>
        </w:rPr>
        <w:t>2、废水治理措施论证分析</w:t>
      </w:r>
    </w:p>
    <w:p w14:paraId="7C17BC21">
      <w:pPr>
        <w:spacing w:line="500" w:lineRule="exact"/>
        <w:rPr>
          <w:rFonts w:cs="Times New Roman"/>
          <w:color w:val="auto"/>
          <w:highlight w:val="none"/>
        </w:rPr>
      </w:pPr>
      <w:r>
        <w:rPr>
          <w:rFonts w:cs="Times New Roman"/>
          <w:color w:val="auto"/>
          <w:szCs w:val="24"/>
          <w:highlight w:val="none"/>
        </w:rPr>
        <w:t>屠宰废水属于易生物降解的高悬浮物有机污水，只要有足够的生物群、供氧及水力停留时间，均能使处理后的污水达到国家排放标准。目前国内对这类污水的处理，均采用以生物法处理为主的处理工艺，包括好氧、厌氧、兼氧等处理系统，主要采用的技术有活性污泥法、生物滤池、生物转盘、生物接触氧化池、生物流化床、氧化塘等。</w:t>
      </w:r>
    </w:p>
    <w:p w14:paraId="56C4AFB2">
      <w:pPr>
        <w:spacing w:line="500" w:lineRule="exact"/>
        <w:rPr>
          <w:rFonts w:cs="Times New Roman"/>
          <w:color w:val="auto"/>
          <w:szCs w:val="24"/>
          <w:highlight w:val="none"/>
        </w:rPr>
      </w:pPr>
      <w:r>
        <w:rPr>
          <w:rFonts w:cs="Times New Roman"/>
          <w:color w:val="auto"/>
          <w:szCs w:val="24"/>
          <w:highlight w:val="none"/>
        </w:rPr>
        <w:t>传统活性污泥法经验丰富、运行可靠，但工艺流程较长、占地、投资较大， 且污泥处置问题突出；氧化沟法操作运行简单，污泥产量小，且易处理，同时可除P脱N，但占地面积较大；SBR法是目前机理先进、操作控制灵活、占地面积小、投资小、运行费用低且可实现除P脱N的新工艺，在国内外皆有大量应用实例，但此法对自动控制设备的依赖相当高，污泥量大且不易处置，现已很少单独使用。</w:t>
      </w:r>
    </w:p>
    <w:p w14:paraId="3FA1BF92">
      <w:pPr>
        <w:spacing w:line="500" w:lineRule="exact"/>
        <w:rPr>
          <w:rFonts w:cs="Times New Roman"/>
          <w:color w:val="auto"/>
          <w:szCs w:val="24"/>
          <w:highlight w:val="none"/>
        </w:rPr>
      </w:pPr>
      <w:r>
        <w:rPr>
          <w:rFonts w:cs="Times New Roman"/>
          <w:color w:val="auto"/>
          <w:szCs w:val="24"/>
          <w:highlight w:val="none"/>
        </w:rPr>
        <w:t>从国内肉类加工污水运行效果的统计资料看，各种生物处理装置均能有效的去除BOD</w:t>
      </w:r>
      <w:r>
        <w:rPr>
          <w:rFonts w:cs="Times New Roman"/>
          <w:color w:val="auto"/>
          <w:szCs w:val="24"/>
          <w:highlight w:val="none"/>
          <w:vertAlign w:val="subscript"/>
        </w:rPr>
        <w:t>5</w:t>
      </w:r>
      <w:r>
        <w:rPr>
          <w:rFonts w:cs="Times New Roman"/>
          <w:color w:val="auto"/>
          <w:szCs w:val="24"/>
          <w:highlight w:val="none"/>
        </w:rPr>
        <w:t>、COD、SS、油脂等污染物，达到《肉类加工工业水污染物排放标准》（GB13457-92）表3三级标准要求。但是，要在</w:t>
      </w:r>
      <w:r>
        <w:rPr>
          <w:rFonts w:hint="eastAsia" w:cs="Times New Roman"/>
          <w:color w:val="auto"/>
          <w:szCs w:val="24"/>
          <w:highlight w:val="none"/>
          <w:lang w:val="en-US" w:eastAsia="zh-CN"/>
        </w:rPr>
        <w:t xml:space="preserve"> </w:t>
      </w:r>
      <w:r>
        <w:rPr>
          <w:rFonts w:cs="Times New Roman"/>
          <w:color w:val="auto"/>
          <w:szCs w:val="24"/>
          <w:highlight w:val="none"/>
        </w:rPr>
        <w:t>最短时间内用最小的能耗达到预期的效果，就必须选择一套合理、有效、经济的工艺流程。针对本项目生产规模、特点以及污水水质，污水处理主体流程选用接触氧化工艺。</w:t>
      </w:r>
    </w:p>
    <w:p w14:paraId="47910052">
      <w:pPr>
        <w:spacing w:line="500" w:lineRule="exact"/>
        <w:rPr>
          <w:rFonts w:ascii="Times New Roman" w:hAnsi="Times New Roman" w:eastAsia="宋体" w:cs="Times New Roman"/>
          <w:color w:val="auto"/>
          <w:szCs w:val="24"/>
          <w:highlight w:val="none"/>
        </w:rPr>
      </w:pPr>
      <w:r>
        <w:rPr>
          <w:rFonts w:cs="Times New Roman"/>
          <w:color w:val="auto"/>
          <w:szCs w:val="24"/>
          <w:highlight w:val="none"/>
        </w:rPr>
        <w:t>本项目间接排放，下游有园区污水处理厂</w:t>
      </w:r>
      <w:r>
        <w:rPr>
          <w:rFonts w:hint="eastAsia" w:cs="Times New Roman"/>
          <w:color w:val="auto"/>
          <w:szCs w:val="24"/>
          <w:highlight w:val="none"/>
          <w:lang w:val="en-US" w:eastAsia="zh-CN"/>
        </w:rPr>
        <w:t>承接</w:t>
      </w:r>
      <w:r>
        <w:rPr>
          <w:rFonts w:cs="Times New Roman"/>
          <w:color w:val="auto"/>
          <w:szCs w:val="24"/>
          <w:highlight w:val="none"/>
        </w:rPr>
        <w:t>，项目最终选择</w:t>
      </w:r>
      <w:r>
        <w:rPr>
          <w:rFonts w:cs="Times New Roman"/>
          <w:bCs/>
          <w:color w:val="auto"/>
          <w:szCs w:val="24"/>
          <w:highlight w:val="none"/>
        </w:rPr>
        <w:t>“</w:t>
      </w:r>
      <w:r>
        <w:rPr>
          <w:rFonts w:hint="eastAsia" w:cs="Times New Roman"/>
          <w:bCs/>
          <w:color w:val="auto"/>
          <w:szCs w:val="24"/>
          <w:highlight w:val="none"/>
          <w:lang w:eastAsia="zh-CN"/>
        </w:rPr>
        <w:t>格栅+</w:t>
      </w:r>
      <w:r>
        <w:rPr>
          <w:rFonts w:hint="eastAsia" w:cs="Times New Roman"/>
          <w:bCs/>
          <w:color w:val="auto"/>
          <w:szCs w:val="24"/>
          <w:highlight w:val="none"/>
          <w:lang w:val="en-US" w:eastAsia="zh-CN"/>
        </w:rPr>
        <w:t>隔油池+调节池</w:t>
      </w:r>
      <w:r>
        <w:rPr>
          <w:rFonts w:hint="eastAsia" w:cs="Times New Roman"/>
          <w:bCs/>
          <w:color w:val="auto"/>
          <w:szCs w:val="24"/>
          <w:highlight w:val="none"/>
          <w:lang w:eastAsia="zh-CN"/>
        </w:rPr>
        <w:t>+气浮+水解酸化+</w:t>
      </w:r>
      <w:r>
        <w:rPr>
          <w:rFonts w:hint="eastAsia" w:cs="Times New Roman"/>
          <w:bCs/>
          <w:color w:val="auto"/>
          <w:szCs w:val="24"/>
          <w:highlight w:val="none"/>
          <w:lang w:val="en-US" w:eastAsia="zh-CN"/>
        </w:rPr>
        <w:t>反硝化缺氧+好氧</w:t>
      </w:r>
      <w:r>
        <w:rPr>
          <w:rFonts w:hint="eastAsia" w:cs="Times New Roman"/>
          <w:bCs/>
          <w:color w:val="auto"/>
          <w:szCs w:val="24"/>
          <w:highlight w:val="none"/>
          <w:lang w:eastAsia="zh-CN"/>
        </w:rPr>
        <w:t>+沉淀+消毒（</w:t>
      </w:r>
      <w:r>
        <w:rPr>
          <w:rFonts w:hint="eastAsia" w:cs="Times New Roman"/>
          <w:bCs/>
          <w:color w:val="auto"/>
          <w:szCs w:val="24"/>
          <w:highlight w:val="none"/>
          <w:lang w:val="en-US" w:eastAsia="zh-CN"/>
        </w:rPr>
        <w:t>次氯酸钠）</w:t>
      </w:r>
      <w:r>
        <w:rPr>
          <w:rFonts w:cs="Times New Roman"/>
          <w:bCs/>
          <w:color w:val="auto"/>
          <w:szCs w:val="24"/>
          <w:highlight w:val="none"/>
        </w:rPr>
        <w:t>”</w:t>
      </w:r>
      <w:r>
        <w:rPr>
          <w:rFonts w:cs="Times New Roman"/>
          <w:color w:val="auto"/>
          <w:szCs w:val="24"/>
          <w:highlight w:val="none"/>
        </w:rPr>
        <w:t>工艺作为本项目的污水处理方案</w:t>
      </w:r>
      <w:r>
        <w:rPr>
          <w:rFonts w:hint="eastAsia" w:cs="Times New Roman"/>
          <w:color w:val="auto"/>
          <w:szCs w:val="24"/>
          <w:highlight w:val="none"/>
          <w:lang w:eastAsia="zh-CN"/>
        </w:rPr>
        <w:t>，</w:t>
      </w:r>
      <w:r>
        <w:rPr>
          <w:rFonts w:hint="eastAsia" w:cs="Times New Roman"/>
          <w:color w:val="auto"/>
          <w:szCs w:val="24"/>
          <w:highlight w:val="none"/>
          <w:lang w:val="en-US" w:eastAsia="zh-CN"/>
        </w:rPr>
        <w:t>处理规模250t/d。</w:t>
      </w:r>
      <w:r>
        <w:rPr>
          <w:rFonts w:cs="Times New Roman"/>
          <w:color w:val="auto"/>
          <w:szCs w:val="24"/>
          <w:highlight w:val="none"/>
        </w:rPr>
        <w:t>根据《排污许可证申请与核发技术规范农副食品加工工业-屠宰及肉类加工工业》（</w:t>
      </w:r>
      <w:r>
        <w:rPr>
          <w:rFonts w:ascii="Times New Roman" w:hAnsi="Times New Roman" w:eastAsia="宋体" w:cs="Times New Roman"/>
          <w:color w:val="auto"/>
          <w:szCs w:val="24"/>
          <w:highlight w:val="none"/>
        </w:rPr>
        <w:t>HJ 860.3-2018），本项目选用的污水处理工艺均为可行技术。</w:t>
      </w:r>
    </w:p>
    <w:p w14:paraId="49F689FB">
      <w:pPr>
        <w:spacing w:line="500" w:lineRule="exact"/>
        <w:rPr>
          <w:rFonts w:hint="default"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Cs w:val="24"/>
          <w:highlight w:val="none"/>
          <w:lang w:val="en-US" w:eastAsia="zh-CN"/>
        </w:rPr>
        <w:t>该污水处理工艺工程案例：</w:t>
      </w:r>
      <w:r>
        <w:rPr>
          <w:rFonts w:hint="default" w:ascii="Times New Roman" w:hAnsi="Times New Roman" w:eastAsia="宋体" w:cs="Times New Roman"/>
          <w:color w:val="auto"/>
          <w:sz w:val="24"/>
          <w:szCs w:val="24"/>
          <w:highlight w:val="none"/>
        </w:rPr>
        <w:t>揭阳市广联牲畜屠宰有限公司年屠宰肉牛3万头、肉羊18万只生产线建设项目</w:t>
      </w:r>
      <w:r>
        <w:rPr>
          <w:rFonts w:hint="eastAsia" w:cs="Times New Roman"/>
          <w:snapToGrid w:val="0"/>
          <w:color w:val="auto"/>
          <w:highlight w:val="none"/>
          <w:lang w:val="zh-CN"/>
        </w:rPr>
        <w:t>（</w:t>
      </w:r>
      <w:r>
        <w:rPr>
          <w:rFonts w:hint="eastAsia" w:cs="Times New Roman"/>
          <w:snapToGrid w:val="0"/>
          <w:color w:val="auto"/>
          <w:highlight w:val="none"/>
          <w:lang w:val="en-US" w:eastAsia="zh-CN"/>
        </w:rPr>
        <w:t>202</w:t>
      </w:r>
      <w:r>
        <w:rPr>
          <w:rFonts w:hint="default" w:ascii="Times New Roman" w:hAnsi="Times New Roman" w:cs="Times New Roman"/>
          <w:snapToGrid w:val="0"/>
          <w:color w:val="auto"/>
          <w:highlight w:val="none"/>
          <w:lang w:val="en-US" w:eastAsia="zh-CN"/>
        </w:rPr>
        <w:t>3年11月通过</w:t>
      </w:r>
      <w:r>
        <w:rPr>
          <w:rFonts w:hint="default" w:ascii="Times New Roman" w:hAnsi="Times New Roman" w:eastAsia="宋体" w:cs="Times New Roman"/>
          <w:color w:val="auto"/>
          <w:sz w:val="24"/>
          <w:szCs w:val="24"/>
          <w:highlight w:val="none"/>
          <w:lang w:val="en-US" w:eastAsia="zh-CN"/>
        </w:rPr>
        <w:t>验收</w:t>
      </w:r>
      <w:r>
        <w:rPr>
          <w:rFonts w:hint="default" w:ascii="Times New Roman" w:hAnsi="Times New Roman" w:eastAsia="宋体" w:cs="Times New Roman"/>
          <w:color w:val="auto"/>
          <w:sz w:val="24"/>
          <w:szCs w:val="24"/>
          <w:highlight w:val="none"/>
          <w:lang w:val="zh-CN" w:eastAsia="zh-CN"/>
        </w:rPr>
        <w:t>），</w:t>
      </w:r>
      <w:r>
        <w:rPr>
          <w:rFonts w:hint="default" w:ascii="Times New Roman" w:hAnsi="Times New Roman" w:eastAsia="宋体" w:cs="Times New Roman"/>
          <w:color w:val="auto"/>
          <w:sz w:val="24"/>
          <w:szCs w:val="24"/>
          <w:highlight w:val="none"/>
          <w:lang w:val="en-US" w:eastAsia="zh-CN"/>
        </w:rPr>
        <w:t>阳新县农发食品有限公司阳新县畜禽屠宰加工厂项目（202</w:t>
      </w:r>
      <w:r>
        <w:rPr>
          <w:rFonts w:hint="default"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年</w:t>
      </w:r>
      <w:r>
        <w:rPr>
          <w:rFonts w:hint="default" w:ascii="Times New Roman" w:hAnsi="Times New Roman"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lang w:val="en-US" w:eastAsia="zh-CN"/>
        </w:rPr>
        <w:t>月通过验收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均采用“水解酸化+接触氧化”工艺处理废水，出水均满足</w:t>
      </w:r>
      <w:r>
        <w:rPr>
          <w:rFonts w:hint="default" w:ascii="Times New Roman" w:hAnsi="Times New Roman" w:eastAsia="宋体" w:cs="Times New Roman"/>
          <w:color w:val="auto"/>
          <w:sz w:val="24"/>
          <w:szCs w:val="24"/>
          <w:highlight w:val="none"/>
          <w:lang w:val="en-GB" w:eastAsia="zh-CN"/>
        </w:rPr>
        <w:t>《肉类加工工业水污染物排放标准》（GB13457-92）中畜类屠宰加工三级标准。</w:t>
      </w:r>
    </w:p>
    <w:p w14:paraId="26D17DB1">
      <w:pPr>
        <w:spacing w:line="500" w:lineRule="exact"/>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综上，本项目污水处理工艺选用“格栅+隔油池+调节池+气浮+水解酸化+反硝化缺氧+好氧+沉淀+消毒（次氯酸钠）”工艺可行且可靠，满足项目需求。</w:t>
      </w:r>
    </w:p>
    <w:p w14:paraId="4AB6C96E">
      <w:pPr>
        <w:widowControl/>
        <w:spacing w:line="500" w:lineRule="exact"/>
        <w:ind w:firstLine="482"/>
        <w:rPr>
          <w:rFonts w:cs="Times New Roman"/>
          <w:b/>
          <w:color w:val="auto"/>
          <w:szCs w:val="24"/>
          <w:highlight w:val="none"/>
        </w:rPr>
      </w:pPr>
      <w:r>
        <w:rPr>
          <w:rFonts w:cs="Times New Roman"/>
          <w:b/>
          <w:color w:val="auto"/>
          <w:szCs w:val="24"/>
          <w:highlight w:val="none"/>
        </w:rPr>
        <w:t>3、事故池</w:t>
      </w:r>
    </w:p>
    <w:p w14:paraId="3CFB15F9">
      <w:pPr>
        <w:pStyle w:val="66"/>
        <w:ind w:firstLine="480" w:firstLineChars="200"/>
        <w:jc w:val="both"/>
        <w:rPr>
          <w:rStyle w:val="220"/>
          <w:rFonts w:eastAsia="宋体" w:cs="Times New Roman"/>
          <w:color w:val="auto"/>
          <w:sz w:val="24"/>
          <w:szCs w:val="24"/>
          <w:highlight w:val="none"/>
        </w:rPr>
      </w:pPr>
      <w:r>
        <w:rPr>
          <w:rStyle w:val="220"/>
          <w:rFonts w:eastAsia="宋体" w:cs="Times New Roman"/>
          <w:color w:val="auto"/>
          <w:sz w:val="24"/>
          <w:szCs w:val="24"/>
          <w:highlight w:val="none"/>
        </w:rPr>
        <w:t>为了在检修等非正常情况下有效避免事故排水对周围水体的影响，项目建设了一个容积为</w:t>
      </w:r>
      <w:r>
        <w:rPr>
          <w:rStyle w:val="220"/>
          <w:rFonts w:hint="eastAsia" w:eastAsia="宋体" w:cs="Times New Roman"/>
          <w:color w:val="auto"/>
          <w:sz w:val="24"/>
          <w:szCs w:val="24"/>
          <w:highlight w:val="none"/>
          <w:lang w:val="en-US" w:eastAsia="zh-CN"/>
        </w:rPr>
        <w:t>300</w:t>
      </w:r>
      <w:r>
        <w:rPr>
          <w:rStyle w:val="220"/>
          <w:rFonts w:eastAsia="宋体" w:cs="Times New Roman"/>
          <w:color w:val="auto"/>
          <w:sz w:val="24"/>
          <w:szCs w:val="24"/>
          <w:highlight w:val="none"/>
        </w:rPr>
        <w:t>m</w:t>
      </w:r>
      <w:r>
        <w:rPr>
          <w:rStyle w:val="220"/>
          <w:rFonts w:eastAsia="宋体" w:cs="Times New Roman"/>
          <w:color w:val="auto"/>
          <w:sz w:val="24"/>
          <w:szCs w:val="24"/>
          <w:highlight w:val="none"/>
          <w:vertAlign w:val="superscript"/>
        </w:rPr>
        <w:t>3</w:t>
      </w:r>
      <w:r>
        <w:rPr>
          <w:rStyle w:val="220"/>
          <w:rFonts w:eastAsia="宋体" w:cs="Times New Roman"/>
          <w:color w:val="auto"/>
          <w:sz w:val="24"/>
          <w:szCs w:val="24"/>
          <w:highlight w:val="none"/>
        </w:rPr>
        <w:t>的</w:t>
      </w:r>
      <w:r>
        <w:rPr>
          <w:rStyle w:val="220"/>
          <w:rFonts w:hint="eastAsia" w:eastAsia="宋体" w:cs="Times New Roman"/>
          <w:color w:val="auto"/>
          <w:sz w:val="24"/>
          <w:szCs w:val="24"/>
          <w:highlight w:val="none"/>
          <w:lang w:val="en-US" w:eastAsia="zh-CN"/>
        </w:rPr>
        <w:t>调节池，事故状态下用作</w:t>
      </w:r>
      <w:r>
        <w:rPr>
          <w:rStyle w:val="220"/>
          <w:rFonts w:eastAsia="宋体" w:cs="Times New Roman"/>
          <w:color w:val="auto"/>
          <w:sz w:val="24"/>
          <w:szCs w:val="24"/>
          <w:highlight w:val="none"/>
        </w:rPr>
        <w:t>事故池，尺寸</w:t>
      </w:r>
      <w:r>
        <w:rPr>
          <w:rStyle w:val="220"/>
          <w:rFonts w:hint="eastAsia" w:eastAsia="宋体" w:cs="Times New Roman"/>
          <w:color w:val="auto"/>
          <w:sz w:val="24"/>
          <w:szCs w:val="24"/>
          <w:highlight w:val="none"/>
          <w:lang w:val="en-US" w:eastAsia="zh-CN"/>
        </w:rPr>
        <w:t>10</w:t>
      </w:r>
      <w:r>
        <w:rPr>
          <w:rStyle w:val="220"/>
          <w:rFonts w:eastAsia="宋体" w:cs="Times New Roman"/>
          <w:color w:val="auto"/>
          <w:sz w:val="24"/>
          <w:szCs w:val="24"/>
          <w:highlight w:val="none"/>
        </w:rPr>
        <w:t>m×</w:t>
      </w:r>
      <w:r>
        <w:rPr>
          <w:rStyle w:val="220"/>
          <w:rFonts w:hint="eastAsia" w:eastAsia="宋体" w:cs="Times New Roman"/>
          <w:color w:val="auto"/>
          <w:sz w:val="24"/>
          <w:szCs w:val="24"/>
          <w:highlight w:val="none"/>
          <w:lang w:val="en-US" w:eastAsia="zh-CN"/>
        </w:rPr>
        <w:t>7.</w:t>
      </w:r>
      <w:r>
        <w:rPr>
          <w:rStyle w:val="220"/>
          <w:rFonts w:eastAsia="宋体" w:cs="Times New Roman"/>
          <w:color w:val="auto"/>
          <w:sz w:val="24"/>
          <w:szCs w:val="24"/>
          <w:highlight w:val="none"/>
        </w:rPr>
        <w:t>5m×</w:t>
      </w:r>
      <w:r>
        <w:rPr>
          <w:rStyle w:val="220"/>
          <w:rFonts w:hint="eastAsia" w:eastAsia="宋体" w:cs="Times New Roman"/>
          <w:color w:val="auto"/>
          <w:sz w:val="24"/>
          <w:szCs w:val="24"/>
          <w:highlight w:val="none"/>
          <w:lang w:val="en-US" w:eastAsia="zh-CN"/>
        </w:rPr>
        <w:t>4</w:t>
      </w:r>
      <w:r>
        <w:rPr>
          <w:rStyle w:val="220"/>
          <w:rFonts w:eastAsia="宋体" w:cs="Times New Roman"/>
          <w:color w:val="auto"/>
          <w:sz w:val="24"/>
          <w:szCs w:val="24"/>
          <w:highlight w:val="none"/>
        </w:rPr>
        <w:t>m，能容纳1天污水量，事故池做防渗处理，在污水处理系统检修或出现故障时存放废水，检修正常后将事故池存水引入厂区内污水处理站处理达标后</w:t>
      </w:r>
      <w:r>
        <w:rPr>
          <w:rStyle w:val="220"/>
          <w:rFonts w:eastAsia="宋体" w:cs="Times New Roman"/>
          <w:color w:val="auto"/>
          <w:sz w:val="24"/>
          <w:szCs w:val="24"/>
          <w:highlight w:val="none"/>
          <w:lang w:val="en-US"/>
        </w:rPr>
        <w:t>排入市政管网</w:t>
      </w:r>
      <w:r>
        <w:rPr>
          <w:rStyle w:val="220"/>
          <w:rFonts w:eastAsia="宋体" w:cs="Times New Roman"/>
          <w:color w:val="auto"/>
          <w:sz w:val="24"/>
          <w:szCs w:val="24"/>
          <w:highlight w:val="none"/>
        </w:rPr>
        <w:t>。</w:t>
      </w:r>
    </w:p>
    <w:p w14:paraId="053D3C51">
      <w:pPr>
        <w:pStyle w:val="66"/>
        <w:ind w:firstLine="480" w:firstLineChars="200"/>
        <w:jc w:val="both"/>
        <w:rPr>
          <w:rStyle w:val="220"/>
          <w:rFonts w:eastAsia="宋体" w:cs="Times New Roman"/>
          <w:color w:val="auto"/>
          <w:sz w:val="24"/>
          <w:szCs w:val="24"/>
          <w:highlight w:val="none"/>
        </w:rPr>
      </w:pPr>
      <w:r>
        <w:rPr>
          <w:rStyle w:val="220"/>
          <w:rFonts w:eastAsia="宋体" w:cs="Times New Roman"/>
          <w:color w:val="auto"/>
          <w:sz w:val="24"/>
          <w:szCs w:val="24"/>
          <w:highlight w:val="none"/>
        </w:rPr>
        <w:t>综上，本项目产生的废水经以上措施处理后，对周围地表水环境影响较小，故该措施可行。</w:t>
      </w:r>
    </w:p>
    <w:p w14:paraId="5A04E983">
      <w:pPr>
        <w:keepNext/>
        <w:keepLines/>
        <w:spacing w:line="500" w:lineRule="exact"/>
        <w:ind w:firstLine="0" w:firstLineChars="0"/>
        <w:jc w:val="left"/>
        <w:outlineLvl w:val="2"/>
        <w:rPr>
          <w:rFonts w:eastAsia="黑体" w:cs="Times New Roman"/>
          <w:bCs/>
          <w:snapToGrid w:val="0"/>
          <w:color w:val="auto"/>
          <w:kern w:val="0"/>
          <w:szCs w:val="32"/>
          <w:highlight w:val="none"/>
        </w:rPr>
      </w:pPr>
      <w:bookmarkStart w:id="362" w:name="_Toc15639"/>
      <w:r>
        <w:rPr>
          <w:rFonts w:eastAsia="黑体" w:cs="Times New Roman"/>
          <w:bCs/>
          <w:snapToGrid w:val="0"/>
          <w:color w:val="auto"/>
          <w:kern w:val="0"/>
          <w:szCs w:val="32"/>
          <w:highlight w:val="none"/>
        </w:rPr>
        <w:t>6.2.3地下水环境保护措施</w:t>
      </w:r>
      <w:bookmarkEnd w:id="362"/>
    </w:p>
    <w:p w14:paraId="5B4E17DD">
      <w:pPr>
        <w:spacing w:line="500" w:lineRule="exact"/>
        <w:rPr>
          <w:rFonts w:cs="Times New Roman"/>
          <w:snapToGrid w:val="0"/>
          <w:color w:val="auto"/>
          <w:kern w:val="0"/>
          <w:highlight w:val="none"/>
        </w:rPr>
      </w:pPr>
      <w:r>
        <w:rPr>
          <w:rFonts w:cs="Times New Roman"/>
          <w:color w:val="auto"/>
          <w:szCs w:val="24"/>
          <w:highlight w:val="none"/>
        </w:rPr>
        <w:t>地下水环境保护措施与对策应符合《中华人民共和国水污染防治法》和《中华人民共和国环境影响评价法》的相关规定，按照“源头控制、分区防控、污染监控、应急响应”，重点突出饮用水水质安全的原则确定，从污染物的产生、入渗、扩散、应急响应全阶段进行控制。</w:t>
      </w:r>
    </w:p>
    <w:p w14:paraId="7A2AAEB7">
      <w:pPr>
        <w:spacing w:line="500" w:lineRule="exact"/>
        <w:ind w:firstLine="482"/>
        <w:rPr>
          <w:rFonts w:cs="Times New Roman"/>
          <w:b/>
          <w:bCs/>
          <w:color w:val="auto"/>
          <w:szCs w:val="24"/>
          <w:highlight w:val="none"/>
        </w:rPr>
      </w:pPr>
      <w:r>
        <w:rPr>
          <w:rFonts w:cs="Times New Roman"/>
          <w:b/>
          <w:bCs/>
          <w:color w:val="auto"/>
          <w:szCs w:val="24"/>
          <w:highlight w:val="none"/>
        </w:rPr>
        <w:t>1、源头控制措施</w:t>
      </w:r>
    </w:p>
    <w:p w14:paraId="710FB515">
      <w:pPr>
        <w:spacing w:line="500" w:lineRule="exact"/>
        <w:rPr>
          <w:rFonts w:cs="Times New Roman"/>
          <w:color w:val="auto"/>
          <w:szCs w:val="24"/>
          <w:highlight w:val="none"/>
        </w:rPr>
      </w:pPr>
      <w:r>
        <w:rPr>
          <w:rFonts w:cs="Times New Roman"/>
          <w:color w:val="auto"/>
          <w:szCs w:val="24"/>
          <w:highlight w:val="none"/>
        </w:rPr>
        <w:t>按地下水环境影响评价导则提出的“源头控制、末端防治、污染监控、应急响应”的地下水污染防治要求，结合本项目工程类型及污染源分布，提出以下防治原则：</w:t>
      </w:r>
    </w:p>
    <w:p w14:paraId="3578D07B">
      <w:pPr>
        <w:spacing w:line="500" w:lineRule="exact"/>
        <w:rPr>
          <w:rFonts w:cs="Times New Roman"/>
          <w:color w:val="auto"/>
          <w:szCs w:val="24"/>
          <w:highlight w:val="none"/>
        </w:rPr>
      </w:pPr>
      <w:r>
        <w:rPr>
          <w:rFonts w:cs="Times New Roman"/>
          <w:color w:val="auto"/>
          <w:szCs w:val="24"/>
          <w:highlight w:val="none"/>
        </w:rPr>
        <w:t>（1）主动控制原则</w:t>
      </w:r>
    </w:p>
    <w:p w14:paraId="2B7C9645">
      <w:pPr>
        <w:spacing w:line="500" w:lineRule="exact"/>
        <w:rPr>
          <w:rFonts w:cs="Times New Roman"/>
          <w:color w:val="auto"/>
          <w:szCs w:val="24"/>
          <w:highlight w:val="none"/>
        </w:rPr>
      </w:pPr>
      <w:r>
        <w:rPr>
          <w:rFonts w:cs="Times New Roman"/>
          <w:color w:val="auto"/>
          <w:szCs w:val="24"/>
          <w:highlight w:val="none"/>
        </w:rPr>
        <w:t>主动控制，即从源头控制措施，主要包括在工艺、管道、设备、污水贮存及处理构筑物采取相应措施，降低和防止污染物跑、冒、滴、漏，将污染物泄漏的环境风险事故降到最低程度；</w:t>
      </w:r>
    </w:p>
    <w:p w14:paraId="3E10B133">
      <w:pPr>
        <w:spacing w:line="500" w:lineRule="exact"/>
        <w:rPr>
          <w:rFonts w:cs="Times New Roman"/>
          <w:color w:val="auto"/>
          <w:szCs w:val="24"/>
          <w:highlight w:val="none"/>
        </w:rPr>
      </w:pPr>
      <w:r>
        <w:rPr>
          <w:rFonts w:cs="Times New Roman"/>
          <w:color w:val="auto"/>
          <w:szCs w:val="24"/>
          <w:highlight w:val="none"/>
        </w:rPr>
        <w:t>（2）被动控制原则</w:t>
      </w:r>
    </w:p>
    <w:p w14:paraId="19A43FEC">
      <w:pPr>
        <w:spacing w:line="500" w:lineRule="exact"/>
        <w:rPr>
          <w:rFonts w:cs="Times New Roman"/>
          <w:color w:val="auto"/>
          <w:szCs w:val="24"/>
          <w:highlight w:val="none"/>
        </w:rPr>
      </w:pPr>
      <w:r>
        <w:rPr>
          <w:rFonts w:cs="Times New Roman"/>
          <w:color w:val="auto"/>
          <w:szCs w:val="24"/>
          <w:highlight w:val="none"/>
        </w:rPr>
        <w:t>被动控制，即末端控制措施，主要包括项目区内污染区地面的防渗措施和泄漏、渗漏污染物收集措施，即在污染区地面进行防渗处理，防止洒落地面的污染物渗入地下，并把滞留在地面的污染物收集起来，集中送至污水处理站进行处理；</w:t>
      </w:r>
    </w:p>
    <w:p w14:paraId="186B6568">
      <w:pPr>
        <w:spacing w:line="500" w:lineRule="exact"/>
        <w:rPr>
          <w:rFonts w:cs="Times New Roman"/>
          <w:color w:val="auto"/>
          <w:szCs w:val="24"/>
          <w:highlight w:val="none"/>
        </w:rPr>
      </w:pPr>
      <w:r>
        <w:rPr>
          <w:rFonts w:cs="Times New Roman"/>
          <w:color w:val="auto"/>
          <w:szCs w:val="24"/>
          <w:highlight w:val="none"/>
        </w:rPr>
        <w:t>（3）坚持“可视化”原则</w:t>
      </w:r>
    </w:p>
    <w:p w14:paraId="729C18A7">
      <w:pPr>
        <w:spacing w:line="500" w:lineRule="exact"/>
        <w:rPr>
          <w:rFonts w:cs="Times New Roman"/>
          <w:color w:val="auto"/>
          <w:szCs w:val="24"/>
          <w:highlight w:val="none"/>
        </w:rPr>
      </w:pPr>
      <w:r>
        <w:rPr>
          <w:rFonts w:cs="Times New Roman"/>
          <w:color w:val="auto"/>
          <w:szCs w:val="24"/>
          <w:highlight w:val="none"/>
        </w:rPr>
        <w:t>坚持“可视化”原则，在满足工程和防渗层结构标准要求的前提下，尽量在地表面实施防渗措施，便于泄漏物质就地收集和及时发现破损的防渗层；</w:t>
      </w:r>
    </w:p>
    <w:p w14:paraId="63CAD445">
      <w:pPr>
        <w:spacing w:line="500" w:lineRule="exact"/>
        <w:rPr>
          <w:rFonts w:cs="Times New Roman"/>
          <w:color w:val="auto"/>
          <w:szCs w:val="24"/>
          <w:highlight w:val="none"/>
        </w:rPr>
      </w:pPr>
      <w:r>
        <w:rPr>
          <w:rFonts w:cs="Times New Roman"/>
          <w:color w:val="auto"/>
          <w:szCs w:val="24"/>
          <w:highlight w:val="none"/>
        </w:rPr>
        <w:t>（4）工程措施与污染监控相结合的原则</w:t>
      </w:r>
    </w:p>
    <w:p w14:paraId="27052F6B">
      <w:pPr>
        <w:spacing w:line="500" w:lineRule="exact"/>
        <w:rPr>
          <w:rFonts w:cs="Times New Roman"/>
          <w:color w:val="auto"/>
          <w:szCs w:val="24"/>
          <w:highlight w:val="none"/>
        </w:rPr>
      </w:pPr>
      <w:r>
        <w:rPr>
          <w:rFonts w:cs="Times New Roman"/>
          <w:color w:val="auto"/>
          <w:szCs w:val="24"/>
          <w:highlight w:val="none"/>
        </w:rPr>
        <w:t>采用先进的防渗材料、技术和实施手段，最大限度的强化防渗防污能力；同时实施覆盖生产区及周边一定范围的地下水污染监控系统，包括建立完善的监测报告制度，配备先进的检漏检测分析仪器设备，科学合理布设地下水污染监控井，及时发现污染，及时采取措施，及早消除不良影响。</w:t>
      </w:r>
    </w:p>
    <w:p w14:paraId="745FABDF">
      <w:pPr>
        <w:spacing w:line="500" w:lineRule="exact"/>
        <w:rPr>
          <w:rFonts w:cs="Times New Roman"/>
          <w:color w:val="auto"/>
          <w:szCs w:val="24"/>
          <w:highlight w:val="none"/>
        </w:rPr>
      </w:pPr>
      <w:r>
        <w:rPr>
          <w:rFonts w:cs="Times New Roman"/>
          <w:color w:val="auto"/>
          <w:szCs w:val="24"/>
          <w:highlight w:val="none"/>
        </w:rPr>
        <w:t>本项目加强厂区用水管理，节约用水，以尽可能从源头上减少污染物排放。为防止对地下水产生污染，本项目屠宰车间、</w:t>
      </w:r>
      <w:r>
        <w:rPr>
          <w:rFonts w:hint="eastAsia" w:cs="Times New Roman"/>
          <w:color w:val="auto"/>
          <w:szCs w:val="24"/>
          <w:highlight w:val="none"/>
          <w:lang w:eastAsia="zh-CN"/>
        </w:rPr>
        <w:t>待宰圈</w:t>
      </w:r>
      <w:r>
        <w:rPr>
          <w:rFonts w:cs="Times New Roman"/>
          <w:color w:val="auto"/>
          <w:szCs w:val="24"/>
          <w:highlight w:val="none"/>
        </w:rPr>
        <w:t>、事故池、污水处理站及污水管网均采取了防渗措施，杜绝污水渗漏，确保污水收集处理系统衔接良好，严格用水管理，防止污水“跑、冒、滴、漏”现象的发生，这样可以保证项目区内产生的全部废水汇集到污水处理站集中处理，可以很大程度的消除污染物排放对地下水环境的影响。</w:t>
      </w:r>
    </w:p>
    <w:p w14:paraId="56D7E42C">
      <w:pPr>
        <w:spacing w:line="500" w:lineRule="exact"/>
        <w:rPr>
          <w:rFonts w:cs="Times New Roman"/>
          <w:color w:val="auto"/>
          <w:szCs w:val="24"/>
          <w:highlight w:val="none"/>
        </w:rPr>
      </w:pPr>
      <w:r>
        <w:rPr>
          <w:rFonts w:cs="Times New Roman"/>
          <w:color w:val="auto"/>
          <w:szCs w:val="24"/>
          <w:highlight w:val="none"/>
        </w:rPr>
        <w:t>定期、不定期对一般防渗区进行检测，一旦发现其防渗能力下降，及时采取修补措施，防止污染物进入到地下水中。</w:t>
      </w:r>
    </w:p>
    <w:p w14:paraId="36CAE5E1">
      <w:pPr>
        <w:spacing w:line="500" w:lineRule="exact"/>
        <w:rPr>
          <w:rFonts w:cs="Times New Roman"/>
          <w:color w:val="auto"/>
          <w:szCs w:val="24"/>
          <w:highlight w:val="none"/>
        </w:rPr>
      </w:pPr>
      <w:r>
        <w:rPr>
          <w:rFonts w:cs="Times New Roman"/>
          <w:color w:val="auto"/>
          <w:szCs w:val="24"/>
          <w:highlight w:val="none"/>
        </w:rPr>
        <w:t>加强地下水污染事故应急处置，一旦发生污染，及时排查污染源，并保证周边地下水环境不受污染。</w:t>
      </w:r>
    </w:p>
    <w:p w14:paraId="52C8FA35">
      <w:pPr>
        <w:spacing w:line="500" w:lineRule="exact"/>
        <w:ind w:firstLine="482"/>
        <w:rPr>
          <w:rFonts w:cs="Times New Roman"/>
          <w:b/>
          <w:bCs/>
          <w:color w:val="auto"/>
          <w:szCs w:val="24"/>
          <w:highlight w:val="none"/>
        </w:rPr>
      </w:pPr>
      <w:bookmarkStart w:id="363" w:name="_Toc337581619"/>
      <w:bookmarkStart w:id="364" w:name="_Toc331258019"/>
      <w:r>
        <w:rPr>
          <w:rFonts w:cs="Times New Roman"/>
          <w:b/>
          <w:bCs/>
          <w:color w:val="auto"/>
          <w:szCs w:val="24"/>
          <w:highlight w:val="none"/>
        </w:rPr>
        <w:t>2、分区防控措施</w:t>
      </w:r>
      <w:bookmarkEnd w:id="363"/>
      <w:bookmarkEnd w:id="364"/>
    </w:p>
    <w:p w14:paraId="7C2EC46D">
      <w:pPr>
        <w:spacing w:line="500" w:lineRule="exact"/>
        <w:rPr>
          <w:rFonts w:cs="Times New Roman"/>
          <w:color w:val="auto"/>
          <w:szCs w:val="24"/>
          <w:highlight w:val="none"/>
        </w:rPr>
      </w:pPr>
      <w:r>
        <w:rPr>
          <w:rFonts w:cs="Times New Roman"/>
          <w:color w:val="auto"/>
          <w:szCs w:val="24"/>
          <w:highlight w:val="none"/>
        </w:rPr>
        <w:t>对本工程的地下水防控方案提出如下要求：</w:t>
      </w:r>
    </w:p>
    <w:p w14:paraId="5B38BB05">
      <w:pPr>
        <w:spacing w:line="500" w:lineRule="exact"/>
        <w:rPr>
          <w:rFonts w:cs="Times New Roman"/>
          <w:color w:val="auto"/>
          <w:szCs w:val="24"/>
          <w:highlight w:val="none"/>
        </w:rPr>
      </w:pPr>
      <w:r>
        <w:rPr>
          <w:rFonts w:cs="Times New Roman"/>
          <w:color w:val="auto"/>
          <w:szCs w:val="24"/>
          <w:highlight w:val="none"/>
        </w:rPr>
        <w:t>（1）应以水平防渗为主，防控措施应满足相关规范。</w:t>
      </w:r>
    </w:p>
    <w:p w14:paraId="6858528B">
      <w:pPr>
        <w:spacing w:line="500" w:lineRule="exact"/>
        <w:rPr>
          <w:rFonts w:cs="Times New Roman"/>
          <w:color w:val="auto"/>
          <w:szCs w:val="24"/>
          <w:highlight w:val="none"/>
        </w:rPr>
      </w:pPr>
      <w:r>
        <w:rPr>
          <w:rFonts w:cs="Times New Roman"/>
          <w:color w:val="auto"/>
          <w:szCs w:val="24"/>
          <w:highlight w:val="none"/>
        </w:rPr>
        <w:t>（2）根据建设项目场地天然包气带防污性能表6-2-3、污染控制难易程度表6-2-4和污染物特性，按表6-2-5采取防渗分区措施。</w:t>
      </w:r>
    </w:p>
    <w:p w14:paraId="6656BD75">
      <w:pPr>
        <w:spacing w:before="163" w:beforeLines="50" w:line="240" w:lineRule="auto"/>
        <w:ind w:firstLine="0" w:firstLineChars="0"/>
        <w:jc w:val="center"/>
        <w:rPr>
          <w:rFonts w:cs="Times New Roman"/>
          <w:color w:val="auto"/>
          <w:spacing w:val="12"/>
          <w:szCs w:val="24"/>
          <w:highlight w:val="none"/>
        </w:rPr>
      </w:pPr>
      <w:r>
        <w:rPr>
          <w:rFonts w:cs="Times New Roman"/>
          <w:b/>
          <w:bCs/>
          <w:color w:val="auto"/>
          <w:szCs w:val="24"/>
          <w:highlight w:val="none"/>
        </w:rPr>
        <w:t>表6-2-3  包气带防污性能分级</w:t>
      </w:r>
    </w:p>
    <w:tbl>
      <w:tblPr>
        <w:tblStyle w:val="47"/>
        <w:tblW w:w="839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5805"/>
        <w:gridCol w:w="1444"/>
      </w:tblGrid>
      <w:tr w14:paraId="224FA3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69" w:hRule="atLeast"/>
        </w:trPr>
        <w:tc>
          <w:tcPr>
            <w:tcW w:w="1149" w:type="dxa"/>
            <w:vAlign w:val="center"/>
          </w:tcPr>
          <w:p w14:paraId="551B75F5">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分级</w:t>
            </w:r>
          </w:p>
        </w:tc>
        <w:tc>
          <w:tcPr>
            <w:tcW w:w="5805" w:type="dxa"/>
            <w:vAlign w:val="center"/>
          </w:tcPr>
          <w:p w14:paraId="432D5198">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包气带岩土的渗透性能</w:t>
            </w:r>
          </w:p>
        </w:tc>
        <w:tc>
          <w:tcPr>
            <w:tcW w:w="1444" w:type="dxa"/>
            <w:vAlign w:val="center"/>
          </w:tcPr>
          <w:p w14:paraId="16FDB656">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评价结果</w:t>
            </w:r>
          </w:p>
        </w:tc>
      </w:tr>
      <w:tr w14:paraId="2289E6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2" w:hRule="atLeast"/>
        </w:trPr>
        <w:tc>
          <w:tcPr>
            <w:tcW w:w="1149" w:type="dxa"/>
            <w:vAlign w:val="center"/>
          </w:tcPr>
          <w:p w14:paraId="1CA11115">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强</w:t>
            </w:r>
          </w:p>
        </w:tc>
        <w:tc>
          <w:tcPr>
            <w:tcW w:w="5805" w:type="dxa"/>
            <w:vAlign w:val="center"/>
          </w:tcPr>
          <w:p w14:paraId="164FF471">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岩（土）层单层厚度Mb≥1.0m，渗透系数 K≤10</w:t>
            </w:r>
            <w:r>
              <w:rPr>
                <w:rFonts w:cs="Times New Roman"/>
                <w:color w:val="auto"/>
                <w:kern w:val="0"/>
                <w:sz w:val="21"/>
                <w:szCs w:val="21"/>
                <w:highlight w:val="none"/>
                <w:vertAlign w:val="superscript"/>
              </w:rPr>
              <w:t>-6</w:t>
            </w:r>
            <w:r>
              <w:rPr>
                <w:rFonts w:cs="Times New Roman"/>
                <w:color w:val="auto"/>
                <w:kern w:val="0"/>
                <w:sz w:val="21"/>
                <w:szCs w:val="21"/>
                <w:highlight w:val="none"/>
              </w:rPr>
              <w:t>cm/s，且分布连续、稳定。</w:t>
            </w:r>
          </w:p>
        </w:tc>
        <w:tc>
          <w:tcPr>
            <w:tcW w:w="1444" w:type="dxa"/>
            <w:vAlign w:val="center"/>
          </w:tcPr>
          <w:p w14:paraId="6566F413">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w:t>
            </w:r>
          </w:p>
        </w:tc>
      </w:tr>
      <w:tr w14:paraId="4FEFA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4" w:hRule="atLeast"/>
        </w:trPr>
        <w:tc>
          <w:tcPr>
            <w:tcW w:w="1149" w:type="dxa"/>
            <w:vAlign w:val="center"/>
          </w:tcPr>
          <w:p w14:paraId="36373917">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中</w:t>
            </w:r>
          </w:p>
        </w:tc>
        <w:tc>
          <w:tcPr>
            <w:tcW w:w="5805" w:type="dxa"/>
            <w:vAlign w:val="center"/>
          </w:tcPr>
          <w:p w14:paraId="7E0184B9">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岩（土）层单层厚度0.5m≤Mb﹤1.0m，渗透系数K≤10</w:t>
            </w:r>
            <w:r>
              <w:rPr>
                <w:rFonts w:cs="Times New Roman"/>
                <w:color w:val="auto"/>
                <w:kern w:val="0"/>
                <w:sz w:val="21"/>
                <w:szCs w:val="21"/>
                <w:highlight w:val="none"/>
                <w:vertAlign w:val="superscript"/>
              </w:rPr>
              <w:t>-6</w:t>
            </w:r>
            <w:r>
              <w:rPr>
                <w:rFonts w:cs="Times New Roman"/>
                <w:color w:val="auto"/>
                <w:kern w:val="0"/>
                <w:sz w:val="21"/>
                <w:szCs w:val="21"/>
                <w:highlight w:val="none"/>
              </w:rPr>
              <w:t xml:space="preserve"> cm/s，且分布连续、稳定。</w:t>
            </w:r>
          </w:p>
          <w:p w14:paraId="27CB5F74">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岩（土）层单层厚度 Mb≥1.0m，渗透系数 10</w:t>
            </w:r>
            <w:r>
              <w:rPr>
                <w:rFonts w:cs="Times New Roman"/>
                <w:color w:val="auto"/>
                <w:kern w:val="0"/>
                <w:sz w:val="21"/>
                <w:szCs w:val="21"/>
                <w:highlight w:val="none"/>
                <w:vertAlign w:val="superscript"/>
              </w:rPr>
              <w:t>-6</w:t>
            </w:r>
            <w:r>
              <w:rPr>
                <w:rFonts w:cs="Times New Roman"/>
                <w:color w:val="auto"/>
                <w:kern w:val="0"/>
                <w:sz w:val="21"/>
                <w:szCs w:val="21"/>
                <w:highlight w:val="none"/>
              </w:rPr>
              <w:t>cm/s﹤K≤10</w:t>
            </w:r>
            <w:r>
              <w:rPr>
                <w:rFonts w:cs="Times New Roman"/>
                <w:color w:val="auto"/>
                <w:kern w:val="0"/>
                <w:sz w:val="21"/>
                <w:szCs w:val="21"/>
                <w:highlight w:val="none"/>
                <w:vertAlign w:val="superscript"/>
              </w:rPr>
              <w:t>-4</w:t>
            </w:r>
            <w:r>
              <w:rPr>
                <w:rFonts w:cs="Times New Roman"/>
                <w:color w:val="auto"/>
                <w:kern w:val="0"/>
                <w:sz w:val="21"/>
                <w:szCs w:val="21"/>
                <w:highlight w:val="none"/>
              </w:rPr>
              <w:t>cm/s，且分布连续、稳定。</w:t>
            </w:r>
          </w:p>
        </w:tc>
        <w:tc>
          <w:tcPr>
            <w:tcW w:w="1444" w:type="dxa"/>
            <w:vAlign w:val="center"/>
          </w:tcPr>
          <w:p w14:paraId="0F5C2B58">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中</w:t>
            </w:r>
          </w:p>
        </w:tc>
      </w:tr>
      <w:tr w14:paraId="23B8C7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149" w:type="dxa"/>
            <w:vAlign w:val="center"/>
          </w:tcPr>
          <w:p w14:paraId="1948DA92">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弱</w:t>
            </w:r>
          </w:p>
        </w:tc>
        <w:tc>
          <w:tcPr>
            <w:tcW w:w="5805" w:type="dxa"/>
            <w:vAlign w:val="center"/>
          </w:tcPr>
          <w:p w14:paraId="2466A2FE">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岩（土）层不满足上述”强”和”中”条件。</w:t>
            </w:r>
          </w:p>
        </w:tc>
        <w:tc>
          <w:tcPr>
            <w:tcW w:w="1444" w:type="dxa"/>
            <w:vAlign w:val="center"/>
          </w:tcPr>
          <w:p w14:paraId="362A44CC">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w:t>
            </w:r>
          </w:p>
        </w:tc>
      </w:tr>
    </w:tbl>
    <w:p w14:paraId="2392A0D6">
      <w:pPr>
        <w:spacing w:before="163" w:beforeLines="50" w:line="240" w:lineRule="auto"/>
        <w:ind w:firstLine="0" w:firstLineChars="0"/>
        <w:jc w:val="center"/>
        <w:rPr>
          <w:rFonts w:cs="Times New Roman"/>
          <w:b/>
          <w:bCs/>
          <w:color w:val="auto"/>
          <w:szCs w:val="24"/>
          <w:highlight w:val="none"/>
        </w:rPr>
      </w:pPr>
      <w:r>
        <w:rPr>
          <w:rFonts w:cs="Times New Roman"/>
          <w:b/>
          <w:bCs/>
          <w:color w:val="auto"/>
          <w:szCs w:val="24"/>
          <w:highlight w:val="none"/>
        </w:rPr>
        <w:t>表6-2-4  污染控制难易程度分级参照表</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2"/>
        <w:gridCol w:w="4500"/>
        <w:gridCol w:w="1850"/>
      </w:tblGrid>
      <w:tr w14:paraId="797B5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2" w:type="dxa"/>
            <w:tcBorders>
              <w:top w:val="single" w:color="auto" w:sz="12" w:space="0"/>
              <w:left w:val="nil"/>
              <w:bottom w:val="single" w:color="auto" w:sz="4" w:space="0"/>
            </w:tcBorders>
            <w:vAlign w:val="center"/>
          </w:tcPr>
          <w:p w14:paraId="1A66C26C">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污染控制难易程度</w:t>
            </w:r>
          </w:p>
        </w:tc>
        <w:tc>
          <w:tcPr>
            <w:tcW w:w="4500" w:type="dxa"/>
            <w:tcBorders>
              <w:top w:val="single" w:color="auto" w:sz="12" w:space="0"/>
              <w:bottom w:val="single" w:color="auto" w:sz="4" w:space="0"/>
            </w:tcBorders>
            <w:vAlign w:val="center"/>
          </w:tcPr>
          <w:p w14:paraId="74169530">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主要特征</w:t>
            </w:r>
          </w:p>
        </w:tc>
        <w:tc>
          <w:tcPr>
            <w:tcW w:w="1850" w:type="dxa"/>
            <w:tcBorders>
              <w:top w:val="single" w:color="auto" w:sz="12" w:space="0"/>
              <w:bottom w:val="single" w:color="auto" w:sz="4" w:space="0"/>
              <w:right w:val="nil"/>
            </w:tcBorders>
            <w:vAlign w:val="center"/>
          </w:tcPr>
          <w:p w14:paraId="4C3D110E">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评价结果</w:t>
            </w:r>
          </w:p>
        </w:tc>
      </w:tr>
      <w:tr w14:paraId="5BA75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2" w:type="dxa"/>
            <w:tcBorders>
              <w:top w:val="single" w:color="auto" w:sz="4" w:space="0"/>
              <w:left w:val="nil"/>
              <w:bottom w:val="single" w:color="auto" w:sz="4" w:space="0"/>
            </w:tcBorders>
            <w:vAlign w:val="center"/>
          </w:tcPr>
          <w:p w14:paraId="14A350CE">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难</w:t>
            </w:r>
          </w:p>
        </w:tc>
        <w:tc>
          <w:tcPr>
            <w:tcW w:w="4500" w:type="dxa"/>
            <w:tcBorders>
              <w:top w:val="single" w:color="auto" w:sz="4" w:space="0"/>
              <w:bottom w:val="single" w:color="auto" w:sz="4" w:space="0"/>
            </w:tcBorders>
            <w:vAlign w:val="center"/>
          </w:tcPr>
          <w:p w14:paraId="63644A80">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对地下水环境有污染的物料或污染物泄漏后，不能及时发现和处理</w:t>
            </w:r>
          </w:p>
        </w:tc>
        <w:tc>
          <w:tcPr>
            <w:tcW w:w="1850" w:type="dxa"/>
            <w:tcBorders>
              <w:top w:val="single" w:color="auto" w:sz="4" w:space="0"/>
              <w:bottom w:val="single" w:color="auto" w:sz="4" w:space="0"/>
              <w:right w:val="nil"/>
            </w:tcBorders>
            <w:vAlign w:val="center"/>
          </w:tcPr>
          <w:p w14:paraId="0ACF935E">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w:t>
            </w:r>
          </w:p>
        </w:tc>
      </w:tr>
      <w:tr w14:paraId="2D7E5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72" w:type="dxa"/>
            <w:tcBorders>
              <w:top w:val="single" w:color="auto" w:sz="4" w:space="0"/>
              <w:left w:val="nil"/>
              <w:bottom w:val="single" w:color="auto" w:sz="12" w:space="0"/>
            </w:tcBorders>
            <w:vAlign w:val="center"/>
          </w:tcPr>
          <w:p w14:paraId="5C7BBC7A">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易</w:t>
            </w:r>
          </w:p>
        </w:tc>
        <w:tc>
          <w:tcPr>
            <w:tcW w:w="4500" w:type="dxa"/>
            <w:tcBorders>
              <w:top w:val="single" w:color="auto" w:sz="4" w:space="0"/>
              <w:bottom w:val="single" w:color="auto" w:sz="12" w:space="0"/>
            </w:tcBorders>
            <w:vAlign w:val="center"/>
          </w:tcPr>
          <w:p w14:paraId="75E7127E">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对地下水环境有污染的物料或污染物泄漏后，能及时发现和处理</w:t>
            </w:r>
          </w:p>
        </w:tc>
        <w:tc>
          <w:tcPr>
            <w:tcW w:w="1850" w:type="dxa"/>
            <w:tcBorders>
              <w:top w:val="single" w:color="auto" w:sz="4" w:space="0"/>
              <w:bottom w:val="single" w:color="auto" w:sz="12" w:space="0"/>
              <w:right w:val="nil"/>
            </w:tcBorders>
          </w:tcPr>
          <w:p w14:paraId="0BC3AB14">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易</w:t>
            </w:r>
          </w:p>
        </w:tc>
      </w:tr>
    </w:tbl>
    <w:p w14:paraId="21CDC573">
      <w:pPr>
        <w:spacing w:before="163" w:beforeLines="50" w:line="240" w:lineRule="auto"/>
        <w:ind w:firstLine="0" w:firstLineChars="0"/>
        <w:jc w:val="center"/>
        <w:rPr>
          <w:rFonts w:cs="Times New Roman"/>
          <w:b/>
          <w:bCs/>
          <w:color w:val="auto"/>
          <w:szCs w:val="24"/>
          <w:highlight w:val="none"/>
        </w:rPr>
      </w:pPr>
      <w:r>
        <w:rPr>
          <w:rFonts w:cs="Times New Roman"/>
          <w:b/>
          <w:bCs/>
          <w:color w:val="auto"/>
          <w:szCs w:val="24"/>
          <w:highlight w:val="none"/>
        </w:rPr>
        <w:t>表6-2-5  地下水污染防渗分区参照表</w:t>
      </w:r>
    </w:p>
    <w:tbl>
      <w:tblPr>
        <w:tblStyle w:val="4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5"/>
        <w:gridCol w:w="1578"/>
        <w:gridCol w:w="1316"/>
        <w:gridCol w:w="1583"/>
        <w:gridCol w:w="2759"/>
      </w:tblGrid>
      <w:tr w14:paraId="79859C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dxa"/>
            <w:vAlign w:val="center"/>
          </w:tcPr>
          <w:p w14:paraId="0E5CBB0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防渗分区</w:t>
            </w:r>
          </w:p>
        </w:tc>
        <w:tc>
          <w:tcPr>
            <w:tcW w:w="1578" w:type="dxa"/>
            <w:vAlign w:val="center"/>
          </w:tcPr>
          <w:p w14:paraId="0839449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天然包气带防</w:t>
            </w:r>
          </w:p>
          <w:p w14:paraId="569EB66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污性能</w:t>
            </w:r>
          </w:p>
        </w:tc>
        <w:tc>
          <w:tcPr>
            <w:tcW w:w="1316" w:type="dxa"/>
            <w:vAlign w:val="center"/>
          </w:tcPr>
          <w:p w14:paraId="20F302E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污染控制难</w:t>
            </w:r>
          </w:p>
          <w:p w14:paraId="1A72D48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易程度</w:t>
            </w:r>
          </w:p>
        </w:tc>
        <w:tc>
          <w:tcPr>
            <w:tcW w:w="1583" w:type="dxa"/>
            <w:vAlign w:val="center"/>
          </w:tcPr>
          <w:p w14:paraId="07FFF54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污染物类型</w:t>
            </w:r>
          </w:p>
        </w:tc>
        <w:tc>
          <w:tcPr>
            <w:tcW w:w="2759" w:type="dxa"/>
            <w:vAlign w:val="center"/>
          </w:tcPr>
          <w:p w14:paraId="4D4E0D6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防渗技术要求</w:t>
            </w:r>
          </w:p>
        </w:tc>
      </w:tr>
      <w:tr w14:paraId="471E3B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dxa"/>
            <w:vMerge w:val="restart"/>
            <w:vAlign w:val="center"/>
          </w:tcPr>
          <w:p w14:paraId="635DE12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重点防渗区</w:t>
            </w:r>
          </w:p>
        </w:tc>
        <w:tc>
          <w:tcPr>
            <w:tcW w:w="1578" w:type="dxa"/>
            <w:vAlign w:val="center"/>
          </w:tcPr>
          <w:p w14:paraId="622DFDC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弱</w:t>
            </w:r>
          </w:p>
        </w:tc>
        <w:tc>
          <w:tcPr>
            <w:tcW w:w="1316" w:type="dxa"/>
            <w:vAlign w:val="center"/>
          </w:tcPr>
          <w:p w14:paraId="32BD424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难</w:t>
            </w:r>
          </w:p>
        </w:tc>
        <w:tc>
          <w:tcPr>
            <w:tcW w:w="1583" w:type="dxa"/>
            <w:vMerge w:val="restart"/>
            <w:vAlign w:val="center"/>
          </w:tcPr>
          <w:p w14:paraId="1BE9608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重金属、持久性有机污染物</w:t>
            </w:r>
          </w:p>
        </w:tc>
        <w:tc>
          <w:tcPr>
            <w:tcW w:w="2759" w:type="dxa"/>
            <w:vMerge w:val="restart"/>
            <w:vAlign w:val="center"/>
          </w:tcPr>
          <w:p w14:paraId="64CA018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等效黏土防渗层Mb≥6.0m， K≤10</w:t>
            </w:r>
            <w:r>
              <w:rPr>
                <w:rFonts w:cs="Times New Roman"/>
                <w:color w:val="auto"/>
                <w:sz w:val="21"/>
                <w:szCs w:val="21"/>
                <w:highlight w:val="none"/>
                <w:vertAlign w:val="superscript"/>
              </w:rPr>
              <w:t>-7</w:t>
            </w:r>
            <w:r>
              <w:rPr>
                <w:rFonts w:cs="Times New Roman"/>
                <w:color w:val="auto"/>
                <w:sz w:val="21"/>
                <w:szCs w:val="21"/>
                <w:highlight w:val="none"/>
              </w:rPr>
              <w:t>cm/s；或参照 GB18598 执行</w:t>
            </w:r>
          </w:p>
        </w:tc>
      </w:tr>
      <w:tr w14:paraId="2E220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dxa"/>
            <w:vMerge w:val="continue"/>
            <w:vAlign w:val="center"/>
          </w:tcPr>
          <w:p w14:paraId="03DB040B">
            <w:pPr>
              <w:spacing w:line="360" w:lineRule="exact"/>
              <w:ind w:firstLine="0" w:firstLineChars="0"/>
              <w:jc w:val="center"/>
              <w:rPr>
                <w:rFonts w:cs="Times New Roman"/>
                <w:color w:val="auto"/>
                <w:sz w:val="21"/>
                <w:szCs w:val="21"/>
                <w:highlight w:val="none"/>
              </w:rPr>
            </w:pPr>
          </w:p>
        </w:tc>
        <w:tc>
          <w:tcPr>
            <w:tcW w:w="1578" w:type="dxa"/>
            <w:vAlign w:val="center"/>
          </w:tcPr>
          <w:p w14:paraId="165BD53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中-强</w:t>
            </w:r>
          </w:p>
        </w:tc>
        <w:tc>
          <w:tcPr>
            <w:tcW w:w="1316" w:type="dxa"/>
            <w:vAlign w:val="center"/>
          </w:tcPr>
          <w:p w14:paraId="72C20F1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难</w:t>
            </w:r>
          </w:p>
        </w:tc>
        <w:tc>
          <w:tcPr>
            <w:tcW w:w="1583" w:type="dxa"/>
            <w:vMerge w:val="continue"/>
            <w:vAlign w:val="center"/>
          </w:tcPr>
          <w:p w14:paraId="05A6F9AF">
            <w:pPr>
              <w:spacing w:line="360" w:lineRule="exact"/>
              <w:ind w:firstLine="0" w:firstLineChars="0"/>
              <w:jc w:val="center"/>
              <w:rPr>
                <w:rFonts w:cs="Times New Roman"/>
                <w:color w:val="auto"/>
                <w:sz w:val="21"/>
                <w:szCs w:val="21"/>
                <w:highlight w:val="none"/>
              </w:rPr>
            </w:pPr>
          </w:p>
        </w:tc>
        <w:tc>
          <w:tcPr>
            <w:tcW w:w="2759" w:type="dxa"/>
            <w:vMerge w:val="continue"/>
            <w:vAlign w:val="center"/>
          </w:tcPr>
          <w:p w14:paraId="0C2DD606">
            <w:pPr>
              <w:spacing w:line="360" w:lineRule="exact"/>
              <w:ind w:firstLine="0" w:firstLineChars="0"/>
              <w:jc w:val="center"/>
              <w:rPr>
                <w:rFonts w:cs="Times New Roman"/>
                <w:color w:val="auto"/>
                <w:sz w:val="21"/>
                <w:szCs w:val="21"/>
                <w:highlight w:val="none"/>
              </w:rPr>
            </w:pPr>
          </w:p>
        </w:tc>
      </w:tr>
      <w:tr w14:paraId="56B59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dxa"/>
            <w:vMerge w:val="continue"/>
            <w:vAlign w:val="center"/>
          </w:tcPr>
          <w:p w14:paraId="326C2C31">
            <w:pPr>
              <w:spacing w:line="360" w:lineRule="exact"/>
              <w:ind w:firstLine="0" w:firstLineChars="0"/>
              <w:jc w:val="center"/>
              <w:rPr>
                <w:rFonts w:cs="Times New Roman"/>
                <w:color w:val="auto"/>
                <w:sz w:val="21"/>
                <w:szCs w:val="21"/>
                <w:highlight w:val="none"/>
              </w:rPr>
            </w:pPr>
          </w:p>
        </w:tc>
        <w:tc>
          <w:tcPr>
            <w:tcW w:w="1578" w:type="dxa"/>
            <w:vAlign w:val="center"/>
          </w:tcPr>
          <w:p w14:paraId="06489C3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弱</w:t>
            </w:r>
          </w:p>
        </w:tc>
        <w:tc>
          <w:tcPr>
            <w:tcW w:w="1316" w:type="dxa"/>
            <w:vAlign w:val="center"/>
          </w:tcPr>
          <w:p w14:paraId="2D5B8A3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易</w:t>
            </w:r>
          </w:p>
        </w:tc>
        <w:tc>
          <w:tcPr>
            <w:tcW w:w="1583" w:type="dxa"/>
            <w:vMerge w:val="continue"/>
            <w:vAlign w:val="center"/>
          </w:tcPr>
          <w:p w14:paraId="2560E8B1">
            <w:pPr>
              <w:spacing w:line="360" w:lineRule="exact"/>
              <w:ind w:firstLine="0" w:firstLineChars="0"/>
              <w:jc w:val="center"/>
              <w:rPr>
                <w:rFonts w:cs="Times New Roman"/>
                <w:color w:val="auto"/>
                <w:sz w:val="21"/>
                <w:szCs w:val="21"/>
                <w:highlight w:val="none"/>
              </w:rPr>
            </w:pPr>
          </w:p>
        </w:tc>
        <w:tc>
          <w:tcPr>
            <w:tcW w:w="2759" w:type="dxa"/>
            <w:vMerge w:val="continue"/>
            <w:vAlign w:val="center"/>
          </w:tcPr>
          <w:p w14:paraId="01450D34">
            <w:pPr>
              <w:spacing w:line="360" w:lineRule="exact"/>
              <w:ind w:firstLine="0" w:firstLineChars="0"/>
              <w:jc w:val="center"/>
              <w:rPr>
                <w:rFonts w:cs="Times New Roman"/>
                <w:color w:val="auto"/>
                <w:sz w:val="21"/>
                <w:szCs w:val="21"/>
                <w:highlight w:val="none"/>
              </w:rPr>
            </w:pPr>
          </w:p>
        </w:tc>
      </w:tr>
      <w:tr w14:paraId="16D11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dxa"/>
            <w:vMerge w:val="restart"/>
            <w:vAlign w:val="center"/>
          </w:tcPr>
          <w:p w14:paraId="0728924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一般防渗区</w:t>
            </w:r>
          </w:p>
        </w:tc>
        <w:tc>
          <w:tcPr>
            <w:tcW w:w="1578" w:type="dxa"/>
            <w:vAlign w:val="center"/>
          </w:tcPr>
          <w:p w14:paraId="6D67B06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弱</w:t>
            </w:r>
          </w:p>
        </w:tc>
        <w:tc>
          <w:tcPr>
            <w:tcW w:w="1316" w:type="dxa"/>
            <w:vAlign w:val="center"/>
          </w:tcPr>
          <w:p w14:paraId="227D093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易-难</w:t>
            </w:r>
          </w:p>
        </w:tc>
        <w:tc>
          <w:tcPr>
            <w:tcW w:w="1583" w:type="dxa"/>
            <w:vMerge w:val="restart"/>
            <w:vAlign w:val="center"/>
          </w:tcPr>
          <w:p w14:paraId="2D567DA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其他类型</w:t>
            </w:r>
          </w:p>
        </w:tc>
        <w:tc>
          <w:tcPr>
            <w:tcW w:w="2759" w:type="dxa"/>
            <w:vMerge w:val="restart"/>
            <w:vAlign w:val="center"/>
          </w:tcPr>
          <w:p w14:paraId="7BBB246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等效黏土防渗层 Mb≥1.5m，K≤10</w:t>
            </w:r>
            <w:r>
              <w:rPr>
                <w:rFonts w:cs="Times New Roman"/>
                <w:color w:val="auto"/>
                <w:sz w:val="21"/>
                <w:szCs w:val="21"/>
                <w:highlight w:val="none"/>
                <w:vertAlign w:val="superscript"/>
              </w:rPr>
              <w:t>-7</w:t>
            </w:r>
            <w:r>
              <w:rPr>
                <w:rFonts w:cs="Times New Roman"/>
                <w:color w:val="auto"/>
                <w:sz w:val="21"/>
                <w:szCs w:val="21"/>
                <w:highlight w:val="none"/>
              </w:rPr>
              <w:t>cm/s；或参照 GB18598 执行</w:t>
            </w:r>
          </w:p>
        </w:tc>
      </w:tr>
      <w:tr w14:paraId="4BD49E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dxa"/>
            <w:vMerge w:val="continue"/>
            <w:vAlign w:val="center"/>
          </w:tcPr>
          <w:p w14:paraId="6BDCC49A">
            <w:pPr>
              <w:spacing w:line="360" w:lineRule="exact"/>
              <w:ind w:firstLine="0" w:firstLineChars="0"/>
              <w:jc w:val="center"/>
              <w:rPr>
                <w:rFonts w:cs="Times New Roman"/>
                <w:color w:val="auto"/>
                <w:sz w:val="21"/>
                <w:szCs w:val="21"/>
                <w:highlight w:val="none"/>
              </w:rPr>
            </w:pPr>
          </w:p>
        </w:tc>
        <w:tc>
          <w:tcPr>
            <w:tcW w:w="1578" w:type="dxa"/>
            <w:vAlign w:val="center"/>
          </w:tcPr>
          <w:p w14:paraId="6D0CA40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中-强</w:t>
            </w:r>
          </w:p>
        </w:tc>
        <w:tc>
          <w:tcPr>
            <w:tcW w:w="1316" w:type="dxa"/>
            <w:vAlign w:val="center"/>
          </w:tcPr>
          <w:p w14:paraId="6918EC9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难</w:t>
            </w:r>
          </w:p>
        </w:tc>
        <w:tc>
          <w:tcPr>
            <w:tcW w:w="1583" w:type="dxa"/>
            <w:vMerge w:val="continue"/>
            <w:vAlign w:val="center"/>
          </w:tcPr>
          <w:p w14:paraId="0CE351A1">
            <w:pPr>
              <w:spacing w:line="360" w:lineRule="exact"/>
              <w:ind w:firstLine="0" w:firstLineChars="0"/>
              <w:jc w:val="center"/>
              <w:rPr>
                <w:rFonts w:cs="Times New Roman"/>
                <w:color w:val="auto"/>
                <w:sz w:val="21"/>
                <w:szCs w:val="21"/>
                <w:highlight w:val="none"/>
              </w:rPr>
            </w:pPr>
          </w:p>
        </w:tc>
        <w:tc>
          <w:tcPr>
            <w:tcW w:w="2759" w:type="dxa"/>
            <w:vMerge w:val="continue"/>
            <w:vAlign w:val="center"/>
          </w:tcPr>
          <w:p w14:paraId="344E88B6">
            <w:pPr>
              <w:spacing w:line="360" w:lineRule="exact"/>
              <w:ind w:firstLine="0" w:firstLineChars="0"/>
              <w:jc w:val="center"/>
              <w:rPr>
                <w:rFonts w:cs="Times New Roman"/>
                <w:color w:val="auto"/>
                <w:sz w:val="21"/>
                <w:szCs w:val="21"/>
                <w:highlight w:val="none"/>
              </w:rPr>
            </w:pPr>
          </w:p>
        </w:tc>
      </w:tr>
      <w:tr w14:paraId="3F604C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dxa"/>
            <w:vMerge w:val="continue"/>
            <w:vAlign w:val="center"/>
          </w:tcPr>
          <w:p w14:paraId="74022EBB">
            <w:pPr>
              <w:spacing w:line="360" w:lineRule="exact"/>
              <w:ind w:firstLine="0" w:firstLineChars="0"/>
              <w:jc w:val="center"/>
              <w:rPr>
                <w:rFonts w:cs="Times New Roman"/>
                <w:color w:val="auto"/>
                <w:sz w:val="21"/>
                <w:szCs w:val="21"/>
                <w:highlight w:val="none"/>
              </w:rPr>
            </w:pPr>
          </w:p>
        </w:tc>
        <w:tc>
          <w:tcPr>
            <w:tcW w:w="1578" w:type="dxa"/>
            <w:vAlign w:val="center"/>
          </w:tcPr>
          <w:p w14:paraId="394FB70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中</w:t>
            </w:r>
          </w:p>
        </w:tc>
        <w:tc>
          <w:tcPr>
            <w:tcW w:w="1316" w:type="dxa"/>
            <w:vAlign w:val="center"/>
          </w:tcPr>
          <w:p w14:paraId="1DA598F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易</w:t>
            </w:r>
          </w:p>
        </w:tc>
        <w:tc>
          <w:tcPr>
            <w:tcW w:w="1583" w:type="dxa"/>
            <w:vMerge w:val="restart"/>
            <w:vAlign w:val="center"/>
          </w:tcPr>
          <w:p w14:paraId="7D54594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重金属、持久性有机污染物</w:t>
            </w:r>
          </w:p>
        </w:tc>
        <w:tc>
          <w:tcPr>
            <w:tcW w:w="2759" w:type="dxa"/>
            <w:vMerge w:val="continue"/>
            <w:vAlign w:val="center"/>
          </w:tcPr>
          <w:p w14:paraId="41D8749A">
            <w:pPr>
              <w:spacing w:line="360" w:lineRule="exact"/>
              <w:ind w:firstLine="0" w:firstLineChars="0"/>
              <w:jc w:val="center"/>
              <w:rPr>
                <w:rFonts w:cs="Times New Roman"/>
                <w:color w:val="auto"/>
                <w:sz w:val="21"/>
                <w:szCs w:val="21"/>
                <w:highlight w:val="none"/>
              </w:rPr>
            </w:pPr>
          </w:p>
        </w:tc>
      </w:tr>
      <w:tr w14:paraId="46983D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dxa"/>
            <w:vMerge w:val="continue"/>
            <w:vAlign w:val="center"/>
          </w:tcPr>
          <w:p w14:paraId="5FCC33B8">
            <w:pPr>
              <w:spacing w:line="360" w:lineRule="exact"/>
              <w:ind w:firstLine="0" w:firstLineChars="0"/>
              <w:jc w:val="center"/>
              <w:rPr>
                <w:rFonts w:cs="Times New Roman"/>
                <w:color w:val="auto"/>
                <w:sz w:val="21"/>
                <w:szCs w:val="21"/>
                <w:highlight w:val="none"/>
              </w:rPr>
            </w:pPr>
          </w:p>
        </w:tc>
        <w:tc>
          <w:tcPr>
            <w:tcW w:w="1578" w:type="dxa"/>
            <w:vAlign w:val="center"/>
          </w:tcPr>
          <w:p w14:paraId="0FD0522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强</w:t>
            </w:r>
          </w:p>
        </w:tc>
        <w:tc>
          <w:tcPr>
            <w:tcW w:w="1316" w:type="dxa"/>
            <w:vAlign w:val="center"/>
          </w:tcPr>
          <w:p w14:paraId="4C57E86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易</w:t>
            </w:r>
          </w:p>
        </w:tc>
        <w:tc>
          <w:tcPr>
            <w:tcW w:w="1583" w:type="dxa"/>
            <w:vMerge w:val="continue"/>
            <w:vAlign w:val="center"/>
          </w:tcPr>
          <w:p w14:paraId="1BD366EE">
            <w:pPr>
              <w:spacing w:line="360" w:lineRule="exact"/>
              <w:ind w:firstLine="0" w:firstLineChars="0"/>
              <w:jc w:val="center"/>
              <w:rPr>
                <w:rFonts w:cs="Times New Roman"/>
                <w:color w:val="auto"/>
                <w:sz w:val="21"/>
                <w:szCs w:val="21"/>
                <w:highlight w:val="none"/>
              </w:rPr>
            </w:pPr>
          </w:p>
        </w:tc>
        <w:tc>
          <w:tcPr>
            <w:tcW w:w="2759" w:type="dxa"/>
            <w:vMerge w:val="continue"/>
            <w:vAlign w:val="center"/>
          </w:tcPr>
          <w:p w14:paraId="36A2243A">
            <w:pPr>
              <w:spacing w:line="360" w:lineRule="exact"/>
              <w:ind w:firstLine="0" w:firstLineChars="0"/>
              <w:jc w:val="center"/>
              <w:rPr>
                <w:rFonts w:cs="Times New Roman"/>
                <w:color w:val="auto"/>
                <w:sz w:val="21"/>
                <w:szCs w:val="21"/>
                <w:highlight w:val="none"/>
              </w:rPr>
            </w:pPr>
          </w:p>
        </w:tc>
      </w:tr>
      <w:tr w14:paraId="6A544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dxa"/>
            <w:vAlign w:val="center"/>
          </w:tcPr>
          <w:p w14:paraId="144F332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简单防渗区</w:t>
            </w:r>
          </w:p>
        </w:tc>
        <w:tc>
          <w:tcPr>
            <w:tcW w:w="1578" w:type="dxa"/>
            <w:vAlign w:val="center"/>
          </w:tcPr>
          <w:p w14:paraId="3765CB1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中-强</w:t>
            </w:r>
          </w:p>
        </w:tc>
        <w:tc>
          <w:tcPr>
            <w:tcW w:w="1316" w:type="dxa"/>
            <w:vAlign w:val="center"/>
          </w:tcPr>
          <w:p w14:paraId="2DAACA9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易</w:t>
            </w:r>
          </w:p>
        </w:tc>
        <w:tc>
          <w:tcPr>
            <w:tcW w:w="1583" w:type="dxa"/>
            <w:vAlign w:val="center"/>
          </w:tcPr>
          <w:p w14:paraId="26A2100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其他类型</w:t>
            </w:r>
          </w:p>
        </w:tc>
        <w:tc>
          <w:tcPr>
            <w:tcW w:w="2759" w:type="dxa"/>
            <w:vAlign w:val="center"/>
          </w:tcPr>
          <w:p w14:paraId="2A71EDE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一般地面硬化</w:t>
            </w:r>
          </w:p>
        </w:tc>
      </w:tr>
    </w:tbl>
    <w:p w14:paraId="7C324726">
      <w:pPr>
        <w:ind w:firstLine="528"/>
        <w:rPr>
          <w:rFonts w:cs="Times New Roman"/>
          <w:color w:val="auto"/>
          <w:szCs w:val="24"/>
          <w:highlight w:val="none"/>
        </w:rPr>
      </w:pPr>
      <w:r>
        <w:rPr>
          <w:rFonts w:cs="Times New Roman"/>
          <w:color w:val="auto"/>
          <w:spacing w:val="12"/>
          <w:szCs w:val="24"/>
          <w:highlight w:val="none"/>
        </w:rPr>
        <w:t>为了进一步保护地下水资源，本工程在设计上对厂区地面、生产车间、污水处理站及事故池等采取以下防渗处理措施：</w:t>
      </w:r>
    </w:p>
    <w:p w14:paraId="4184422B">
      <w:pPr>
        <w:rPr>
          <w:rFonts w:cs="Times New Roman"/>
          <w:color w:val="auto"/>
          <w:szCs w:val="24"/>
          <w:highlight w:val="none"/>
        </w:rPr>
      </w:pPr>
      <w:r>
        <w:rPr>
          <w:rFonts w:cs="Times New Roman"/>
          <w:color w:val="auto"/>
          <w:szCs w:val="24"/>
          <w:highlight w:val="none"/>
        </w:rPr>
        <w:t>1）重点防渗区</w:t>
      </w:r>
    </w:p>
    <w:p w14:paraId="175C4E22">
      <w:pPr>
        <w:rPr>
          <w:rFonts w:cs="Times New Roman"/>
          <w:snapToGrid w:val="0"/>
          <w:color w:val="auto"/>
          <w:kern w:val="0"/>
          <w:highlight w:val="none"/>
        </w:rPr>
      </w:pPr>
      <w:r>
        <w:rPr>
          <w:rFonts w:cs="Times New Roman"/>
          <w:color w:val="auto"/>
          <w:szCs w:val="21"/>
          <w:highlight w:val="none"/>
        </w:rPr>
        <w:t>危险废物暂存</w:t>
      </w:r>
      <w:r>
        <w:rPr>
          <w:rFonts w:hint="eastAsia" w:cs="Times New Roman"/>
          <w:color w:val="auto"/>
          <w:szCs w:val="21"/>
          <w:highlight w:val="none"/>
          <w:lang w:val="en-US" w:eastAsia="zh-CN"/>
        </w:rPr>
        <w:t>点</w:t>
      </w:r>
      <w:r>
        <w:rPr>
          <w:rFonts w:cs="Times New Roman"/>
          <w:color w:val="auto"/>
          <w:szCs w:val="21"/>
          <w:highlight w:val="none"/>
        </w:rPr>
        <w:t>参照《危险废物贮存污染控制标准》（GB18597-20</w:t>
      </w:r>
      <w:r>
        <w:rPr>
          <w:rFonts w:hint="eastAsia" w:cs="Times New Roman"/>
          <w:color w:val="auto"/>
          <w:szCs w:val="21"/>
          <w:highlight w:val="none"/>
          <w:lang w:val="en-US" w:eastAsia="zh-CN"/>
        </w:rPr>
        <w:t>23</w:t>
      </w:r>
      <w:r>
        <w:rPr>
          <w:rFonts w:cs="Times New Roman"/>
          <w:color w:val="auto"/>
          <w:szCs w:val="21"/>
          <w:highlight w:val="none"/>
        </w:rPr>
        <w:t>）执行：基础必须防渗，</w:t>
      </w:r>
      <w:r>
        <w:rPr>
          <w:rFonts w:cs="Times New Roman"/>
          <w:snapToGrid w:val="0"/>
          <w:color w:val="auto"/>
          <w:kern w:val="0"/>
          <w:highlight w:val="none"/>
        </w:rPr>
        <w:t>地面（池底）等效黏土层厚度要≥6.0m，满足渗透系数K≤1.0×10</w:t>
      </w:r>
      <w:r>
        <w:rPr>
          <w:rFonts w:cs="Times New Roman"/>
          <w:snapToGrid w:val="0"/>
          <w:color w:val="auto"/>
          <w:kern w:val="0"/>
          <w:highlight w:val="none"/>
          <w:vertAlign w:val="superscript"/>
        </w:rPr>
        <w:t>-7</w:t>
      </w:r>
      <w:r>
        <w:rPr>
          <w:rFonts w:cs="Times New Roman"/>
          <w:snapToGrid w:val="0"/>
          <w:color w:val="auto"/>
          <w:kern w:val="0"/>
          <w:highlight w:val="none"/>
        </w:rPr>
        <w:t>cm/s</w:t>
      </w:r>
      <w:r>
        <w:rPr>
          <w:rFonts w:cs="Times New Roman"/>
          <w:color w:val="auto"/>
          <w:szCs w:val="21"/>
          <w:highlight w:val="none"/>
        </w:rPr>
        <w:t>，或2mm厚高密度聚乙烯，或至少2mm厚的其它人工材料，渗透系数≤10</w:t>
      </w:r>
      <w:r>
        <w:rPr>
          <w:rFonts w:cs="Times New Roman"/>
          <w:color w:val="auto"/>
          <w:szCs w:val="21"/>
          <w:highlight w:val="none"/>
          <w:vertAlign w:val="superscript"/>
        </w:rPr>
        <w:t>-10</w:t>
      </w:r>
      <w:r>
        <w:rPr>
          <w:rFonts w:cs="Times New Roman"/>
          <w:color w:val="auto"/>
          <w:szCs w:val="21"/>
          <w:highlight w:val="none"/>
        </w:rPr>
        <w:t>cm/s</w:t>
      </w:r>
    </w:p>
    <w:p w14:paraId="2862B7BF">
      <w:pPr>
        <w:rPr>
          <w:rFonts w:cs="Times New Roman"/>
          <w:snapToGrid w:val="0"/>
          <w:color w:val="auto"/>
          <w:kern w:val="0"/>
          <w:highlight w:val="none"/>
        </w:rPr>
      </w:pPr>
      <w:r>
        <w:rPr>
          <w:rFonts w:cs="Times New Roman"/>
          <w:snapToGrid w:val="0"/>
          <w:color w:val="auto"/>
          <w:kern w:val="0"/>
          <w:highlight w:val="none"/>
        </w:rPr>
        <w:t>2）一般防渗区</w:t>
      </w:r>
    </w:p>
    <w:p w14:paraId="091F19FF">
      <w:pPr>
        <w:rPr>
          <w:rFonts w:cs="Times New Roman"/>
          <w:snapToGrid w:val="0"/>
          <w:color w:val="auto"/>
          <w:kern w:val="0"/>
          <w:highlight w:val="none"/>
        </w:rPr>
      </w:pPr>
      <w:r>
        <w:rPr>
          <w:rFonts w:cs="Times New Roman"/>
          <w:snapToGrid w:val="0"/>
          <w:color w:val="auto"/>
          <w:kern w:val="0"/>
          <w:highlight w:val="none"/>
        </w:rPr>
        <w:t>生产车间（不包含局部二层部分</w:t>
      </w:r>
      <w:r>
        <w:rPr>
          <w:rFonts w:hint="eastAsia" w:cs="Times New Roman"/>
          <w:snapToGrid w:val="0"/>
          <w:color w:val="auto"/>
          <w:kern w:val="0"/>
          <w:highlight w:val="none"/>
          <w:lang w:eastAsia="zh-CN"/>
        </w:rPr>
        <w:t>，</w:t>
      </w:r>
      <w:r>
        <w:rPr>
          <w:rFonts w:hint="eastAsia" w:cs="Times New Roman"/>
          <w:snapToGrid w:val="0"/>
          <w:color w:val="auto"/>
          <w:kern w:val="0"/>
          <w:highlight w:val="none"/>
          <w:lang w:val="en-US" w:eastAsia="zh-CN"/>
        </w:rPr>
        <w:t>包括待宰圈</w:t>
      </w:r>
      <w:r>
        <w:rPr>
          <w:rFonts w:cs="Times New Roman"/>
          <w:snapToGrid w:val="0"/>
          <w:color w:val="auto"/>
          <w:kern w:val="0"/>
          <w:highlight w:val="none"/>
        </w:rPr>
        <w:t>）、隔离圈、污水处理站、事故池及固体废物暂存间按一般防渗区采取防渗措施。地面（池底和池侧面）基础防渗，</w:t>
      </w:r>
      <w:r>
        <w:rPr>
          <w:rFonts w:cs="Times New Roman"/>
          <w:snapToGrid w:val="0"/>
          <w:color w:val="auto"/>
          <w:kern w:val="0"/>
          <w:highlight w:val="none"/>
          <w:lang w:val="zh-CN"/>
        </w:rPr>
        <w:t>防渗层为至少1m厚粘土层或2mm厚高密度聚乙烯，</w:t>
      </w:r>
      <w:r>
        <w:rPr>
          <w:rFonts w:cs="Times New Roman"/>
          <w:snapToGrid w:val="0"/>
          <w:color w:val="auto"/>
          <w:kern w:val="0"/>
          <w:highlight w:val="none"/>
        </w:rPr>
        <w:t>需满足等效黏土防渗层Mb≥1.5m，K≤1×10</w:t>
      </w:r>
      <w:r>
        <w:rPr>
          <w:rFonts w:cs="Times New Roman"/>
          <w:snapToGrid w:val="0"/>
          <w:color w:val="auto"/>
          <w:kern w:val="0"/>
          <w:highlight w:val="none"/>
          <w:vertAlign w:val="superscript"/>
        </w:rPr>
        <w:t>-7</w:t>
      </w:r>
      <w:r>
        <w:rPr>
          <w:rFonts w:cs="Times New Roman"/>
          <w:snapToGrid w:val="0"/>
          <w:color w:val="auto"/>
          <w:kern w:val="0"/>
          <w:highlight w:val="none"/>
        </w:rPr>
        <w:t>cm/s的要求。</w:t>
      </w:r>
    </w:p>
    <w:p w14:paraId="42830506">
      <w:pPr>
        <w:ind w:firstLine="528"/>
        <w:rPr>
          <w:rFonts w:cs="Times New Roman"/>
          <w:snapToGrid w:val="0"/>
          <w:color w:val="auto"/>
          <w:kern w:val="0"/>
          <w:highlight w:val="none"/>
        </w:rPr>
      </w:pPr>
      <w:r>
        <w:rPr>
          <w:rFonts w:cs="Times New Roman"/>
          <w:color w:val="auto"/>
          <w:spacing w:val="12"/>
          <w:szCs w:val="24"/>
          <w:highlight w:val="none"/>
        </w:rPr>
        <w:t>3）简单防渗区</w:t>
      </w:r>
    </w:p>
    <w:p w14:paraId="0D406896">
      <w:pPr>
        <w:rPr>
          <w:rFonts w:cs="Times New Roman"/>
          <w:snapToGrid w:val="0"/>
          <w:color w:val="auto"/>
          <w:kern w:val="0"/>
          <w:highlight w:val="none"/>
        </w:rPr>
      </w:pPr>
      <w:r>
        <w:rPr>
          <w:rFonts w:cs="Times New Roman"/>
          <w:snapToGrid w:val="0"/>
          <w:color w:val="auto"/>
          <w:kern w:val="0"/>
          <w:highlight w:val="none"/>
        </w:rPr>
        <w:t>其他建筑物采取简单防渗，对其地面采用混凝土进行一般地面硬化。</w:t>
      </w:r>
    </w:p>
    <w:p w14:paraId="334D159C">
      <w:pPr>
        <w:rPr>
          <w:rFonts w:cs="Times New Roman"/>
          <w:snapToGrid w:val="0"/>
          <w:color w:val="auto"/>
          <w:kern w:val="0"/>
          <w:highlight w:val="none"/>
        </w:rPr>
      </w:pPr>
      <w:r>
        <w:rPr>
          <w:rFonts w:cs="Times New Roman"/>
          <w:snapToGrid w:val="0"/>
          <w:color w:val="auto"/>
          <w:kern w:val="0"/>
          <w:highlight w:val="none"/>
        </w:rPr>
        <w:t>4）其他防治措施</w:t>
      </w:r>
    </w:p>
    <w:p w14:paraId="6A5D8283">
      <w:pPr>
        <w:rPr>
          <w:rFonts w:cs="Times New Roman"/>
          <w:snapToGrid w:val="0"/>
          <w:color w:val="auto"/>
          <w:kern w:val="0"/>
          <w:highlight w:val="none"/>
        </w:rPr>
      </w:pPr>
      <w:r>
        <w:rPr>
          <w:rFonts w:cs="Times New Roman"/>
          <w:snapToGrid w:val="0"/>
          <w:color w:val="auto"/>
          <w:kern w:val="0"/>
          <w:highlight w:val="none"/>
        </w:rPr>
        <w:fldChar w:fldCharType="begin"/>
      </w:r>
      <w:r>
        <w:rPr>
          <w:rFonts w:cs="Times New Roman"/>
          <w:snapToGrid w:val="0"/>
          <w:color w:val="auto"/>
          <w:kern w:val="0"/>
          <w:highlight w:val="none"/>
        </w:rPr>
        <w:instrText xml:space="preserve"> = 1 \* GB3 \* MERGEFORMAT </w:instrText>
      </w:r>
      <w:r>
        <w:rPr>
          <w:rFonts w:cs="Times New Roman"/>
          <w:snapToGrid w:val="0"/>
          <w:color w:val="auto"/>
          <w:kern w:val="0"/>
          <w:highlight w:val="none"/>
        </w:rPr>
        <w:fldChar w:fldCharType="separate"/>
      </w:r>
      <w:r>
        <w:rPr>
          <w:rFonts w:cs="Times New Roman"/>
          <w:snapToGrid w:val="0"/>
          <w:color w:val="auto"/>
          <w:kern w:val="0"/>
          <w:highlight w:val="none"/>
        </w:rPr>
        <w:t>①</w:t>
      </w:r>
      <w:r>
        <w:rPr>
          <w:rFonts w:cs="Times New Roman"/>
          <w:snapToGrid w:val="0"/>
          <w:color w:val="auto"/>
          <w:kern w:val="0"/>
          <w:highlight w:val="none"/>
        </w:rPr>
        <w:fldChar w:fldCharType="end"/>
      </w:r>
      <w:r>
        <w:rPr>
          <w:rFonts w:cs="Times New Roman"/>
          <w:snapToGrid w:val="0"/>
          <w:color w:val="auto"/>
          <w:kern w:val="0"/>
          <w:highlight w:val="none"/>
        </w:rPr>
        <w:t>污水管道采取防渗漏措施。</w:t>
      </w:r>
    </w:p>
    <w:p w14:paraId="3B0DEC05">
      <w:pPr>
        <w:rPr>
          <w:rFonts w:cs="Times New Roman"/>
          <w:snapToGrid w:val="0"/>
          <w:color w:val="auto"/>
          <w:kern w:val="0"/>
          <w:highlight w:val="none"/>
        </w:rPr>
      </w:pPr>
      <w:r>
        <w:rPr>
          <w:rFonts w:cs="Times New Roman"/>
          <w:snapToGrid w:val="0"/>
          <w:color w:val="auto"/>
          <w:kern w:val="0"/>
          <w:highlight w:val="none"/>
        </w:rPr>
        <w:t>②加强管理，建立巡逻制度，定期对污水处理站各构筑物、生产车间等地进行检查，及时发现问题，查找隐患，杜绝污染物的外排。</w:t>
      </w:r>
    </w:p>
    <w:p w14:paraId="0A6DC0C4">
      <w:pPr>
        <w:rPr>
          <w:rFonts w:cs="Times New Roman"/>
          <w:snapToGrid w:val="0"/>
          <w:color w:val="auto"/>
          <w:kern w:val="0"/>
          <w:highlight w:val="none"/>
        </w:rPr>
      </w:pPr>
      <w:r>
        <w:rPr>
          <w:rFonts w:cs="Times New Roman"/>
          <w:snapToGrid w:val="0"/>
          <w:color w:val="auto"/>
          <w:kern w:val="0"/>
          <w:highlight w:val="none"/>
        </w:rPr>
        <w:t>③厂区设置1口地下水监控井，及时监控地下水环境。</w:t>
      </w:r>
    </w:p>
    <w:p w14:paraId="6E215A4B">
      <w:pPr>
        <w:spacing w:line="240" w:lineRule="auto"/>
        <w:ind w:firstLine="482"/>
        <w:jc w:val="center"/>
        <w:rPr>
          <w:rFonts w:cs="Times New Roman"/>
          <w:b/>
          <w:color w:val="auto"/>
          <w:highlight w:val="none"/>
        </w:rPr>
      </w:pPr>
      <w:r>
        <w:rPr>
          <w:rFonts w:cs="Times New Roman"/>
          <w:b/>
          <w:color w:val="auto"/>
          <w:highlight w:val="none"/>
        </w:rPr>
        <w:t>表6-2-6   本项目防渗措施一览表</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34"/>
        <w:gridCol w:w="1352"/>
        <w:gridCol w:w="4836"/>
      </w:tblGrid>
      <w:tr w14:paraId="09BABF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4" w:type="dxa"/>
            <w:tcBorders>
              <w:tl2br w:val="nil"/>
              <w:tr2bl w:val="nil"/>
            </w:tcBorders>
            <w:vAlign w:val="center"/>
          </w:tcPr>
          <w:p w14:paraId="4735ECC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装置单元名称</w:t>
            </w:r>
          </w:p>
        </w:tc>
        <w:tc>
          <w:tcPr>
            <w:tcW w:w="1352" w:type="dxa"/>
            <w:tcBorders>
              <w:tl2br w:val="nil"/>
              <w:tr2bl w:val="nil"/>
            </w:tcBorders>
            <w:vAlign w:val="center"/>
          </w:tcPr>
          <w:p w14:paraId="098A919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防渗分区</w:t>
            </w:r>
          </w:p>
        </w:tc>
        <w:tc>
          <w:tcPr>
            <w:tcW w:w="4836" w:type="dxa"/>
            <w:tcBorders>
              <w:tl2br w:val="nil"/>
              <w:tr2bl w:val="nil"/>
            </w:tcBorders>
            <w:vAlign w:val="center"/>
          </w:tcPr>
          <w:p w14:paraId="0EE6AA9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防渗措施</w:t>
            </w:r>
          </w:p>
        </w:tc>
      </w:tr>
      <w:tr w14:paraId="6D1A52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4" w:type="dxa"/>
            <w:tcBorders>
              <w:tl2br w:val="nil"/>
              <w:tr2bl w:val="nil"/>
            </w:tcBorders>
            <w:vAlign w:val="center"/>
          </w:tcPr>
          <w:p w14:paraId="06176A1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危险废物暂存</w:t>
            </w:r>
            <w:r>
              <w:rPr>
                <w:rFonts w:hint="eastAsia" w:cs="Times New Roman"/>
                <w:color w:val="auto"/>
                <w:sz w:val="21"/>
                <w:szCs w:val="21"/>
                <w:highlight w:val="none"/>
                <w:lang w:val="en-US" w:eastAsia="zh-CN"/>
              </w:rPr>
              <w:t>点</w:t>
            </w:r>
          </w:p>
        </w:tc>
        <w:tc>
          <w:tcPr>
            <w:tcW w:w="1352" w:type="dxa"/>
            <w:tcBorders>
              <w:tl2br w:val="nil"/>
              <w:tr2bl w:val="nil"/>
            </w:tcBorders>
            <w:vAlign w:val="center"/>
          </w:tcPr>
          <w:p w14:paraId="3EBB2A9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重点防渗区</w:t>
            </w:r>
          </w:p>
        </w:tc>
        <w:tc>
          <w:tcPr>
            <w:tcW w:w="4836" w:type="dxa"/>
            <w:tcBorders>
              <w:tl2br w:val="nil"/>
              <w:tr2bl w:val="nil"/>
            </w:tcBorders>
            <w:vAlign w:val="center"/>
          </w:tcPr>
          <w:p w14:paraId="2BE0B1CA">
            <w:pPr>
              <w:spacing w:line="360" w:lineRule="exact"/>
              <w:ind w:firstLine="0" w:firstLineChars="0"/>
              <w:rPr>
                <w:rFonts w:cs="Times New Roman"/>
                <w:color w:val="auto"/>
                <w:sz w:val="21"/>
                <w:szCs w:val="21"/>
                <w:highlight w:val="none"/>
              </w:rPr>
            </w:pPr>
            <w:r>
              <w:rPr>
                <w:rFonts w:cs="Times New Roman"/>
                <w:color w:val="auto"/>
                <w:sz w:val="21"/>
                <w:szCs w:val="21"/>
                <w:highlight w:val="none"/>
              </w:rPr>
              <w:t>参照GB18597执行：基础必须防渗，</w:t>
            </w:r>
            <w:r>
              <w:rPr>
                <w:rFonts w:cs="Times New Roman"/>
                <w:snapToGrid w:val="0"/>
                <w:color w:val="auto"/>
                <w:kern w:val="0"/>
                <w:sz w:val="21"/>
                <w:szCs w:val="21"/>
                <w:highlight w:val="none"/>
              </w:rPr>
              <w:t>地面</w:t>
            </w:r>
            <w:r>
              <w:rPr>
                <w:rFonts w:hint="eastAsia" w:cs="Times New Roman"/>
                <w:snapToGrid w:val="0"/>
                <w:color w:val="auto"/>
                <w:kern w:val="0"/>
                <w:sz w:val="21"/>
                <w:szCs w:val="21"/>
                <w:highlight w:val="none"/>
                <w:lang w:val="en-US" w:eastAsia="zh-CN"/>
              </w:rPr>
              <w:t>及墙体四周围裙</w:t>
            </w:r>
            <w:r>
              <w:rPr>
                <w:rFonts w:cs="Times New Roman"/>
                <w:snapToGrid w:val="0"/>
                <w:color w:val="auto"/>
                <w:kern w:val="0"/>
                <w:sz w:val="21"/>
                <w:szCs w:val="21"/>
                <w:highlight w:val="none"/>
              </w:rPr>
              <w:t>等效黏土层厚度要≥6.0m，满足渗透系数K≤1.0×10</w:t>
            </w:r>
            <w:r>
              <w:rPr>
                <w:rFonts w:cs="Times New Roman"/>
                <w:snapToGrid w:val="0"/>
                <w:color w:val="auto"/>
                <w:kern w:val="0"/>
                <w:sz w:val="21"/>
                <w:szCs w:val="21"/>
                <w:highlight w:val="none"/>
                <w:vertAlign w:val="superscript"/>
              </w:rPr>
              <w:t>-7</w:t>
            </w:r>
            <w:r>
              <w:rPr>
                <w:rFonts w:cs="Times New Roman"/>
                <w:snapToGrid w:val="0"/>
                <w:color w:val="auto"/>
                <w:kern w:val="0"/>
                <w:sz w:val="21"/>
                <w:szCs w:val="21"/>
                <w:highlight w:val="none"/>
              </w:rPr>
              <w:t>cm/s</w:t>
            </w:r>
            <w:r>
              <w:rPr>
                <w:rFonts w:cs="Times New Roman"/>
                <w:color w:val="auto"/>
                <w:sz w:val="21"/>
                <w:szCs w:val="21"/>
                <w:highlight w:val="none"/>
              </w:rPr>
              <w:t>，或2mm厚高密度聚乙烯，或至少2mm厚的其它人工材料，渗透系数≤10</w:t>
            </w:r>
            <w:r>
              <w:rPr>
                <w:rFonts w:cs="Times New Roman"/>
                <w:color w:val="auto"/>
                <w:sz w:val="21"/>
                <w:szCs w:val="21"/>
                <w:highlight w:val="none"/>
                <w:vertAlign w:val="superscript"/>
              </w:rPr>
              <w:t>-10</w:t>
            </w:r>
            <w:r>
              <w:rPr>
                <w:rFonts w:cs="Times New Roman"/>
                <w:color w:val="auto"/>
                <w:sz w:val="21"/>
                <w:szCs w:val="21"/>
                <w:highlight w:val="none"/>
              </w:rPr>
              <w:t>cm/s</w:t>
            </w:r>
          </w:p>
        </w:tc>
      </w:tr>
      <w:tr w14:paraId="4CE82F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4" w:type="dxa"/>
            <w:tcBorders>
              <w:tl2br w:val="nil"/>
              <w:tr2bl w:val="nil"/>
            </w:tcBorders>
            <w:vAlign w:val="center"/>
          </w:tcPr>
          <w:p w14:paraId="3543C40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生产车间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包括冷库</w:t>
            </w:r>
            <w:r>
              <w:rPr>
                <w:rFonts w:hint="eastAsia" w:cs="Times New Roman"/>
                <w:color w:val="auto"/>
                <w:sz w:val="21"/>
                <w:szCs w:val="21"/>
                <w:highlight w:val="none"/>
                <w:lang w:eastAsia="zh-CN"/>
              </w:rPr>
              <w:t>）</w:t>
            </w:r>
            <w:r>
              <w:rPr>
                <w:rFonts w:cs="Times New Roman"/>
                <w:color w:val="auto"/>
                <w:sz w:val="21"/>
                <w:szCs w:val="21"/>
                <w:highlight w:val="none"/>
              </w:rPr>
              <w:t>、隔离圈、污水处理站、事故池及固体废物暂存间</w:t>
            </w:r>
          </w:p>
        </w:tc>
        <w:tc>
          <w:tcPr>
            <w:tcW w:w="1352" w:type="dxa"/>
            <w:tcBorders>
              <w:tl2br w:val="nil"/>
              <w:tr2bl w:val="nil"/>
            </w:tcBorders>
            <w:vAlign w:val="center"/>
          </w:tcPr>
          <w:p w14:paraId="6102008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一般防渗区</w:t>
            </w:r>
          </w:p>
        </w:tc>
        <w:tc>
          <w:tcPr>
            <w:tcW w:w="4836" w:type="dxa"/>
            <w:tcBorders>
              <w:tl2br w:val="nil"/>
              <w:tr2bl w:val="nil"/>
            </w:tcBorders>
            <w:vAlign w:val="center"/>
          </w:tcPr>
          <w:p w14:paraId="5088770F">
            <w:pPr>
              <w:spacing w:line="360" w:lineRule="exact"/>
              <w:ind w:firstLine="0" w:firstLineChars="0"/>
              <w:jc w:val="center"/>
              <w:rPr>
                <w:rFonts w:cs="Times New Roman"/>
                <w:color w:val="auto"/>
                <w:sz w:val="21"/>
                <w:szCs w:val="21"/>
                <w:highlight w:val="none"/>
              </w:rPr>
            </w:pPr>
            <w:r>
              <w:rPr>
                <w:rFonts w:cs="Times New Roman"/>
                <w:snapToGrid w:val="0"/>
                <w:color w:val="auto"/>
                <w:kern w:val="0"/>
                <w:sz w:val="21"/>
                <w:szCs w:val="21"/>
                <w:highlight w:val="none"/>
              </w:rPr>
              <w:t>地面（池底和池侧面）基础防渗，</w:t>
            </w:r>
            <w:r>
              <w:rPr>
                <w:rFonts w:cs="Times New Roman"/>
                <w:snapToGrid w:val="0"/>
                <w:color w:val="auto"/>
                <w:kern w:val="0"/>
                <w:sz w:val="21"/>
                <w:szCs w:val="21"/>
                <w:highlight w:val="none"/>
                <w:lang w:val="zh-CN"/>
              </w:rPr>
              <w:t>防渗层为至少1m厚粘土层或2mm厚高密度聚乙烯，</w:t>
            </w:r>
            <w:r>
              <w:rPr>
                <w:rFonts w:cs="Times New Roman"/>
                <w:snapToGrid w:val="0"/>
                <w:color w:val="auto"/>
                <w:kern w:val="0"/>
                <w:sz w:val="21"/>
                <w:szCs w:val="21"/>
                <w:highlight w:val="none"/>
              </w:rPr>
              <w:t>需满足等效黏土防渗层Mb≥1.5m，K≤1×10</w:t>
            </w:r>
            <w:r>
              <w:rPr>
                <w:rFonts w:cs="Times New Roman"/>
                <w:snapToGrid w:val="0"/>
                <w:color w:val="auto"/>
                <w:kern w:val="0"/>
                <w:sz w:val="21"/>
                <w:szCs w:val="21"/>
                <w:highlight w:val="none"/>
                <w:vertAlign w:val="superscript"/>
              </w:rPr>
              <w:t>-7</w:t>
            </w:r>
            <w:r>
              <w:rPr>
                <w:rFonts w:cs="Times New Roman"/>
                <w:snapToGrid w:val="0"/>
                <w:color w:val="auto"/>
                <w:kern w:val="0"/>
                <w:sz w:val="21"/>
                <w:szCs w:val="21"/>
                <w:highlight w:val="none"/>
              </w:rPr>
              <w:t>cm/s的要求。</w:t>
            </w:r>
          </w:p>
        </w:tc>
      </w:tr>
      <w:tr w14:paraId="747722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34" w:type="dxa"/>
            <w:tcBorders>
              <w:tl2br w:val="nil"/>
              <w:tr2bl w:val="nil"/>
            </w:tcBorders>
            <w:vAlign w:val="center"/>
          </w:tcPr>
          <w:p w14:paraId="38C82B7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其他建筑物及道路</w:t>
            </w:r>
          </w:p>
        </w:tc>
        <w:tc>
          <w:tcPr>
            <w:tcW w:w="1352" w:type="dxa"/>
            <w:tcBorders>
              <w:tl2br w:val="nil"/>
              <w:tr2bl w:val="nil"/>
            </w:tcBorders>
            <w:vAlign w:val="center"/>
          </w:tcPr>
          <w:p w14:paraId="1351BF4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简单防渗区</w:t>
            </w:r>
          </w:p>
        </w:tc>
        <w:tc>
          <w:tcPr>
            <w:tcW w:w="4836" w:type="dxa"/>
            <w:tcBorders>
              <w:tl2br w:val="nil"/>
              <w:tr2bl w:val="nil"/>
            </w:tcBorders>
            <w:vAlign w:val="center"/>
          </w:tcPr>
          <w:p w14:paraId="6F703B1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一般地面硬化</w:t>
            </w:r>
          </w:p>
        </w:tc>
      </w:tr>
    </w:tbl>
    <w:p w14:paraId="5FA3AF35">
      <w:pPr>
        <w:rPr>
          <w:rFonts w:cs="Times New Roman"/>
          <w:color w:val="auto"/>
          <w:szCs w:val="24"/>
          <w:highlight w:val="none"/>
        </w:rPr>
      </w:pPr>
      <w:r>
        <w:rPr>
          <w:rFonts w:cs="Times New Roman"/>
          <w:snapToGrid w:val="0"/>
          <w:color w:val="auto"/>
          <w:kern w:val="0"/>
          <w:highlight w:val="none"/>
        </w:rPr>
        <w:t>本项目对地下水的主要污染途径为废水渗透，在认真采取以上措施的基础上，一旦发生硬化层发生断裂，由于防渗层的保护作用，废水积聚在各储区，不会对地下水造成影响。地下水分区防渗情况及跟踪监测井设置情况见</w:t>
      </w:r>
      <w:r>
        <w:rPr>
          <w:rFonts w:cs="Times New Roman"/>
          <w:color w:val="auto"/>
          <w:szCs w:val="24"/>
          <w:highlight w:val="none"/>
        </w:rPr>
        <w:t>图6-2-1。</w:t>
      </w:r>
    </w:p>
    <w:p w14:paraId="692D14A5">
      <w:pPr>
        <w:pStyle w:val="45"/>
        <w:rPr>
          <w:rFonts w:cs="Times New Roman"/>
          <w:color w:val="auto"/>
          <w:szCs w:val="24"/>
          <w:highlight w:val="none"/>
        </w:rPr>
      </w:pPr>
    </w:p>
    <w:p w14:paraId="7F04FF6D">
      <w:pPr>
        <w:pStyle w:val="45"/>
        <w:rPr>
          <w:rFonts w:cs="Times New Roman"/>
          <w:color w:val="auto"/>
          <w:szCs w:val="24"/>
          <w:highlight w:val="none"/>
        </w:rPr>
      </w:pPr>
    </w:p>
    <w:p w14:paraId="54FE3F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s="Times New Roman"/>
          <w:b/>
          <w:color w:val="auto"/>
          <w:sz w:val="21"/>
          <w:szCs w:val="21"/>
          <w:highlight w:val="none"/>
          <w:lang w:val="en-US" w:eastAsia="zh-CN"/>
        </w:rPr>
      </w:pPr>
      <w:r>
        <w:rPr>
          <w:color w:val="auto"/>
          <w:highlight w:val="none"/>
        </w:rPr>
        <w:drawing>
          <wp:anchor distT="0" distB="0" distL="114300" distR="114300" simplePos="0" relativeHeight="251722752" behindDoc="0" locked="0" layoutInCell="1" allowOverlap="1">
            <wp:simplePos x="0" y="0"/>
            <wp:positionH relativeFrom="column">
              <wp:posOffset>4664710</wp:posOffset>
            </wp:positionH>
            <wp:positionV relativeFrom="paragraph">
              <wp:posOffset>0</wp:posOffset>
            </wp:positionV>
            <wp:extent cx="603250" cy="610235"/>
            <wp:effectExtent l="0" t="0" r="6350" b="18415"/>
            <wp:wrapNone/>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52"/>
                    <a:stretch>
                      <a:fillRect/>
                    </a:stretch>
                  </pic:blipFill>
                  <pic:spPr>
                    <a:xfrm>
                      <a:off x="0" y="0"/>
                      <a:ext cx="603250" cy="610235"/>
                    </a:xfrm>
                    <a:prstGeom prst="rect">
                      <a:avLst/>
                    </a:prstGeom>
                    <a:noFill/>
                    <a:ln>
                      <a:noFill/>
                    </a:ln>
                  </pic:spPr>
                </pic:pic>
              </a:graphicData>
            </a:graphic>
          </wp:anchor>
        </w:drawing>
      </w:r>
      <w:r>
        <w:rPr>
          <w:rFonts w:cs="Times New Roman"/>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4445</wp:posOffset>
                </wp:positionH>
                <wp:positionV relativeFrom="paragraph">
                  <wp:posOffset>3475355</wp:posOffset>
                </wp:positionV>
                <wp:extent cx="250190" cy="7620"/>
                <wp:effectExtent l="0" t="48895" r="16510" b="57785"/>
                <wp:wrapNone/>
                <wp:docPr id="45" name="直接箭头连接符 45"/>
                <wp:cNvGraphicFramePr/>
                <a:graphic xmlns:a="http://schemas.openxmlformats.org/drawingml/2006/main">
                  <a:graphicData uri="http://schemas.microsoft.com/office/word/2010/wordprocessingShape">
                    <wps:wsp>
                      <wps:cNvCnPr/>
                      <wps:spPr>
                        <a:xfrm>
                          <a:off x="1240790" y="8593455"/>
                          <a:ext cx="250190" cy="7620"/>
                        </a:xfrm>
                        <a:prstGeom prst="straightConnector1">
                          <a:avLst/>
                        </a:prstGeom>
                        <a:ln w="19050">
                          <a:solidFill>
                            <a:srgbClr val="1F37C9"/>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0.35pt;margin-top:273.65pt;height:0.6pt;width:19.7pt;z-index:251681792;mso-width-relative:page;mso-height-relative:page;" filled="f" stroked="t" coordsize="21600,21600" o:gfxdata="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4II+7WAAAABwEAAA8AAAAAAAAAAQAgAAAA&#10;IgAAAGRycy9kb3ducmV2LnhtbFBLAQIUABQAAAAIAIdO4kCj0B4IDQIAANgDAAAOAAAAAAAAAAEA&#10;IAAAACUBAABkcnMvZTJvRG9jLnhtbFBLBQYAAAAABgAGAFkBAACkBQAAAAA=&#10;">
                <v:fill on="f" focussize="0,0"/>
                <v:stroke weight="1.5pt" color="#1F37C9 [3204]" joinstyle="round" endarrow="open"/>
                <v:imagedata o:title=""/>
                <o:lock v:ext="edit" aspectratio="f"/>
              </v:shape>
            </w:pict>
          </mc:Fallback>
        </mc:AlternateContent>
      </w:r>
      <w:r>
        <w:rPr>
          <w:rFonts w:cs="Times New Roman"/>
          <w:color w:val="auto"/>
          <w:sz w:val="21"/>
          <w:highlight w:val="none"/>
        </w:rPr>
        <mc:AlternateContent>
          <mc:Choice Requires="wpg">
            <w:drawing>
              <wp:anchor distT="0" distB="0" distL="114300" distR="114300" simplePos="0" relativeHeight="251680768" behindDoc="0" locked="0" layoutInCell="1" allowOverlap="1">
                <wp:simplePos x="0" y="0"/>
                <wp:positionH relativeFrom="column">
                  <wp:posOffset>16510</wp:posOffset>
                </wp:positionH>
                <wp:positionV relativeFrom="paragraph">
                  <wp:posOffset>2537460</wp:posOffset>
                </wp:positionV>
                <wp:extent cx="226060" cy="648335"/>
                <wp:effectExtent l="4445" t="4445" r="17145" b="13970"/>
                <wp:wrapNone/>
                <wp:docPr id="43" name="组合 43"/>
                <wp:cNvGraphicFramePr/>
                <a:graphic xmlns:a="http://schemas.openxmlformats.org/drawingml/2006/main">
                  <a:graphicData uri="http://schemas.microsoft.com/office/word/2010/wordprocessingGroup">
                    <wpg:wgp>
                      <wpg:cNvGrpSpPr/>
                      <wpg:grpSpPr>
                        <a:xfrm>
                          <a:off x="0" y="0"/>
                          <a:ext cx="226060" cy="648335"/>
                          <a:chOff x="2181" y="2203565"/>
                          <a:chExt cx="490" cy="1622"/>
                        </a:xfrm>
                      </wpg:grpSpPr>
                      <wps:wsp>
                        <wps:cNvPr id="37" name="矩形 37"/>
                        <wps:cNvSpPr/>
                        <wps:spPr>
                          <a:xfrm>
                            <a:off x="2188" y="2203999"/>
                            <a:ext cx="474" cy="223"/>
                          </a:xfrm>
                          <a:prstGeom prst="rect">
                            <a:avLst/>
                          </a:prstGeom>
                          <a:solidFill>
                            <a:srgbClr val="00B0F0">
                              <a:alpha val="45000"/>
                            </a:srgb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FC4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9" name="矩形 39"/>
                        <wps:cNvSpPr/>
                        <wps:spPr>
                          <a:xfrm>
                            <a:off x="2186" y="2203565"/>
                            <a:ext cx="474" cy="223"/>
                          </a:xfrm>
                          <a:prstGeom prst="rect">
                            <a:avLst/>
                          </a:prstGeom>
                          <a:solidFill>
                            <a:srgbClr val="FF0000">
                              <a:alpha val="80000"/>
                            </a:srgb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4D660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0" name="矩形 40"/>
                        <wps:cNvSpPr/>
                        <wps:spPr>
                          <a:xfrm>
                            <a:off x="2181" y="2204450"/>
                            <a:ext cx="490" cy="236"/>
                          </a:xfrm>
                          <a:prstGeom prst="rect">
                            <a:avLst/>
                          </a:prstGeom>
                          <a:solidFill>
                            <a:schemeClr val="bg1">
                              <a:lumMod val="90000"/>
                              <a:alpha val="8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62DC0">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1" name="五角星 41"/>
                        <wps:cNvSpPr/>
                        <wps:spPr>
                          <a:xfrm>
                            <a:off x="2287" y="2204895"/>
                            <a:ext cx="292" cy="292"/>
                          </a:xfrm>
                          <a:prstGeom prst="star5">
                            <a:avLst/>
                          </a:prstGeom>
                          <a:solidFill>
                            <a:srgbClr val="C0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EF310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3pt;margin-top:199.8pt;height:51.05pt;width:17.8pt;z-index:251680768;mso-width-relative:page;mso-height-relative:page;" coordorigin="2181,2203565" coordsize="490,1622" o:gfxdata="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">
                <o:lock v:ext="edit" aspectratio="f"/>
                <v:rect id="_x0000_s1026" o:spid="_x0000_s1026" o:spt="1" style="position:absolute;left:2188;top:2203999;height:223;width:474;v-text-anchor:middle;" fillcolor="#00B0F0" filled="t" stroked="t" coordsize="21600,21600" o:gfxdata="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fmpK/&#10;AAAA2wAAAA8AAAAAAAAAAQAgAAAAIgAAAGRycy9kb3ducmV2LnhtbFBLAQIUABQAAAAIAIdO4kAz&#10;LwWeOwAAADkAAAAQAAAAAAAAAAEAIAAAAA4BAABkcnMvc2hhcGV4bWwueG1sUEsFBgAAAAAGAAYA&#10;WwEAALgDAAAAAA==&#10;">
                  <v:fill on="t" opacity="29491f" focussize="0,0"/>
                  <v:stroke weight="0.25pt" color="#000000 [3213]" joinstyle="round"/>
                  <v:imagedata o:title=""/>
                  <o:lock v:ext="edit" aspectratio="f"/>
                  <v:textbox>
                    <w:txbxContent>
                      <w:p w14:paraId="4D2FC43F">
                        <w:pPr>
                          <w:jc w:val="center"/>
                        </w:pPr>
                      </w:p>
                    </w:txbxContent>
                  </v:textbox>
                </v:rect>
                <v:rect id="_x0000_s1026" o:spid="_x0000_s1026" o:spt="1" style="position:absolute;left:2186;top:2203565;height:223;width:474;v-text-anchor:middle;" fillcolor="#FF0000" filled="t" stroked="t" coordsize="21600,21600" o:gfxdata="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VChAvQAA&#10;ANsAAAAPAAAAAAAAAAEAIAAAACIAAABkcnMvZG93bnJldi54bWxQSwECFAAUAAAACACHTuJAMy8F&#10;njsAAAA5AAAAEAAAAAAAAAABACAAAAAMAQAAZHJzL3NoYXBleG1sLnhtbFBLBQYAAAAABgAGAFsB&#10;AAC2AwAAAAA=&#10;">
                  <v:fill on="t" opacity="52428f" focussize="0,0"/>
                  <v:stroke weight="0.25pt" color="#000000 [3213]" joinstyle="round"/>
                  <v:imagedata o:title=""/>
                  <o:lock v:ext="edit" aspectratio="f"/>
                  <v:textbox>
                    <w:txbxContent>
                      <w:p w14:paraId="124D660D">
                        <w:pPr>
                          <w:jc w:val="center"/>
                        </w:pPr>
                      </w:p>
                    </w:txbxContent>
                  </v:textbox>
                </v:rect>
                <v:rect id="_x0000_s1026" o:spid="_x0000_s1026" o:spt="1" style="position:absolute;left:2181;top:2204450;height:236;width:490;v-text-anchor:middle;" fillcolor="#E6E6E6 [2892]" filled="t" stroked="t" coordsize="21600,21600" o:gfxdata="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w/ANe8AAAA&#10;2wAAAA8AAAAAAAAAAQAgAAAAIgAAAGRycy9kb3ducmV2LnhtbFBLAQIUABQAAAAIAIdO4kAzLwWe&#10;OwAAADkAAAAQAAAAAAAAAAEAIAAAAAsBAABkcnMvc2hhcGV4bWwueG1sUEsFBgAAAAAGAAYAWwEA&#10;ALUDAAAAAA==&#10;">
                  <v:fill on="t" opacity="52428f" focussize="0,0"/>
                  <v:stroke weight="0.25pt" color="#000000 [3213]" joinstyle="round"/>
                  <v:imagedata o:title=""/>
                  <o:lock v:ext="edit" aspectratio="f"/>
                  <v:textbox>
                    <w:txbxContent>
                      <w:p w14:paraId="56E62DC0">
                        <w:pPr>
                          <w:jc w:val="center"/>
                        </w:pPr>
                      </w:p>
                    </w:txbxContent>
                  </v:textbox>
                </v:rect>
                <v:shape id="_x0000_s1026" o:spid="_x0000_s1026" style="position:absolute;left:2287;top:2204895;height:292;width:292;v-text-anchor:middle;" fillcolor="#C00000" filled="t" stroked="t" coordsize="292,292" o:gfxdata="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6zUmvQAA&#10;ANsAAAAPAAAAAAAAAAEAIAAAACIAAABkcnMvZG93bnJldi54bWxQSwECFAAUAAAACACHTuJAMy8F&#10;njsAAAA5AAAAEAAAAAAAAAABACAAAAAMAQAAZHJzL3NoYXBleG1sLnhtbFBLBQYAAAAABgAGAFsB&#10;AAC2AwAAAAA=&#10;" path="m0,111l111,111,146,0,180,111,291,111,201,180,236,291,146,223,55,291,90,180xe">
                  <v:path textboxrect="0,0,292,292" o:connectlocs="146,0;0,111;55,291;236,291;291,111" o:connectangles="247,164,82,82,0"/>
                  <v:fill on="t" focussize="0,0"/>
                  <v:stroke weight="0.25pt" color="#000000 [3213]" joinstyle="round"/>
                  <v:imagedata o:title=""/>
                  <o:lock v:ext="edit" aspectratio="f"/>
                  <v:textbox>
                    <w:txbxContent>
                      <w:p w14:paraId="17EF3104">
                        <w:pPr>
                          <w:jc w:val="center"/>
                        </w:pPr>
                      </w:p>
                    </w:txbxContent>
                  </v:textbox>
                </v:shape>
              </v:group>
            </w:pict>
          </mc:Fallback>
        </mc:AlternateContent>
      </w:r>
      <w:r>
        <w:rPr>
          <w:rFonts w:cs="Times New Roman"/>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-73025</wp:posOffset>
                </wp:positionH>
                <wp:positionV relativeFrom="paragraph">
                  <wp:posOffset>2282190</wp:posOffset>
                </wp:positionV>
                <wp:extent cx="1161415" cy="1364615"/>
                <wp:effectExtent l="4445" t="4445" r="15240" b="21590"/>
                <wp:wrapNone/>
                <wp:docPr id="36" name="文本框 36"/>
                <wp:cNvGraphicFramePr/>
                <a:graphic xmlns:a="http://schemas.openxmlformats.org/drawingml/2006/main">
                  <a:graphicData uri="http://schemas.microsoft.com/office/word/2010/wordprocessingShape">
                    <wps:wsp>
                      <wps:cNvSpPr txBox="1"/>
                      <wps:spPr>
                        <a:xfrm>
                          <a:off x="1280795" y="7923530"/>
                          <a:ext cx="1161415" cy="13646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46C545">
                            <w:pPr>
                              <w:spacing w:line="240" w:lineRule="auto"/>
                              <w:ind w:firstLine="0" w:firstLineChars="0"/>
                              <w:jc w:val="center"/>
                              <w:rPr>
                                <w:b/>
                                <w:bCs/>
                                <w:sz w:val="21"/>
                                <w:szCs w:val="20"/>
                              </w:rPr>
                            </w:pPr>
                            <w:r>
                              <w:rPr>
                                <w:rFonts w:hint="eastAsia"/>
                                <w:b/>
                                <w:bCs/>
                                <w:sz w:val="21"/>
                                <w:szCs w:val="20"/>
                              </w:rPr>
                              <w:t>图  例</w:t>
                            </w:r>
                          </w:p>
                          <w:p w14:paraId="2FC0205F">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重点防渗区</w:t>
                            </w:r>
                          </w:p>
                          <w:p w14:paraId="522D2F6E">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一般防渗区</w:t>
                            </w:r>
                          </w:p>
                          <w:p w14:paraId="64BF7AA3">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简单防渗区</w:t>
                            </w:r>
                          </w:p>
                          <w:p w14:paraId="204FF397">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地下水监测井</w:t>
                            </w:r>
                          </w:p>
                          <w:p w14:paraId="733B279E">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地下水流向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pt;margin-top:179.7pt;height:107.45pt;width:91.45pt;z-index:251679744;mso-width-relative:page;mso-height-relative:page;" fillcolor="#FFFFFF [3201]" filled="t" stroked="t" coordsize="21600,21600" o:gfxdata="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9TnHWdgAAAALAQAADwAAAAAAAAABACAAAAAiAAAAZHJzL2Rvd25yZXYueG1sUEsBAhQA&#10;FAAAAAgAh07iQGxp4YRkAgAAxgQAAA4AAAAAAAAAAQAgAAAAJwEAAGRycy9lMm9Eb2MueG1sUEsF&#10;BgAAAAAGAAYAWQEAAP0FAAAAAA==&#10;">
                <v:fill on="t" focussize="0,0"/>
                <v:stroke weight="0.5pt" color="#000000 [3204]" joinstyle="round"/>
                <v:imagedata o:title=""/>
                <o:lock v:ext="edit" aspectratio="f"/>
                <v:textbox>
                  <w:txbxContent>
                    <w:p w14:paraId="3A46C545">
                      <w:pPr>
                        <w:spacing w:line="240" w:lineRule="auto"/>
                        <w:ind w:firstLine="0" w:firstLineChars="0"/>
                        <w:jc w:val="center"/>
                        <w:rPr>
                          <w:b/>
                          <w:bCs/>
                          <w:sz w:val="21"/>
                          <w:szCs w:val="20"/>
                        </w:rPr>
                      </w:pPr>
                      <w:r>
                        <w:rPr>
                          <w:rFonts w:hint="eastAsia"/>
                          <w:b/>
                          <w:bCs/>
                          <w:sz w:val="21"/>
                          <w:szCs w:val="20"/>
                        </w:rPr>
                        <w:t>图  例</w:t>
                      </w:r>
                    </w:p>
                    <w:p w14:paraId="2FC0205F">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重点防渗区</w:t>
                      </w:r>
                    </w:p>
                    <w:p w14:paraId="522D2F6E">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一般防渗区</w:t>
                      </w:r>
                    </w:p>
                    <w:p w14:paraId="64BF7AA3">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简单防渗区</w:t>
                      </w:r>
                    </w:p>
                    <w:p w14:paraId="204FF397">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地下水监测井</w:t>
                      </w:r>
                    </w:p>
                    <w:p w14:paraId="733B279E">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0"/>
                        </w:rPr>
                      </w:pPr>
                      <w:r>
                        <w:rPr>
                          <w:rFonts w:hint="eastAsia"/>
                          <w:sz w:val="21"/>
                          <w:szCs w:val="20"/>
                        </w:rPr>
                        <w:t>地下水流向</w:t>
                      </w:r>
                    </w:p>
                  </w:txbxContent>
                </v:textbox>
              </v:shape>
            </w:pict>
          </mc:Fallback>
        </mc:AlternateContent>
      </w:r>
      <w:r>
        <w:rPr>
          <w:color w:val="auto"/>
          <w:highlight w:val="none"/>
        </w:rPr>
        <w:drawing>
          <wp:inline distT="0" distB="0" distL="114300" distR="114300">
            <wp:extent cx="5267960" cy="3710940"/>
            <wp:effectExtent l="0" t="0" r="8890" b="3810"/>
            <wp:docPr id="1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8"/>
                    <pic:cNvPicPr>
                      <a:picLocks noChangeAspect="1"/>
                    </pic:cNvPicPr>
                  </pic:nvPicPr>
                  <pic:blipFill>
                    <a:blip r:embed="rId53"/>
                    <a:stretch>
                      <a:fillRect/>
                    </a:stretch>
                  </pic:blipFill>
                  <pic:spPr>
                    <a:xfrm>
                      <a:off x="0" y="0"/>
                      <a:ext cx="5267960" cy="3710940"/>
                    </a:xfrm>
                    <a:prstGeom prst="rect">
                      <a:avLst/>
                    </a:prstGeom>
                    <a:noFill/>
                    <a:ln>
                      <a:noFill/>
                    </a:ln>
                  </pic:spPr>
                </pic:pic>
              </a:graphicData>
            </a:graphic>
          </wp:inline>
        </w:drawing>
      </w:r>
      <w:r>
        <w:rPr>
          <w:rFonts w:hint="eastAsia" w:cs="Times New Roman"/>
          <w:b/>
          <w:color w:val="auto"/>
          <w:sz w:val="21"/>
          <w:szCs w:val="21"/>
          <w:highlight w:val="none"/>
          <w:lang w:val="en-US" w:eastAsia="zh-CN"/>
        </w:rPr>
        <w:t xml:space="preserve"> </w:t>
      </w:r>
    </w:p>
    <w:p w14:paraId="090BF145">
      <w:pPr>
        <w:spacing w:line="240" w:lineRule="auto"/>
        <w:ind w:firstLine="0" w:firstLineChars="0"/>
        <w:jc w:val="center"/>
        <w:rPr>
          <w:rFonts w:cs="Times New Roman"/>
          <w:b/>
          <w:color w:val="auto"/>
          <w:szCs w:val="24"/>
          <w:highlight w:val="none"/>
        </w:rPr>
      </w:pPr>
      <w:r>
        <w:rPr>
          <w:rFonts w:cs="Times New Roman"/>
          <w:b/>
          <w:color w:val="auto"/>
          <w:szCs w:val="24"/>
          <w:highlight w:val="none"/>
        </w:rPr>
        <w:t>图6-2-1  分区防渗图</w:t>
      </w:r>
    </w:p>
    <w:p w14:paraId="1873B4C3">
      <w:pPr>
        <w:spacing w:line="500" w:lineRule="exact"/>
        <w:ind w:firstLine="482"/>
        <w:rPr>
          <w:rFonts w:cs="Times New Roman"/>
          <w:b/>
          <w:bCs/>
          <w:color w:val="auto"/>
          <w:szCs w:val="24"/>
          <w:highlight w:val="none"/>
        </w:rPr>
      </w:pPr>
      <w:r>
        <w:rPr>
          <w:rFonts w:cs="Times New Roman"/>
          <w:b/>
          <w:bCs/>
          <w:color w:val="auto"/>
          <w:szCs w:val="24"/>
          <w:highlight w:val="none"/>
        </w:rPr>
        <w:t>3、地下水监测</w:t>
      </w:r>
    </w:p>
    <w:p w14:paraId="172431D7">
      <w:pPr>
        <w:spacing w:line="500" w:lineRule="exact"/>
        <w:rPr>
          <w:rFonts w:hint="default" w:eastAsia="宋体" w:cs="Times New Roman"/>
          <w:color w:val="auto"/>
          <w:szCs w:val="24"/>
          <w:highlight w:val="none"/>
          <w:lang w:val="en-US" w:eastAsia="zh-CN"/>
        </w:rPr>
      </w:pPr>
      <w:r>
        <w:rPr>
          <w:rFonts w:cs="Times New Roman"/>
          <w:color w:val="auto"/>
          <w:szCs w:val="24"/>
          <w:highlight w:val="none"/>
        </w:rPr>
        <w:t>根据《环境影响评价技术导则 地下水环境》(HJ610-2016)对该项目所在区域地下水环境质量进行定期的监测，防止或最大限度的减轻项目对地下水环境的污染。</w:t>
      </w:r>
    </w:p>
    <w:p w14:paraId="39F9D478">
      <w:pPr>
        <w:spacing w:line="500" w:lineRule="exact"/>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（1）监测点：设置监测水井一口，地下水监测井设置在厂内</w:t>
      </w:r>
      <w:r>
        <w:rPr>
          <w:rFonts w:hint="eastAsia" w:ascii="Times New Roman" w:hAnsi="Times New Roman" w:eastAsia="宋体" w:cs="Times New Roman"/>
          <w:color w:val="auto"/>
          <w:szCs w:val="24"/>
          <w:highlight w:val="none"/>
          <w:lang w:eastAsia="zh-CN"/>
        </w:rPr>
        <w:t>，</w:t>
      </w:r>
      <w:r>
        <w:rPr>
          <w:rFonts w:ascii="Times New Roman" w:hAnsi="Times New Roman" w:eastAsia="宋体" w:cs="Times New Roman"/>
          <w:color w:val="auto"/>
          <w:szCs w:val="24"/>
          <w:highlight w:val="none"/>
        </w:rPr>
        <w:t>并设在地下水流向的下游</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位于</w:t>
      </w:r>
      <w:r>
        <w:rPr>
          <w:rFonts w:hint="eastAsia" w:cs="Times New Roman"/>
          <w:color w:val="auto"/>
          <w:szCs w:val="24"/>
          <w:highlight w:val="none"/>
          <w:lang w:val="en-US" w:eastAsia="zh-CN"/>
        </w:rPr>
        <w:t>门卫西侧</w:t>
      </w:r>
      <w:r>
        <w:rPr>
          <w:rFonts w:ascii="Times New Roman" w:hAnsi="Times New Roman" w:eastAsia="宋体" w:cs="Times New Roman"/>
          <w:color w:val="auto"/>
          <w:szCs w:val="24"/>
          <w:highlight w:val="none"/>
        </w:rPr>
        <w:t>（跟踪监测井位置见图6-2-1）。</w:t>
      </w:r>
    </w:p>
    <w:p w14:paraId="3824999C">
      <w:pPr>
        <w:keepNext w:val="0"/>
        <w:keepLines w:val="0"/>
        <w:pageBreakBefore w:val="0"/>
        <w:widowControl w:val="0"/>
        <w:kinsoku/>
        <w:wordWrap/>
        <w:overflowPunct/>
        <w:topLinePunct w:val="0"/>
        <w:autoSpaceDE/>
        <w:autoSpaceDN/>
        <w:bidi w:val="0"/>
        <w:adjustRightInd w:val="0"/>
        <w:snapToGrid w:val="0"/>
        <w:spacing w:before="164" w:beforeLines="50" w:line="240" w:lineRule="auto"/>
        <w:ind w:firstLine="0" w:firstLineChars="0"/>
        <w:jc w:val="center"/>
        <w:textAlignment w:val="auto"/>
        <w:rPr>
          <w:rFonts w:cs="Times New Roman"/>
          <w:b/>
          <w:color w:val="auto"/>
          <w:szCs w:val="24"/>
          <w:highlight w:val="none"/>
        </w:rPr>
      </w:pPr>
      <w:r>
        <w:rPr>
          <w:rFonts w:cs="Times New Roman"/>
          <w:b/>
          <w:color w:val="auto"/>
          <w:szCs w:val="24"/>
          <w:highlight w:val="none"/>
        </w:rPr>
        <w:t>表6-2-7  地下水环境监测点一览表</w:t>
      </w:r>
    </w:p>
    <w:tbl>
      <w:tblPr>
        <w:tblStyle w:val="47"/>
        <w:tblW w:w="839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286"/>
        <w:gridCol w:w="840"/>
        <w:gridCol w:w="1664"/>
        <w:gridCol w:w="1745"/>
        <w:gridCol w:w="816"/>
        <w:gridCol w:w="1013"/>
        <w:gridCol w:w="1033"/>
      </w:tblGrid>
      <w:tr w14:paraId="0C9BE7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72" w:hRule="atLeast"/>
          <w:jc w:val="center"/>
        </w:trPr>
        <w:tc>
          <w:tcPr>
            <w:tcW w:w="1286" w:type="dxa"/>
            <w:vAlign w:val="center"/>
          </w:tcPr>
          <w:p w14:paraId="09B9F226">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点位</w:t>
            </w:r>
          </w:p>
        </w:tc>
        <w:tc>
          <w:tcPr>
            <w:tcW w:w="840" w:type="dxa"/>
            <w:vAlign w:val="center"/>
          </w:tcPr>
          <w:p w14:paraId="37A19973">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功能</w:t>
            </w:r>
          </w:p>
        </w:tc>
        <w:tc>
          <w:tcPr>
            <w:tcW w:w="1664" w:type="dxa"/>
            <w:vAlign w:val="center"/>
          </w:tcPr>
          <w:p w14:paraId="78F268F0">
            <w:pPr>
              <w:spacing w:line="360" w:lineRule="exact"/>
              <w:ind w:firstLine="0" w:firstLineChars="0"/>
              <w:jc w:val="center"/>
              <w:rPr>
                <w:rFonts w:cs="Times New Roman"/>
                <w:color w:val="auto"/>
                <w:kern w:val="0"/>
                <w:sz w:val="21"/>
                <w:szCs w:val="21"/>
                <w:highlight w:val="none"/>
              </w:rPr>
            </w:pPr>
            <w:r>
              <w:rPr>
                <w:rFonts w:cs="Times New Roman"/>
                <w:color w:val="auto"/>
                <w:sz w:val="21"/>
                <w:szCs w:val="21"/>
                <w:highlight w:val="none"/>
              </w:rPr>
              <w:t>坐标</w:t>
            </w:r>
          </w:p>
        </w:tc>
        <w:tc>
          <w:tcPr>
            <w:tcW w:w="1745" w:type="dxa"/>
            <w:tcMar>
              <w:top w:w="28" w:type="dxa"/>
              <w:left w:w="28" w:type="dxa"/>
              <w:bottom w:w="28" w:type="dxa"/>
              <w:right w:w="28" w:type="dxa"/>
            </w:tcMar>
            <w:vAlign w:val="center"/>
          </w:tcPr>
          <w:p w14:paraId="1C4FDF6C">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监测因子</w:t>
            </w:r>
          </w:p>
        </w:tc>
        <w:tc>
          <w:tcPr>
            <w:tcW w:w="816" w:type="dxa"/>
            <w:tcMar>
              <w:top w:w="28" w:type="dxa"/>
              <w:left w:w="28" w:type="dxa"/>
              <w:bottom w:w="28" w:type="dxa"/>
              <w:right w:w="28" w:type="dxa"/>
            </w:tcMar>
            <w:vAlign w:val="center"/>
          </w:tcPr>
          <w:p w14:paraId="70E6A3DB">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井深</w:t>
            </w:r>
          </w:p>
        </w:tc>
        <w:tc>
          <w:tcPr>
            <w:tcW w:w="1013" w:type="dxa"/>
            <w:tcMar>
              <w:top w:w="28" w:type="dxa"/>
              <w:left w:w="28" w:type="dxa"/>
              <w:bottom w:w="28" w:type="dxa"/>
              <w:right w:w="28" w:type="dxa"/>
            </w:tcMar>
            <w:vAlign w:val="center"/>
          </w:tcPr>
          <w:p w14:paraId="4663C252">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监测层位</w:t>
            </w:r>
          </w:p>
        </w:tc>
        <w:tc>
          <w:tcPr>
            <w:tcW w:w="1033" w:type="dxa"/>
            <w:vAlign w:val="center"/>
          </w:tcPr>
          <w:p w14:paraId="34987A3E">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监测频次</w:t>
            </w:r>
          </w:p>
        </w:tc>
      </w:tr>
      <w:tr w14:paraId="12416A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014" w:hRule="atLeast"/>
          <w:jc w:val="center"/>
        </w:trPr>
        <w:tc>
          <w:tcPr>
            <w:tcW w:w="1286" w:type="dxa"/>
            <w:vAlign w:val="center"/>
          </w:tcPr>
          <w:p w14:paraId="1C8A18D3">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门卫西侧</w:t>
            </w:r>
            <w:r>
              <w:rPr>
                <w:rFonts w:cs="Times New Roman"/>
                <w:color w:val="auto"/>
                <w:sz w:val="21"/>
                <w:szCs w:val="21"/>
                <w:highlight w:val="none"/>
              </w:rPr>
              <w:t>（</w:t>
            </w:r>
            <w:r>
              <w:rPr>
                <w:rFonts w:hint="eastAsia" w:cs="Times New Roman"/>
                <w:color w:val="auto"/>
                <w:sz w:val="21"/>
                <w:szCs w:val="21"/>
                <w:highlight w:val="none"/>
                <w:lang w:val="en-US" w:eastAsia="zh-CN"/>
              </w:rPr>
              <w:t>厂区地下水流向</w:t>
            </w:r>
            <w:r>
              <w:rPr>
                <w:rFonts w:cs="Times New Roman"/>
                <w:color w:val="auto"/>
                <w:sz w:val="21"/>
                <w:szCs w:val="21"/>
                <w:highlight w:val="none"/>
              </w:rPr>
              <w:t>下游）</w:t>
            </w:r>
          </w:p>
        </w:tc>
        <w:tc>
          <w:tcPr>
            <w:tcW w:w="840" w:type="dxa"/>
            <w:vAlign w:val="center"/>
          </w:tcPr>
          <w:p w14:paraId="3702F21E">
            <w:pPr>
              <w:spacing w:line="360" w:lineRule="exact"/>
              <w:ind w:firstLine="0" w:firstLineChars="0"/>
              <w:jc w:val="center"/>
              <w:rPr>
                <w:rFonts w:cs="Times New Roman"/>
                <w:smallCaps/>
                <w:color w:val="auto"/>
                <w:kern w:val="0"/>
                <w:sz w:val="21"/>
                <w:szCs w:val="21"/>
                <w:highlight w:val="none"/>
              </w:rPr>
            </w:pPr>
            <w:r>
              <w:rPr>
                <w:rFonts w:cs="Times New Roman"/>
                <w:smallCaps/>
                <w:color w:val="auto"/>
                <w:kern w:val="0"/>
                <w:sz w:val="21"/>
                <w:szCs w:val="21"/>
                <w:highlight w:val="none"/>
              </w:rPr>
              <w:t>跟踪监测井</w:t>
            </w:r>
          </w:p>
        </w:tc>
        <w:tc>
          <w:tcPr>
            <w:tcW w:w="1664" w:type="dxa"/>
            <w:vAlign w:val="center"/>
          </w:tcPr>
          <w:p w14:paraId="50337D81">
            <w:pPr>
              <w:spacing w:line="360" w:lineRule="exact"/>
              <w:ind w:firstLine="0" w:firstLineChars="0"/>
              <w:jc w:val="center"/>
              <w:rPr>
                <w:rFonts w:hint="eastAsia" w:eastAsia="宋体" w:cs="Times New Roman"/>
                <w:smallCaps/>
                <w:color w:val="auto"/>
                <w:kern w:val="0"/>
                <w:sz w:val="21"/>
                <w:szCs w:val="21"/>
                <w:highlight w:val="none"/>
                <w:lang w:val="en-US" w:eastAsia="zh-CN"/>
              </w:rPr>
            </w:pPr>
            <w:r>
              <w:rPr>
                <w:rFonts w:hint="eastAsia" w:cs="Times New Roman"/>
                <w:smallCaps/>
                <w:color w:val="auto"/>
                <w:kern w:val="0"/>
                <w:sz w:val="21"/>
                <w:szCs w:val="21"/>
                <w:highlight w:val="none"/>
                <w:lang w:val="en-US" w:eastAsia="zh-CN"/>
              </w:rPr>
              <w:t>E</w:t>
            </w:r>
            <w:r>
              <w:rPr>
                <w:rFonts w:hint="eastAsia" w:cs="Times New Roman"/>
                <w:smallCaps/>
                <w:color w:val="auto"/>
                <w:kern w:val="0"/>
                <w:sz w:val="21"/>
                <w:szCs w:val="21"/>
                <w:highlight w:val="none"/>
              </w:rPr>
              <w:t>131.148871</w:t>
            </w:r>
            <w:r>
              <w:rPr>
                <w:rFonts w:hint="eastAsia" w:cs="Times New Roman"/>
                <w:smallCaps/>
                <w:color w:val="auto"/>
                <w:kern w:val="0"/>
                <w:sz w:val="21"/>
                <w:szCs w:val="21"/>
                <w:highlight w:val="none"/>
                <w:lang w:val="en-US" w:eastAsia="zh-CN"/>
              </w:rPr>
              <w:t>°</w:t>
            </w:r>
          </w:p>
          <w:p w14:paraId="6067EAF8">
            <w:pPr>
              <w:spacing w:line="360" w:lineRule="exact"/>
              <w:ind w:firstLine="0" w:firstLineChars="0"/>
              <w:jc w:val="center"/>
              <w:rPr>
                <w:rFonts w:hint="eastAsia" w:eastAsia="宋体" w:cs="Times New Roman"/>
                <w:smallCaps/>
                <w:color w:val="auto"/>
                <w:kern w:val="0"/>
                <w:sz w:val="21"/>
                <w:szCs w:val="21"/>
                <w:highlight w:val="none"/>
                <w:lang w:val="en-US" w:eastAsia="zh-CN"/>
              </w:rPr>
            </w:pPr>
            <w:r>
              <w:rPr>
                <w:rFonts w:hint="eastAsia" w:cs="Times New Roman"/>
                <w:smallCaps/>
                <w:color w:val="auto"/>
                <w:kern w:val="0"/>
                <w:sz w:val="21"/>
                <w:szCs w:val="21"/>
                <w:highlight w:val="none"/>
                <w:lang w:val="en-US" w:eastAsia="zh-CN"/>
              </w:rPr>
              <w:t>N</w:t>
            </w:r>
            <w:r>
              <w:rPr>
                <w:rFonts w:hint="eastAsia" w:cs="Times New Roman"/>
                <w:smallCaps/>
                <w:color w:val="auto"/>
                <w:kern w:val="0"/>
                <w:sz w:val="21"/>
                <w:szCs w:val="21"/>
                <w:highlight w:val="none"/>
              </w:rPr>
              <w:t>46.558715</w:t>
            </w:r>
            <w:r>
              <w:rPr>
                <w:rFonts w:hint="eastAsia" w:cs="Times New Roman"/>
                <w:smallCaps/>
                <w:color w:val="auto"/>
                <w:kern w:val="0"/>
                <w:sz w:val="21"/>
                <w:szCs w:val="21"/>
                <w:highlight w:val="none"/>
                <w:lang w:val="en-US" w:eastAsia="zh-CN"/>
              </w:rPr>
              <w:t>°</w:t>
            </w:r>
          </w:p>
        </w:tc>
        <w:tc>
          <w:tcPr>
            <w:tcW w:w="1745" w:type="dxa"/>
            <w:tcMar>
              <w:top w:w="28" w:type="dxa"/>
              <w:left w:w="28" w:type="dxa"/>
              <w:bottom w:w="28" w:type="dxa"/>
              <w:right w:w="28" w:type="dxa"/>
            </w:tcMar>
            <w:vAlign w:val="center"/>
          </w:tcPr>
          <w:p w14:paraId="1EFFFD5D">
            <w:pPr>
              <w:spacing w:line="360" w:lineRule="exact"/>
              <w:ind w:firstLine="0" w:firstLineChars="0"/>
              <w:jc w:val="center"/>
              <w:rPr>
                <w:rFonts w:cs="Times New Roman"/>
                <w:color w:val="auto"/>
                <w:kern w:val="0"/>
                <w:sz w:val="21"/>
                <w:szCs w:val="21"/>
                <w:highlight w:val="none"/>
              </w:rPr>
            </w:pPr>
            <w:r>
              <w:rPr>
                <w:rFonts w:cs="Times New Roman"/>
                <w:color w:val="auto"/>
                <w:sz w:val="21"/>
                <w:szCs w:val="21"/>
                <w:highlight w:val="none"/>
              </w:rPr>
              <w:t>pH值、挥发酚、总硬度、溶解性总固体、氨氮、硫酸盐、氯化物、硝酸盐、耗氧量等</w:t>
            </w:r>
          </w:p>
        </w:tc>
        <w:tc>
          <w:tcPr>
            <w:tcW w:w="816" w:type="dxa"/>
            <w:tcMar>
              <w:top w:w="28" w:type="dxa"/>
              <w:left w:w="28" w:type="dxa"/>
              <w:bottom w:w="28" w:type="dxa"/>
              <w:right w:w="28" w:type="dxa"/>
            </w:tcMar>
            <w:vAlign w:val="center"/>
          </w:tcPr>
          <w:p w14:paraId="7DAF20FD">
            <w:pPr>
              <w:spacing w:line="360" w:lineRule="exact"/>
              <w:ind w:firstLine="0" w:firstLineChars="0"/>
              <w:jc w:val="center"/>
              <w:rPr>
                <w:rFonts w:cs="Times New Roman"/>
                <w:color w:val="auto"/>
                <w:kern w:val="24"/>
                <w:sz w:val="21"/>
                <w:szCs w:val="21"/>
                <w:highlight w:val="none"/>
              </w:rPr>
            </w:pPr>
            <w:r>
              <w:rPr>
                <w:rFonts w:cs="Times New Roman"/>
                <w:color w:val="auto"/>
                <w:kern w:val="24"/>
                <w:sz w:val="21"/>
                <w:szCs w:val="21"/>
                <w:highlight w:val="none"/>
              </w:rPr>
              <w:t>20m</w:t>
            </w:r>
          </w:p>
        </w:tc>
        <w:tc>
          <w:tcPr>
            <w:tcW w:w="1013" w:type="dxa"/>
            <w:tcMar>
              <w:top w:w="28" w:type="dxa"/>
              <w:left w:w="28" w:type="dxa"/>
              <w:bottom w:w="28" w:type="dxa"/>
              <w:right w:w="28" w:type="dxa"/>
            </w:tcMar>
            <w:vAlign w:val="center"/>
          </w:tcPr>
          <w:p w14:paraId="3189A867">
            <w:pPr>
              <w:spacing w:line="360" w:lineRule="exact"/>
              <w:ind w:firstLine="0" w:firstLineChars="0"/>
              <w:jc w:val="center"/>
              <w:rPr>
                <w:rFonts w:cs="Times New Roman"/>
                <w:color w:val="auto"/>
                <w:kern w:val="24"/>
                <w:sz w:val="21"/>
                <w:szCs w:val="21"/>
                <w:highlight w:val="none"/>
              </w:rPr>
            </w:pPr>
            <w:r>
              <w:rPr>
                <w:rFonts w:cs="Times New Roman"/>
                <w:color w:val="auto"/>
                <w:kern w:val="24"/>
                <w:sz w:val="21"/>
                <w:szCs w:val="21"/>
                <w:highlight w:val="none"/>
              </w:rPr>
              <w:t>潜水</w:t>
            </w:r>
          </w:p>
        </w:tc>
        <w:tc>
          <w:tcPr>
            <w:tcW w:w="1033" w:type="dxa"/>
            <w:vAlign w:val="center"/>
          </w:tcPr>
          <w:p w14:paraId="0348B47C">
            <w:pPr>
              <w:spacing w:line="360" w:lineRule="exact"/>
              <w:ind w:firstLine="0" w:firstLineChars="0"/>
              <w:jc w:val="center"/>
              <w:rPr>
                <w:rFonts w:cs="Times New Roman"/>
                <w:color w:val="auto"/>
                <w:kern w:val="0"/>
                <w:sz w:val="21"/>
                <w:szCs w:val="21"/>
                <w:highlight w:val="none"/>
              </w:rPr>
            </w:pPr>
            <w:r>
              <w:rPr>
                <w:rFonts w:cs="Times New Roman"/>
                <w:color w:val="auto"/>
                <w:kern w:val="0"/>
                <w:sz w:val="21"/>
                <w:szCs w:val="21"/>
                <w:highlight w:val="none"/>
              </w:rPr>
              <w:t>1次/年</w:t>
            </w:r>
          </w:p>
        </w:tc>
      </w:tr>
    </w:tbl>
    <w:p w14:paraId="7F5F5476">
      <w:pPr>
        <w:spacing w:line="500" w:lineRule="exact"/>
        <w:rPr>
          <w:rFonts w:cs="Times New Roman"/>
          <w:color w:val="auto"/>
          <w:szCs w:val="24"/>
          <w:highlight w:val="none"/>
        </w:rPr>
      </w:pPr>
      <w:r>
        <w:rPr>
          <w:rFonts w:hint="eastAsia" w:cs="Times New Roman"/>
          <w:color w:val="auto"/>
          <w:szCs w:val="24"/>
          <w:highlight w:val="none"/>
          <w:lang w:eastAsia="zh-CN"/>
        </w:rPr>
        <w:t>（</w:t>
      </w:r>
      <w:r>
        <w:rPr>
          <w:rFonts w:hint="eastAsia" w:cs="Times New Roman"/>
          <w:color w:val="auto"/>
          <w:szCs w:val="24"/>
          <w:highlight w:val="none"/>
          <w:lang w:val="en-US" w:eastAsia="zh-CN"/>
        </w:rPr>
        <w:t>2</w:t>
      </w:r>
      <w:r>
        <w:rPr>
          <w:rFonts w:hint="eastAsia" w:cs="Times New Roman"/>
          <w:color w:val="auto"/>
          <w:szCs w:val="24"/>
          <w:highlight w:val="none"/>
          <w:lang w:eastAsia="zh-CN"/>
        </w:rPr>
        <w:t>）</w:t>
      </w:r>
      <w:r>
        <w:rPr>
          <w:rFonts w:cs="Times New Roman"/>
          <w:color w:val="auto"/>
          <w:szCs w:val="24"/>
          <w:highlight w:val="none"/>
        </w:rPr>
        <w:t>监测频率：在正常工况下，每年监测一次。发生事故后应加密监测，直到污染消除。</w:t>
      </w:r>
    </w:p>
    <w:p w14:paraId="5B0614C0">
      <w:pPr>
        <w:spacing w:line="500" w:lineRule="exact"/>
        <w:rPr>
          <w:rFonts w:cs="Times New Roman"/>
          <w:color w:val="auto"/>
          <w:szCs w:val="24"/>
          <w:highlight w:val="none"/>
        </w:rPr>
      </w:pPr>
      <w:r>
        <w:rPr>
          <w:rFonts w:hint="eastAsia" w:cs="Times New Roman"/>
          <w:color w:val="auto"/>
          <w:szCs w:val="24"/>
          <w:highlight w:val="none"/>
          <w:lang w:eastAsia="zh-CN"/>
        </w:rPr>
        <w:t>（</w:t>
      </w:r>
      <w:r>
        <w:rPr>
          <w:rFonts w:hint="eastAsia" w:cs="Times New Roman"/>
          <w:color w:val="auto"/>
          <w:szCs w:val="24"/>
          <w:highlight w:val="none"/>
          <w:lang w:val="en-US" w:eastAsia="zh-CN"/>
        </w:rPr>
        <w:t>3</w:t>
      </w:r>
      <w:r>
        <w:rPr>
          <w:rFonts w:hint="eastAsia" w:cs="Times New Roman"/>
          <w:color w:val="auto"/>
          <w:szCs w:val="24"/>
          <w:highlight w:val="none"/>
          <w:lang w:eastAsia="zh-CN"/>
        </w:rPr>
        <w:t>）</w:t>
      </w:r>
      <w:r>
        <w:rPr>
          <w:rFonts w:cs="Times New Roman"/>
          <w:color w:val="auto"/>
          <w:szCs w:val="24"/>
          <w:highlight w:val="none"/>
        </w:rPr>
        <w:t>检测项目：根据工程分析，污染源产生的污水特征，确定地下水监测项目为：pH值、挥发酚、总硬度、溶解性总固体、氨氮、硫酸盐、氯化物、硝酸盐、耗氧量等。同时监测地下水位。</w:t>
      </w:r>
    </w:p>
    <w:p w14:paraId="7263B3DD">
      <w:pPr>
        <w:spacing w:line="500" w:lineRule="exact"/>
        <w:ind w:firstLine="482"/>
        <w:rPr>
          <w:rFonts w:cs="Times New Roman"/>
          <w:b/>
          <w:bCs/>
          <w:color w:val="auto"/>
          <w:szCs w:val="24"/>
          <w:highlight w:val="none"/>
        </w:rPr>
      </w:pPr>
      <w:bookmarkStart w:id="365" w:name="_Toc337581621"/>
      <w:bookmarkStart w:id="366" w:name="_Toc331258021"/>
      <w:r>
        <w:rPr>
          <w:rFonts w:cs="Times New Roman"/>
          <w:b/>
          <w:bCs/>
          <w:color w:val="auto"/>
          <w:szCs w:val="24"/>
          <w:highlight w:val="none"/>
        </w:rPr>
        <w:t>4、监测数据管理</w:t>
      </w:r>
      <w:bookmarkEnd w:id="365"/>
      <w:bookmarkEnd w:id="366"/>
      <w:r>
        <w:rPr>
          <w:rFonts w:cs="Times New Roman"/>
          <w:b/>
          <w:bCs/>
          <w:color w:val="auto"/>
          <w:szCs w:val="24"/>
          <w:highlight w:val="none"/>
        </w:rPr>
        <w:t>与信息公开计划</w:t>
      </w:r>
    </w:p>
    <w:p w14:paraId="412F83E1">
      <w:pPr>
        <w:spacing w:line="500" w:lineRule="exact"/>
        <w:rPr>
          <w:rFonts w:cs="Times New Roman"/>
          <w:color w:val="auto"/>
          <w:szCs w:val="24"/>
          <w:highlight w:val="none"/>
        </w:rPr>
      </w:pPr>
      <w:r>
        <w:rPr>
          <w:rFonts w:cs="Times New Roman"/>
          <w:color w:val="auto"/>
          <w:szCs w:val="24"/>
          <w:highlight w:val="none"/>
        </w:rPr>
        <w:t>上述监测结果应按项目有关规定及时建立档案，并定期向厂内安全环保部门汇报，对于常规监测数据应该进行公开，特别是对项目所在区域的居民进行公开，满足法律中关于知情权的要求。如发现异常或发生事故，加密监测频次，改为每天监测一次，并分析污染原因，确定泄漏污染源，及时采取对应应急措施。在1天内向环境保护主管部门报告，在5个工作日内提供厂内的初始环境报告，包括责任人的名称和电话号码，泄漏物的类型、体积和地下水污染物浓度，采取应急响应措施。</w:t>
      </w:r>
    </w:p>
    <w:p w14:paraId="278C3BA3">
      <w:pPr>
        <w:spacing w:line="500" w:lineRule="exact"/>
        <w:ind w:firstLine="482"/>
        <w:rPr>
          <w:rFonts w:cs="Times New Roman"/>
          <w:b/>
          <w:bCs/>
          <w:color w:val="auto"/>
          <w:szCs w:val="24"/>
          <w:highlight w:val="none"/>
        </w:rPr>
      </w:pPr>
      <w:bookmarkStart w:id="367" w:name="_Toc295335075"/>
      <w:bookmarkStart w:id="368" w:name="_Toc337581622"/>
      <w:bookmarkStart w:id="369" w:name="_Toc331258022"/>
      <w:r>
        <w:rPr>
          <w:rFonts w:cs="Times New Roman"/>
          <w:b/>
          <w:bCs/>
          <w:color w:val="auto"/>
          <w:szCs w:val="24"/>
          <w:highlight w:val="none"/>
        </w:rPr>
        <w:t>5、风险事故应急措施</w:t>
      </w:r>
      <w:bookmarkEnd w:id="367"/>
      <w:bookmarkEnd w:id="368"/>
      <w:bookmarkEnd w:id="369"/>
    </w:p>
    <w:p w14:paraId="4EE822E9">
      <w:pPr>
        <w:spacing w:line="500" w:lineRule="exact"/>
        <w:rPr>
          <w:rFonts w:cs="Times New Roman"/>
          <w:color w:val="auto"/>
          <w:szCs w:val="24"/>
          <w:highlight w:val="none"/>
        </w:rPr>
      </w:pPr>
      <w:r>
        <w:rPr>
          <w:rFonts w:cs="Times New Roman"/>
          <w:color w:val="auto"/>
          <w:szCs w:val="24"/>
          <w:highlight w:val="none"/>
        </w:rPr>
        <w:t>为了防止风险事故状态下对地下水产生污染，本次评价采用水力控制措施应对，一旦事故状态下产生地下水污染，厂区下游监测井启动抽水，形成降落漏斗，形成水力调控屏障，以降低或消除对厂区以外的下游地下水的影响。</w:t>
      </w:r>
    </w:p>
    <w:p w14:paraId="41C47D5B">
      <w:pPr>
        <w:spacing w:line="500" w:lineRule="exact"/>
        <w:ind w:firstLine="482"/>
        <w:rPr>
          <w:rFonts w:cs="Times New Roman"/>
          <w:b/>
          <w:bCs/>
          <w:color w:val="auto"/>
          <w:szCs w:val="24"/>
          <w:highlight w:val="none"/>
        </w:rPr>
      </w:pPr>
      <w:bookmarkStart w:id="370" w:name="_Toc337581623"/>
      <w:bookmarkStart w:id="371" w:name="_Toc295335076"/>
      <w:bookmarkStart w:id="372" w:name="_Toc331258023"/>
      <w:r>
        <w:rPr>
          <w:rFonts w:cs="Times New Roman"/>
          <w:b/>
          <w:bCs/>
          <w:color w:val="auto"/>
          <w:szCs w:val="24"/>
          <w:highlight w:val="none"/>
        </w:rPr>
        <w:t>6、污染防治措施技术可行性与经济合理性分析</w:t>
      </w:r>
      <w:bookmarkEnd w:id="370"/>
      <w:bookmarkEnd w:id="371"/>
      <w:bookmarkEnd w:id="372"/>
    </w:p>
    <w:p w14:paraId="0F102F10">
      <w:pPr>
        <w:spacing w:line="500" w:lineRule="exact"/>
        <w:rPr>
          <w:rFonts w:cs="Times New Roman"/>
          <w:color w:val="auto"/>
          <w:szCs w:val="24"/>
          <w:highlight w:val="none"/>
        </w:rPr>
      </w:pPr>
      <w:r>
        <w:rPr>
          <w:rFonts w:cs="Times New Roman"/>
          <w:color w:val="auto"/>
          <w:szCs w:val="24"/>
          <w:highlight w:val="none"/>
        </w:rPr>
        <w:t>拟建项目区地表具有较好的防污性能。通过对地下水环境影响预测结果分析可知，本项目对地下水环境的影响主要来自事故风险。针对该风险，本次评价提出了防渗、监测及水力控制的应急措施，上述措施均为成熟技术。因此，本次环评提出的措施在经济上是合理的，在技术上是可行的。</w:t>
      </w:r>
    </w:p>
    <w:p w14:paraId="22B25B79">
      <w:pPr>
        <w:pStyle w:val="4"/>
        <w:spacing w:after="163"/>
        <w:rPr>
          <w:rFonts w:cs="Times New Roman"/>
          <w:color w:val="auto"/>
          <w:highlight w:val="none"/>
        </w:rPr>
      </w:pPr>
      <w:bookmarkStart w:id="373" w:name="_Toc83525152"/>
      <w:bookmarkStart w:id="374" w:name="_Toc98920179"/>
      <w:bookmarkStart w:id="375" w:name="_Toc74537251"/>
      <w:bookmarkStart w:id="376" w:name="_Toc30790"/>
      <w:r>
        <w:rPr>
          <w:rFonts w:cs="Times New Roman"/>
          <w:color w:val="auto"/>
          <w:highlight w:val="none"/>
        </w:rPr>
        <w:t>6.2.4</w:t>
      </w:r>
      <w:bookmarkEnd w:id="373"/>
      <w:bookmarkEnd w:id="374"/>
      <w:bookmarkEnd w:id="375"/>
      <w:bookmarkStart w:id="377" w:name="_Hlt83525200"/>
      <w:bookmarkEnd w:id="377"/>
      <w:r>
        <w:rPr>
          <w:rFonts w:cs="Times New Roman"/>
          <w:color w:val="auto"/>
          <w:highlight w:val="none"/>
        </w:rPr>
        <w:t>噪声环境保护措施</w:t>
      </w:r>
      <w:bookmarkEnd w:id="376"/>
    </w:p>
    <w:p w14:paraId="527B7DC3">
      <w:pPr>
        <w:spacing w:line="500" w:lineRule="exact"/>
        <w:rPr>
          <w:rFonts w:cs="Times New Roman"/>
          <w:color w:val="auto"/>
          <w:szCs w:val="24"/>
          <w:highlight w:val="none"/>
        </w:rPr>
      </w:pPr>
      <w:r>
        <w:rPr>
          <w:rFonts w:cs="Times New Roman"/>
          <w:color w:val="auto"/>
          <w:szCs w:val="24"/>
          <w:highlight w:val="none"/>
        </w:rPr>
        <w:t>本项目运营期噪声主要为设备噪声和牛、羊嚎叫，项目运营期采取的降噪措施主要为厂房隔声、选用低噪声设备、安装减振垫、消声器等。具体防治措施如下：</w:t>
      </w:r>
    </w:p>
    <w:p w14:paraId="34C3B522">
      <w:pPr>
        <w:spacing w:line="500" w:lineRule="exact"/>
        <w:rPr>
          <w:rFonts w:cs="Times New Roman"/>
          <w:color w:val="auto"/>
          <w:szCs w:val="24"/>
          <w:highlight w:val="none"/>
        </w:rPr>
      </w:pPr>
      <w:r>
        <w:rPr>
          <w:rFonts w:cs="Times New Roman"/>
          <w:color w:val="auto"/>
          <w:szCs w:val="24"/>
          <w:highlight w:val="none"/>
        </w:rPr>
        <w:t>（1）在设备选型时选用先进的低噪声设备，项目首先选用低噪声风机，风机安装时采取减振基础、软管连接并搞好动平衡。选择低噪声泵类，安装时要采取减振基础，泵房用吸声墙体及顶棚，并利用建筑物整体隔声。</w:t>
      </w:r>
    </w:p>
    <w:p w14:paraId="38C0ABC8">
      <w:pPr>
        <w:spacing w:line="500" w:lineRule="exact"/>
        <w:rPr>
          <w:rFonts w:cs="Times New Roman"/>
          <w:color w:val="auto"/>
          <w:szCs w:val="24"/>
          <w:highlight w:val="none"/>
        </w:rPr>
      </w:pPr>
      <w:r>
        <w:rPr>
          <w:rFonts w:cs="Times New Roman"/>
          <w:color w:val="auto"/>
          <w:szCs w:val="24"/>
          <w:highlight w:val="none"/>
        </w:rPr>
        <w:t>（2）总图合理布局，在满足工艺要求的前提下，考虑将高噪声设备集中布置，在总平面布置时做到远离厂界以减少高噪声源对厂界外环境的影响；同时设计中，尽量做到高噪声车间与非噪声产生的工作场所闹静分开。</w:t>
      </w:r>
    </w:p>
    <w:p w14:paraId="79E5C0F6">
      <w:pPr>
        <w:spacing w:line="500" w:lineRule="exact"/>
        <w:rPr>
          <w:rFonts w:cs="Times New Roman"/>
          <w:color w:val="auto"/>
          <w:szCs w:val="24"/>
          <w:highlight w:val="none"/>
        </w:rPr>
      </w:pPr>
      <w:r>
        <w:rPr>
          <w:rFonts w:cs="Times New Roman"/>
          <w:color w:val="auto"/>
          <w:szCs w:val="24"/>
          <w:highlight w:val="none"/>
        </w:rPr>
        <w:t>（3）为了减少牛、羊嚎叫声对操作工人及周围环境的影响，建议该项目屠宰车间的屋顶及四壁设吸声材料，同时应减少外界噪声等对</w:t>
      </w:r>
      <w:r>
        <w:rPr>
          <w:rFonts w:hint="eastAsia" w:cs="Times New Roman"/>
          <w:color w:val="auto"/>
          <w:szCs w:val="24"/>
          <w:highlight w:val="none"/>
          <w:lang w:eastAsia="zh-CN"/>
        </w:rPr>
        <w:t>待宰圈</w:t>
      </w:r>
      <w:r>
        <w:rPr>
          <w:rFonts w:cs="Times New Roman"/>
          <w:color w:val="auto"/>
          <w:szCs w:val="24"/>
          <w:highlight w:val="none"/>
        </w:rPr>
        <w:t>的干扰，保持安定平和的气氛，以缓解牛、羊的紧张情绪，减少嚎叫。</w:t>
      </w:r>
    </w:p>
    <w:p w14:paraId="1A51C4A8">
      <w:pPr>
        <w:spacing w:line="500" w:lineRule="exact"/>
        <w:rPr>
          <w:rFonts w:cs="Times New Roman"/>
          <w:color w:val="auto"/>
          <w:szCs w:val="24"/>
          <w:highlight w:val="none"/>
        </w:rPr>
      </w:pPr>
      <w:r>
        <w:rPr>
          <w:rFonts w:cs="Times New Roman"/>
          <w:color w:val="auto"/>
          <w:szCs w:val="24"/>
          <w:highlight w:val="none"/>
        </w:rPr>
        <w:t>通过噪声预测厂界噪声能够达标，可见采取的措施技术可行。</w:t>
      </w:r>
    </w:p>
    <w:p w14:paraId="0E06A0EA">
      <w:pPr>
        <w:pStyle w:val="4"/>
        <w:bidi w:val="0"/>
        <w:rPr>
          <w:color w:val="auto"/>
          <w:highlight w:val="none"/>
        </w:rPr>
      </w:pPr>
      <w:bookmarkStart w:id="378" w:name="_Toc24296"/>
      <w:r>
        <w:rPr>
          <w:color w:val="auto"/>
          <w:highlight w:val="none"/>
        </w:rPr>
        <w:t>6.2.5固体废物环境保护措施</w:t>
      </w:r>
      <w:bookmarkEnd w:id="378"/>
    </w:p>
    <w:p w14:paraId="5A167AAE">
      <w:pPr>
        <w:spacing w:line="500" w:lineRule="exact"/>
        <w:rPr>
          <w:rFonts w:cs="Times New Roman"/>
          <w:color w:val="auto"/>
          <w:szCs w:val="24"/>
          <w:highlight w:val="none"/>
        </w:rPr>
      </w:pPr>
      <w:r>
        <w:rPr>
          <w:rFonts w:cs="Times New Roman"/>
          <w:color w:val="auto"/>
          <w:szCs w:val="24"/>
          <w:highlight w:val="none"/>
        </w:rPr>
        <w:t>本项目运营期产生的固体废物为一般固体废物及危险废物，一般固体废物主要包括检疫不合格品、病死牛羊、粪便、边角料、胃容物及肠内物、污泥（含栅渣）、</w:t>
      </w:r>
      <w:r>
        <w:rPr>
          <w:rFonts w:hint="eastAsia" w:cs="Times New Roman"/>
          <w:color w:val="auto"/>
          <w:szCs w:val="24"/>
          <w:highlight w:val="none"/>
          <w:lang w:val="en-US" w:eastAsia="zh-CN"/>
        </w:rPr>
        <w:t>隔油池废油脂、</w:t>
      </w:r>
      <w:r>
        <w:rPr>
          <w:rFonts w:cs="Times New Roman"/>
          <w:color w:val="auto"/>
          <w:szCs w:val="24"/>
          <w:highlight w:val="none"/>
        </w:rPr>
        <w:t>废包装以及生活垃圾；</w:t>
      </w:r>
      <w:r>
        <w:rPr>
          <w:rFonts w:hint="eastAsia" w:cs="Times New Roman"/>
          <w:color w:val="auto"/>
          <w:szCs w:val="24"/>
          <w:highlight w:val="none"/>
          <w:lang w:eastAsia="zh-CN"/>
        </w:rPr>
        <w:t>危险废物主要为检疫废物、</w:t>
      </w:r>
      <w:r>
        <w:rPr>
          <w:rFonts w:cs="Times New Roman"/>
          <w:color w:val="auto"/>
          <w:szCs w:val="24"/>
          <w:highlight w:val="none"/>
        </w:rPr>
        <w:t>废活性炭、</w:t>
      </w:r>
      <w:r>
        <w:rPr>
          <w:rFonts w:hint="eastAsia" w:cs="Times New Roman"/>
          <w:color w:val="auto"/>
          <w:szCs w:val="24"/>
          <w:highlight w:val="none"/>
          <w:lang w:eastAsia="zh-CN"/>
        </w:rPr>
        <w:t>废润滑油及含油抹布、劳保手套</w:t>
      </w:r>
      <w:r>
        <w:rPr>
          <w:rFonts w:cs="Times New Roman"/>
          <w:color w:val="auto"/>
          <w:szCs w:val="24"/>
          <w:highlight w:val="none"/>
        </w:rPr>
        <w:t>。</w:t>
      </w:r>
    </w:p>
    <w:p w14:paraId="32CFC41B">
      <w:pPr>
        <w:spacing w:line="500" w:lineRule="exact"/>
        <w:rPr>
          <w:rFonts w:cs="Times New Roman"/>
          <w:color w:val="auto"/>
          <w:szCs w:val="24"/>
          <w:highlight w:val="none"/>
        </w:rPr>
      </w:pPr>
      <w:r>
        <w:rPr>
          <w:rFonts w:cs="Times New Roman"/>
          <w:color w:val="auto"/>
          <w:szCs w:val="24"/>
          <w:highlight w:val="none"/>
        </w:rPr>
        <w:t>牛、羊粪、边角料、胃容物及肠内物分类收集，分别储存在固废暂存间内加盖的</w:t>
      </w:r>
      <w:r>
        <w:rPr>
          <w:rFonts w:hint="eastAsia" w:cs="Times New Roman"/>
          <w:color w:val="auto"/>
          <w:szCs w:val="24"/>
          <w:highlight w:val="none"/>
          <w:lang w:val="en-US" w:eastAsia="zh-CN"/>
        </w:rPr>
        <w:t>转运桶</w:t>
      </w:r>
      <w:r>
        <w:rPr>
          <w:rFonts w:cs="Times New Roman"/>
          <w:color w:val="auto"/>
          <w:szCs w:val="24"/>
          <w:highlight w:val="none"/>
        </w:rPr>
        <w:t>内，作为有机肥原料外售；生活垃圾分类收集于专用垃圾桶后，</w:t>
      </w:r>
      <w:r>
        <w:rPr>
          <w:rFonts w:hint="eastAsia" w:cs="Times New Roman"/>
          <w:color w:val="auto"/>
          <w:szCs w:val="24"/>
          <w:highlight w:val="none"/>
          <w:lang w:eastAsia="zh-CN"/>
        </w:rPr>
        <w:t>由市政环卫部门统一清运</w:t>
      </w:r>
      <w:r>
        <w:rPr>
          <w:rFonts w:cs="Times New Roman"/>
          <w:color w:val="auto"/>
          <w:szCs w:val="24"/>
          <w:highlight w:val="none"/>
        </w:rPr>
        <w:t>；脱水污泥（含栅渣）送生活垃圾填埋场填埋；检疫不合格品、病死牛羊，集中收集当天</w:t>
      </w:r>
      <w:r>
        <w:rPr>
          <w:rFonts w:hint="eastAsia" w:cs="Times New Roman"/>
          <w:color w:val="auto"/>
          <w:szCs w:val="24"/>
          <w:highlight w:val="none"/>
          <w:lang w:eastAsia="zh-CN"/>
        </w:rPr>
        <w:t>由双鸭山百奥迈斯生物科技有限公司</w:t>
      </w:r>
      <w:r>
        <w:rPr>
          <w:rFonts w:hint="eastAsia" w:cs="Times New Roman"/>
          <w:color w:val="auto"/>
          <w:szCs w:val="24"/>
          <w:highlight w:val="none"/>
          <w:lang w:val="en-US" w:eastAsia="zh-CN"/>
        </w:rPr>
        <w:t>拉运处置</w:t>
      </w:r>
      <w:r>
        <w:rPr>
          <w:rFonts w:cs="Times New Roman"/>
          <w:color w:val="auto"/>
          <w:szCs w:val="24"/>
          <w:highlight w:val="none"/>
        </w:rPr>
        <w:t>，</w:t>
      </w:r>
      <w:r>
        <w:rPr>
          <w:rFonts w:cs="Times New Roman"/>
          <w:snapToGrid w:val="0"/>
          <w:color w:val="auto"/>
          <w:kern w:val="0"/>
          <w:szCs w:val="24"/>
          <w:highlight w:val="none"/>
        </w:rPr>
        <w:t>处置方式需符合《病死及病害动物无害化处理技术规范》（农医发[2017]25号）</w:t>
      </w:r>
      <w:r>
        <w:rPr>
          <w:rFonts w:cs="Times New Roman"/>
          <w:color w:val="auto"/>
          <w:szCs w:val="24"/>
          <w:highlight w:val="none"/>
        </w:rPr>
        <w:t>；废包装集中收集，定期外售综合利用</w:t>
      </w:r>
      <w:r>
        <w:rPr>
          <w:rFonts w:hint="eastAsia" w:cs="Times New Roman"/>
          <w:color w:val="auto"/>
          <w:szCs w:val="24"/>
          <w:highlight w:val="none"/>
          <w:lang w:eastAsia="zh-CN"/>
        </w:rPr>
        <w:t>。</w:t>
      </w:r>
      <w:r>
        <w:rPr>
          <w:rFonts w:cs="Times New Roman"/>
          <w:color w:val="auto"/>
          <w:szCs w:val="24"/>
          <w:highlight w:val="none"/>
        </w:rPr>
        <w:t>废活性炭</w:t>
      </w:r>
      <w:r>
        <w:rPr>
          <w:rFonts w:hint="eastAsia" w:cs="Times New Roman"/>
          <w:color w:val="auto"/>
          <w:szCs w:val="24"/>
          <w:highlight w:val="none"/>
          <w:lang w:eastAsia="zh-CN"/>
        </w:rPr>
        <w:t>、</w:t>
      </w:r>
      <w:r>
        <w:rPr>
          <w:rFonts w:cs="Times New Roman"/>
          <w:color w:val="auto"/>
          <w:szCs w:val="24"/>
          <w:highlight w:val="none"/>
        </w:rPr>
        <w:t>检疫废物</w:t>
      </w:r>
      <w:r>
        <w:rPr>
          <w:rFonts w:hint="eastAsia" w:cs="Times New Roman"/>
          <w:color w:val="auto"/>
          <w:szCs w:val="24"/>
          <w:highlight w:val="none"/>
          <w:lang w:eastAsia="zh-CN"/>
        </w:rPr>
        <w:t>、</w:t>
      </w:r>
      <w:r>
        <w:rPr>
          <w:rFonts w:hint="eastAsia" w:cs="Times New Roman"/>
          <w:color w:val="auto"/>
          <w:szCs w:val="24"/>
          <w:highlight w:val="none"/>
          <w:lang w:val="en-US" w:eastAsia="zh-CN"/>
        </w:rPr>
        <w:t>废润滑油分别</w:t>
      </w:r>
      <w:r>
        <w:rPr>
          <w:rFonts w:cs="Times New Roman"/>
          <w:color w:val="auto"/>
          <w:szCs w:val="24"/>
          <w:highlight w:val="none"/>
        </w:rPr>
        <w:t>集中收集，定期</w:t>
      </w:r>
      <w:r>
        <w:rPr>
          <w:rFonts w:hint="eastAsia" w:cs="Times New Roman"/>
          <w:snapToGrid w:val="0"/>
          <w:color w:val="auto"/>
          <w:kern w:val="0"/>
          <w:szCs w:val="24"/>
          <w:highlight w:val="none"/>
          <w:lang w:eastAsia="zh-CN"/>
        </w:rPr>
        <w:t>由有资质的单位处置；含油抹布、劳保手套</w:t>
      </w:r>
      <w:r>
        <w:rPr>
          <w:rFonts w:hint="eastAsia" w:cs="Times New Roman"/>
          <w:snapToGrid w:val="0"/>
          <w:color w:val="auto"/>
          <w:kern w:val="0"/>
          <w:szCs w:val="24"/>
          <w:highlight w:val="none"/>
          <w:lang w:val="en-US" w:eastAsia="zh-CN"/>
        </w:rPr>
        <w:t>集中收集，定期由有资质的单位处置</w:t>
      </w:r>
      <w:r>
        <w:rPr>
          <w:rFonts w:hint="eastAsia" w:cs="Times New Roman"/>
          <w:snapToGrid w:val="0"/>
          <w:color w:val="auto"/>
          <w:kern w:val="0"/>
          <w:szCs w:val="24"/>
          <w:highlight w:val="none"/>
          <w:lang w:eastAsia="zh-CN"/>
        </w:rPr>
        <w:t>。</w:t>
      </w:r>
    </w:p>
    <w:p w14:paraId="76C6C03C">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通过以上措施，建设项目产生的固体废物均得到了妥善处置和利用，不会对环境产生有害影响。</w:t>
      </w:r>
    </w:p>
    <w:p w14:paraId="659A4104">
      <w:pPr>
        <w:pStyle w:val="4"/>
        <w:spacing w:after="163"/>
        <w:rPr>
          <w:rFonts w:cs="Times New Roman"/>
          <w:color w:val="auto"/>
          <w:highlight w:val="none"/>
        </w:rPr>
      </w:pPr>
      <w:bookmarkStart w:id="379" w:name="_Toc12135"/>
      <w:r>
        <w:rPr>
          <w:rFonts w:cs="Times New Roman"/>
          <w:color w:val="auto"/>
          <w:highlight w:val="none"/>
        </w:rPr>
        <w:t>6.2.6环境风险防范措施</w:t>
      </w:r>
      <w:bookmarkEnd w:id="379"/>
    </w:p>
    <w:p w14:paraId="7B4FAED4">
      <w:pPr>
        <w:pStyle w:val="5"/>
        <w:rPr>
          <w:color w:val="auto"/>
          <w:highlight w:val="none"/>
          <w:lang w:val="en-US"/>
        </w:rPr>
      </w:pPr>
      <w:r>
        <w:rPr>
          <w:color w:val="auto"/>
          <w:highlight w:val="none"/>
          <w:lang w:val="en-US"/>
        </w:rPr>
        <w:t>6.2.6.1环境风险防范措施</w:t>
      </w:r>
    </w:p>
    <w:p w14:paraId="317B116A">
      <w:pPr>
        <w:spacing w:line="500" w:lineRule="exact"/>
        <w:ind w:firstLine="482"/>
        <w:rPr>
          <w:rFonts w:cs="Times New Roman"/>
          <w:b/>
          <w:bCs/>
          <w:snapToGrid w:val="0"/>
          <w:color w:val="auto"/>
          <w:kern w:val="0"/>
          <w:szCs w:val="24"/>
          <w:highlight w:val="none"/>
        </w:rPr>
      </w:pPr>
      <w:r>
        <w:rPr>
          <w:rFonts w:cs="Times New Roman"/>
          <w:b/>
          <w:bCs/>
          <w:snapToGrid w:val="0"/>
          <w:color w:val="auto"/>
          <w:kern w:val="0"/>
          <w:szCs w:val="24"/>
          <w:highlight w:val="none"/>
        </w:rPr>
        <w:t>1、地表水环境风险防范措施</w:t>
      </w:r>
    </w:p>
    <w:p w14:paraId="038B44FE">
      <w:pPr>
        <w:spacing w:line="500" w:lineRule="exact"/>
        <w:rPr>
          <w:rFonts w:cs="Times New Roman"/>
          <w:snapToGrid w:val="0"/>
          <w:color w:val="auto"/>
          <w:kern w:val="0"/>
          <w:sz w:val="21"/>
          <w:szCs w:val="21"/>
          <w:highlight w:val="none"/>
        </w:rPr>
      </w:pPr>
      <w:r>
        <w:rPr>
          <w:rFonts w:cs="Times New Roman"/>
          <w:snapToGrid w:val="0"/>
          <w:color w:val="auto"/>
          <w:kern w:val="0"/>
          <w:szCs w:val="24"/>
          <w:highlight w:val="none"/>
        </w:rPr>
        <w:t>1）设置事故池，事故池容积为</w:t>
      </w:r>
      <w:r>
        <w:rPr>
          <w:rFonts w:hint="eastAsia" w:cs="Times New Roman"/>
          <w:snapToGrid w:val="0"/>
          <w:color w:val="auto"/>
          <w:kern w:val="0"/>
          <w:szCs w:val="24"/>
          <w:highlight w:val="none"/>
          <w:lang w:val="en-US" w:eastAsia="zh-CN"/>
        </w:rPr>
        <w:t>300</w:t>
      </w:r>
      <w:r>
        <w:rPr>
          <w:rFonts w:cs="Times New Roman"/>
          <w:snapToGrid w:val="0"/>
          <w:color w:val="auto"/>
          <w:kern w:val="0"/>
          <w:szCs w:val="24"/>
          <w:highlight w:val="none"/>
        </w:rPr>
        <w:t>m</w:t>
      </w:r>
      <w:r>
        <w:rPr>
          <w:rFonts w:cs="Times New Roman"/>
          <w:snapToGrid w:val="0"/>
          <w:color w:val="auto"/>
          <w:kern w:val="0"/>
          <w:szCs w:val="24"/>
          <w:highlight w:val="none"/>
          <w:vertAlign w:val="superscript"/>
        </w:rPr>
        <w:t>3</w:t>
      </w:r>
      <w:r>
        <w:rPr>
          <w:rFonts w:cs="Times New Roman"/>
          <w:snapToGrid w:val="0"/>
          <w:color w:val="auto"/>
          <w:kern w:val="0"/>
          <w:szCs w:val="24"/>
          <w:highlight w:val="none"/>
        </w:rPr>
        <w:t>，可容纳1天的废水，位于污水处理站内，在污水处理系统检修或出现故障时存放废水，检修正常后将事故池存水引入厂区内污水处理站处理达标后排放；</w:t>
      </w:r>
    </w:p>
    <w:p w14:paraId="09B03C86">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2）事故池及污水处理站各个池体均在室内，避免雨水进入；</w:t>
      </w:r>
    </w:p>
    <w:p w14:paraId="1F879BDA">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3）沿厂区边界设置截洪沟，以防暴雨冲击；</w:t>
      </w:r>
    </w:p>
    <w:p w14:paraId="633301B0">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4）密切关注天气变化情况，如有强降雨来临，应提前准备防雨防洪等拦截设置。</w:t>
      </w:r>
    </w:p>
    <w:p w14:paraId="6A7475A6">
      <w:pPr>
        <w:spacing w:line="500" w:lineRule="exact"/>
        <w:ind w:firstLine="482"/>
        <w:rPr>
          <w:rFonts w:cs="Times New Roman"/>
          <w:b/>
          <w:bCs/>
          <w:snapToGrid w:val="0"/>
          <w:color w:val="auto"/>
          <w:kern w:val="0"/>
          <w:szCs w:val="24"/>
          <w:highlight w:val="none"/>
        </w:rPr>
      </w:pPr>
      <w:r>
        <w:rPr>
          <w:rFonts w:cs="Times New Roman"/>
          <w:b/>
          <w:bCs/>
          <w:snapToGrid w:val="0"/>
          <w:color w:val="auto"/>
          <w:kern w:val="0"/>
          <w:szCs w:val="24"/>
          <w:highlight w:val="none"/>
        </w:rPr>
        <w:t>2、地下水环境及土壤环境风险防范措施</w:t>
      </w:r>
    </w:p>
    <w:p w14:paraId="500219A6">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1）加强施工期的管理，提高施工质量，确保管线、池体的工程质量，减少泄漏事故的发生；发生泄漏事故时应及时采取措施，将影响将至最低；</w:t>
      </w:r>
    </w:p>
    <w:p w14:paraId="64B163E4">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2）分区防渗</w:t>
      </w:r>
    </w:p>
    <w:p w14:paraId="79AD6466">
      <w:pPr>
        <w:spacing w:line="500" w:lineRule="exact"/>
        <w:rPr>
          <w:rFonts w:cs="Times New Roman"/>
          <w:snapToGrid w:val="0"/>
          <w:color w:val="auto"/>
          <w:kern w:val="0"/>
          <w:szCs w:val="24"/>
          <w:highlight w:val="none"/>
        </w:rPr>
      </w:pPr>
      <w:r>
        <w:rPr>
          <w:rFonts w:hint="eastAsia" w:cs="Times New Roman"/>
          <w:snapToGrid w:val="0"/>
          <w:color w:val="auto"/>
          <w:kern w:val="0"/>
          <w:szCs w:val="21"/>
          <w:highlight w:val="none"/>
          <w:lang w:val="en-US" w:eastAsia="zh-CN"/>
        </w:rPr>
        <w:t>危险废物暂存点</w:t>
      </w:r>
      <w:r>
        <w:rPr>
          <w:rFonts w:cs="Times New Roman"/>
          <w:snapToGrid w:val="0"/>
          <w:color w:val="auto"/>
          <w:kern w:val="0"/>
          <w:szCs w:val="24"/>
          <w:highlight w:val="none"/>
        </w:rPr>
        <w:t>按重点防渗区采取防渗措施。</w:t>
      </w:r>
      <w:r>
        <w:rPr>
          <w:rFonts w:hint="eastAsia" w:cs="Times New Roman"/>
          <w:snapToGrid w:val="0"/>
          <w:color w:val="auto"/>
          <w:kern w:val="0"/>
          <w:szCs w:val="24"/>
          <w:highlight w:val="none"/>
          <w:lang w:eastAsia="zh-CN"/>
        </w:rPr>
        <w:t>参照《危险废物贮存污染控制标准》（GB18597-20</w:t>
      </w:r>
      <w:r>
        <w:rPr>
          <w:rFonts w:hint="eastAsia" w:cs="Times New Roman"/>
          <w:snapToGrid w:val="0"/>
          <w:color w:val="auto"/>
          <w:kern w:val="0"/>
          <w:szCs w:val="24"/>
          <w:highlight w:val="none"/>
          <w:lang w:val="en-US" w:eastAsia="zh-CN"/>
        </w:rPr>
        <w:t>23</w:t>
      </w:r>
      <w:r>
        <w:rPr>
          <w:rFonts w:hint="eastAsia" w:cs="Times New Roman"/>
          <w:snapToGrid w:val="0"/>
          <w:color w:val="auto"/>
          <w:kern w:val="0"/>
          <w:szCs w:val="24"/>
          <w:highlight w:val="none"/>
          <w:lang w:eastAsia="zh-CN"/>
        </w:rPr>
        <w:t>）执行，基础必须防渗，防渗层为至少1m厚粘土层（渗透系数≤10</w:t>
      </w:r>
      <w:r>
        <w:rPr>
          <w:rFonts w:hint="eastAsia" w:cs="Times New Roman"/>
          <w:snapToGrid w:val="0"/>
          <w:color w:val="auto"/>
          <w:kern w:val="0"/>
          <w:szCs w:val="24"/>
          <w:highlight w:val="none"/>
          <w:vertAlign w:val="superscript"/>
          <w:lang w:eastAsia="zh-CN"/>
        </w:rPr>
        <w:t>-7</w:t>
      </w:r>
      <w:r>
        <w:rPr>
          <w:rFonts w:hint="eastAsia" w:cs="Times New Roman"/>
          <w:snapToGrid w:val="0"/>
          <w:color w:val="auto"/>
          <w:kern w:val="0"/>
          <w:szCs w:val="24"/>
          <w:highlight w:val="none"/>
          <w:lang w:eastAsia="zh-CN"/>
        </w:rPr>
        <w:t>cm/s），或2mm厚高密度聚乙烯，或至少2mm</w:t>
      </w:r>
      <w:r>
        <w:rPr>
          <w:rFonts w:hint="eastAsia" w:cs="Times New Roman"/>
          <w:snapToGrid w:val="0"/>
          <w:color w:val="auto"/>
          <w:kern w:val="0"/>
          <w:szCs w:val="24"/>
          <w:highlight w:val="none"/>
          <w:lang w:val="en-US" w:eastAsia="zh-CN"/>
        </w:rPr>
        <w:t>厚</w:t>
      </w:r>
      <w:r>
        <w:rPr>
          <w:rFonts w:hint="eastAsia" w:cs="Times New Roman"/>
          <w:snapToGrid w:val="0"/>
          <w:color w:val="auto"/>
          <w:kern w:val="0"/>
          <w:szCs w:val="24"/>
          <w:highlight w:val="none"/>
          <w:lang w:eastAsia="zh-CN"/>
        </w:rPr>
        <w:t>高密度聚乙烯膜等人工防渗材料（渗透系数不大于 10</w:t>
      </w:r>
      <w:r>
        <w:rPr>
          <w:rFonts w:hint="eastAsia" w:cs="Times New Roman"/>
          <w:snapToGrid w:val="0"/>
          <w:color w:val="auto"/>
          <w:kern w:val="0"/>
          <w:szCs w:val="24"/>
          <w:highlight w:val="none"/>
          <w:vertAlign w:val="superscript"/>
          <w:lang w:eastAsia="zh-CN"/>
        </w:rPr>
        <w:t xml:space="preserve">-10 </w:t>
      </w:r>
      <w:r>
        <w:rPr>
          <w:rFonts w:hint="eastAsia" w:cs="Times New Roman"/>
          <w:snapToGrid w:val="0"/>
          <w:color w:val="auto"/>
          <w:kern w:val="0"/>
          <w:szCs w:val="24"/>
          <w:highlight w:val="none"/>
          <w:lang w:eastAsia="zh-CN"/>
        </w:rPr>
        <w:t>cm/s），或其他防渗性能等效的材料。</w:t>
      </w:r>
    </w:p>
    <w:p w14:paraId="43BEB232">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生产车间</w:t>
      </w:r>
      <w:r>
        <w:rPr>
          <w:rFonts w:hint="eastAsia" w:cs="Times New Roman"/>
          <w:snapToGrid w:val="0"/>
          <w:color w:val="auto"/>
          <w:kern w:val="0"/>
          <w:szCs w:val="24"/>
          <w:highlight w:val="none"/>
          <w:lang w:eastAsia="zh-CN"/>
        </w:rPr>
        <w:t>（</w:t>
      </w:r>
      <w:r>
        <w:rPr>
          <w:rFonts w:hint="eastAsia" w:cs="Times New Roman"/>
          <w:snapToGrid w:val="0"/>
          <w:color w:val="auto"/>
          <w:kern w:val="0"/>
          <w:szCs w:val="24"/>
          <w:highlight w:val="none"/>
          <w:lang w:val="en-US" w:eastAsia="zh-CN"/>
        </w:rPr>
        <w:t>包含冷库</w:t>
      </w:r>
      <w:r>
        <w:rPr>
          <w:rFonts w:hint="eastAsia" w:cs="Times New Roman"/>
          <w:snapToGrid w:val="0"/>
          <w:color w:val="auto"/>
          <w:kern w:val="0"/>
          <w:szCs w:val="24"/>
          <w:highlight w:val="none"/>
          <w:lang w:eastAsia="zh-CN"/>
        </w:rPr>
        <w:t>）</w:t>
      </w:r>
      <w:r>
        <w:rPr>
          <w:rFonts w:cs="Times New Roman"/>
          <w:snapToGrid w:val="0"/>
          <w:color w:val="auto"/>
          <w:kern w:val="0"/>
          <w:szCs w:val="24"/>
          <w:highlight w:val="none"/>
        </w:rPr>
        <w:t>、隔离圈、污水处理站、事故池及固体废物暂存间按一般防渗区采取防渗措施。地面（池底）基础防渗，</w:t>
      </w:r>
      <w:r>
        <w:rPr>
          <w:rFonts w:cs="Times New Roman"/>
          <w:snapToGrid w:val="0"/>
          <w:color w:val="auto"/>
          <w:kern w:val="0"/>
          <w:szCs w:val="24"/>
          <w:highlight w:val="none"/>
          <w:lang w:val="zh-CN"/>
        </w:rPr>
        <w:t>防渗层为至少1m厚粘土层或2mm厚高密度聚乙烯，</w:t>
      </w:r>
      <w:r>
        <w:rPr>
          <w:rFonts w:cs="Times New Roman"/>
          <w:snapToGrid w:val="0"/>
          <w:color w:val="auto"/>
          <w:kern w:val="0"/>
          <w:szCs w:val="24"/>
          <w:highlight w:val="none"/>
        </w:rPr>
        <w:t>需满足等效黏土防渗层Mb≥1.5m，K≤1×10</w:t>
      </w:r>
      <w:r>
        <w:rPr>
          <w:rFonts w:cs="Times New Roman"/>
          <w:snapToGrid w:val="0"/>
          <w:color w:val="auto"/>
          <w:kern w:val="0"/>
          <w:szCs w:val="24"/>
          <w:highlight w:val="none"/>
          <w:vertAlign w:val="superscript"/>
        </w:rPr>
        <w:t>-7</w:t>
      </w:r>
      <w:r>
        <w:rPr>
          <w:rFonts w:cs="Times New Roman"/>
          <w:snapToGrid w:val="0"/>
          <w:color w:val="auto"/>
          <w:kern w:val="0"/>
          <w:szCs w:val="24"/>
          <w:highlight w:val="none"/>
        </w:rPr>
        <w:t>cm/s的要求，在做好基层防渗的基础上进行水泥硬化；</w:t>
      </w:r>
    </w:p>
    <w:p w14:paraId="1AEA6511">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其他建筑物及道路采取简单防渗，对其地面采用混凝土进行一般地面硬化；</w:t>
      </w:r>
    </w:p>
    <w:p w14:paraId="55D435D2">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污水管道采取防渗漏措施。</w:t>
      </w:r>
    </w:p>
    <w:p w14:paraId="6D3BEAEF">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3）要有专人管理污水处理设备，发现设备不能正常运转，立刻停止生产，组织人员抢修，待设备正常运转后，方可生产；</w:t>
      </w:r>
    </w:p>
    <w:p w14:paraId="5E22B444">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4）加强和强化公司安全检查和巡查体系的建立，定期、定点、定向的对公司所有存在安全隐患和环境风险隐患的设备设施进行安全排出和检查。对排查出的风险隐患要得到及时的处理，并作相关的记录，以便做到风险防范有帐可查。</w:t>
      </w:r>
    </w:p>
    <w:p w14:paraId="0B6718FF">
      <w:pPr>
        <w:spacing w:line="500" w:lineRule="exact"/>
        <w:ind w:firstLine="482"/>
        <w:rPr>
          <w:rFonts w:cs="Times New Roman"/>
          <w:b/>
          <w:bCs/>
          <w:snapToGrid w:val="0"/>
          <w:color w:val="auto"/>
          <w:kern w:val="0"/>
          <w:szCs w:val="24"/>
          <w:highlight w:val="none"/>
        </w:rPr>
      </w:pPr>
      <w:r>
        <w:rPr>
          <w:rFonts w:cs="Times New Roman"/>
          <w:b/>
          <w:bCs/>
          <w:snapToGrid w:val="0"/>
          <w:color w:val="auto"/>
          <w:kern w:val="0"/>
          <w:szCs w:val="24"/>
          <w:highlight w:val="none"/>
        </w:rPr>
        <w:t>3、大气环境风险防范措施</w:t>
      </w:r>
    </w:p>
    <w:p w14:paraId="498BA1CE">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（1）</w:t>
      </w:r>
      <w:r>
        <w:rPr>
          <w:rFonts w:hint="eastAsia" w:cs="Times New Roman"/>
          <w:snapToGrid w:val="0"/>
          <w:color w:val="auto"/>
          <w:kern w:val="0"/>
          <w:szCs w:val="24"/>
          <w:highlight w:val="none"/>
          <w:lang w:val="en-US" w:eastAsia="zh-CN"/>
        </w:rPr>
        <w:t>次氯酸钠</w:t>
      </w:r>
      <w:r>
        <w:rPr>
          <w:rFonts w:cs="Times New Roman"/>
          <w:snapToGrid w:val="0"/>
          <w:color w:val="auto"/>
          <w:kern w:val="0"/>
          <w:szCs w:val="24"/>
          <w:highlight w:val="none"/>
        </w:rPr>
        <w:t>泄漏风险防范措施</w:t>
      </w:r>
    </w:p>
    <w:p w14:paraId="33F77022">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1）泄漏应急处理</w:t>
      </w:r>
    </w:p>
    <w:p w14:paraId="3909D196">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疏散泄漏污染区人员至上风处，并隔离直至气体散尽。应急处理人员戴正压自给式呼吸器，穿化学防护服、切断火源、喷洒雾状水稀释，抽排(室内)或强力通风(室外)，漏气容器不能再用，且要经过技术处理以清除可能剩下的气体。</w:t>
      </w:r>
    </w:p>
    <w:p w14:paraId="79D0229C">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2）防护措施</w:t>
      </w:r>
    </w:p>
    <w:p w14:paraId="5E734744">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呼吸系统防护：空气中浓度较高时，应该佩戴防毒面具。紧急事态抢救或撤离时，建议佩戴正压自给式呼吸器。</w:t>
      </w:r>
    </w:p>
    <w:p w14:paraId="3C1FB18C">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眼睛防护：带化学安全防护眼镜。</w:t>
      </w:r>
    </w:p>
    <w:p w14:paraId="5E443F0C">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身体防护：穿防腐工作服。</w:t>
      </w:r>
    </w:p>
    <w:p w14:paraId="60A6ACDA">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手防护：可能接触毒物时</w:t>
      </w:r>
      <w:r>
        <w:rPr>
          <w:rFonts w:hint="eastAsia" w:cs="Times New Roman"/>
          <w:snapToGrid w:val="0"/>
          <w:color w:val="auto"/>
          <w:kern w:val="0"/>
          <w:szCs w:val="24"/>
          <w:highlight w:val="none"/>
        </w:rPr>
        <w:t>，</w:t>
      </w:r>
      <w:r>
        <w:rPr>
          <w:rFonts w:cs="Times New Roman"/>
          <w:snapToGrid w:val="0"/>
          <w:color w:val="auto"/>
          <w:kern w:val="0"/>
          <w:szCs w:val="24"/>
          <w:highlight w:val="none"/>
        </w:rPr>
        <w:t>戴防化学品手套。</w:t>
      </w:r>
    </w:p>
    <w:p w14:paraId="084FBF5B">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其它：工作现场禁止吸烟。工作后，淋浴更衣。保持良好的卫生习惯。</w:t>
      </w:r>
    </w:p>
    <w:p w14:paraId="1AB966DB">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3）急救措施</w:t>
      </w:r>
    </w:p>
    <w:p w14:paraId="1D0D2FBB">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皮肤接触：脱去污染的衣着，立即用大量流动清水彻底冲洗至少15分钟。就医。</w:t>
      </w:r>
    </w:p>
    <w:p w14:paraId="742943AB">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眼睛接触：立即翻开上下眼睑</w:t>
      </w:r>
      <w:r>
        <w:rPr>
          <w:rFonts w:hint="eastAsia" w:cs="Times New Roman"/>
          <w:snapToGrid w:val="0"/>
          <w:color w:val="auto"/>
          <w:kern w:val="0"/>
          <w:szCs w:val="24"/>
          <w:highlight w:val="none"/>
        </w:rPr>
        <w:t>，</w:t>
      </w:r>
      <w:r>
        <w:rPr>
          <w:rFonts w:cs="Times New Roman"/>
          <w:snapToGrid w:val="0"/>
          <w:color w:val="auto"/>
          <w:kern w:val="0"/>
          <w:szCs w:val="24"/>
          <w:highlight w:val="none"/>
        </w:rPr>
        <w:t>用流动清水或生理盐水冲洗至少15分钟。就医。</w:t>
      </w:r>
    </w:p>
    <w:p w14:paraId="0E062388">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吸入：迅速脱离现场至空气新鲜处。保持呼吸通畅。呼吸困难时给输氧。呼吸停止时，即进行人工呼吸。就医。</w:t>
      </w:r>
    </w:p>
    <w:p w14:paraId="6A0EC20D">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食入：误服者漱口，饮牛奶或蛋清。就医。</w:t>
      </w:r>
    </w:p>
    <w:p w14:paraId="0C6AD7D3">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灭火方法：切断气源。喷水冷却容器，可能的话将容器从火场移至空旷处。</w:t>
      </w:r>
    </w:p>
    <w:p w14:paraId="6CF5E470">
      <w:pPr>
        <w:spacing w:line="500" w:lineRule="exact"/>
        <w:ind w:firstLine="482"/>
        <w:rPr>
          <w:rFonts w:cs="Times New Roman"/>
          <w:b/>
          <w:bCs/>
          <w:snapToGrid w:val="0"/>
          <w:color w:val="auto"/>
          <w:kern w:val="0"/>
          <w:szCs w:val="24"/>
          <w:highlight w:val="none"/>
        </w:rPr>
      </w:pPr>
      <w:r>
        <w:rPr>
          <w:rFonts w:cs="Times New Roman"/>
          <w:b/>
          <w:bCs/>
          <w:snapToGrid w:val="0"/>
          <w:color w:val="auto"/>
          <w:kern w:val="0"/>
          <w:szCs w:val="24"/>
          <w:highlight w:val="none"/>
        </w:rPr>
        <w:t>4、其他风险防范措施</w:t>
      </w:r>
    </w:p>
    <w:p w14:paraId="66FA7391">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1）为降低风险事故发生概率，企业应建立一套完善的安全管理制度，执行风险、工业安全卫生、劳动保护、环保、消防等相关规定；</w:t>
      </w:r>
    </w:p>
    <w:p w14:paraId="4744FD7F">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2）加强对职工的安全教育及技术培训，提高职工的安全防护及环保意识，防患于未然；</w:t>
      </w:r>
    </w:p>
    <w:p w14:paraId="40440EC6">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3）应设有安全生产监督员，专门负责安全方面的检查监督工作，能处理突发事故，由监督员严格执行制定的各项安全生产规章制度；</w:t>
      </w:r>
    </w:p>
    <w:p w14:paraId="07C198DF">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4）确保所购设备及设施的安全性，根据生产工艺选用合理材质的设备、设施；</w:t>
      </w:r>
    </w:p>
    <w:p w14:paraId="2E5F733A">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5）企业必须设置强有力的安全生产管理机构，根据安全管理工作的需要，配备必要的人员进行安全管理工作，建立健全安生产责任制，制定并教育全体职工遵守《安全生产规程》；</w:t>
      </w:r>
    </w:p>
    <w:p w14:paraId="5834603A">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6）加强对周围水环境的监测，对废水的泄露要及时掌握，防止废水的泄露对周围水环境造成危害；</w:t>
      </w:r>
    </w:p>
    <w:p w14:paraId="1F12A250">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7）强化岗位责任制，严格各项操作规程和奖惩制度，除设置专门环保机构外，各生产单位都要设专人具体负责本单位的安全和环保问题，对易发事故的各生产环节必须经常检查，杜绝事故隐患，发现问题及时处置并立即向有关部门报告；</w:t>
      </w:r>
    </w:p>
    <w:p w14:paraId="6508B093">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8）加强和强化安全检查和巡查体系的建立，定期、定点、定向的对公司所有存在安全隐患和环境风险隐患的设备设施进行安全排出和检查。对排查出的风险隐患要得到及时的处理，并作相关的记录，以便做到风险防范有帐可查；</w:t>
      </w:r>
    </w:p>
    <w:p w14:paraId="44AE8CB2">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9）原料来源必须有正规的渠道，有专门的运输车辆运输，要求押运人员持有押运证，并携带安全资料表，装卸过程要轻装轻放，避免撞击、重压和摩擦；</w:t>
      </w:r>
    </w:p>
    <w:p w14:paraId="78504F02">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10）应编制突发事件应急预案，并定期开展演练。</w:t>
      </w:r>
    </w:p>
    <w:p w14:paraId="573938B0">
      <w:pPr>
        <w:pStyle w:val="5"/>
        <w:rPr>
          <w:color w:val="auto"/>
          <w:highlight w:val="none"/>
        </w:rPr>
      </w:pPr>
      <w:r>
        <w:rPr>
          <w:color w:val="auto"/>
          <w:highlight w:val="none"/>
          <w:lang w:val="en-US"/>
        </w:rPr>
        <w:t>6.2.6.2</w:t>
      </w:r>
      <w:r>
        <w:rPr>
          <w:color w:val="auto"/>
          <w:highlight w:val="none"/>
        </w:rPr>
        <w:t>风险管理</w:t>
      </w:r>
    </w:p>
    <w:p w14:paraId="3E84ED6E">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企业应根据自身的生产特点，有针对性的进行环境风险管理：</w:t>
      </w:r>
    </w:p>
    <w:p w14:paraId="0E98264F">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1）明确风险管理应急组织机构组成及其职责，包括协调指挥机构及事故现场应急指挥部。协调指挥机构的总指挥应为企业负责人，组员为各部门的负责人，协调配合做好事故处理的各项工作。事故现场应急指挥部按照事故灾难等级和分级响应原则，由相应的地方人民政府组成现场应急救援指挥部，总指挥由地方政府负责人担任，全面负责应急救援指挥工作。</w:t>
      </w:r>
    </w:p>
    <w:p w14:paraId="7AFD664D">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2）建立预警及预防机制，制定环境污染事故相应的应急预案，定期对相关设施及流程进行检查，发现隐患及时进行整改。对于可能引起重大事故的异常状况，应及时向企业安全管理部门汇报，严重的应按照要求逐级向地方人民政府主管部门汇报。</w:t>
      </w:r>
    </w:p>
    <w:p w14:paraId="7D509E46">
      <w:pPr>
        <w:spacing w:line="500" w:lineRule="exact"/>
        <w:rPr>
          <w:rFonts w:cs="Times New Roman"/>
          <w:snapToGrid w:val="0"/>
          <w:color w:val="auto"/>
          <w:kern w:val="0"/>
          <w:szCs w:val="24"/>
          <w:highlight w:val="none"/>
        </w:rPr>
      </w:pPr>
      <w:r>
        <w:rPr>
          <w:rFonts w:cs="Times New Roman"/>
          <w:snapToGrid w:val="0"/>
          <w:color w:val="auto"/>
          <w:kern w:val="0"/>
          <w:szCs w:val="24"/>
          <w:highlight w:val="none"/>
        </w:rPr>
        <w:t>（3）针对环境污染事故的影响特点，建立完善的后期处理机制，妥善安排，降低事故的影响范围，防止次生事故发生。</w:t>
      </w:r>
    </w:p>
    <w:p w14:paraId="0B105128">
      <w:pPr>
        <w:spacing w:line="500" w:lineRule="exact"/>
        <w:rPr>
          <w:rFonts w:ascii="Times New Roman" w:hAnsi="Times New Roman" w:eastAsia="宋体" w:cs="Times New Roman"/>
          <w:snapToGrid w:val="0"/>
          <w:color w:val="auto"/>
          <w:kern w:val="0"/>
          <w:szCs w:val="24"/>
          <w:highlight w:val="none"/>
        </w:rPr>
      </w:pPr>
      <w:r>
        <w:rPr>
          <w:rFonts w:ascii="Times New Roman" w:hAnsi="Times New Roman" w:eastAsia="宋体" w:cs="Times New Roman"/>
          <w:snapToGrid w:val="0"/>
          <w:color w:val="auto"/>
          <w:kern w:val="0"/>
          <w:szCs w:val="24"/>
          <w:highlight w:val="none"/>
        </w:rPr>
        <w:t>（4）应做好事故的应急支援与保障工作。</w:t>
      </w:r>
    </w:p>
    <w:p w14:paraId="1892BC68">
      <w:pPr>
        <w:spacing w:line="500" w:lineRule="exact"/>
        <w:rPr>
          <w:rFonts w:hint="eastAsia" w:ascii="Times New Roman" w:hAnsi="Times New Roman" w:eastAsia="宋体" w:cs="Times New Roman"/>
          <w:snapToGrid w:val="0"/>
          <w:color w:val="auto"/>
          <w:kern w:val="0"/>
          <w:szCs w:val="24"/>
          <w:highlight w:val="none"/>
          <w:lang w:eastAsia="zh-CN"/>
        </w:rPr>
      </w:pPr>
      <w:r>
        <w:rPr>
          <w:rFonts w:hint="eastAsia" w:ascii="Times New Roman" w:hAnsi="Times New Roman" w:eastAsia="宋体" w:cs="Times New Roman"/>
          <w:snapToGrid w:val="0"/>
          <w:color w:val="auto"/>
          <w:kern w:val="0"/>
          <w:szCs w:val="24"/>
          <w:highlight w:val="none"/>
          <w:lang w:eastAsia="zh-CN"/>
        </w:rPr>
        <w:t>（</w:t>
      </w:r>
      <w:r>
        <w:rPr>
          <w:rFonts w:hint="eastAsia" w:ascii="Times New Roman" w:hAnsi="Times New Roman" w:eastAsia="宋体" w:cs="Times New Roman"/>
          <w:snapToGrid w:val="0"/>
          <w:color w:val="auto"/>
          <w:kern w:val="0"/>
          <w:szCs w:val="24"/>
          <w:highlight w:val="none"/>
          <w:lang w:val="en-US" w:eastAsia="zh-CN"/>
        </w:rPr>
        <w:t>5</w:t>
      </w:r>
      <w:r>
        <w:rPr>
          <w:rFonts w:hint="eastAsia" w:ascii="Times New Roman" w:hAnsi="Times New Roman" w:eastAsia="宋体" w:cs="Times New Roman"/>
          <w:snapToGrid w:val="0"/>
          <w:color w:val="auto"/>
          <w:kern w:val="0"/>
          <w:szCs w:val="24"/>
          <w:highlight w:val="none"/>
          <w:lang w:eastAsia="zh-CN"/>
        </w:rPr>
        <w:t>）</w:t>
      </w:r>
      <w:r>
        <w:rPr>
          <w:rFonts w:ascii="Times New Roman" w:hAnsi="Times New Roman" w:eastAsia="宋体" w:cs="Times New Roman"/>
          <w:snapToGrid w:val="0"/>
          <w:color w:val="auto"/>
          <w:kern w:val="0"/>
          <w:szCs w:val="24"/>
          <w:highlight w:val="none"/>
        </w:rPr>
        <w:t>当确诊疫病时，及时封锁，上报疫情。同时立即采取措施，就地扑灭，</w:t>
      </w:r>
      <w:r>
        <w:rPr>
          <w:rFonts w:hint="eastAsia" w:ascii="Times New Roman" w:hAnsi="Times New Roman" w:eastAsia="宋体" w:cs="Times New Roman"/>
          <w:snapToGrid w:val="0"/>
          <w:color w:val="auto"/>
          <w:kern w:val="0"/>
          <w:szCs w:val="24"/>
          <w:highlight w:val="none"/>
          <w:lang w:val="en-US" w:eastAsia="zh-CN"/>
        </w:rPr>
        <w:t>并进行全面消毒防疫，</w:t>
      </w:r>
      <w:r>
        <w:rPr>
          <w:rFonts w:ascii="Times New Roman" w:hAnsi="Times New Roman" w:eastAsia="宋体" w:cs="Times New Roman"/>
          <w:snapToGrid w:val="0"/>
          <w:color w:val="auto"/>
          <w:kern w:val="0"/>
          <w:szCs w:val="24"/>
          <w:highlight w:val="none"/>
        </w:rPr>
        <w:t>确保人畜的安全。</w:t>
      </w:r>
    </w:p>
    <w:p w14:paraId="44F680B5">
      <w:pPr>
        <w:spacing w:line="500" w:lineRule="exact"/>
        <w:rPr>
          <w:rFonts w:cs="Times New Roman"/>
          <w:snapToGrid w:val="0"/>
          <w:color w:val="auto"/>
          <w:kern w:val="0"/>
          <w:szCs w:val="24"/>
          <w:highlight w:val="none"/>
        </w:rPr>
      </w:pPr>
      <w:r>
        <w:rPr>
          <w:rFonts w:ascii="Times New Roman" w:hAnsi="Times New Roman" w:eastAsia="宋体" w:cs="Times New Roman"/>
          <w:snapToGrid w:val="0"/>
          <w:color w:val="auto"/>
          <w:kern w:val="0"/>
          <w:szCs w:val="24"/>
          <w:highlight w:val="none"/>
        </w:rPr>
        <w:t>（</w:t>
      </w:r>
      <w:r>
        <w:rPr>
          <w:rFonts w:hint="eastAsia" w:ascii="Times New Roman" w:hAnsi="Times New Roman" w:eastAsia="宋体" w:cs="Times New Roman"/>
          <w:snapToGrid w:val="0"/>
          <w:color w:val="auto"/>
          <w:kern w:val="0"/>
          <w:szCs w:val="24"/>
          <w:highlight w:val="none"/>
          <w:lang w:val="en-US" w:eastAsia="zh-CN"/>
        </w:rPr>
        <w:t>6</w:t>
      </w:r>
      <w:r>
        <w:rPr>
          <w:rFonts w:ascii="Times New Roman" w:hAnsi="Times New Roman" w:eastAsia="宋体" w:cs="Times New Roman"/>
          <w:snapToGrid w:val="0"/>
          <w:color w:val="auto"/>
          <w:kern w:val="0"/>
          <w:szCs w:val="24"/>
          <w:highlight w:val="none"/>
        </w:rPr>
        <w:t>）针对不同环境风险事故的特点，按照应急预案的要求，进行员工日常的安全培训，并定期进</w:t>
      </w:r>
      <w:r>
        <w:rPr>
          <w:rFonts w:cs="Times New Roman"/>
          <w:snapToGrid w:val="0"/>
          <w:color w:val="auto"/>
          <w:kern w:val="0"/>
          <w:szCs w:val="24"/>
          <w:highlight w:val="none"/>
        </w:rPr>
        <w:t>行应急预案演练，对于应急预案演练中发现的不完善之处，应及时进行改进。</w:t>
      </w:r>
    </w:p>
    <w:p w14:paraId="6FE00E1A">
      <w:pPr>
        <w:pStyle w:val="5"/>
        <w:rPr>
          <w:color w:val="auto"/>
          <w:highlight w:val="none"/>
          <w:lang w:val="en-US"/>
        </w:rPr>
      </w:pPr>
      <w:r>
        <w:rPr>
          <w:color w:val="auto"/>
          <w:highlight w:val="none"/>
          <w:lang w:val="en-US"/>
        </w:rPr>
        <w:t>6.2.6.3应急监测系统</w:t>
      </w:r>
    </w:p>
    <w:p w14:paraId="5547B35A">
      <w:pPr>
        <w:numPr>
          <w:ilvl w:val="0"/>
          <w:numId w:val="15"/>
        </w:numPr>
        <w:spacing w:line="500" w:lineRule="exact"/>
        <w:rPr>
          <w:rFonts w:cs="Times New Roman"/>
          <w:snapToGrid w:val="0"/>
          <w:color w:val="auto"/>
          <w:kern w:val="0"/>
          <w:szCs w:val="24"/>
          <w:highlight w:val="none"/>
        </w:rPr>
      </w:pPr>
      <w:r>
        <w:rPr>
          <w:rFonts w:cs="Times New Roman"/>
          <w:snapToGrid w:val="0"/>
          <w:color w:val="auto"/>
          <w:kern w:val="0"/>
          <w:szCs w:val="24"/>
          <w:highlight w:val="none"/>
        </w:rPr>
        <w:t>若突发环境事件，应根据事故波及范围确定监测方案。事件发生时要立即开展应急监测，在政府部门到达后，则配合政府部门相关机构进行监测。监测人员应在必要的防护措施和保证安全的情况下进行处理现场采样。此外，监测方案应根据的事故的具体情况由指挥部作调整和安排。</w:t>
      </w:r>
    </w:p>
    <w:p w14:paraId="1A1ABCBE">
      <w:pPr>
        <w:numPr>
          <w:ilvl w:val="0"/>
          <w:numId w:val="15"/>
        </w:numPr>
        <w:spacing w:line="500" w:lineRule="exact"/>
        <w:rPr>
          <w:rFonts w:cs="Times New Roman"/>
          <w:color w:val="auto"/>
          <w:kern w:val="0"/>
          <w:highlight w:val="none"/>
        </w:rPr>
      </w:pPr>
      <w:r>
        <w:rPr>
          <w:rFonts w:cs="Times New Roman"/>
          <w:snapToGrid w:val="0"/>
          <w:color w:val="auto"/>
          <w:kern w:val="0"/>
          <w:szCs w:val="24"/>
          <w:highlight w:val="none"/>
        </w:rPr>
        <w:t>在事故发生初期，要根据监测能力和突发事件的严重程度，适当增加监测点位和频次，随着污染物的扩散情况和监测结果的变化趋势</w:t>
      </w:r>
      <w:r>
        <w:rPr>
          <w:rFonts w:cs="Times New Roman"/>
          <w:color w:val="auto"/>
          <w:kern w:val="0"/>
          <w:highlight w:val="none"/>
        </w:rPr>
        <w:t>，调整监测频次和监测点位。</w:t>
      </w:r>
    </w:p>
    <w:p w14:paraId="00B536D8">
      <w:pPr>
        <w:numPr>
          <w:ilvl w:val="0"/>
          <w:numId w:val="15"/>
        </w:numPr>
        <w:spacing w:line="500" w:lineRule="exact"/>
        <w:rPr>
          <w:rFonts w:cs="Times New Roman"/>
          <w:color w:val="auto"/>
          <w:kern w:val="0"/>
          <w:highlight w:val="none"/>
        </w:rPr>
      </w:pPr>
      <w:r>
        <w:rPr>
          <w:rFonts w:cs="Times New Roman"/>
          <w:color w:val="auto"/>
          <w:kern w:val="0"/>
          <w:highlight w:val="none"/>
        </w:rPr>
        <w:t>根据监测结果，综合分析突发环境事件污染变化趋势，并通过专家咨询和讨论的方式，预测突发环境事件的发展情况和污染物的变化情况，为应急决策提供技术支撑。应急监测方案见下表。</w:t>
      </w:r>
    </w:p>
    <w:p w14:paraId="1B11E231">
      <w:pPr>
        <w:pStyle w:val="36"/>
        <w:ind w:left="0"/>
        <w:jc w:val="both"/>
        <w:rPr>
          <w:b/>
          <w:color w:val="auto"/>
          <w:sz w:val="24"/>
          <w:szCs w:val="24"/>
          <w:highlight w:val="none"/>
        </w:rPr>
      </w:pPr>
    </w:p>
    <w:p w14:paraId="073AC98B">
      <w:pPr>
        <w:pStyle w:val="36"/>
        <w:ind w:left="0"/>
        <w:jc w:val="center"/>
        <w:rPr>
          <w:b/>
          <w:color w:val="auto"/>
          <w:sz w:val="24"/>
          <w:szCs w:val="24"/>
          <w:highlight w:val="none"/>
        </w:rPr>
      </w:pPr>
      <w:r>
        <w:rPr>
          <w:b/>
          <w:color w:val="auto"/>
          <w:sz w:val="24"/>
          <w:szCs w:val="24"/>
          <w:highlight w:val="none"/>
        </w:rPr>
        <w:t>表6-2-4  应急监测方案</w:t>
      </w:r>
    </w:p>
    <w:tbl>
      <w:tblPr>
        <w:tblStyle w:val="48"/>
        <w:tblW w:w="496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1609"/>
        <w:gridCol w:w="2655"/>
        <w:gridCol w:w="2307"/>
        <w:gridCol w:w="1109"/>
      </w:tblGrid>
      <w:tr w14:paraId="0AD8A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469" w:type="pct"/>
            <w:tcBorders>
              <w:tl2br w:val="nil"/>
              <w:tr2bl w:val="nil"/>
            </w:tcBorders>
            <w:vAlign w:val="center"/>
          </w:tcPr>
          <w:p w14:paraId="3DE76C5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类别</w:t>
            </w:r>
          </w:p>
        </w:tc>
        <w:tc>
          <w:tcPr>
            <w:tcW w:w="949" w:type="pct"/>
            <w:tcBorders>
              <w:tl2br w:val="nil"/>
              <w:tr2bl w:val="nil"/>
            </w:tcBorders>
            <w:vAlign w:val="center"/>
          </w:tcPr>
          <w:p w14:paraId="78F332D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事故点</w:t>
            </w:r>
          </w:p>
        </w:tc>
        <w:tc>
          <w:tcPr>
            <w:tcW w:w="1566" w:type="pct"/>
            <w:tcBorders>
              <w:tl2br w:val="nil"/>
              <w:tr2bl w:val="nil"/>
            </w:tcBorders>
            <w:vAlign w:val="center"/>
          </w:tcPr>
          <w:p w14:paraId="04F991B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监测点</w:t>
            </w:r>
          </w:p>
        </w:tc>
        <w:tc>
          <w:tcPr>
            <w:tcW w:w="1361" w:type="pct"/>
            <w:tcBorders>
              <w:tl2br w:val="nil"/>
              <w:tr2bl w:val="nil"/>
            </w:tcBorders>
            <w:vAlign w:val="center"/>
          </w:tcPr>
          <w:p w14:paraId="47CB4BB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监测频率</w:t>
            </w:r>
          </w:p>
        </w:tc>
        <w:tc>
          <w:tcPr>
            <w:tcW w:w="653" w:type="pct"/>
            <w:tcBorders>
              <w:tl2br w:val="nil"/>
              <w:tr2bl w:val="nil"/>
            </w:tcBorders>
            <w:vAlign w:val="center"/>
          </w:tcPr>
          <w:p w14:paraId="225FA14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监测项目</w:t>
            </w:r>
          </w:p>
        </w:tc>
      </w:tr>
      <w:tr w14:paraId="54472E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0" w:hRule="atLeast"/>
          <w:jc w:val="center"/>
        </w:trPr>
        <w:tc>
          <w:tcPr>
            <w:tcW w:w="469" w:type="pct"/>
            <w:tcBorders>
              <w:tl2br w:val="nil"/>
              <w:tr2bl w:val="nil"/>
            </w:tcBorders>
            <w:vAlign w:val="center"/>
          </w:tcPr>
          <w:p w14:paraId="2E1D774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地下水</w:t>
            </w:r>
          </w:p>
        </w:tc>
        <w:tc>
          <w:tcPr>
            <w:tcW w:w="949" w:type="pct"/>
            <w:tcBorders>
              <w:tl2br w:val="nil"/>
              <w:tr2bl w:val="nil"/>
            </w:tcBorders>
            <w:vAlign w:val="center"/>
          </w:tcPr>
          <w:p w14:paraId="6F50C40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事故废水渗入至地下水</w:t>
            </w:r>
          </w:p>
        </w:tc>
        <w:tc>
          <w:tcPr>
            <w:tcW w:w="1566" w:type="pct"/>
            <w:tcBorders>
              <w:tl2br w:val="nil"/>
              <w:tr2bl w:val="nil"/>
            </w:tcBorders>
            <w:vAlign w:val="center"/>
          </w:tcPr>
          <w:p w14:paraId="6880B5C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对事故源四周设置监控点，另根据事故污染情况增加监控点。</w:t>
            </w:r>
          </w:p>
        </w:tc>
        <w:tc>
          <w:tcPr>
            <w:tcW w:w="1361" w:type="pct"/>
            <w:tcBorders>
              <w:tl2br w:val="nil"/>
              <w:tr2bl w:val="nil"/>
            </w:tcBorders>
            <w:vAlign w:val="center"/>
          </w:tcPr>
          <w:p w14:paraId="1A3BCF7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1次/1h</w:t>
            </w:r>
          </w:p>
        </w:tc>
        <w:tc>
          <w:tcPr>
            <w:tcW w:w="653" w:type="pct"/>
            <w:tcBorders>
              <w:tl2br w:val="nil"/>
              <w:tr2bl w:val="nil"/>
            </w:tcBorders>
            <w:vAlign w:val="center"/>
          </w:tcPr>
          <w:p w14:paraId="7C3CE66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pH、COD、</w:t>
            </w:r>
          </w:p>
          <w:p w14:paraId="3C6175B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NH</w:t>
            </w:r>
            <w:r>
              <w:rPr>
                <w:rFonts w:cs="Times New Roman"/>
                <w:color w:val="auto"/>
                <w:sz w:val="21"/>
                <w:szCs w:val="21"/>
                <w:highlight w:val="none"/>
                <w:vertAlign w:val="subscript"/>
              </w:rPr>
              <w:t>3</w:t>
            </w:r>
            <w:r>
              <w:rPr>
                <w:rFonts w:cs="Times New Roman"/>
                <w:color w:val="auto"/>
                <w:sz w:val="21"/>
                <w:szCs w:val="21"/>
                <w:highlight w:val="none"/>
              </w:rPr>
              <w:t>-N等</w:t>
            </w:r>
          </w:p>
        </w:tc>
      </w:tr>
      <w:tr w14:paraId="23B64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69" w:type="pct"/>
            <w:tcBorders>
              <w:tl2br w:val="nil"/>
              <w:tr2bl w:val="nil"/>
            </w:tcBorders>
            <w:vAlign w:val="center"/>
          </w:tcPr>
          <w:p w14:paraId="367D515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环境空气</w:t>
            </w:r>
          </w:p>
        </w:tc>
        <w:tc>
          <w:tcPr>
            <w:tcW w:w="949" w:type="pct"/>
            <w:tcBorders>
              <w:tl2br w:val="nil"/>
              <w:tr2bl w:val="nil"/>
            </w:tcBorders>
            <w:vAlign w:val="center"/>
          </w:tcPr>
          <w:p w14:paraId="6129C77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废气泄漏</w:t>
            </w:r>
          </w:p>
        </w:tc>
        <w:tc>
          <w:tcPr>
            <w:tcW w:w="1566" w:type="pct"/>
            <w:tcBorders>
              <w:tl2br w:val="nil"/>
              <w:tr2bl w:val="nil"/>
            </w:tcBorders>
            <w:vAlign w:val="center"/>
          </w:tcPr>
          <w:p w14:paraId="532AFA0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距离事故源50m、100m、200m、400m不等距设点，设在下风向，并在周边村庄各设一个监测点。</w:t>
            </w:r>
          </w:p>
        </w:tc>
        <w:tc>
          <w:tcPr>
            <w:tcW w:w="1361" w:type="pct"/>
            <w:tcBorders>
              <w:tl2br w:val="nil"/>
              <w:tr2bl w:val="nil"/>
            </w:tcBorders>
            <w:vAlign w:val="center"/>
          </w:tcPr>
          <w:p w14:paraId="7A8DC72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事故初期，采样1次/30min，随后根据空气中有害物质浓度降低情况调整监测频率按1h、2h等采样。</w:t>
            </w:r>
          </w:p>
        </w:tc>
        <w:tc>
          <w:tcPr>
            <w:tcW w:w="653" w:type="pct"/>
            <w:tcBorders>
              <w:tl2br w:val="nil"/>
              <w:tr2bl w:val="nil"/>
            </w:tcBorders>
            <w:vAlign w:val="center"/>
          </w:tcPr>
          <w:p w14:paraId="1C2AC2BB">
            <w:pPr>
              <w:spacing w:line="360" w:lineRule="exact"/>
              <w:ind w:firstLine="0" w:firstLineChars="0"/>
              <w:jc w:val="center"/>
              <w:rPr>
                <w:rFonts w:cs="Times New Roman"/>
                <w:color w:val="auto"/>
                <w:sz w:val="21"/>
                <w:szCs w:val="21"/>
                <w:highlight w:val="none"/>
              </w:rPr>
            </w:pPr>
          </w:p>
          <w:p w14:paraId="0CDB20E0">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次氯酸钠</w:t>
            </w:r>
            <w:r>
              <w:rPr>
                <w:rFonts w:cs="Times New Roman"/>
                <w:color w:val="auto"/>
                <w:sz w:val="21"/>
                <w:szCs w:val="21"/>
                <w:highlight w:val="none"/>
              </w:rPr>
              <w:t>等</w:t>
            </w:r>
          </w:p>
        </w:tc>
      </w:tr>
      <w:tr w14:paraId="3995C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69" w:type="pct"/>
            <w:tcBorders>
              <w:tl2br w:val="nil"/>
              <w:tr2bl w:val="nil"/>
            </w:tcBorders>
            <w:vAlign w:val="center"/>
          </w:tcPr>
          <w:p w14:paraId="0BB761E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土壤</w:t>
            </w:r>
          </w:p>
        </w:tc>
        <w:tc>
          <w:tcPr>
            <w:tcW w:w="4530" w:type="pct"/>
            <w:gridSpan w:val="4"/>
            <w:tcBorders>
              <w:tl2br w:val="nil"/>
              <w:tr2bl w:val="nil"/>
            </w:tcBorders>
            <w:vAlign w:val="center"/>
          </w:tcPr>
          <w:p w14:paraId="2EA88CB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事故后期应对污染的土壤、生物进行环境影响评估</w:t>
            </w:r>
          </w:p>
        </w:tc>
      </w:tr>
    </w:tbl>
    <w:p w14:paraId="7A4E8D8F">
      <w:pPr>
        <w:pStyle w:val="5"/>
        <w:rPr>
          <w:color w:val="auto"/>
          <w:highlight w:val="none"/>
          <w:lang w:val="en-US"/>
        </w:rPr>
      </w:pPr>
      <w:r>
        <w:rPr>
          <w:color w:val="auto"/>
          <w:highlight w:val="none"/>
          <w:lang w:val="en-US"/>
        </w:rPr>
        <w:t>6.2.6.4应急处置措施</w:t>
      </w:r>
    </w:p>
    <w:p w14:paraId="57C91968">
      <w:pPr>
        <w:spacing w:line="500" w:lineRule="exact"/>
        <w:rPr>
          <w:rFonts w:hint="default" w:eastAsia="宋体" w:cs="Times New Roman"/>
          <w:b/>
          <w:bCs/>
          <w:color w:val="auto"/>
          <w:highlight w:val="none"/>
          <w:lang w:val="en-US" w:eastAsia="zh-CN"/>
        </w:rPr>
      </w:pPr>
      <w:r>
        <w:rPr>
          <w:rFonts w:hint="eastAsia" w:cs="Times New Roman"/>
          <w:b/>
          <w:bCs/>
          <w:color w:val="auto"/>
          <w:highlight w:val="none"/>
          <w:lang w:val="en-US" w:eastAsia="zh-CN"/>
        </w:rPr>
        <w:t>1、</w:t>
      </w:r>
      <w:r>
        <w:rPr>
          <w:rFonts w:cs="Times New Roman"/>
          <w:b/>
          <w:bCs/>
          <w:color w:val="auto"/>
          <w:highlight w:val="none"/>
        </w:rPr>
        <w:t>泄漏</w:t>
      </w:r>
    </w:p>
    <w:p w14:paraId="19AA9466">
      <w:pPr>
        <w:spacing w:line="500" w:lineRule="exact"/>
        <w:rPr>
          <w:rFonts w:cs="Times New Roman"/>
          <w:color w:val="auto"/>
          <w:highlight w:val="none"/>
        </w:rPr>
      </w:pPr>
      <w:r>
        <w:rPr>
          <w:rFonts w:cs="Times New Roman"/>
          <w:color w:val="auto"/>
          <w:highlight w:val="none"/>
        </w:rPr>
        <w:t>废气泄漏，容易发生中毒或转化为火灾爆炸事故。因此泄漏处理要及时、得当，避免重大事故的发生。</w:t>
      </w:r>
    </w:p>
    <w:p w14:paraId="5EC0D178">
      <w:pPr>
        <w:spacing w:line="500" w:lineRule="exact"/>
        <w:rPr>
          <w:rFonts w:cs="Times New Roman"/>
          <w:color w:val="auto"/>
          <w:highlight w:val="none"/>
        </w:rPr>
      </w:pPr>
      <w:r>
        <w:rPr>
          <w:rFonts w:cs="Times New Roman"/>
          <w:color w:val="auto"/>
          <w:highlight w:val="none"/>
        </w:rPr>
        <w:t>进入泄漏现场进行处理时，应注意以下几项：</w:t>
      </w:r>
    </w:p>
    <w:p w14:paraId="4FB9345B">
      <w:pPr>
        <w:spacing w:line="500" w:lineRule="exact"/>
        <w:rPr>
          <w:rFonts w:cs="Times New Roman"/>
          <w:color w:val="auto"/>
          <w:highlight w:val="none"/>
        </w:rPr>
      </w:pPr>
      <w:r>
        <w:rPr>
          <w:rFonts w:cs="Times New Roman"/>
          <w:color w:val="auto"/>
          <w:highlight w:val="none"/>
        </w:rPr>
        <w:t>①进入现场人员必须配备必要的个人防护器具。</w:t>
      </w:r>
    </w:p>
    <w:p w14:paraId="6E659452">
      <w:pPr>
        <w:spacing w:line="500" w:lineRule="exact"/>
        <w:rPr>
          <w:rFonts w:cs="Times New Roman"/>
          <w:color w:val="auto"/>
          <w:highlight w:val="none"/>
        </w:rPr>
      </w:pPr>
      <w:r>
        <w:rPr>
          <w:rFonts w:cs="Times New Roman"/>
          <w:color w:val="auto"/>
          <w:highlight w:val="none"/>
        </w:rPr>
        <w:t>②如果泄漏物是易燃易爆的，应严禁火种。扑灭任何明火及任何其它形式的热源和火源，以降低发生火灾爆炸危险性；</w:t>
      </w:r>
    </w:p>
    <w:p w14:paraId="6FF8663D">
      <w:pPr>
        <w:spacing w:line="500" w:lineRule="exact"/>
        <w:rPr>
          <w:rFonts w:cs="Times New Roman"/>
          <w:color w:val="auto"/>
          <w:highlight w:val="none"/>
        </w:rPr>
      </w:pPr>
      <w:r>
        <w:rPr>
          <w:rFonts w:cs="Times New Roman"/>
          <w:color w:val="auto"/>
          <w:highlight w:val="none"/>
        </w:rPr>
        <w:t>③应急处理时严禁单独行动，要有监护人，必要时用水枪、水炮掩护。</w:t>
      </w:r>
    </w:p>
    <w:p w14:paraId="16C77E8F">
      <w:pPr>
        <w:spacing w:line="500" w:lineRule="exact"/>
        <w:rPr>
          <w:rFonts w:cs="Times New Roman"/>
          <w:color w:val="auto"/>
          <w:highlight w:val="none"/>
        </w:rPr>
      </w:pPr>
      <w:r>
        <w:rPr>
          <w:rFonts w:cs="Times New Roman"/>
          <w:color w:val="auto"/>
          <w:highlight w:val="none"/>
        </w:rPr>
        <w:t>④应从上风、上坡处接近现场，严禁盲目进入。</w:t>
      </w:r>
    </w:p>
    <w:p w14:paraId="49AB494F">
      <w:pPr>
        <w:spacing w:line="500" w:lineRule="exact"/>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2、病疫</w:t>
      </w:r>
    </w:p>
    <w:p w14:paraId="5B4B8310">
      <w:pPr>
        <w:pStyle w:val="5"/>
        <w:rPr>
          <w:color w:val="auto"/>
          <w:highlight w:val="none"/>
          <w:lang w:val="en-US"/>
        </w:rPr>
      </w:pPr>
      <w:r>
        <w:rPr>
          <w:color w:val="auto"/>
          <w:highlight w:val="none"/>
          <w:lang w:val="en-US"/>
        </w:rPr>
        <w:t>6.2.6.5环境风险应急预案</w:t>
      </w:r>
    </w:p>
    <w:p w14:paraId="0D907283">
      <w:pPr>
        <w:spacing w:line="500" w:lineRule="exact"/>
        <w:rPr>
          <w:rFonts w:cs="Times New Roman"/>
          <w:snapToGrid w:val="0"/>
          <w:color w:val="auto"/>
          <w:kern w:val="0"/>
          <w:highlight w:val="none"/>
        </w:rPr>
      </w:pPr>
      <w:r>
        <w:rPr>
          <w:rFonts w:cs="Times New Roman"/>
          <w:color w:val="auto"/>
          <w:szCs w:val="24"/>
          <w:highlight w:val="none"/>
        </w:rPr>
        <w:t>根据《建设项目环境风险评价技术导则》，建设单位应按照其中相关规定，并结合本项目实际情况，编制环境风险事故应急预案。应急预案的内容可参考下表。</w:t>
      </w:r>
    </w:p>
    <w:p w14:paraId="213AE22C">
      <w:pPr>
        <w:spacing w:line="240" w:lineRule="auto"/>
        <w:ind w:firstLine="482"/>
        <w:jc w:val="center"/>
        <w:rPr>
          <w:rFonts w:cs="Times New Roman"/>
          <w:b/>
          <w:color w:val="auto"/>
          <w:highlight w:val="none"/>
        </w:rPr>
      </w:pPr>
    </w:p>
    <w:p w14:paraId="435FA479">
      <w:pPr>
        <w:spacing w:line="240" w:lineRule="auto"/>
        <w:ind w:firstLine="482"/>
        <w:jc w:val="center"/>
        <w:rPr>
          <w:rFonts w:cs="Times New Roman"/>
          <w:b/>
          <w:color w:val="auto"/>
          <w:highlight w:val="none"/>
        </w:rPr>
      </w:pPr>
      <w:r>
        <w:rPr>
          <w:rFonts w:cs="Times New Roman"/>
          <w:b/>
          <w:color w:val="auto"/>
          <w:highlight w:val="none"/>
        </w:rPr>
        <w:t>表6-2-5  应急预案主要内容</w:t>
      </w:r>
    </w:p>
    <w:tbl>
      <w:tblPr>
        <w:tblStyle w:val="47"/>
        <w:tblW w:w="85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8"/>
        <w:gridCol w:w="2753"/>
        <w:gridCol w:w="4968"/>
      </w:tblGrid>
      <w:tr w14:paraId="529B6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468" w:type="pct"/>
            <w:vAlign w:val="center"/>
          </w:tcPr>
          <w:p w14:paraId="6019B59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序号</w:t>
            </w:r>
          </w:p>
        </w:tc>
        <w:tc>
          <w:tcPr>
            <w:tcW w:w="1615" w:type="pct"/>
            <w:vAlign w:val="center"/>
          </w:tcPr>
          <w:p w14:paraId="58FCAA8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项目</w:t>
            </w:r>
          </w:p>
        </w:tc>
        <w:tc>
          <w:tcPr>
            <w:tcW w:w="2915" w:type="pct"/>
            <w:vAlign w:val="center"/>
          </w:tcPr>
          <w:p w14:paraId="4FD8FB8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内容及要求</w:t>
            </w:r>
          </w:p>
        </w:tc>
      </w:tr>
      <w:tr w14:paraId="5070CA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468" w:type="pct"/>
            <w:vAlign w:val="center"/>
          </w:tcPr>
          <w:p w14:paraId="33DADCF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w:t>
            </w:r>
          </w:p>
        </w:tc>
        <w:tc>
          <w:tcPr>
            <w:tcW w:w="1615" w:type="pct"/>
            <w:vAlign w:val="center"/>
          </w:tcPr>
          <w:p w14:paraId="78459BF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应急计划区</w:t>
            </w:r>
          </w:p>
        </w:tc>
        <w:tc>
          <w:tcPr>
            <w:tcW w:w="2915" w:type="pct"/>
            <w:vAlign w:val="center"/>
          </w:tcPr>
          <w:p w14:paraId="3D6D703F">
            <w:pPr>
              <w:spacing w:line="360" w:lineRule="exac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危险目标：消毒装置、环境保护目标</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疫情防控</w:t>
            </w:r>
          </w:p>
        </w:tc>
      </w:tr>
      <w:tr w14:paraId="395E7E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7" w:hRule="atLeast"/>
          <w:jc w:val="center"/>
        </w:trPr>
        <w:tc>
          <w:tcPr>
            <w:tcW w:w="468" w:type="pct"/>
            <w:vAlign w:val="center"/>
          </w:tcPr>
          <w:p w14:paraId="409EBB3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w:t>
            </w:r>
          </w:p>
        </w:tc>
        <w:tc>
          <w:tcPr>
            <w:tcW w:w="1615" w:type="pct"/>
            <w:vAlign w:val="center"/>
          </w:tcPr>
          <w:p w14:paraId="5A017BE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应急组织机构、人员</w:t>
            </w:r>
          </w:p>
        </w:tc>
        <w:tc>
          <w:tcPr>
            <w:tcW w:w="2915" w:type="pct"/>
            <w:vAlign w:val="center"/>
          </w:tcPr>
          <w:p w14:paraId="17BBF76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厂区设应急组织机构，公司负责人负责现场全面指挥，专业救援队伍负责事故控制、救援和善后处理临近地区：由厂区专人负责厂区附近地区全面指挥，救援、管制和疏散</w:t>
            </w:r>
          </w:p>
        </w:tc>
      </w:tr>
      <w:tr w14:paraId="57C60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468" w:type="pct"/>
            <w:vAlign w:val="center"/>
          </w:tcPr>
          <w:p w14:paraId="1FA7F78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w:t>
            </w:r>
          </w:p>
        </w:tc>
        <w:tc>
          <w:tcPr>
            <w:tcW w:w="1615" w:type="pct"/>
            <w:vAlign w:val="center"/>
          </w:tcPr>
          <w:p w14:paraId="00D4394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预案分级响应条件</w:t>
            </w:r>
          </w:p>
        </w:tc>
        <w:tc>
          <w:tcPr>
            <w:tcW w:w="2915" w:type="pct"/>
            <w:vAlign w:val="center"/>
          </w:tcPr>
          <w:p w14:paraId="3E3844B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规定预案的级别及分级响应程序</w:t>
            </w:r>
          </w:p>
        </w:tc>
      </w:tr>
      <w:tr w14:paraId="5B62CD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468" w:type="pct"/>
            <w:vAlign w:val="center"/>
          </w:tcPr>
          <w:p w14:paraId="34C82DE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4</w:t>
            </w:r>
          </w:p>
        </w:tc>
        <w:tc>
          <w:tcPr>
            <w:tcW w:w="1615" w:type="pct"/>
            <w:vAlign w:val="center"/>
          </w:tcPr>
          <w:p w14:paraId="3D5A616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应急救援保障</w:t>
            </w:r>
          </w:p>
        </w:tc>
        <w:tc>
          <w:tcPr>
            <w:tcW w:w="2915" w:type="pct"/>
            <w:vAlign w:val="center"/>
          </w:tcPr>
          <w:p w14:paraId="308727D1">
            <w:pPr>
              <w:spacing w:line="360" w:lineRule="exact"/>
              <w:ind w:firstLine="0" w:firstLineChars="0"/>
              <w:jc w:val="center"/>
              <w:rPr>
                <w:rFonts w:hint="eastAsia"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rPr>
              <w:t>应急设施，设备与器材等</w:t>
            </w:r>
            <w:r>
              <w:rPr>
                <w:rFonts w:hint="eastAsia" w:ascii="Times New Roman" w:hAnsi="Times New Roman" w:eastAsia="宋体" w:cs="Times New Roman"/>
                <w:color w:val="auto"/>
                <w:sz w:val="21"/>
                <w:szCs w:val="21"/>
                <w:highlight w:val="none"/>
                <w:lang w:eastAsia="zh-CN"/>
              </w:rPr>
              <w:t>，</w:t>
            </w:r>
            <w:r>
              <w:rPr>
                <w:rFonts w:ascii="Times New Roman" w:hAnsi="Times New Roman" w:eastAsia="宋体" w:cs="Times New Roman"/>
                <w:color w:val="auto"/>
                <w:sz w:val="21"/>
                <w:szCs w:val="21"/>
                <w:highlight w:val="none"/>
              </w:rPr>
              <w:t>当确诊疫病时，及时封锁，上报疫情。同时立即采取措施，就地扑灭，确保人畜的安全。</w:t>
            </w:r>
          </w:p>
        </w:tc>
      </w:tr>
      <w:tr w14:paraId="51F6C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468" w:type="pct"/>
            <w:vAlign w:val="center"/>
          </w:tcPr>
          <w:p w14:paraId="1150B93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5</w:t>
            </w:r>
          </w:p>
        </w:tc>
        <w:tc>
          <w:tcPr>
            <w:tcW w:w="1615" w:type="pct"/>
            <w:vAlign w:val="center"/>
          </w:tcPr>
          <w:p w14:paraId="4C0CE49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报警、通讯联络方式</w:t>
            </w:r>
          </w:p>
        </w:tc>
        <w:tc>
          <w:tcPr>
            <w:tcW w:w="2915" w:type="pct"/>
            <w:vAlign w:val="center"/>
          </w:tcPr>
          <w:p w14:paraId="2FF996B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规定应急状态下的报警通讯方式、通知方式和交通保障、管制</w:t>
            </w:r>
          </w:p>
        </w:tc>
      </w:tr>
      <w:tr w14:paraId="7CC7D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468" w:type="pct"/>
            <w:vAlign w:val="center"/>
          </w:tcPr>
          <w:p w14:paraId="1CC837A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6</w:t>
            </w:r>
          </w:p>
        </w:tc>
        <w:tc>
          <w:tcPr>
            <w:tcW w:w="1615" w:type="pct"/>
            <w:vAlign w:val="center"/>
          </w:tcPr>
          <w:p w14:paraId="583C853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应急环境监测、抢险、</w:t>
            </w:r>
          </w:p>
          <w:p w14:paraId="29C68FA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救援及控制措施</w:t>
            </w:r>
          </w:p>
        </w:tc>
        <w:tc>
          <w:tcPr>
            <w:tcW w:w="2915" w:type="pct"/>
            <w:vAlign w:val="center"/>
          </w:tcPr>
          <w:p w14:paraId="3F670E3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由专业队伍负责对事故现场进行侦察监测，对事故性质、参数与后果进行评估，为指挥部门提供决策依据</w:t>
            </w:r>
          </w:p>
        </w:tc>
      </w:tr>
      <w:tr w14:paraId="1EC5B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468" w:type="pct"/>
            <w:vAlign w:val="center"/>
          </w:tcPr>
          <w:p w14:paraId="54DB67C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7</w:t>
            </w:r>
          </w:p>
        </w:tc>
        <w:tc>
          <w:tcPr>
            <w:tcW w:w="1615" w:type="pct"/>
            <w:vAlign w:val="center"/>
          </w:tcPr>
          <w:p w14:paraId="48FED02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应急检测、防护措施、</w:t>
            </w:r>
          </w:p>
          <w:p w14:paraId="3C2C0C1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清除泄漏措施和器材</w:t>
            </w:r>
          </w:p>
        </w:tc>
        <w:tc>
          <w:tcPr>
            <w:tcW w:w="2915" w:type="pct"/>
            <w:vAlign w:val="center"/>
          </w:tcPr>
          <w:p w14:paraId="4A03C448">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事故现场、邻近区域、控制防火区域，控制和清除污染措施及相应设备</w:t>
            </w:r>
            <w:r>
              <w:rPr>
                <w:rFonts w:hint="eastAsia" w:cs="Times New Roman"/>
                <w:color w:val="auto"/>
                <w:sz w:val="21"/>
                <w:szCs w:val="21"/>
                <w:highlight w:val="none"/>
                <w:lang w:eastAsia="zh-CN"/>
              </w:rPr>
              <w:t>，</w:t>
            </w:r>
          </w:p>
        </w:tc>
      </w:tr>
      <w:tr w14:paraId="604DD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8" w:hRule="atLeast"/>
          <w:jc w:val="center"/>
        </w:trPr>
        <w:tc>
          <w:tcPr>
            <w:tcW w:w="468" w:type="pct"/>
            <w:vAlign w:val="center"/>
          </w:tcPr>
          <w:p w14:paraId="6A7868B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8</w:t>
            </w:r>
          </w:p>
        </w:tc>
        <w:tc>
          <w:tcPr>
            <w:tcW w:w="1615" w:type="pct"/>
            <w:vAlign w:val="center"/>
          </w:tcPr>
          <w:p w14:paraId="69B4939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人员紧急撤离、疏散，应急剂量控制、撤离组织计划</w:t>
            </w:r>
          </w:p>
        </w:tc>
        <w:tc>
          <w:tcPr>
            <w:tcW w:w="2915" w:type="pct"/>
            <w:vAlign w:val="center"/>
          </w:tcPr>
          <w:p w14:paraId="64BC4E2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事故现场、厂区邻近区、受事故影响的区域人员及公众对毒物应急剂量控制规定，撤离组织计划及救护，医疗救护与公众健康</w:t>
            </w:r>
          </w:p>
        </w:tc>
      </w:tr>
      <w:tr w14:paraId="7CFBD8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468" w:type="pct"/>
            <w:vAlign w:val="center"/>
          </w:tcPr>
          <w:p w14:paraId="01B4891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9</w:t>
            </w:r>
          </w:p>
        </w:tc>
        <w:tc>
          <w:tcPr>
            <w:tcW w:w="1615" w:type="pct"/>
            <w:vAlign w:val="center"/>
          </w:tcPr>
          <w:p w14:paraId="1E8B9EB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事故应急救援</w:t>
            </w:r>
          </w:p>
          <w:p w14:paraId="767EB59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关闭程序与恢复措施</w:t>
            </w:r>
          </w:p>
        </w:tc>
        <w:tc>
          <w:tcPr>
            <w:tcW w:w="2915" w:type="pct"/>
            <w:vAlign w:val="center"/>
          </w:tcPr>
          <w:p w14:paraId="6906120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规定应急状态终止程序事故现场善后处理，恢复措施邻近区域解除事故警戒及善后恢复措施</w:t>
            </w:r>
          </w:p>
        </w:tc>
      </w:tr>
      <w:tr w14:paraId="0FF5E6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468" w:type="pct"/>
            <w:vAlign w:val="center"/>
          </w:tcPr>
          <w:p w14:paraId="2BC8E9D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w:t>
            </w:r>
          </w:p>
        </w:tc>
        <w:tc>
          <w:tcPr>
            <w:tcW w:w="1615" w:type="pct"/>
            <w:vAlign w:val="center"/>
          </w:tcPr>
          <w:p w14:paraId="152FACC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应急培训计划</w:t>
            </w:r>
          </w:p>
        </w:tc>
        <w:tc>
          <w:tcPr>
            <w:tcW w:w="2915" w:type="pct"/>
            <w:vAlign w:val="center"/>
          </w:tcPr>
          <w:p w14:paraId="06E53B6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应急计划制定后，平时安排人员培训与演练</w:t>
            </w:r>
          </w:p>
        </w:tc>
      </w:tr>
      <w:tr w14:paraId="19AA98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468" w:type="pct"/>
            <w:vAlign w:val="center"/>
          </w:tcPr>
          <w:p w14:paraId="438948A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11</w:t>
            </w:r>
          </w:p>
        </w:tc>
        <w:tc>
          <w:tcPr>
            <w:tcW w:w="1615" w:type="pct"/>
            <w:vAlign w:val="center"/>
          </w:tcPr>
          <w:p w14:paraId="2D24A4E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公众教育和信息</w:t>
            </w:r>
          </w:p>
        </w:tc>
        <w:tc>
          <w:tcPr>
            <w:tcW w:w="2915" w:type="pct"/>
            <w:vAlign w:val="center"/>
          </w:tcPr>
          <w:p w14:paraId="60AE1EC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对项目邻近地区开展公众教育、培训和发布有关信息</w:t>
            </w:r>
          </w:p>
        </w:tc>
      </w:tr>
    </w:tbl>
    <w:p w14:paraId="2290948C">
      <w:pPr>
        <w:pStyle w:val="5"/>
        <w:rPr>
          <w:color w:val="auto"/>
          <w:highlight w:val="none"/>
          <w:lang w:val="en-US"/>
        </w:rPr>
      </w:pPr>
      <w:r>
        <w:rPr>
          <w:color w:val="auto"/>
          <w:highlight w:val="none"/>
          <w:lang w:val="en-US"/>
        </w:rPr>
        <w:t>6.2.6.</w:t>
      </w:r>
      <w:r>
        <w:rPr>
          <w:rFonts w:hint="eastAsia"/>
          <w:color w:val="auto"/>
          <w:highlight w:val="none"/>
          <w:lang w:val="en-US" w:eastAsia="zh-CN"/>
        </w:rPr>
        <w:t>6</w:t>
      </w:r>
      <w:r>
        <w:rPr>
          <w:color w:val="auto"/>
          <w:highlight w:val="none"/>
          <w:lang w:val="en-US"/>
        </w:rPr>
        <w:t>环境风险评价结论</w:t>
      </w:r>
    </w:p>
    <w:p w14:paraId="1A22C378">
      <w:pPr>
        <w:spacing w:line="500" w:lineRule="exact"/>
        <w:rPr>
          <w:rFonts w:cs="Times New Roman"/>
          <w:color w:val="auto"/>
          <w:szCs w:val="24"/>
          <w:highlight w:val="none"/>
        </w:rPr>
      </w:pPr>
      <w:r>
        <w:rPr>
          <w:rFonts w:cs="Times New Roman"/>
          <w:color w:val="auto"/>
          <w:szCs w:val="24"/>
          <w:highlight w:val="none"/>
        </w:rPr>
        <w:t>在严格落实应急措施后，可将风险发生的概率和影响后果降到最低限度。一旦发生事故，及时采取应急措施，可将对地表水和地下水的影响降到最低限度，其风险水平可以被接受。</w:t>
      </w:r>
    </w:p>
    <w:p w14:paraId="791FF903">
      <w:pPr>
        <w:pStyle w:val="3"/>
        <w:spacing w:before="163" w:after="163"/>
        <w:rPr>
          <w:rFonts w:cs="Times New Roman"/>
          <w:color w:val="auto"/>
          <w:highlight w:val="none"/>
        </w:rPr>
      </w:pPr>
      <w:bookmarkStart w:id="380" w:name="_Toc480447676"/>
      <w:bookmarkStart w:id="381" w:name="_Toc2540"/>
      <w:r>
        <w:rPr>
          <w:rFonts w:cs="Times New Roman"/>
          <w:color w:val="auto"/>
          <w:highlight w:val="none"/>
        </w:rPr>
        <w:t>6.3环境保护投资估算</w:t>
      </w:r>
      <w:bookmarkEnd w:id="380"/>
      <w:bookmarkEnd w:id="381"/>
    </w:p>
    <w:p w14:paraId="2EF1E192">
      <w:pPr>
        <w:rPr>
          <w:rFonts w:cs="Times New Roman"/>
          <w:b/>
          <w:bCs/>
          <w:snapToGrid w:val="0"/>
          <w:color w:val="auto"/>
          <w:kern w:val="0"/>
          <w:sz w:val="21"/>
          <w:szCs w:val="21"/>
          <w:highlight w:val="none"/>
          <w:lang w:val="zh-CN"/>
        </w:rPr>
      </w:pPr>
      <w:bookmarkStart w:id="382" w:name="_Hlk15373681"/>
      <w:bookmarkStart w:id="383" w:name="_Hlk480428871"/>
      <w:r>
        <w:rPr>
          <w:rFonts w:cs="Times New Roman"/>
          <w:snapToGrid w:val="0"/>
          <w:color w:val="auto"/>
          <w:kern w:val="0"/>
          <w:highlight w:val="none"/>
        </w:rPr>
        <w:t>本工程总投资为</w:t>
      </w:r>
      <w:r>
        <w:rPr>
          <w:rFonts w:hint="eastAsia" w:cs="Times New Roman"/>
          <w:snapToGrid w:val="0"/>
          <w:color w:val="auto"/>
          <w:kern w:val="0"/>
          <w:highlight w:val="none"/>
          <w:lang w:val="en-US" w:eastAsia="zh-CN"/>
        </w:rPr>
        <w:t>2600</w:t>
      </w:r>
      <w:r>
        <w:rPr>
          <w:rFonts w:cs="Times New Roman"/>
          <w:snapToGrid w:val="0"/>
          <w:color w:val="auto"/>
          <w:kern w:val="0"/>
          <w:highlight w:val="none"/>
        </w:rPr>
        <w:t>万元，环保投资估算为</w:t>
      </w:r>
      <w:r>
        <w:rPr>
          <w:rFonts w:hint="eastAsia" w:cs="Times New Roman"/>
          <w:snapToGrid w:val="0"/>
          <w:color w:val="auto"/>
          <w:kern w:val="0"/>
          <w:highlight w:val="none"/>
          <w:lang w:val="en-US" w:eastAsia="zh-CN"/>
        </w:rPr>
        <w:t>200</w:t>
      </w:r>
      <w:r>
        <w:rPr>
          <w:rFonts w:cs="Times New Roman"/>
          <w:snapToGrid w:val="0"/>
          <w:color w:val="auto"/>
          <w:kern w:val="0"/>
          <w:highlight w:val="none"/>
        </w:rPr>
        <w:t>万元，占总投资的</w:t>
      </w:r>
      <w:r>
        <w:rPr>
          <w:rFonts w:hint="eastAsia" w:cs="Times New Roman"/>
          <w:snapToGrid w:val="0"/>
          <w:color w:val="auto"/>
          <w:kern w:val="0"/>
          <w:highlight w:val="none"/>
          <w:lang w:val="en-US" w:eastAsia="zh-CN"/>
        </w:rPr>
        <w:t>7.7</w:t>
      </w:r>
      <w:r>
        <w:rPr>
          <w:rFonts w:cs="Times New Roman"/>
          <w:snapToGrid w:val="0"/>
          <w:color w:val="auto"/>
          <w:kern w:val="0"/>
          <w:highlight w:val="none"/>
        </w:rPr>
        <w:t>%。</w:t>
      </w:r>
      <w:bookmarkEnd w:id="382"/>
    </w:p>
    <w:p w14:paraId="46B18370">
      <w:pPr>
        <w:keepNext w:val="0"/>
        <w:keepLines w:val="0"/>
        <w:pageBreakBefore w:val="0"/>
        <w:widowControl w:val="0"/>
        <w:kinsoku/>
        <w:wordWrap/>
        <w:overflowPunct/>
        <w:topLinePunct w:val="0"/>
        <w:autoSpaceDE/>
        <w:autoSpaceDN/>
        <w:bidi w:val="0"/>
        <w:adjustRightInd w:val="0"/>
        <w:snapToGrid w:val="0"/>
        <w:spacing w:before="164" w:beforeLines="50" w:line="240" w:lineRule="auto"/>
        <w:ind w:firstLine="482"/>
        <w:jc w:val="center"/>
        <w:textAlignment w:val="auto"/>
        <w:rPr>
          <w:rFonts w:cs="Times New Roman"/>
          <w:b/>
          <w:color w:val="auto"/>
          <w:highlight w:val="none"/>
          <w:lang w:val="zh-CN"/>
        </w:rPr>
      </w:pPr>
      <w:r>
        <w:rPr>
          <w:rFonts w:cs="Times New Roman"/>
          <w:b/>
          <w:color w:val="auto"/>
          <w:highlight w:val="none"/>
          <w:lang w:val="zh-CN"/>
        </w:rPr>
        <w:t>表6-3-1</w:t>
      </w:r>
      <w:r>
        <w:rPr>
          <w:rFonts w:cs="Times New Roman"/>
          <w:b/>
          <w:color w:val="auto"/>
          <w:highlight w:val="none"/>
        </w:rPr>
        <w:t xml:space="preserve">  </w:t>
      </w:r>
      <w:r>
        <w:rPr>
          <w:rFonts w:cs="Times New Roman"/>
          <w:b/>
          <w:color w:val="auto"/>
          <w:highlight w:val="none"/>
          <w:lang w:val="zh-CN"/>
        </w:rPr>
        <w:t>环保投资明细表</w:t>
      </w:r>
    </w:p>
    <w:tbl>
      <w:tblPr>
        <w:tblStyle w:val="39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1779"/>
        <w:gridCol w:w="4889"/>
        <w:gridCol w:w="935"/>
      </w:tblGrid>
      <w:tr w14:paraId="40BB19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5" w:type="pct"/>
            <w:gridSpan w:val="2"/>
            <w:vAlign w:val="center"/>
          </w:tcPr>
          <w:p w14:paraId="33B17186">
            <w:pPr>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项目</w:t>
            </w:r>
          </w:p>
        </w:tc>
        <w:tc>
          <w:tcPr>
            <w:tcW w:w="2866" w:type="pct"/>
            <w:vAlign w:val="center"/>
          </w:tcPr>
          <w:p w14:paraId="3FE52CBD">
            <w:pPr>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治理设施内容</w:t>
            </w:r>
          </w:p>
        </w:tc>
        <w:tc>
          <w:tcPr>
            <w:tcW w:w="548" w:type="pct"/>
            <w:vAlign w:val="center"/>
          </w:tcPr>
          <w:p w14:paraId="2F9964C2">
            <w:pPr>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金额</w:t>
            </w:r>
          </w:p>
          <w:p w14:paraId="69772D3D">
            <w:pPr>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(万元)</w:t>
            </w:r>
          </w:p>
        </w:tc>
      </w:tr>
      <w:tr w14:paraId="51771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5" w:type="pct"/>
            <w:gridSpan w:val="2"/>
            <w:vMerge w:val="restart"/>
            <w:vAlign w:val="center"/>
          </w:tcPr>
          <w:p w14:paraId="160E536F">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施工期</w:t>
            </w:r>
          </w:p>
        </w:tc>
        <w:tc>
          <w:tcPr>
            <w:tcW w:w="2866" w:type="pct"/>
            <w:vAlign w:val="center"/>
          </w:tcPr>
          <w:p w14:paraId="24B27728">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施工期设备的消声、减振措施</w:t>
            </w:r>
          </w:p>
        </w:tc>
        <w:tc>
          <w:tcPr>
            <w:tcW w:w="548" w:type="pct"/>
            <w:vAlign w:val="center"/>
          </w:tcPr>
          <w:p w14:paraId="03DBF79B">
            <w:pPr>
              <w:adjustRightInd/>
              <w:snapToGrid/>
              <w:spacing w:line="360" w:lineRule="exact"/>
              <w:ind w:firstLine="0" w:firstLineChars="0"/>
              <w:jc w:val="center"/>
              <w:rPr>
                <w:rFonts w:hint="eastAsia" w:eastAsia="宋体" w:cs="Times New Roman"/>
                <w:snapToGrid w:val="0"/>
                <w:color w:val="auto"/>
                <w:kern w:val="0"/>
                <w:sz w:val="21"/>
                <w:szCs w:val="21"/>
                <w:highlight w:val="none"/>
                <w:lang w:val="zh-CN" w:eastAsia="zh-CN"/>
              </w:rPr>
            </w:pPr>
            <w:r>
              <w:rPr>
                <w:rFonts w:cs="Times New Roman"/>
                <w:snapToGrid w:val="0"/>
                <w:color w:val="auto"/>
                <w:kern w:val="0"/>
                <w:sz w:val="21"/>
                <w:szCs w:val="21"/>
                <w:highlight w:val="none"/>
                <w:lang w:val="zh-CN"/>
              </w:rPr>
              <w:t>0.</w:t>
            </w:r>
            <w:r>
              <w:rPr>
                <w:rFonts w:hint="eastAsia" w:cs="Times New Roman"/>
                <w:snapToGrid w:val="0"/>
                <w:color w:val="auto"/>
                <w:kern w:val="0"/>
                <w:sz w:val="21"/>
                <w:szCs w:val="21"/>
                <w:highlight w:val="none"/>
                <w:lang w:val="en-US" w:eastAsia="zh-CN"/>
              </w:rPr>
              <w:t>5</w:t>
            </w:r>
          </w:p>
        </w:tc>
      </w:tr>
      <w:tr w14:paraId="3682F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5" w:type="pct"/>
            <w:gridSpan w:val="2"/>
            <w:vMerge w:val="continue"/>
            <w:vAlign w:val="center"/>
          </w:tcPr>
          <w:p w14:paraId="672D87E6">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2866" w:type="pct"/>
            <w:vAlign w:val="center"/>
          </w:tcPr>
          <w:p w14:paraId="6C8E130D">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施工废水环保厕所、垃圾桶</w:t>
            </w:r>
          </w:p>
        </w:tc>
        <w:tc>
          <w:tcPr>
            <w:tcW w:w="548" w:type="pct"/>
            <w:vAlign w:val="center"/>
          </w:tcPr>
          <w:p w14:paraId="0D10216F">
            <w:pPr>
              <w:adjustRightInd/>
              <w:snapToGrid/>
              <w:spacing w:line="360" w:lineRule="exact"/>
              <w:ind w:firstLine="0" w:firstLineChars="0"/>
              <w:jc w:val="center"/>
              <w:rPr>
                <w:rFonts w:hint="eastAsia" w:eastAsia="宋体" w:cs="Times New Roman"/>
                <w:snapToGrid w:val="0"/>
                <w:color w:val="auto"/>
                <w:kern w:val="0"/>
                <w:sz w:val="21"/>
                <w:szCs w:val="21"/>
                <w:highlight w:val="none"/>
                <w:lang w:val="zh-CN" w:eastAsia="zh-CN"/>
              </w:rPr>
            </w:pPr>
            <w:r>
              <w:rPr>
                <w:rFonts w:cs="Times New Roman"/>
                <w:snapToGrid w:val="0"/>
                <w:color w:val="auto"/>
                <w:kern w:val="0"/>
                <w:sz w:val="21"/>
                <w:szCs w:val="21"/>
                <w:highlight w:val="none"/>
                <w:lang w:val="zh-CN"/>
              </w:rPr>
              <w:t>0.</w:t>
            </w:r>
            <w:r>
              <w:rPr>
                <w:rFonts w:hint="eastAsia" w:cs="Times New Roman"/>
                <w:snapToGrid w:val="0"/>
                <w:color w:val="auto"/>
                <w:kern w:val="0"/>
                <w:sz w:val="21"/>
                <w:szCs w:val="21"/>
                <w:highlight w:val="none"/>
                <w:lang w:val="en-US" w:eastAsia="zh-CN"/>
              </w:rPr>
              <w:t>5</w:t>
            </w:r>
          </w:p>
        </w:tc>
      </w:tr>
      <w:tr w14:paraId="571B2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5" w:type="pct"/>
            <w:gridSpan w:val="2"/>
            <w:vMerge w:val="continue"/>
            <w:vAlign w:val="center"/>
          </w:tcPr>
          <w:p w14:paraId="4133F32C">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2866" w:type="pct"/>
            <w:vAlign w:val="center"/>
          </w:tcPr>
          <w:p w14:paraId="78242801">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施工材料苫盖、洒水抑尘措施</w:t>
            </w:r>
          </w:p>
        </w:tc>
        <w:tc>
          <w:tcPr>
            <w:tcW w:w="548" w:type="pct"/>
            <w:vAlign w:val="center"/>
          </w:tcPr>
          <w:p w14:paraId="2833E80F">
            <w:pPr>
              <w:adjustRightInd/>
              <w:snapToGrid/>
              <w:spacing w:line="360" w:lineRule="exact"/>
              <w:ind w:firstLine="0" w:firstLineChars="0"/>
              <w:jc w:val="center"/>
              <w:rPr>
                <w:rFonts w:hint="eastAsia" w:eastAsia="宋体" w:cs="Times New Roman"/>
                <w:snapToGrid w:val="0"/>
                <w:color w:val="auto"/>
                <w:kern w:val="0"/>
                <w:sz w:val="21"/>
                <w:szCs w:val="21"/>
                <w:highlight w:val="none"/>
                <w:lang w:val="zh-CN" w:eastAsia="zh-CN"/>
              </w:rPr>
            </w:pPr>
            <w:r>
              <w:rPr>
                <w:rFonts w:cs="Times New Roman"/>
                <w:snapToGrid w:val="0"/>
                <w:color w:val="auto"/>
                <w:kern w:val="0"/>
                <w:sz w:val="21"/>
                <w:szCs w:val="21"/>
                <w:highlight w:val="none"/>
                <w:lang w:val="zh-CN"/>
              </w:rPr>
              <w:t>0.</w:t>
            </w:r>
            <w:r>
              <w:rPr>
                <w:rFonts w:hint="eastAsia" w:cs="Times New Roman"/>
                <w:snapToGrid w:val="0"/>
                <w:color w:val="auto"/>
                <w:kern w:val="0"/>
                <w:sz w:val="21"/>
                <w:szCs w:val="21"/>
                <w:highlight w:val="none"/>
                <w:lang w:val="en-US" w:eastAsia="zh-CN"/>
              </w:rPr>
              <w:t>8</w:t>
            </w:r>
          </w:p>
        </w:tc>
      </w:tr>
      <w:tr w14:paraId="6DB99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5" w:type="pct"/>
            <w:gridSpan w:val="2"/>
            <w:vMerge w:val="continue"/>
            <w:vAlign w:val="center"/>
          </w:tcPr>
          <w:p w14:paraId="19CF1630">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2866" w:type="pct"/>
            <w:vAlign w:val="center"/>
          </w:tcPr>
          <w:p w14:paraId="384F735F">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水土流失、生态保护与恢复</w:t>
            </w:r>
          </w:p>
        </w:tc>
        <w:tc>
          <w:tcPr>
            <w:tcW w:w="548" w:type="pct"/>
            <w:vAlign w:val="center"/>
          </w:tcPr>
          <w:p w14:paraId="0ADEDBA8">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1.2</w:t>
            </w:r>
          </w:p>
        </w:tc>
      </w:tr>
      <w:tr w14:paraId="451C32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2" w:type="pct"/>
            <w:vMerge w:val="restart"/>
            <w:vAlign w:val="center"/>
          </w:tcPr>
          <w:p w14:paraId="7115A63C">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运营期</w:t>
            </w:r>
          </w:p>
        </w:tc>
        <w:tc>
          <w:tcPr>
            <w:tcW w:w="1042" w:type="pct"/>
            <w:vAlign w:val="center"/>
          </w:tcPr>
          <w:p w14:paraId="364733B2">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废水治理</w:t>
            </w:r>
          </w:p>
        </w:tc>
        <w:tc>
          <w:tcPr>
            <w:tcW w:w="2866" w:type="pct"/>
            <w:vAlign w:val="center"/>
          </w:tcPr>
          <w:p w14:paraId="0BE00B33">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cs="Times New Roman"/>
                <w:snapToGrid w:val="0"/>
                <w:color w:val="auto"/>
                <w:kern w:val="0"/>
                <w:sz w:val="21"/>
                <w:szCs w:val="21"/>
                <w:highlight w:val="none"/>
                <w:lang w:val="zh-CN"/>
              </w:rPr>
              <w:t>污水处理站、事故池</w:t>
            </w:r>
            <w:r>
              <w:rPr>
                <w:rFonts w:hint="eastAsia" w:cs="Times New Roman"/>
                <w:snapToGrid w:val="0"/>
                <w:color w:val="auto"/>
                <w:kern w:val="0"/>
                <w:sz w:val="21"/>
                <w:szCs w:val="21"/>
                <w:highlight w:val="none"/>
                <w:lang w:val="zh-CN"/>
              </w:rPr>
              <w:t>、</w:t>
            </w:r>
            <w:r>
              <w:rPr>
                <w:rFonts w:hint="eastAsia" w:cs="Times New Roman"/>
                <w:snapToGrid w:val="0"/>
                <w:color w:val="auto"/>
                <w:kern w:val="0"/>
                <w:sz w:val="21"/>
                <w:szCs w:val="21"/>
                <w:highlight w:val="none"/>
                <w:lang w:val="en-US" w:eastAsia="zh-CN"/>
              </w:rPr>
              <w:t>自动监测设施</w:t>
            </w:r>
          </w:p>
        </w:tc>
        <w:tc>
          <w:tcPr>
            <w:tcW w:w="548" w:type="pct"/>
            <w:vAlign w:val="center"/>
          </w:tcPr>
          <w:p w14:paraId="57E56E41">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80</w:t>
            </w:r>
          </w:p>
        </w:tc>
      </w:tr>
      <w:tr w14:paraId="45CDFA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2" w:type="pct"/>
            <w:vMerge w:val="continue"/>
            <w:vAlign w:val="center"/>
          </w:tcPr>
          <w:p w14:paraId="644FA49F">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Align w:val="center"/>
          </w:tcPr>
          <w:p w14:paraId="00B3E96F">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地下水防范</w:t>
            </w:r>
          </w:p>
        </w:tc>
        <w:tc>
          <w:tcPr>
            <w:tcW w:w="2866" w:type="pct"/>
            <w:vAlign w:val="center"/>
          </w:tcPr>
          <w:p w14:paraId="3F138857">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分区防渗、</w:t>
            </w:r>
            <w:r>
              <w:rPr>
                <w:rFonts w:cs="Times New Roman"/>
                <w:snapToGrid w:val="0"/>
                <w:color w:val="auto"/>
                <w:kern w:val="0"/>
                <w:sz w:val="21"/>
                <w:szCs w:val="21"/>
                <w:highlight w:val="none"/>
                <w:lang w:val="zh-CN"/>
              </w:rPr>
              <w:t>地下水</w:t>
            </w:r>
            <w:r>
              <w:rPr>
                <w:rFonts w:hint="eastAsia" w:cs="Times New Roman"/>
                <w:snapToGrid w:val="0"/>
                <w:color w:val="auto"/>
                <w:kern w:val="0"/>
                <w:sz w:val="21"/>
                <w:szCs w:val="21"/>
                <w:highlight w:val="none"/>
                <w:lang w:val="en-US" w:eastAsia="zh-CN"/>
              </w:rPr>
              <w:t>跟踪</w:t>
            </w:r>
            <w:r>
              <w:rPr>
                <w:rFonts w:cs="Times New Roman"/>
                <w:snapToGrid w:val="0"/>
                <w:color w:val="auto"/>
                <w:kern w:val="0"/>
                <w:sz w:val="21"/>
                <w:szCs w:val="21"/>
                <w:highlight w:val="none"/>
                <w:lang w:val="zh-CN"/>
              </w:rPr>
              <w:t>监测井</w:t>
            </w:r>
          </w:p>
        </w:tc>
        <w:tc>
          <w:tcPr>
            <w:tcW w:w="548" w:type="pct"/>
            <w:vAlign w:val="center"/>
          </w:tcPr>
          <w:p w14:paraId="6E9DD0B8">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20</w:t>
            </w:r>
          </w:p>
        </w:tc>
      </w:tr>
      <w:tr w14:paraId="75A929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42" w:type="pct"/>
            <w:vMerge w:val="continue"/>
            <w:vAlign w:val="center"/>
          </w:tcPr>
          <w:p w14:paraId="173AA3A6">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Merge w:val="restart"/>
            <w:vAlign w:val="center"/>
          </w:tcPr>
          <w:p w14:paraId="16D5E756">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废气治理</w:t>
            </w:r>
          </w:p>
        </w:tc>
        <w:tc>
          <w:tcPr>
            <w:tcW w:w="2866" w:type="pct"/>
            <w:vAlign w:val="center"/>
          </w:tcPr>
          <w:p w14:paraId="5FD55F3E">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hint="eastAsia" w:cs="Times New Roman"/>
                <w:snapToGrid w:val="0"/>
                <w:color w:val="auto"/>
                <w:kern w:val="0"/>
                <w:sz w:val="21"/>
                <w:szCs w:val="21"/>
                <w:highlight w:val="none"/>
                <w:lang w:val="en-US" w:eastAsia="zh-CN"/>
              </w:rPr>
              <w:t>急宰间、隔离间及固体废物暂存间（一般固体废物暂存间、危险废物暂存点）、</w:t>
            </w:r>
            <w:r>
              <w:rPr>
                <w:rFonts w:cs="Times New Roman"/>
                <w:snapToGrid w:val="0"/>
                <w:color w:val="auto"/>
                <w:kern w:val="0"/>
                <w:sz w:val="21"/>
                <w:szCs w:val="21"/>
                <w:highlight w:val="none"/>
                <w:lang w:val="zh-CN"/>
              </w:rPr>
              <w:t>屠宰车间活性炭吸附+15m高排气筒</w:t>
            </w:r>
          </w:p>
        </w:tc>
        <w:tc>
          <w:tcPr>
            <w:tcW w:w="548" w:type="pct"/>
            <w:vMerge w:val="restart"/>
            <w:vAlign w:val="center"/>
          </w:tcPr>
          <w:p w14:paraId="798FD0EC">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55</w:t>
            </w:r>
          </w:p>
        </w:tc>
      </w:tr>
      <w:tr w14:paraId="4234DA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542" w:type="pct"/>
            <w:vMerge w:val="continue"/>
            <w:vAlign w:val="center"/>
          </w:tcPr>
          <w:p w14:paraId="10922ED8">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Merge w:val="continue"/>
            <w:vAlign w:val="center"/>
          </w:tcPr>
          <w:p w14:paraId="2642617F">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2866" w:type="pct"/>
            <w:vAlign w:val="center"/>
          </w:tcPr>
          <w:p w14:paraId="67C7370F">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污水处理站活性炭吸附+15m高排气筒</w:t>
            </w:r>
          </w:p>
        </w:tc>
        <w:tc>
          <w:tcPr>
            <w:tcW w:w="548" w:type="pct"/>
            <w:vMerge w:val="continue"/>
            <w:vAlign w:val="center"/>
          </w:tcPr>
          <w:p w14:paraId="3D2BBBC3">
            <w:pPr>
              <w:adjustRightInd/>
              <w:snapToGrid/>
              <w:spacing w:line="360" w:lineRule="exact"/>
              <w:ind w:firstLine="0" w:firstLineChars="0"/>
              <w:jc w:val="center"/>
              <w:rPr>
                <w:rFonts w:cs="Times New Roman"/>
                <w:snapToGrid w:val="0"/>
                <w:color w:val="auto"/>
                <w:kern w:val="0"/>
                <w:sz w:val="21"/>
                <w:szCs w:val="21"/>
                <w:highlight w:val="none"/>
              </w:rPr>
            </w:pPr>
          </w:p>
        </w:tc>
      </w:tr>
      <w:tr w14:paraId="30E01D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542" w:type="pct"/>
            <w:vMerge w:val="continue"/>
            <w:vAlign w:val="center"/>
          </w:tcPr>
          <w:p w14:paraId="73309470">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Merge w:val="continue"/>
            <w:vAlign w:val="center"/>
          </w:tcPr>
          <w:p w14:paraId="7C0AC831">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2866" w:type="pct"/>
            <w:vAlign w:val="center"/>
          </w:tcPr>
          <w:p w14:paraId="7C1CF877">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喷洒除臭剂</w:t>
            </w:r>
          </w:p>
        </w:tc>
        <w:tc>
          <w:tcPr>
            <w:tcW w:w="548" w:type="pct"/>
            <w:vMerge w:val="continue"/>
            <w:vAlign w:val="center"/>
          </w:tcPr>
          <w:p w14:paraId="4F34F596">
            <w:pPr>
              <w:adjustRightInd/>
              <w:snapToGrid/>
              <w:spacing w:line="360" w:lineRule="exact"/>
              <w:ind w:firstLine="0" w:firstLineChars="0"/>
              <w:jc w:val="center"/>
              <w:rPr>
                <w:rFonts w:cs="Times New Roman"/>
                <w:snapToGrid w:val="0"/>
                <w:color w:val="auto"/>
                <w:kern w:val="0"/>
                <w:sz w:val="21"/>
                <w:szCs w:val="21"/>
                <w:highlight w:val="none"/>
                <w:lang w:val="zh-CN"/>
              </w:rPr>
            </w:pPr>
          </w:p>
        </w:tc>
      </w:tr>
      <w:tr w14:paraId="0C5A9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2" w:type="pct"/>
            <w:vMerge w:val="continue"/>
            <w:vAlign w:val="center"/>
          </w:tcPr>
          <w:p w14:paraId="0D40504B">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Merge w:val="restart"/>
            <w:vAlign w:val="center"/>
          </w:tcPr>
          <w:p w14:paraId="435C40D7">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固废治理</w:t>
            </w:r>
          </w:p>
        </w:tc>
        <w:tc>
          <w:tcPr>
            <w:tcW w:w="2866" w:type="pct"/>
            <w:vAlign w:val="center"/>
          </w:tcPr>
          <w:p w14:paraId="31997E15">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检疫不合格品、</w:t>
            </w:r>
            <w:r>
              <w:rPr>
                <w:rFonts w:cs="Times New Roman"/>
                <w:snapToGrid w:val="0"/>
                <w:color w:val="auto"/>
                <w:kern w:val="0"/>
                <w:sz w:val="21"/>
                <w:szCs w:val="21"/>
                <w:highlight w:val="none"/>
              </w:rPr>
              <w:t>病死牛羊、</w:t>
            </w:r>
            <w:r>
              <w:rPr>
                <w:rFonts w:cs="Times New Roman"/>
                <w:snapToGrid w:val="0"/>
                <w:color w:val="auto"/>
                <w:kern w:val="0"/>
                <w:sz w:val="21"/>
                <w:szCs w:val="21"/>
                <w:highlight w:val="none"/>
                <w:lang w:val="zh-CN"/>
              </w:rPr>
              <w:t>检疫废物委托处置</w:t>
            </w:r>
          </w:p>
        </w:tc>
        <w:tc>
          <w:tcPr>
            <w:tcW w:w="548" w:type="pct"/>
            <w:vAlign w:val="center"/>
          </w:tcPr>
          <w:p w14:paraId="12BC52AF">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14</w:t>
            </w:r>
          </w:p>
        </w:tc>
      </w:tr>
      <w:tr w14:paraId="0F457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2" w:type="pct"/>
            <w:vMerge w:val="continue"/>
            <w:vAlign w:val="center"/>
          </w:tcPr>
          <w:p w14:paraId="37FC417D">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Merge w:val="continue"/>
            <w:vAlign w:val="center"/>
          </w:tcPr>
          <w:p w14:paraId="69DD1FA0">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2866" w:type="pct"/>
            <w:vAlign w:val="center"/>
          </w:tcPr>
          <w:p w14:paraId="22CB40F6">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垃圾箱</w:t>
            </w:r>
          </w:p>
        </w:tc>
        <w:tc>
          <w:tcPr>
            <w:tcW w:w="548" w:type="pct"/>
            <w:vAlign w:val="center"/>
          </w:tcPr>
          <w:p w14:paraId="5896F50F">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2.0</w:t>
            </w:r>
          </w:p>
        </w:tc>
      </w:tr>
      <w:tr w14:paraId="34EF2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2" w:type="pct"/>
            <w:vMerge w:val="continue"/>
            <w:vAlign w:val="center"/>
          </w:tcPr>
          <w:p w14:paraId="59017912">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Merge w:val="continue"/>
            <w:vAlign w:val="center"/>
          </w:tcPr>
          <w:p w14:paraId="42FAC18F">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2866" w:type="pct"/>
            <w:vAlign w:val="center"/>
          </w:tcPr>
          <w:p w14:paraId="5D4D36F8">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一般固废</w:t>
            </w:r>
            <w:r>
              <w:rPr>
                <w:rFonts w:hint="eastAsia" w:cs="Times New Roman"/>
                <w:snapToGrid w:val="0"/>
                <w:color w:val="auto"/>
                <w:kern w:val="0"/>
                <w:sz w:val="21"/>
                <w:szCs w:val="21"/>
                <w:highlight w:val="none"/>
                <w:lang w:val="en-US" w:eastAsia="zh-CN"/>
              </w:rPr>
              <w:t>及危险废物</w:t>
            </w:r>
            <w:r>
              <w:rPr>
                <w:rFonts w:cs="Times New Roman"/>
                <w:snapToGrid w:val="0"/>
                <w:color w:val="auto"/>
                <w:kern w:val="0"/>
                <w:sz w:val="21"/>
                <w:szCs w:val="21"/>
                <w:highlight w:val="none"/>
                <w:lang w:val="zh-CN"/>
              </w:rPr>
              <w:t>的收集</w:t>
            </w:r>
          </w:p>
        </w:tc>
        <w:tc>
          <w:tcPr>
            <w:tcW w:w="548" w:type="pct"/>
            <w:vAlign w:val="center"/>
          </w:tcPr>
          <w:p w14:paraId="7C566341">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3.5</w:t>
            </w:r>
          </w:p>
        </w:tc>
      </w:tr>
      <w:tr w14:paraId="4705EA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2" w:type="pct"/>
            <w:vMerge w:val="continue"/>
            <w:vAlign w:val="center"/>
          </w:tcPr>
          <w:p w14:paraId="506FDCEF">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Align w:val="center"/>
          </w:tcPr>
          <w:p w14:paraId="2A5D4BE8">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噪声治理</w:t>
            </w:r>
          </w:p>
        </w:tc>
        <w:tc>
          <w:tcPr>
            <w:tcW w:w="2866" w:type="pct"/>
            <w:vAlign w:val="center"/>
          </w:tcPr>
          <w:p w14:paraId="2758422E">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隔声、减振、消声</w:t>
            </w:r>
          </w:p>
        </w:tc>
        <w:tc>
          <w:tcPr>
            <w:tcW w:w="548" w:type="pct"/>
            <w:vAlign w:val="center"/>
          </w:tcPr>
          <w:p w14:paraId="24227FFA">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5.5</w:t>
            </w:r>
          </w:p>
        </w:tc>
      </w:tr>
      <w:tr w14:paraId="05ABEF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2" w:type="pct"/>
            <w:vMerge w:val="continue"/>
            <w:vAlign w:val="center"/>
          </w:tcPr>
          <w:p w14:paraId="54543E77">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Align w:val="center"/>
          </w:tcPr>
          <w:p w14:paraId="6DC2AE9D">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风险防范</w:t>
            </w:r>
          </w:p>
        </w:tc>
        <w:tc>
          <w:tcPr>
            <w:tcW w:w="2866" w:type="pct"/>
            <w:vAlign w:val="center"/>
          </w:tcPr>
          <w:p w14:paraId="6AB83D89">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消防水池、事故池（不重复投资）</w:t>
            </w:r>
          </w:p>
        </w:tc>
        <w:tc>
          <w:tcPr>
            <w:tcW w:w="548" w:type="pct"/>
            <w:vAlign w:val="center"/>
          </w:tcPr>
          <w:p w14:paraId="00A544F6">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12</w:t>
            </w:r>
          </w:p>
        </w:tc>
      </w:tr>
      <w:tr w14:paraId="569D7C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2" w:type="pct"/>
            <w:vMerge w:val="continue"/>
            <w:vAlign w:val="center"/>
          </w:tcPr>
          <w:p w14:paraId="75866F34">
            <w:pPr>
              <w:adjustRightInd/>
              <w:snapToGrid/>
              <w:spacing w:line="360" w:lineRule="exact"/>
              <w:ind w:firstLine="0" w:firstLineChars="0"/>
              <w:jc w:val="center"/>
              <w:rPr>
                <w:rFonts w:cs="Times New Roman"/>
                <w:snapToGrid w:val="0"/>
                <w:color w:val="auto"/>
                <w:kern w:val="0"/>
                <w:sz w:val="21"/>
                <w:szCs w:val="21"/>
                <w:highlight w:val="none"/>
                <w:lang w:val="zh-CN"/>
              </w:rPr>
            </w:pPr>
          </w:p>
        </w:tc>
        <w:tc>
          <w:tcPr>
            <w:tcW w:w="1042" w:type="pct"/>
            <w:vAlign w:val="center"/>
          </w:tcPr>
          <w:p w14:paraId="116D639A">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环保设施运行维护维修费用</w:t>
            </w:r>
          </w:p>
        </w:tc>
        <w:tc>
          <w:tcPr>
            <w:tcW w:w="2866" w:type="pct"/>
            <w:vAlign w:val="center"/>
          </w:tcPr>
          <w:p w14:paraId="7C1994D0">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运营期各环保设施的运行维护维修费用</w:t>
            </w:r>
          </w:p>
        </w:tc>
        <w:tc>
          <w:tcPr>
            <w:tcW w:w="548" w:type="pct"/>
            <w:vAlign w:val="center"/>
          </w:tcPr>
          <w:p w14:paraId="30235375">
            <w:pPr>
              <w:adjustRightInd/>
              <w:snapToGrid/>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5</w:t>
            </w:r>
          </w:p>
        </w:tc>
      </w:tr>
      <w:tr w14:paraId="2E1CA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51" w:type="pct"/>
            <w:gridSpan w:val="3"/>
            <w:vAlign w:val="center"/>
          </w:tcPr>
          <w:p w14:paraId="76AB36F7">
            <w:pPr>
              <w:adjustRightInd/>
              <w:snapToGrid/>
              <w:spacing w:line="360" w:lineRule="exact"/>
              <w:ind w:firstLine="0" w:firstLineChars="0"/>
              <w:jc w:val="center"/>
              <w:rPr>
                <w:rFonts w:cs="Times New Roman"/>
                <w:snapToGrid w:val="0"/>
                <w:color w:val="auto"/>
                <w:kern w:val="0"/>
                <w:sz w:val="21"/>
                <w:szCs w:val="21"/>
                <w:highlight w:val="none"/>
                <w:lang w:val="zh-CN"/>
              </w:rPr>
            </w:pPr>
            <w:r>
              <w:rPr>
                <w:rFonts w:cs="Times New Roman"/>
                <w:snapToGrid w:val="0"/>
                <w:color w:val="auto"/>
                <w:kern w:val="0"/>
                <w:sz w:val="21"/>
                <w:szCs w:val="21"/>
                <w:highlight w:val="none"/>
                <w:lang w:val="zh-CN"/>
              </w:rPr>
              <w:t>合计</w:t>
            </w:r>
          </w:p>
        </w:tc>
        <w:tc>
          <w:tcPr>
            <w:tcW w:w="548" w:type="pct"/>
            <w:vAlign w:val="center"/>
          </w:tcPr>
          <w:p w14:paraId="50D52856">
            <w:pPr>
              <w:adjustRightInd/>
              <w:snapToGrid/>
              <w:spacing w:line="360" w:lineRule="exact"/>
              <w:ind w:firstLine="0" w:firstLineChars="0"/>
              <w:jc w:val="center"/>
              <w:rPr>
                <w:rFonts w:hint="default"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97</w:t>
            </w:r>
          </w:p>
        </w:tc>
      </w:tr>
      <w:bookmarkEnd w:id="383"/>
    </w:tbl>
    <w:p w14:paraId="4AD75C2B">
      <w:pPr>
        <w:rPr>
          <w:rFonts w:hint="eastAsia" w:cs="Times New Roman"/>
          <w:snapToGrid w:val="0"/>
          <w:color w:val="auto"/>
          <w:kern w:val="0"/>
          <w:szCs w:val="24"/>
          <w:highlight w:val="none"/>
          <w:lang w:val="en-US" w:eastAsia="zh-CN"/>
        </w:rPr>
      </w:pPr>
      <w:r>
        <w:rPr>
          <w:rFonts w:hint="eastAsia" w:cs="Times New Roman"/>
          <w:snapToGrid w:val="0"/>
          <w:color w:val="auto"/>
          <w:kern w:val="0"/>
          <w:szCs w:val="24"/>
          <w:highlight w:val="none"/>
          <w:lang w:val="en-US" w:eastAsia="zh-CN"/>
        </w:rPr>
        <w:t xml:space="preserve"> </w:t>
      </w:r>
    </w:p>
    <w:p w14:paraId="0016E07B">
      <w:pPr>
        <w:pStyle w:val="27"/>
        <w:rPr>
          <w:rFonts w:hint="eastAsia"/>
          <w:color w:val="auto"/>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0C7EC2BC">
      <w:pPr>
        <w:pStyle w:val="2"/>
        <w:rPr>
          <w:rFonts w:cs="Times New Roman"/>
          <w:color w:val="auto"/>
          <w:highlight w:val="none"/>
        </w:rPr>
      </w:pPr>
      <w:bookmarkStart w:id="384" w:name="_Toc19141"/>
      <w:bookmarkStart w:id="385" w:name="_Toc61529213"/>
      <w:r>
        <w:rPr>
          <w:rFonts w:cs="Times New Roman"/>
          <w:color w:val="auto"/>
          <w:highlight w:val="none"/>
        </w:rPr>
        <w:t>7 环境影响经济损益分析</w:t>
      </w:r>
      <w:bookmarkEnd w:id="384"/>
      <w:bookmarkEnd w:id="385"/>
    </w:p>
    <w:p w14:paraId="4DF4C3FB">
      <w:pPr>
        <w:spacing w:line="500" w:lineRule="exact"/>
        <w:rPr>
          <w:rFonts w:cs="Times New Roman"/>
          <w:snapToGrid w:val="0"/>
          <w:color w:val="auto"/>
          <w:kern w:val="0"/>
          <w:highlight w:val="none"/>
        </w:rPr>
      </w:pPr>
      <w:r>
        <w:rPr>
          <w:rFonts w:cs="Times New Roman"/>
          <w:color w:val="auto"/>
          <w:szCs w:val="24"/>
          <w:highlight w:val="none"/>
        </w:rPr>
        <w:t>项目的建设除给企业自身带来一定的利益外，还增加了劳动就业机会，通过工商、税务、土地等方面的上缴，将为本地区的发展带来一定的经济效益和社会效益。但是本项目的建设对周围环境也将产生一定的影响，目前，这些影响还很难以货币价格来直接衡量，下面主要分析环境工程经济损益情况，除需计算用于控制污染所需的投资和费用外，同时核算可能收到的环境与经济实效。具体分析方法采用定性与半定量相结合的方法进行简要分析。</w:t>
      </w:r>
    </w:p>
    <w:p w14:paraId="3D31FCC1">
      <w:pPr>
        <w:pStyle w:val="3"/>
        <w:spacing w:before="163" w:after="163"/>
        <w:rPr>
          <w:rFonts w:cs="Times New Roman"/>
          <w:color w:val="auto"/>
          <w:highlight w:val="none"/>
        </w:rPr>
      </w:pPr>
      <w:bookmarkStart w:id="386" w:name="_Toc61529214"/>
      <w:bookmarkStart w:id="387" w:name="_Toc14767"/>
      <w:r>
        <w:rPr>
          <w:rFonts w:cs="Times New Roman"/>
          <w:color w:val="auto"/>
          <w:highlight w:val="none"/>
        </w:rPr>
        <w:t>7.1 社会效益</w:t>
      </w:r>
      <w:bookmarkEnd w:id="386"/>
      <w:bookmarkEnd w:id="387"/>
    </w:p>
    <w:p w14:paraId="323DFBB5">
      <w:pPr>
        <w:rPr>
          <w:rFonts w:cs="Times New Roman"/>
          <w:color w:val="auto"/>
          <w:szCs w:val="24"/>
          <w:highlight w:val="none"/>
        </w:rPr>
      </w:pPr>
      <w:r>
        <w:rPr>
          <w:rFonts w:cs="Times New Roman"/>
          <w:color w:val="auto"/>
          <w:szCs w:val="24"/>
          <w:highlight w:val="none"/>
        </w:rPr>
        <w:t>项目的建设将对当地的社会经济发展起到良好的推动作用。主要表现在以下几个方面：</w:t>
      </w:r>
    </w:p>
    <w:p w14:paraId="2CD628EE">
      <w:pPr>
        <w:rPr>
          <w:rFonts w:cs="Times New Roman"/>
          <w:color w:val="auto"/>
          <w:szCs w:val="24"/>
          <w:highlight w:val="none"/>
        </w:rPr>
      </w:pPr>
      <w:r>
        <w:rPr>
          <w:rFonts w:cs="Times New Roman"/>
          <w:color w:val="auto"/>
          <w:szCs w:val="24"/>
          <w:highlight w:val="none"/>
        </w:rPr>
        <w:t>1、本项目建设有利于调整区域农业结构，带动周边地区养殖业、运输业及相关产业的发展，加快农业产业化进程，有效解决“三农”问题，增加当地农民的收入。</w:t>
      </w:r>
    </w:p>
    <w:p w14:paraId="674F0681">
      <w:pPr>
        <w:rPr>
          <w:rFonts w:cs="Times New Roman"/>
          <w:color w:val="auto"/>
          <w:szCs w:val="24"/>
          <w:highlight w:val="none"/>
        </w:rPr>
      </w:pPr>
      <w:r>
        <w:rPr>
          <w:rFonts w:cs="Times New Roman"/>
          <w:color w:val="auto"/>
          <w:szCs w:val="24"/>
          <w:highlight w:val="none"/>
        </w:rPr>
        <w:t>2、随着该项目建成投产，在给企业增产增效的同时，又提供更多的工作岗位来安排闲散劳动力和下岗职工再就业，在一定程度上为推动其上下游行业生产发展、社会安定，减轻国家负担，提高当地民众的生活水平起到促进作用。</w:t>
      </w:r>
    </w:p>
    <w:p w14:paraId="61E2FFCE">
      <w:pPr>
        <w:rPr>
          <w:rFonts w:cs="Times New Roman"/>
          <w:color w:val="auto"/>
          <w:szCs w:val="24"/>
          <w:highlight w:val="none"/>
        </w:rPr>
      </w:pPr>
      <w:r>
        <w:rPr>
          <w:rFonts w:cs="Times New Roman"/>
          <w:color w:val="auto"/>
          <w:szCs w:val="24"/>
          <w:highlight w:val="none"/>
        </w:rPr>
        <w:t>3、本项目建筑材料、水、电等的消耗为当地带来间接经济效益。</w:t>
      </w:r>
    </w:p>
    <w:p w14:paraId="0D72D62D">
      <w:pPr>
        <w:rPr>
          <w:rFonts w:cs="Times New Roman"/>
          <w:color w:val="auto"/>
          <w:szCs w:val="24"/>
          <w:highlight w:val="none"/>
        </w:rPr>
      </w:pPr>
      <w:r>
        <w:rPr>
          <w:rFonts w:cs="Times New Roman"/>
          <w:color w:val="auto"/>
          <w:szCs w:val="24"/>
          <w:highlight w:val="none"/>
        </w:rPr>
        <w:t>综上所述，本项目的社会效益极为显著。</w:t>
      </w:r>
    </w:p>
    <w:p w14:paraId="127BFC6D">
      <w:pPr>
        <w:pStyle w:val="3"/>
        <w:spacing w:before="163" w:after="163"/>
        <w:rPr>
          <w:rFonts w:cs="Times New Roman"/>
          <w:color w:val="auto"/>
          <w:highlight w:val="none"/>
        </w:rPr>
      </w:pPr>
      <w:bookmarkStart w:id="388" w:name="_Toc12417"/>
      <w:bookmarkStart w:id="389" w:name="_Toc61529215"/>
      <w:r>
        <w:rPr>
          <w:rFonts w:cs="Times New Roman"/>
          <w:color w:val="auto"/>
          <w:highlight w:val="none"/>
        </w:rPr>
        <w:t>7.2 经济效益</w:t>
      </w:r>
      <w:bookmarkEnd w:id="388"/>
      <w:bookmarkEnd w:id="389"/>
    </w:p>
    <w:p w14:paraId="71BE2083">
      <w:pPr>
        <w:pStyle w:val="4"/>
        <w:spacing w:after="163"/>
        <w:rPr>
          <w:rFonts w:cs="Times New Roman"/>
          <w:color w:val="auto"/>
          <w:highlight w:val="none"/>
        </w:rPr>
      </w:pPr>
      <w:bookmarkStart w:id="390" w:name="_Toc14731"/>
      <w:r>
        <w:rPr>
          <w:rFonts w:cs="Times New Roman"/>
          <w:color w:val="auto"/>
          <w:highlight w:val="none"/>
        </w:rPr>
        <w:t>7.2.1环境代价</w:t>
      </w:r>
      <w:bookmarkEnd w:id="390"/>
    </w:p>
    <w:p w14:paraId="1EC55A60">
      <w:pPr>
        <w:rPr>
          <w:rFonts w:cs="Times New Roman"/>
          <w:color w:val="auto"/>
          <w:szCs w:val="24"/>
          <w:highlight w:val="none"/>
        </w:rPr>
      </w:pPr>
      <w:r>
        <w:rPr>
          <w:rFonts w:cs="Times New Roman"/>
          <w:color w:val="auto"/>
          <w:szCs w:val="24"/>
          <w:highlight w:val="none"/>
        </w:rPr>
        <w:t>环境代价是指由生产过程中排放的污染物对环境损害的费用估算。本项目废水如不经处理而直接排放，将对周边水体产生一定影响；固体废物未经妥善处置，将可能对环境产生二次污染。而且这种排污状况是环保法律、法规所不允许的，其直接后果将是企业被征收高额的排污费或面临停产整顿甚至关、停的严竣局面。所以采取有效的污染治理措施、确保污染物达标排放是企业生存发展的必由之路。</w:t>
      </w:r>
    </w:p>
    <w:p w14:paraId="5493FBF9">
      <w:pPr>
        <w:pStyle w:val="4"/>
        <w:spacing w:after="163"/>
        <w:rPr>
          <w:rFonts w:cs="Times New Roman"/>
          <w:color w:val="auto"/>
          <w:highlight w:val="none"/>
        </w:rPr>
      </w:pPr>
      <w:bookmarkStart w:id="391" w:name="_Toc28000"/>
      <w:r>
        <w:rPr>
          <w:rFonts w:cs="Times New Roman"/>
          <w:color w:val="auto"/>
          <w:highlight w:val="none"/>
        </w:rPr>
        <w:t>7.2.2环境成本</w:t>
      </w:r>
      <w:bookmarkEnd w:id="391"/>
    </w:p>
    <w:p w14:paraId="1053CCE9">
      <w:pPr>
        <w:rPr>
          <w:rFonts w:cs="Times New Roman"/>
          <w:color w:val="auto"/>
          <w:szCs w:val="24"/>
          <w:highlight w:val="none"/>
        </w:rPr>
      </w:pPr>
      <w:r>
        <w:rPr>
          <w:rFonts w:cs="Times New Roman"/>
          <w:color w:val="auto"/>
          <w:highlight w:val="none"/>
        </w:rPr>
        <w:t>按照项目环保措施中提出的各项污染治理措施，环保工程投资主要包括：废水处理系统、废气处理系统、降噪工程、固废处置措施建设等。本项目环保投资估算为</w:t>
      </w:r>
      <w:r>
        <w:rPr>
          <w:rFonts w:hint="eastAsia" w:cs="Times New Roman"/>
          <w:snapToGrid w:val="0"/>
          <w:color w:val="auto"/>
          <w:kern w:val="0"/>
          <w:highlight w:val="none"/>
          <w:lang w:val="en-US" w:eastAsia="zh-CN"/>
        </w:rPr>
        <w:t>200</w:t>
      </w:r>
      <w:r>
        <w:rPr>
          <w:rFonts w:cs="Times New Roman"/>
          <w:color w:val="auto"/>
          <w:highlight w:val="none"/>
        </w:rPr>
        <w:t>万元，约占总投资</w:t>
      </w:r>
      <w:r>
        <w:rPr>
          <w:rFonts w:hint="eastAsia" w:cs="Times New Roman"/>
          <w:snapToGrid w:val="0"/>
          <w:color w:val="auto"/>
          <w:kern w:val="0"/>
          <w:highlight w:val="none"/>
          <w:lang w:val="en-US" w:eastAsia="zh-CN"/>
        </w:rPr>
        <w:t>2600</w:t>
      </w:r>
      <w:r>
        <w:rPr>
          <w:rFonts w:cs="Times New Roman"/>
          <w:color w:val="auto"/>
          <w:highlight w:val="none"/>
        </w:rPr>
        <w:t>万元的</w:t>
      </w:r>
      <w:r>
        <w:rPr>
          <w:rFonts w:hint="eastAsia" w:cs="Times New Roman"/>
          <w:snapToGrid w:val="0"/>
          <w:color w:val="auto"/>
          <w:kern w:val="0"/>
          <w:highlight w:val="none"/>
          <w:lang w:val="en-US" w:eastAsia="zh-CN"/>
        </w:rPr>
        <w:t>7.7</w:t>
      </w:r>
      <w:r>
        <w:rPr>
          <w:rFonts w:cs="Times New Roman"/>
          <w:snapToGrid w:val="0"/>
          <w:color w:val="auto"/>
          <w:kern w:val="0"/>
          <w:highlight w:val="none"/>
        </w:rPr>
        <w:t>%</w:t>
      </w:r>
      <w:r>
        <w:rPr>
          <w:rFonts w:cs="Times New Roman"/>
          <w:color w:val="auto"/>
          <w:highlight w:val="none"/>
        </w:rPr>
        <w:t>。投资比例相对比较合理，因此从经济上考虑，项目环保措施选取是可行的。</w:t>
      </w:r>
    </w:p>
    <w:p w14:paraId="0BC79EBE">
      <w:pPr>
        <w:pStyle w:val="3"/>
        <w:spacing w:before="163" w:after="163"/>
        <w:rPr>
          <w:rFonts w:cs="Times New Roman"/>
          <w:color w:val="auto"/>
          <w:highlight w:val="none"/>
        </w:rPr>
      </w:pPr>
      <w:bookmarkStart w:id="392" w:name="_Toc24249"/>
      <w:bookmarkStart w:id="393" w:name="_Toc61529216"/>
      <w:r>
        <w:rPr>
          <w:rFonts w:cs="Times New Roman"/>
          <w:color w:val="auto"/>
          <w:highlight w:val="none"/>
        </w:rPr>
        <w:t>7.3 环境效益</w:t>
      </w:r>
      <w:bookmarkEnd w:id="392"/>
      <w:bookmarkEnd w:id="393"/>
    </w:p>
    <w:p w14:paraId="746E92EF">
      <w:pPr>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通过环保投资，对投产后全厂污染物排放进行了有效的治理，各项污染防治措施实施后，可取得良好的环境效益。主要表现在：</w:t>
      </w:r>
    </w:p>
    <w:p w14:paraId="463470B4">
      <w:pPr>
        <w:rPr>
          <w:rFonts w:ascii="Times New Roman" w:hAnsi="Times New Roman" w:eastAsia="宋体" w:cs="Times New Roman"/>
          <w:b/>
          <w:bCs/>
          <w:color w:val="auto"/>
          <w:szCs w:val="24"/>
          <w:highlight w:val="none"/>
        </w:rPr>
      </w:pPr>
      <w:r>
        <w:rPr>
          <w:rFonts w:ascii="Times New Roman" w:hAnsi="Times New Roman" w:eastAsia="宋体" w:cs="Times New Roman"/>
          <w:b/>
          <w:bCs/>
          <w:color w:val="auto"/>
          <w:szCs w:val="24"/>
          <w:highlight w:val="none"/>
        </w:rPr>
        <w:t>1、废气治理的环境效益</w:t>
      </w:r>
    </w:p>
    <w:p w14:paraId="1CAF9DDC">
      <w:pPr>
        <w:rPr>
          <w:rFonts w:cs="Times New Roman"/>
          <w:snapToGrid w:val="0"/>
          <w:color w:val="auto"/>
          <w:kern w:val="0"/>
          <w:highlight w:val="none"/>
          <w:lang w:val="zh-CN"/>
        </w:rPr>
      </w:pPr>
      <w:r>
        <w:rPr>
          <w:rFonts w:cs="Times New Roman"/>
          <w:color w:val="auto"/>
          <w:highlight w:val="none"/>
          <w:lang w:val="zh-CN"/>
        </w:rPr>
        <w:t>本项目运营期产生的废气主要包括</w:t>
      </w:r>
      <w:r>
        <w:rPr>
          <w:rFonts w:hint="eastAsia" w:cs="Times New Roman"/>
          <w:color w:val="auto"/>
          <w:highlight w:val="none"/>
          <w:lang w:val="zh-CN"/>
        </w:rPr>
        <w:t>待宰圈</w:t>
      </w:r>
      <w:r>
        <w:rPr>
          <w:rFonts w:cs="Times New Roman"/>
          <w:color w:val="auto"/>
          <w:highlight w:val="none"/>
          <w:lang w:val="zh-CN"/>
        </w:rPr>
        <w:t>、屠宰车间、污水处理站、</w:t>
      </w:r>
      <w:r>
        <w:rPr>
          <w:rFonts w:hint="eastAsia" w:cs="Times New Roman"/>
          <w:color w:val="auto"/>
          <w:highlight w:val="none"/>
          <w:lang w:val="en-US" w:eastAsia="zh-CN"/>
        </w:rPr>
        <w:t>急宰间、</w:t>
      </w:r>
      <w:r>
        <w:rPr>
          <w:rFonts w:cs="Times New Roman"/>
          <w:color w:val="auto"/>
          <w:highlight w:val="none"/>
          <w:lang w:val="zh-CN"/>
        </w:rPr>
        <w:t>隔离圈、固废暂存间产生的恶臭废气。</w:t>
      </w:r>
    </w:p>
    <w:p w14:paraId="6035D943">
      <w:pPr>
        <w:widowControl/>
        <w:rPr>
          <w:rFonts w:ascii="Times New Roman" w:hAnsi="Times New Roman" w:eastAsia="宋体" w:cs="Times New Roman"/>
          <w:snapToGrid w:val="0"/>
          <w:color w:val="auto"/>
          <w:highlight w:val="none"/>
        </w:rPr>
      </w:pPr>
      <w:r>
        <w:rPr>
          <w:rFonts w:cs="Times New Roman"/>
          <w:color w:val="auto"/>
          <w:highlight w:val="none"/>
        </w:rPr>
        <w:t>屠宰车间产生的废气产生的废气</w:t>
      </w:r>
      <w:r>
        <w:rPr>
          <w:rFonts w:hint="eastAsia" w:cs="Times New Roman"/>
          <w:color w:val="auto"/>
          <w:highlight w:val="none"/>
          <w:lang w:eastAsia="zh-CN"/>
        </w:rPr>
        <w:t>采用微负压集中收集后</w:t>
      </w:r>
      <w:r>
        <w:rPr>
          <w:rFonts w:cs="Times New Roman"/>
          <w:color w:val="auto"/>
          <w:highlight w:val="none"/>
        </w:rPr>
        <w:t>（收集率约90%左右），通过活性炭净化装置（</w:t>
      </w:r>
      <w:r>
        <w:rPr>
          <w:rFonts w:hint="eastAsia" w:cs="Times New Roman"/>
          <w:color w:val="auto"/>
          <w:highlight w:val="none"/>
          <w:lang w:eastAsia="zh-CN"/>
        </w:rPr>
        <w:t>净化效率80%</w:t>
      </w:r>
      <w:r>
        <w:rPr>
          <w:rFonts w:cs="Times New Roman"/>
          <w:color w:val="auto"/>
          <w:highlight w:val="none"/>
        </w:rPr>
        <w:t>）处理后，经15m高的排气筒DA001排放；</w:t>
      </w:r>
      <w:r>
        <w:rPr>
          <w:rFonts w:hint="eastAsia" w:cs="Times New Roman"/>
          <w:color w:val="auto"/>
          <w:highlight w:val="none"/>
          <w:lang w:val="en-US" w:eastAsia="zh-CN"/>
        </w:rPr>
        <w:t>急宰间、</w:t>
      </w:r>
      <w:r>
        <w:rPr>
          <w:rFonts w:cs="Times New Roman"/>
          <w:color w:val="auto"/>
          <w:highlight w:val="none"/>
          <w:lang w:val="zh-CN"/>
        </w:rPr>
        <w:t>隔离圈、固废暂存间</w:t>
      </w:r>
      <w:r>
        <w:rPr>
          <w:rFonts w:cs="Times New Roman"/>
          <w:color w:val="auto"/>
          <w:highlight w:val="none"/>
        </w:rPr>
        <w:t>废气</w:t>
      </w:r>
      <w:r>
        <w:rPr>
          <w:rFonts w:hint="eastAsia" w:cs="Times New Roman"/>
          <w:color w:val="auto"/>
          <w:highlight w:val="none"/>
          <w:lang w:eastAsia="zh-CN"/>
        </w:rPr>
        <w:t>采用微负压集中收集后</w:t>
      </w:r>
      <w:r>
        <w:rPr>
          <w:rFonts w:cs="Times New Roman"/>
          <w:color w:val="auto"/>
          <w:highlight w:val="none"/>
        </w:rPr>
        <w:t>（收集率约90%左右），通过一套活性炭净化装置（</w:t>
      </w:r>
      <w:r>
        <w:rPr>
          <w:rFonts w:hint="eastAsia" w:cs="Times New Roman"/>
          <w:color w:val="auto"/>
          <w:highlight w:val="none"/>
          <w:lang w:eastAsia="zh-CN"/>
        </w:rPr>
        <w:t>净化效率80%</w:t>
      </w:r>
      <w:r>
        <w:rPr>
          <w:rFonts w:cs="Times New Roman"/>
          <w:color w:val="auto"/>
          <w:highlight w:val="none"/>
        </w:rPr>
        <w:t>），净化后的废气通过15m排气筒DA00</w:t>
      </w:r>
      <w:r>
        <w:rPr>
          <w:rFonts w:hint="eastAsia" w:cs="Times New Roman"/>
          <w:color w:val="auto"/>
          <w:highlight w:val="none"/>
          <w:lang w:val="en-US" w:eastAsia="zh-CN"/>
        </w:rPr>
        <w:t>1</w:t>
      </w:r>
      <w:r>
        <w:rPr>
          <w:rFonts w:cs="Times New Roman"/>
          <w:color w:val="auto"/>
          <w:highlight w:val="none"/>
        </w:rPr>
        <w:t>排放；</w:t>
      </w:r>
      <w:r>
        <w:rPr>
          <w:rFonts w:cs="Times New Roman"/>
          <w:color w:val="auto"/>
          <w:szCs w:val="24"/>
          <w:highlight w:val="none"/>
        </w:rPr>
        <w:t>污水处理站产生的废气，经负压收集</w:t>
      </w:r>
      <w:r>
        <w:rPr>
          <w:rFonts w:cs="Times New Roman"/>
          <w:color w:val="auto"/>
          <w:highlight w:val="none"/>
        </w:rPr>
        <w:t>（收集率约90%左右）</w:t>
      </w:r>
      <w:r>
        <w:rPr>
          <w:rFonts w:cs="Times New Roman"/>
          <w:color w:val="auto"/>
          <w:szCs w:val="24"/>
          <w:highlight w:val="none"/>
        </w:rPr>
        <w:t>至活性炭吸附装置</w:t>
      </w:r>
      <w:r>
        <w:rPr>
          <w:rFonts w:cs="Times New Roman"/>
          <w:color w:val="auto"/>
          <w:highlight w:val="none"/>
        </w:rPr>
        <w:t>（</w:t>
      </w:r>
      <w:r>
        <w:rPr>
          <w:rFonts w:hint="eastAsia" w:cs="Times New Roman"/>
          <w:color w:val="auto"/>
          <w:highlight w:val="none"/>
          <w:lang w:eastAsia="zh-CN"/>
        </w:rPr>
        <w:t>净化效率80%</w:t>
      </w:r>
      <w:r>
        <w:rPr>
          <w:rFonts w:cs="Times New Roman"/>
          <w:color w:val="auto"/>
          <w:highlight w:val="none"/>
        </w:rPr>
        <w:t>）</w:t>
      </w:r>
      <w:r>
        <w:rPr>
          <w:rFonts w:cs="Times New Roman"/>
          <w:color w:val="auto"/>
          <w:szCs w:val="24"/>
          <w:highlight w:val="none"/>
        </w:rPr>
        <w:t>进行处理，处理后经15m高的排气筒DA00</w:t>
      </w:r>
      <w:r>
        <w:rPr>
          <w:rFonts w:hint="eastAsia" w:cs="Times New Roman"/>
          <w:color w:val="auto"/>
          <w:szCs w:val="24"/>
          <w:highlight w:val="none"/>
          <w:lang w:val="en-US" w:eastAsia="zh-CN"/>
        </w:rPr>
        <w:t>2</w:t>
      </w:r>
      <w:r>
        <w:rPr>
          <w:rFonts w:cs="Times New Roman"/>
          <w:color w:val="auto"/>
          <w:szCs w:val="24"/>
          <w:highlight w:val="none"/>
        </w:rPr>
        <w:t>排放；</w:t>
      </w:r>
      <w:r>
        <w:rPr>
          <w:rFonts w:cs="Times New Roman"/>
          <w:snapToGrid w:val="0"/>
          <w:color w:val="auto"/>
          <w:highlight w:val="none"/>
        </w:rPr>
        <w:t>DA001-DA00</w:t>
      </w:r>
      <w:r>
        <w:rPr>
          <w:rFonts w:hint="eastAsia" w:cs="Times New Roman"/>
          <w:snapToGrid w:val="0"/>
          <w:color w:val="auto"/>
          <w:highlight w:val="none"/>
          <w:lang w:val="en-US" w:eastAsia="zh-CN"/>
        </w:rPr>
        <w:t>2</w:t>
      </w:r>
      <w:r>
        <w:rPr>
          <w:rFonts w:cs="Times New Roman"/>
          <w:snapToGrid w:val="0"/>
          <w:color w:val="auto"/>
          <w:highlight w:val="none"/>
        </w:rPr>
        <w:t>排气筒排放速率及浓度均可满足《恶臭污染物排放标准》（GB14554-93）表2中排放标准限值。</w:t>
      </w:r>
    </w:p>
    <w:p w14:paraId="39CE1B8A">
      <w:pPr>
        <w:widowControl/>
        <w:rPr>
          <w:rFonts w:cs="Times New Roman"/>
          <w:color w:val="auto"/>
          <w:szCs w:val="24"/>
          <w:highlight w:val="none"/>
        </w:rPr>
      </w:pPr>
      <w:r>
        <w:rPr>
          <w:rFonts w:ascii="Times New Roman" w:hAnsi="Times New Roman" w:eastAsia="宋体" w:cs="Times New Roman"/>
          <w:snapToGrid w:val="0"/>
          <w:color w:val="auto"/>
          <w:highlight w:val="none"/>
        </w:rPr>
        <w:t>屠宰车间及时清洗清运，定期喷洒除臭剂</w:t>
      </w:r>
      <w:r>
        <w:rPr>
          <w:rFonts w:ascii="Times New Roman" w:hAnsi="Times New Roman" w:eastAsia="宋体" w:cs="Times New Roman"/>
          <w:snapToGrid w:val="0"/>
          <w:color w:val="auto"/>
          <w:highlight w:val="none"/>
          <w:lang w:val="zh-CN"/>
        </w:rPr>
        <w:t>；</w:t>
      </w:r>
      <w:r>
        <w:rPr>
          <w:rFonts w:hint="eastAsia" w:cs="Times New Roman"/>
          <w:snapToGrid w:val="0"/>
          <w:color w:val="auto"/>
          <w:highlight w:val="none"/>
          <w:lang w:val="zh-CN"/>
        </w:rPr>
        <w:t>待宰圈</w:t>
      </w:r>
      <w:r>
        <w:rPr>
          <w:rFonts w:ascii="Times New Roman" w:hAnsi="Times New Roman" w:eastAsia="宋体" w:cs="Times New Roman"/>
          <w:snapToGrid w:val="0"/>
          <w:color w:val="auto"/>
          <w:highlight w:val="none"/>
          <w:lang w:val="zh-CN"/>
        </w:rPr>
        <w:t>设置专人管理，及时清理地面上的粪便及尿液，</w:t>
      </w:r>
      <w:r>
        <w:rPr>
          <w:rFonts w:hint="eastAsia" w:ascii="Times New Roman" w:hAnsi="Times New Roman" w:eastAsia="宋体" w:cs="Times New Roman"/>
          <w:snapToGrid w:val="0"/>
          <w:color w:val="auto"/>
          <w:highlight w:val="none"/>
          <w:lang w:val="zh-CN"/>
        </w:rPr>
        <w:t>定期冲洗待地面</w:t>
      </w:r>
      <w:r>
        <w:rPr>
          <w:rFonts w:ascii="Times New Roman" w:hAnsi="Times New Roman" w:eastAsia="宋体" w:cs="Times New Roman"/>
          <w:snapToGrid w:val="0"/>
          <w:color w:val="auto"/>
          <w:highlight w:val="none"/>
          <w:lang w:val="zh-CN"/>
        </w:rPr>
        <w:t>，同时定期喷洒除臭剂，减少恶臭源的散发；对于污水处理站产生恶臭区域加盖、喷洒除臭剂，来降低污水处理站恶臭对厂区内外的影响；</w:t>
      </w:r>
      <w:r>
        <w:rPr>
          <w:rFonts w:ascii="Times New Roman" w:hAnsi="Times New Roman" w:eastAsia="宋体" w:cs="Times New Roman"/>
          <w:snapToGrid w:val="0"/>
          <w:color w:val="auto"/>
          <w:highlight w:val="none"/>
        </w:rPr>
        <w:t>固废暂存间内废物暂存于加盖的储池内，正常情况下为密封，仅输送生产废物时，将抽送泵</w:t>
      </w:r>
      <w:r>
        <w:rPr>
          <w:rFonts w:cs="Times New Roman"/>
          <w:snapToGrid w:val="0"/>
          <w:color w:val="auto"/>
          <w:highlight w:val="none"/>
        </w:rPr>
        <w:t>与储存池连接，将储存池内废物输送至运输车上，产生的恶臭较小</w:t>
      </w:r>
      <w:r>
        <w:rPr>
          <w:rFonts w:cs="Times New Roman"/>
          <w:snapToGrid w:val="0"/>
          <w:color w:val="auto"/>
          <w:highlight w:val="none"/>
          <w:lang w:val="zh-CN"/>
        </w:rPr>
        <w:t>。</w:t>
      </w:r>
      <w:r>
        <w:rPr>
          <w:rFonts w:cs="Times New Roman"/>
          <w:color w:val="auto"/>
          <w:highlight w:val="none"/>
        </w:rPr>
        <w:t>采取以上措施后可满足《恶臭污染物排放标准》（GB14554-93）表1中二级标准要求。</w:t>
      </w:r>
      <w:r>
        <w:rPr>
          <w:rFonts w:cs="Times New Roman"/>
          <w:color w:val="auto"/>
          <w:spacing w:val="-3"/>
          <w:szCs w:val="24"/>
          <w:highlight w:val="none"/>
        </w:rPr>
        <w:t>对周围大气环境影响较小。</w:t>
      </w:r>
    </w:p>
    <w:p w14:paraId="1772C7FE">
      <w:pPr>
        <w:ind w:firstLine="482"/>
        <w:rPr>
          <w:rFonts w:cs="Times New Roman"/>
          <w:b/>
          <w:bCs/>
          <w:color w:val="auto"/>
          <w:szCs w:val="24"/>
          <w:highlight w:val="none"/>
        </w:rPr>
      </w:pPr>
      <w:r>
        <w:rPr>
          <w:rFonts w:cs="Times New Roman"/>
          <w:b/>
          <w:bCs/>
          <w:color w:val="auto"/>
          <w:szCs w:val="24"/>
          <w:highlight w:val="none"/>
        </w:rPr>
        <w:t>2、废水治理的环境效益</w:t>
      </w:r>
    </w:p>
    <w:p w14:paraId="34AE1D02">
      <w:pPr>
        <w:rPr>
          <w:rFonts w:cs="Times New Roman"/>
          <w:color w:val="auto"/>
          <w:szCs w:val="24"/>
          <w:highlight w:val="none"/>
        </w:rPr>
      </w:pPr>
      <w:r>
        <w:rPr>
          <w:rFonts w:cs="Times New Roman"/>
          <w:bCs/>
          <w:color w:val="auto"/>
          <w:szCs w:val="24"/>
          <w:highlight w:val="none"/>
        </w:rPr>
        <w:t>本项目运营期产生的废水包括生产废水和生活污水。其中，生产废水</w:t>
      </w:r>
      <w:r>
        <w:rPr>
          <w:rFonts w:hint="eastAsia" w:cs="Times New Roman"/>
          <w:bCs/>
          <w:color w:val="auto"/>
          <w:szCs w:val="24"/>
          <w:highlight w:val="none"/>
          <w:lang w:eastAsia="zh-CN"/>
        </w:rPr>
        <w:t>包括</w:t>
      </w:r>
      <w:r>
        <w:rPr>
          <w:rFonts w:cs="Times New Roman"/>
          <w:bCs/>
          <w:color w:val="auto"/>
          <w:szCs w:val="24"/>
          <w:highlight w:val="none"/>
        </w:rPr>
        <w:t>屠宰废水</w:t>
      </w:r>
      <w:r>
        <w:rPr>
          <w:rFonts w:hint="eastAsia" w:cs="Times New Roman"/>
          <w:bCs/>
          <w:color w:val="auto"/>
          <w:szCs w:val="24"/>
          <w:highlight w:val="none"/>
          <w:lang w:eastAsia="zh-CN"/>
        </w:rPr>
        <w:t>、</w:t>
      </w:r>
      <w:r>
        <w:rPr>
          <w:rFonts w:hint="eastAsia" w:cs="Times New Roman"/>
          <w:bCs/>
          <w:color w:val="auto"/>
          <w:szCs w:val="24"/>
          <w:highlight w:val="none"/>
          <w:lang w:val="en-US" w:eastAsia="zh-CN"/>
        </w:rPr>
        <w:t>冲洗废水及排酸水</w:t>
      </w:r>
      <w:r>
        <w:rPr>
          <w:rFonts w:cs="Times New Roman"/>
          <w:bCs/>
          <w:color w:val="auto"/>
          <w:szCs w:val="24"/>
          <w:highlight w:val="none"/>
        </w:rPr>
        <w:t>，</w:t>
      </w:r>
      <w:r>
        <w:rPr>
          <w:rFonts w:cs="Times New Roman"/>
          <w:color w:val="auto"/>
          <w:highlight w:val="none"/>
        </w:rPr>
        <w:t>生活污水为</w:t>
      </w:r>
      <w:r>
        <w:rPr>
          <w:rFonts w:cs="Times New Roman"/>
          <w:bCs/>
          <w:color w:val="auto"/>
          <w:szCs w:val="24"/>
          <w:highlight w:val="none"/>
        </w:rPr>
        <w:t>员工日常生活污水。屠宰废水经厂区自建的污水处理站进行处理，</w:t>
      </w:r>
      <w:r>
        <w:rPr>
          <w:rFonts w:cs="Times New Roman"/>
          <w:snapToGrid w:val="0"/>
          <w:color w:val="auto"/>
          <w:highlight w:val="none"/>
          <w:lang w:val="en-GB"/>
        </w:rPr>
        <w:t>处理达到《肉类加工工业水污染物排放标准》（GB13457-92）中畜类屠宰加工三级标准，并满足</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进水水质要求后，</w:t>
      </w:r>
      <w:r>
        <w:rPr>
          <w:rFonts w:cs="Times New Roman"/>
          <w:snapToGrid w:val="0"/>
          <w:color w:val="auto"/>
          <w:highlight w:val="none"/>
        </w:rPr>
        <w:t>同生活污水经市政污水管网进入</w:t>
      </w:r>
      <w:r>
        <w:rPr>
          <w:rFonts w:hint="eastAsia" w:cs="Times New Roman"/>
          <w:snapToGrid w:val="0"/>
          <w:color w:val="auto"/>
          <w:highlight w:val="none"/>
          <w:lang w:val="en-GB" w:eastAsia="zh-CN"/>
        </w:rPr>
        <w:t>双鸭山市畅源排水有限公司</w:t>
      </w:r>
      <w:r>
        <w:rPr>
          <w:rFonts w:cs="Times New Roman"/>
          <w:snapToGrid w:val="0"/>
          <w:color w:val="auto"/>
          <w:highlight w:val="none"/>
          <w:lang w:val="en-GB"/>
        </w:rPr>
        <w:t>处理，达标后排入</w:t>
      </w:r>
      <w:r>
        <w:rPr>
          <w:rFonts w:hint="eastAsia" w:cs="Times New Roman"/>
          <w:snapToGrid w:val="0"/>
          <w:color w:val="auto"/>
          <w:highlight w:val="none"/>
          <w:lang w:val="en-GB" w:eastAsia="zh-CN"/>
        </w:rPr>
        <w:t>安邦河</w:t>
      </w:r>
      <w:r>
        <w:rPr>
          <w:rFonts w:cs="Times New Roman"/>
          <w:bCs/>
          <w:color w:val="auto"/>
          <w:szCs w:val="24"/>
          <w:highlight w:val="none"/>
        </w:rPr>
        <w:t>。在采取以上述措施处理后，</w:t>
      </w:r>
      <w:r>
        <w:rPr>
          <w:rFonts w:cs="Times New Roman"/>
          <w:color w:val="auto"/>
          <w:szCs w:val="24"/>
          <w:highlight w:val="none"/>
        </w:rPr>
        <w:t>本项目运营期产生的废水不会对周围环境产生明显的影响。</w:t>
      </w:r>
    </w:p>
    <w:p w14:paraId="4C2B3806">
      <w:pPr>
        <w:ind w:firstLine="482"/>
        <w:rPr>
          <w:rFonts w:cs="Times New Roman"/>
          <w:b/>
          <w:bCs/>
          <w:color w:val="auto"/>
          <w:szCs w:val="24"/>
          <w:highlight w:val="none"/>
        </w:rPr>
      </w:pPr>
      <w:r>
        <w:rPr>
          <w:rFonts w:cs="Times New Roman"/>
          <w:b/>
          <w:bCs/>
          <w:color w:val="auto"/>
          <w:szCs w:val="24"/>
          <w:highlight w:val="none"/>
        </w:rPr>
        <w:t>3、噪声治理的环境效益</w:t>
      </w:r>
    </w:p>
    <w:p w14:paraId="6E09FC31">
      <w:pPr>
        <w:rPr>
          <w:rFonts w:hint="default" w:eastAsia="宋体" w:cs="Times New Roman"/>
          <w:color w:val="auto"/>
          <w:szCs w:val="24"/>
          <w:highlight w:val="none"/>
          <w:lang w:val="en-US" w:eastAsia="zh-CN"/>
        </w:rPr>
      </w:pPr>
      <w:r>
        <w:rPr>
          <w:rFonts w:cs="Times New Roman"/>
          <w:color w:val="auto"/>
          <w:szCs w:val="24"/>
          <w:highlight w:val="none"/>
        </w:rPr>
        <w:t>厂内设备噪声污染源采取相应治理措施，使厂界噪声符合《工业企业厂界环境噪声排放标准》（GB12348-2008）表1中</w:t>
      </w:r>
      <w:r>
        <w:rPr>
          <w:rFonts w:hint="eastAsia" w:cs="Times New Roman"/>
          <w:color w:val="auto"/>
          <w:szCs w:val="24"/>
          <w:highlight w:val="none"/>
          <w:lang w:val="en-US" w:eastAsia="zh-CN"/>
        </w:rPr>
        <w:t>2</w:t>
      </w:r>
      <w:r>
        <w:rPr>
          <w:rFonts w:cs="Times New Roman"/>
          <w:color w:val="auto"/>
          <w:szCs w:val="24"/>
          <w:highlight w:val="none"/>
        </w:rPr>
        <w:t>类标准</w:t>
      </w:r>
      <w:r>
        <w:rPr>
          <w:rFonts w:hint="eastAsia" w:cs="Times New Roman"/>
          <w:color w:val="auto"/>
          <w:szCs w:val="24"/>
          <w:highlight w:val="none"/>
          <w:lang w:eastAsia="zh-CN"/>
        </w:rPr>
        <w:t>；</w:t>
      </w:r>
      <w:r>
        <w:rPr>
          <w:rFonts w:hint="eastAsia" w:cs="Times New Roman"/>
          <w:color w:val="auto"/>
          <w:szCs w:val="24"/>
          <w:highlight w:val="none"/>
          <w:lang w:val="en-US" w:eastAsia="zh-CN"/>
        </w:rPr>
        <w:t>厂区西侧敏感点噪声符合《声环境质量标准》（GB3096-2008）中2类标准。</w:t>
      </w:r>
    </w:p>
    <w:p w14:paraId="24D82958">
      <w:pPr>
        <w:ind w:firstLine="482"/>
        <w:rPr>
          <w:rFonts w:cs="Times New Roman"/>
          <w:b/>
          <w:bCs/>
          <w:color w:val="auto"/>
          <w:szCs w:val="24"/>
          <w:highlight w:val="none"/>
        </w:rPr>
      </w:pPr>
      <w:r>
        <w:rPr>
          <w:rFonts w:cs="Times New Roman"/>
          <w:b/>
          <w:bCs/>
          <w:color w:val="auto"/>
          <w:szCs w:val="24"/>
          <w:highlight w:val="none"/>
        </w:rPr>
        <w:t>4、固体废物治理的环境效益</w:t>
      </w:r>
    </w:p>
    <w:p w14:paraId="45381B43">
      <w:pPr>
        <w:rPr>
          <w:rFonts w:cs="Times New Roman"/>
          <w:color w:val="auto"/>
          <w:szCs w:val="24"/>
          <w:highlight w:val="none"/>
        </w:rPr>
      </w:pPr>
      <w:r>
        <w:rPr>
          <w:rFonts w:cs="Times New Roman"/>
          <w:color w:val="auto"/>
          <w:szCs w:val="24"/>
          <w:highlight w:val="none"/>
        </w:rPr>
        <w:t>固体废物的综合利用或有效处置，不仅消除了对环境的污染，而且变废为宝。</w:t>
      </w:r>
    </w:p>
    <w:p w14:paraId="6C371262">
      <w:pPr>
        <w:pStyle w:val="4"/>
        <w:spacing w:after="163"/>
        <w:rPr>
          <w:rFonts w:cs="Times New Roman"/>
          <w:color w:val="auto"/>
          <w:highlight w:val="none"/>
        </w:rPr>
      </w:pPr>
      <w:bookmarkStart w:id="394" w:name="_Toc14102"/>
      <w:bookmarkStart w:id="395" w:name="_Toc61529217"/>
      <w:r>
        <w:rPr>
          <w:rFonts w:cs="Times New Roman"/>
          <w:color w:val="auto"/>
          <w:highlight w:val="none"/>
        </w:rPr>
        <w:t>7.4 分析结论</w:t>
      </w:r>
      <w:bookmarkEnd w:id="394"/>
      <w:bookmarkEnd w:id="395"/>
    </w:p>
    <w:p w14:paraId="7037A17F">
      <w:pPr>
        <w:rPr>
          <w:rFonts w:cs="Times New Roman"/>
          <w:color w:val="auto"/>
          <w:szCs w:val="24"/>
          <w:highlight w:val="none"/>
        </w:rPr>
      </w:pPr>
      <w:r>
        <w:rPr>
          <w:rFonts w:cs="Times New Roman"/>
          <w:color w:val="auto"/>
          <w:szCs w:val="24"/>
          <w:highlight w:val="none"/>
        </w:rPr>
        <w:t>在社会效益方面，本项目建设促进了当地的轻工行业的发展，并为促进地方的经济发展有重要贡献。</w:t>
      </w:r>
    </w:p>
    <w:p w14:paraId="7D099F96">
      <w:pPr>
        <w:rPr>
          <w:rFonts w:cs="Times New Roman"/>
          <w:color w:val="auto"/>
          <w:szCs w:val="24"/>
          <w:highlight w:val="none"/>
        </w:rPr>
      </w:pPr>
      <w:r>
        <w:rPr>
          <w:rFonts w:cs="Times New Roman"/>
          <w:color w:val="auto"/>
          <w:szCs w:val="24"/>
          <w:highlight w:val="none"/>
        </w:rPr>
        <w:t>在环境效益方面，本项目的建设和运营对环境产生一定的影响，但只要严格落实环保措施，对环境的影响可控制在允许的范围内。</w:t>
      </w:r>
    </w:p>
    <w:p w14:paraId="4A42B560">
      <w:pPr>
        <w:rPr>
          <w:rFonts w:cs="Times New Roman"/>
          <w:color w:val="auto"/>
          <w:szCs w:val="24"/>
          <w:highlight w:val="none"/>
        </w:rPr>
      </w:pPr>
      <w:r>
        <w:rPr>
          <w:rFonts w:cs="Times New Roman"/>
          <w:color w:val="auto"/>
          <w:szCs w:val="24"/>
          <w:highlight w:val="none"/>
        </w:rPr>
        <w:t>在经济效益方面，项目投资利润率与投资税率较高，有较好的经济效益。</w:t>
      </w:r>
    </w:p>
    <w:p w14:paraId="315048F8">
      <w:pPr>
        <w:rPr>
          <w:rFonts w:cs="Times New Roman"/>
          <w:color w:val="auto"/>
          <w:szCs w:val="24"/>
          <w:highlight w:val="none"/>
        </w:rPr>
      </w:pPr>
      <w:r>
        <w:rPr>
          <w:rFonts w:cs="Times New Roman"/>
          <w:color w:val="auto"/>
          <w:szCs w:val="24"/>
          <w:highlight w:val="none"/>
        </w:rPr>
        <w:t>综上分析本项目的环境效益、经济效益、社会效益均较好，从环境经济学的角度看，本项目建设是可行的。</w:t>
      </w:r>
    </w:p>
    <w:p w14:paraId="46686CC1">
      <w:pPr>
        <w:adjustRightInd/>
        <w:snapToGrid/>
        <w:spacing w:line="500" w:lineRule="exact"/>
        <w:rPr>
          <w:rFonts w:cs="Times New Roman"/>
          <w:snapToGrid w:val="0"/>
          <w:color w:val="auto"/>
          <w:kern w:val="0"/>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10DAB034">
      <w:pPr>
        <w:pStyle w:val="2"/>
        <w:rPr>
          <w:rFonts w:cs="Times New Roman"/>
          <w:color w:val="auto"/>
          <w:highlight w:val="none"/>
        </w:rPr>
      </w:pPr>
      <w:bookmarkStart w:id="396" w:name="_Toc28663"/>
      <w:bookmarkStart w:id="397" w:name="_Toc61529218"/>
      <w:bookmarkStart w:id="398" w:name="_Toc246147595"/>
      <w:bookmarkStart w:id="399" w:name="_Toc456590417"/>
      <w:bookmarkStart w:id="400" w:name="_Toc342462533"/>
      <w:bookmarkStart w:id="401" w:name="_Toc455043909"/>
      <w:bookmarkStart w:id="402" w:name="_Toc480447683"/>
      <w:bookmarkStart w:id="403" w:name="_Toc75075829"/>
      <w:bookmarkStart w:id="404" w:name="_Toc371751594"/>
      <w:bookmarkStart w:id="405" w:name="_Toc75075767"/>
      <w:bookmarkStart w:id="406" w:name="_Toc45678602"/>
      <w:bookmarkStart w:id="407" w:name="_Toc415146721"/>
      <w:r>
        <w:rPr>
          <w:rFonts w:cs="Times New Roman"/>
          <w:color w:val="auto"/>
          <w:highlight w:val="none"/>
        </w:rPr>
        <w:t>8 环境管理及监测计划</w:t>
      </w:r>
      <w:bookmarkEnd w:id="396"/>
      <w:bookmarkEnd w:id="397"/>
    </w:p>
    <w:bookmarkEnd w:id="398"/>
    <w:p w14:paraId="0069B34C">
      <w:pPr>
        <w:pStyle w:val="3"/>
        <w:spacing w:before="120" w:after="120"/>
        <w:rPr>
          <w:rFonts w:cs="Times New Roman"/>
          <w:color w:val="auto"/>
          <w:highlight w:val="none"/>
        </w:rPr>
      </w:pPr>
      <w:bookmarkStart w:id="408" w:name="_Toc27101"/>
      <w:r>
        <w:rPr>
          <w:rFonts w:cs="Times New Roman"/>
          <w:color w:val="auto"/>
          <w:highlight w:val="none"/>
        </w:rPr>
        <w:t>8.1环境管理</w:t>
      </w:r>
      <w:bookmarkEnd w:id="399"/>
      <w:bookmarkEnd w:id="400"/>
      <w:bookmarkEnd w:id="401"/>
      <w:bookmarkEnd w:id="402"/>
      <w:bookmarkEnd w:id="408"/>
    </w:p>
    <w:p w14:paraId="1D6561EF">
      <w:pPr>
        <w:pStyle w:val="35"/>
        <w:spacing w:line="360" w:lineRule="auto"/>
        <w:ind w:firstLine="480" w:firstLineChars="200"/>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为了贯彻执行国家和地方环境保护法律、法规、政策与标准，及时掌握和了解污染控制措施的效果，以及项目所在区域环境质量的变化情况，更好地监控环保设施的运行情况，协调与地方环保职能部门和其它有关部门的工作，同时保证企业生产管理和环境管理的正常运作，建立环境管理体系与监测制度是非常必要和重要的。</w:t>
      </w:r>
    </w:p>
    <w:p w14:paraId="3456A2F6">
      <w:pPr>
        <w:rPr>
          <w:rFonts w:cs="Times New Roman"/>
          <w:snapToGrid w:val="0"/>
          <w:color w:val="auto"/>
          <w:kern w:val="0"/>
          <w:highlight w:val="none"/>
        </w:rPr>
      </w:pPr>
      <w:r>
        <w:rPr>
          <w:rFonts w:cs="Times New Roman"/>
          <w:color w:val="auto"/>
          <w:szCs w:val="24"/>
          <w:highlight w:val="none"/>
        </w:rPr>
        <w:t>环境管理体系与监测机构的建立能够帮助企业及早发现问题，使企业在发展生产的同时节约能源、降低原材料的消耗，控制污染物排放量，减轻污染物排放对环境产生的影响，为企业创造更好的经济效益和环境效益，树立良好的社会形象，建议建设方制定完善的环境保护管理体系。</w:t>
      </w:r>
    </w:p>
    <w:p w14:paraId="66B0C1A4">
      <w:pPr>
        <w:pStyle w:val="4"/>
        <w:spacing w:after="120"/>
        <w:rPr>
          <w:rFonts w:cs="Times New Roman"/>
          <w:color w:val="auto"/>
          <w:highlight w:val="none"/>
        </w:rPr>
      </w:pPr>
      <w:bookmarkStart w:id="409" w:name="_Toc3905"/>
      <w:r>
        <w:rPr>
          <w:rFonts w:cs="Times New Roman"/>
          <w:color w:val="auto"/>
          <w:highlight w:val="none"/>
        </w:rPr>
        <w:t>8.1.1环境管理体系</w:t>
      </w:r>
      <w:bookmarkEnd w:id="409"/>
    </w:p>
    <w:p w14:paraId="6088685C">
      <w:pPr>
        <w:rPr>
          <w:rFonts w:cs="Times New Roman"/>
          <w:snapToGrid w:val="0"/>
          <w:color w:val="auto"/>
          <w:kern w:val="0"/>
          <w:highlight w:val="none"/>
        </w:rPr>
      </w:pPr>
      <w:r>
        <w:rPr>
          <w:rFonts w:cs="Times New Roman"/>
          <w:snapToGrid w:val="0"/>
          <w:color w:val="auto"/>
          <w:kern w:val="0"/>
          <w:highlight w:val="none"/>
        </w:rPr>
        <w:t>为确实做好本项目投产后环境管理、环境监测等工作，建议成立安全环保部，并设专职环境管理人员。</w:t>
      </w:r>
    </w:p>
    <w:p w14:paraId="349AC50D">
      <w:pPr>
        <w:rPr>
          <w:rFonts w:cs="Times New Roman"/>
          <w:snapToGrid w:val="0"/>
          <w:color w:val="auto"/>
          <w:kern w:val="0"/>
          <w:highlight w:val="none"/>
        </w:rPr>
      </w:pPr>
      <w:r>
        <w:rPr>
          <w:rFonts w:cs="Times New Roman"/>
          <w:snapToGrid w:val="0"/>
          <w:color w:val="auto"/>
          <w:kern w:val="0"/>
          <w:highlight w:val="none"/>
        </w:rPr>
        <w:t>贯彻执行国家和地方颁布的环境保护法规、政策和环境保护标准，协助厂区领导确定厂区环境保护方针、目标。</w:t>
      </w:r>
    </w:p>
    <w:p w14:paraId="1E1CDAB1">
      <w:pPr>
        <w:rPr>
          <w:rFonts w:cs="Times New Roman"/>
          <w:snapToGrid w:val="0"/>
          <w:color w:val="auto"/>
          <w:kern w:val="0"/>
          <w:highlight w:val="none"/>
        </w:rPr>
      </w:pPr>
      <w:r>
        <w:rPr>
          <w:rFonts w:cs="Times New Roman"/>
          <w:snapToGrid w:val="0"/>
          <w:color w:val="auto"/>
          <w:kern w:val="0"/>
          <w:highlight w:val="none"/>
        </w:rPr>
        <w:t xml:space="preserve">制订厂区环境保护管理规章、制度和实施办法，并经常监督检查执行情况；组织制定厂区环境保护规划和年度计划，并组织或监督实施。 </w:t>
      </w:r>
    </w:p>
    <w:p w14:paraId="0B56E082">
      <w:pPr>
        <w:rPr>
          <w:rFonts w:cs="Times New Roman"/>
          <w:snapToGrid w:val="0"/>
          <w:color w:val="auto"/>
          <w:kern w:val="0"/>
          <w:highlight w:val="none"/>
        </w:rPr>
      </w:pPr>
      <w:r>
        <w:rPr>
          <w:rFonts w:cs="Times New Roman"/>
          <w:snapToGrid w:val="0"/>
          <w:color w:val="auto"/>
          <w:kern w:val="0"/>
          <w:highlight w:val="none"/>
        </w:rPr>
        <w:t>负责厂区环境监测管理工作，制定环境监测计划，并组织实施；掌握厂区“三废”排放状况，建立污染源排污档案，按规定向地方环保部门汇报排污情况以及企业年度排污申报登记，并为解决厂区重大环境问题和综合治理决策提供依据。</w:t>
      </w:r>
    </w:p>
    <w:p w14:paraId="6B8B259A">
      <w:pPr>
        <w:rPr>
          <w:rFonts w:cs="Times New Roman"/>
          <w:snapToGrid w:val="0"/>
          <w:color w:val="auto"/>
          <w:kern w:val="0"/>
          <w:highlight w:val="none"/>
        </w:rPr>
      </w:pPr>
      <w:r>
        <w:rPr>
          <w:rFonts w:cs="Times New Roman"/>
          <w:snapToGrid w:val="0"/>
          <w:color w:val="auto"/>
          <w:kern w:val="0"/>
          <w:highlight w:val="none"/>
        </w:rPr>
        <w:t xml:space="preserve">监督检查环境保护设施的运行情况，并建立运行档案。 </w:t>
      </w:r>
    </w:p>
    <w:p w14:paraId="155387BD">
      <w:pPr>
        <w:rPr>
          <w:rFonts w:cs="Times New Roman"/>
          <w:snapToGrid w:val="0"/>
          <w:color w:val="auto"/>
          <w:kern w:val="0"/>
          <w:highlight w:val="none"/>
        </w:rPr>
      </w:pPr>
      <w:r>
        <w:rPr>
          <w:rFonts w:cs="Times New Roman"/>
          <w:snapToGrid w:val="0"/>
          <w:color w:val="auto"/>
          <w:kern w:val="0"/>
          <w:highlight w:val="none"/>
        </w:rPr>
        <w:t>制定切实可行的各类污染物排放控制指标、环境保护设施运行效果和污染防治措施落实效果考核指标、“三废”综合利用指标及绿化建设等环保责任指标，层层落实并定期组织考核。</w:t>
      </w:r>
    </w:p>
    <w:p w14:paraId="6A3ED34F">
      <w:pPr>
        <w:rPr>
          <w:rFonts w:cs="Times New Roman"/>
          <w:snapToGrid w:val="0"/>
          <w:color w:val="auto"/>
          <w:kern w:val="0"/>
          <w:highlight w:val="none"/>
        </w:rPr>
      </w:pPr>
      <w:r>
        <w:rPr>
          <w:rFonts w:cs="Times New Roman"/>
          <w:snapToGrid w:val="0"/>
          <w:color w:val="auto"/>
          <w:kern w:val="0"/>
          <w:highlight w:val="none"/>
        </w:rPr>
        <w:t>制定预防突发性污染事件防范措施和应急处理方案。一旦发生事故，协助有关部门及组织环境监测、事故原因调查分析和处理工作，并应认真总结经验教训，及时上报有关结果。</w:t>
      </w:r>
    </w:p>
    <w:p w14:paraId="2ED1E904">
      <w:pPr>
        <w:rPr>
          <w:rFonts w:cs="Times New Roman"/>
          <w:snapToGrid w:val="0"/>
          <w:color w:val="auto"/>
          <w:kern w:val="0"/>
          <w:highlight w:val="none"/>
        </w:rPr>
      </w:pPr>
      <w:r>
        <w:rPr>
          <w:rFonts w:cs="Times New Roman"/>
          <w:snapToGrid w:val="0"/>
          <w:color w:val="auto"/>
          <w:kern w:val="0"/>
          <w:highlight w:val="none"/>
        </w:rPr>
        <w:t>组织开展厂区污染治理工作和“三废”综合利用的环保科研、技术攻关工作，积极推广污染防治先进技术和经验；组织开展有关环境保护的宣传教育、培训工作。</w:t>
      </w:r>
    </w:p>
    <w:p w14:paraId="15E25034">
      <w:pPr>
        <w:pStyle w:val="4"/>
        <w:spacing w:after="120"/>
        <w:rPr>
          <w:rFonts w:cs="Times New Roman"/>
          <w:color w:val="auto"/>
          <w:highlight w:val="none"/>
        </w:rPr>
      </w:pPr>
      <w:bookmarkStart w:id="410" w:name="_Toc9151"/>
      <w:r>
        <w:rPr>
          <w:rFonts w:cs="Times New Roman"/>
          <w:color w:val="auto"/>
          <w:highlight w:val="none"/>
        </w:rPr>
        <w:t>8.1.2环境管理内容</w:t>
      </w:r>
      <w:bookmarkEnd w:id="410"/>
    </w:p>
    <w:p w14:paraId="2B8CB288">
      <w:pPr>
        <w:pStyle w:val="5"/>
        <w:rPr>
          <w:color w:val="auto"/>
          <w:highlight w:val="none"/>
        </w:rPr>
      </w:pPr>
      <w:r>
        <w:rPr>
          <w:color w:val="auto"/>
          <w:highlight w:val="none"/>
        </w:rPr>
        <w:t>8.1.2.1施工期管理内容</w:t>
      </w:r>
    </w:p>
    <w:p w14:paraId="3A87FAB0">
      <w:pPr>
        <w:spacing w:line="500" w:lineRule="exact"/>
        <w:rPr>
          <w:rFonts w:cs="Times New Roman"/>
          <w:snapToGrid w:val="0"/>
          <w:color w:val="auto"/>
          <w:kern w:val="0"/>
          <w:highlight w:val="none"/>
        </w:rPr>
      </w:pPr>
      <w:r>
        <w:rPr>
          <w:rFonts w:cs="Times New Roman"/>
          <w:snapToGrid w:val="0"/>
          <w:color w:val="auto"/>
          <w:kern w:val="0"/>
          <w:highlight w:val="none"/>
        </w:rPr>
        <w:t>施工期对环境的影响主要为噪声、粉尘、施工废水、生活污水及建筑垃圾。施工过程中要做到建筑垃圾集中堆放、及时清运；施工废水设沉淀池；保证施工设备完好、先进，降低其噪声，固定声源隔声降噪等；指定行车路线，定期洒水、防止扬尘等。作业点要定期检查，督促环境管理措施的落实情况，增强施工人员的环保意识。</w:t>
      </w:r>
    </w:p>
    <w:p w14:paraId="0243DA75">
      <w:pPr>
        <w:pStyle w:val="5"/>
        <w:rPr>
          <w:color w:val="auto"/>
          <w:highlight w:val="none"/>
        </w:rPr>
      </w:pPr>
      <w:r>
        <w:rPr>
          <w:color w:val="auto"/>
          <w:highlight w:val="none"/>
        </w:rPr>
        <w:t>8.1.2.2运营期管理内容</w:t>
      </w:r>
    </w:p>
    <w:p w14:paraId="45DA1103">
      <w:pPr>
        <w:spacing w:line="500" w:lineRule="exact"/>
        <w:ind w:firstLine="482"/>
        <w:rPr>
          <w:rFonts w:cs="Times New Roman"/>
          <w:b/>
          <w:bCs/>
          <w:snapToGrid w:val="0"/>
          <w:color w:val="auto"/>
          <w:kern w:val="0"/>
          <w:highlight w:val="none"/>
        </w:rPr>
      </w:pPr>
      <w:r>
        <w:rPr>
          <w:rFonts w:cs="Times New Roman"/>
          <w:b/>
          <w:bCs/>
          <w:snapToGrid w:val="0"/>
          <w:color w:val="auto"/>
          <w:kern w:val="0"/>
          <w:highlight w:val="none"/>
        </w:rPr>
        <w:t>1、大气环境管理</w:t>
      </w:r>
    </w:p>
    <w:p w14:paraId="0101871E">
      <w:pPr>
        <w:spacing w:line="500" w:lineRule="exact"/>
        <w:rPr>
          <w:rFonts w:cs="Times New Roman"/>
          <w:snapToGrid w:val="0"/>
          <w:color w:val="auto"/>
          <w:kern w:val="0"/>
          <w:highlight w:val="none"/>
        </w:rPr>
      </w:pPr>
      <w:r>
        <w:rPr>
          <w:rFonts w:cs="Times New Roman"/>
          <w:color w:val="auto"/>
          <w:highlight w:val="none"/>
          <w:lang w:val="zh-CN"/>
        </w:rPr>
        <w:t>本项目运营期产生的废气主要包括</w:t>
      </w:r>
      <w:r>
        <w:rPr>
          <w:rFonts w:hint="eastAsia" w:cs="Times New Roman"/>
          <w:color w:val="auto"/>
          <w:highlight w:val="none"/>
          <w:lang w:val="zh-CN"/>
        </w:rPr>
        <w:t>待宰圈</w:t>
      </w:r>
      <w:r>
        <w:rPr>
          <w:rFonts w:cs="Times New Roman"/>
          <w:color w:val="auto"/>
          <w:highlight w:val="none"/>
          <w:lang w:val="zh-CN"/>
        </w:rPr>
        <w:t>、屠宰车间、污水处理站、</w:t>
      </w:r>
      <w:r>
        <w:rPr>
          <w:rFonts w:hint="eastAsia" w:cs="Times New Roman"/>
          <w:color w:val="auto"/>
          <w:highlight w:val="none"/>
          <w:lang w:val="en-US" w:eastAsia="zh-CN"/>
        </w:rPr>
        <w:t>急宰间、</w:t>
      </w:r>
      <w:r>
        <w:rPr>
          <w:rFonts w:cs="Times New Roman"/>
          <w:color w:val="auto"/>
          <w:highlight w:val="none"/>
          <w:lang w:val="zh-CN"/>
        </w:rPr>
        <w:t>隔离圈、固废暂存间产生的恶臭废气</w:t>
      </w:r>
      <w:r>
        <w:rPr>
          <w:rFonts w:cs="Times New Roman"/>
          <w:snapToGrid w:val="0"/>
          <w:color w:val="auto"/>
          <w:kern w:val="0"/>
          <w:highlight w:val="none"/>
          <w:lang w:val="zh-CN"/>
        </w:rPr>
        <w:t>。</w:t>
      </w:r>
      <w:r>
        <w:rPr>
          <w:rFonts w:cs="Times New Roman"/>
          <w:snapToGrid w:val="0"/>
          <w:color w:val="auto"/>
          <w:kern w:val="0"/>
          <w:highlight w:val="none"/>
        </w:rPr>
        <w:t>为保证各项大气污染物均能达标排放，项目采取了相应的环保措施。公司环保管理人员应对环保设备经常检查，及时维护检修，强化岗位责任制，避免事故排放。</w:t>
      </w:r>
    </w:p>
    <w:p w14:paraId="1395F0CD">
      <w:pPr>
        <w:spacing w:line="500" w:lineRule="exact"/>
        <w:ind w:firstLine="482"/>
        <w:rPr>
          <w:rFonts w:cs="Times New Roman"/>
          <w:b/>
          <w:bCs/>
          <w:snapToGrid w:val="0"/>
          <w:color w:val="auto"/>
          <w:kern w:val="0"/>
          <w:highlight w:val="none"/>
        </w:rPr>
      </w:pPr>
      <w:r>
        <w:rPr>
          <w:rFonts w:cs="Times New Roman"/>
          <w:b/>
          <w:bCs/>
          <w:snapToGrid w:val="0"/>
          <w:color w:val="auto"/>
          <w:kern w:val="0"/>
          <w:highlight w:val="none"/>
        </w:rPr>
        <w:t>2、污水处理站管理</w:t>
      </w:r>
    </w:p>
    <w:p w14:paraId="7C9C90E6">
      <w:pPr>
        <w:spacing w:line="500" w:lineRule="exact"/>
        <w:rPr>
          <w:rFonts w:cs="Times New Roman"/>
          <w:snapToGrid w:val="0"/>
          <w:color w:val="auto"/>
          <w:kern w:val="0"/>
          <w:highlight w:val="none"/>
        </w:rPr>
      </w:pPr>
      <w:r>
        <w:rPr>
          <w:rFonts w:cs="Times New Roman"/>
          <w:snapToGrid w:val="0"/>
          <w:color w:val="auto"/>
          <w:kern w:val="0"/>
          <w:highlight w:val="none"/>
        </w:rPr>
        <w:t>定期对污水处理站的运行情况进行巡查，要掌握、了解设施是否损坏及出现异常现象，发现异常情况及时通报上级领导。</w:t>
      </w:r>
    </w:p>
    <w:p w14:paraId="79A635D1">
      <w:pPr>
        <w:spacing w:line="500" w:lineRule="exact"/>
        <w:ind w:firstLine="482"/>
        <w:rPr>
          <w:rFonts w:cs="Times New Roman"/>
          <w:b/>
          <w:bCs/>
          <w:snapToGrid w:val="0"/>
          <w:color w:val="auto"/>
          <w:kern w:val="0"/>
          <w:highlight w:val="none"/>
        </w:rPr>
      </w:pPr>
      <w:r>
        <w:rPr>
          <w:rFonts w:cs="Times New Roman"/>
          <w:b/>
          <w:bCs/>
          <w:snapToGrid w:val="0"/>
          <w:color w:val="auto"/>
          <w:kern w:val="0"/>
          <w:highlight w:val="none"/>
        </w:rPr>
        <w:t>3、噪声环境管理</w:t>
      </w:r>
    </w:p>
    <w:p w14:paraId="2FB5266E">
      <w:pPr>
        <w:spacing w:line="500" w:lineRule="exact"/>
        <w:rPr>
          <w:rFonts w:cs="Times New Roman"/>
          <w:snapToGrid w:val="0"/>
          <w:color w:val="auto"/>
          <w:kern w:val="0"/>
          <w:highlight w:val="none"/>
        </w:rPr>
      </w:pPr>
      <w:r>
        <w:rPr>
          <w:rFonts w:cs="Times New Roman"/>
          <w:snapToGrid w:val="0"/>
          <w:color w:val="auto"/>
          <w:kern w:val="0"/>
          <w:highlight w:val="none"/>
        </w:rPr>
        <w:t>选择低噪声设备，对高噪声设备采取减振、隔声、厂房封闭等措施，防止对周围环境造成噪声污染。</w:t>
      </w:r>
    </w:p>
    <w:p w14:paraId="1B6FD49D">
      <w:pPr>
        <w:spacing w:line="500" w:lineRule="exact"/>
        <w:ind w:firstLine="482"/>
        <w:rPr>
          <w:rFonts w:cs="Times New Roman"/>
          <w:b/>
          <w:bCs/>
          <w:snapToGrid w:val="0"/>
          <w:color w:val="auto"/>
          <w:kern w:val="0"/>
          <w:highlight w:val="none"/>
        </w:rPr>
      </w:pPr>
      <w:r>
        <w:rPr>
          <w:rFonts w:cs="Times New Roman"/>
          <w:b/>
          <w:bCs/>
          <w:snapToGrid w:val="0"/>
          <w:color w:val="auto"/>
          <w:kern w:val="0"/>
          <w:highlight w:val="none"/>
        </w:rPr>
        <w:t>4、固体废物管理</w:t>
      </w:r>
    </w:p>
    <w:p w14:paraId="0AFAB55D">
      <w:pPr>
        <w:spacing w:line="500" w:lineRule="exact"/>
        <w:rPr>
          <w:rFonts w:cs="Times New Roman"/>
          <w:snapToGrid w:val="0"/>
          <w:color w:val="auto"/>
          <w:kern w:val="0"/>
          <w:highlight w:val="none"/>
        </w:rPr>
      </w:pPr>
      <w:r>
        <w:rPr>
          <w:rFonts w:cs="Times New Roman"/>
          <w:snapToGrid w:val="0"/>
          <w:color w:val="auto"/>
          <w:kern w:val="0"/>
          <w:highlight w:val="none"/>
        </w:rPr>
        <w:t>定期对一般固体废物的收集、运输等设施进行巡查，要掌握、了解设施是否损坏及出现异常现象，发现异常情况及时通报上级领导，检查收集设施是否处于正常工作状态。</w:t>
      </w:r>
    </w:p>
    <w:p w14:paraId="6FA27FC5">
      <w:pPr>
        <w:pStyle w:val="4"/>
        <w:spacing w:after="120"/>
        <w:rPr>
          <w:rFonts w:cs="Times New Roman"/>
          <w:color w:val="auto"/>
          <w:highlight w:val="none"/>
        </w:rPr>
      </w:pPr>
      <w:bookmarkStart w:id="411" w:name="_Toc24179"/>
      <w:r>
        <w:rPr>
          <w:rFonts w:cs="Times New Roman"/>
          <w:color w:val="auto"/>
          <w:highlight w:val="none"/>
        </w:rPr>
        <w:t>8.1.3污染物排放管理要求</w:t>
      </w:r>
      <w:bookmarkEnd w:id="411"/>
    </w:p>
    <w:p w14:paraId="3CB19ECD">
      <w:pPr>
        <w:pStyle w:val="18"/>
        <w:spacing w:after="0" w:line="500" w:lineRule="exact"/>
        <w:rPr>
          <w:rFonts w:cs="Times New Roman"/>
          <w:color w:val="auto"/>
          <w:szCs w:val="24"/>
          <w:highlight w:val="none"/>
        </w:rPr>
        <w:sectPr>
          <w:pgSz w:w="11906" w:h="16838"/>
          <w:pgMar w:top="158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cs="Times New Roman"/>
          <w:color w:val="auto"/>
          <w:szCs w:val="24"/>
          <w:highlight w:val="none"/>
        </w:rPr>
        <w:t>本项目主要污染物排放清单详见表8-1-1。</w:t>
      </w:r>
    </w:p>
    <w:p w14:paraId="0CD38F58">
      <w:pPr>
        <w:spacing w:line="240" w:lineRule="auto"/>
        <w:ind w:firstLine="0" w:firstLineChars="0"/>
        <w:jc w:val="center"/>
        <w:rPr>
          <w:rFonts w:cs="Times New Roman"/>
          <w:b/>
          <w:color w:val="auto"/>
          <w:szCs w:val="24"/>
          <w:highlight w:val="none"/>
        </w:rPr>
      </w:pPr>
      <w:r>
        <w:rPr>
          <w:rFonts w:cs="Times New Roman"/>
          <w:b/>
          <w:color w:val="auto"/>
          <w:szCs w:val="24"/>
          <w:highlight w:val="none"/>
        </w:rPr>
        <w:t>表8-1-1  污染物排放清单</w:t>
      </w:r>
    </w:p>
    <w:tbl>
      <w:tblPr>
        <w:tblStyle w:val="47"/>
        <w:tblW w:w="15390"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23" w:type="dxa"/>
          <w:bottom w:w="0" w:type="dxa"/>
          <w:right w:w="23" w:type="dxa"/>
        </w:tblCellMar>
      </w:tblPr>
      <w:tblGrid>
        <w:gridCol w:w="666"/>
        <w:gridCol w:w="480"/>
        <w:gridCol w:w="731"/>
        <w:gridCol w:w="1134"/>
        <w:gridCol w:w="3424"/>
        <w:gridCol w:w="1493"/>
        <w:gridCol w:w="1493"/>
        <w:gridCol w:w="2385"/>
        <w:gridCol w:w="1792"/>
        <w:gridCol w:w="1792"/>
      </w:tblGrid>
      <w:tr w14:paraId="0BA7213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tcBorders>
              <w:tl2br w:val="nil"/>
              <w:tr2bl w:val="nil"/>
            </w:tcBorders>
            <w:vAlign w:val="center"/>
          </w:tcPr>
          <w:p w14:paraId="1429890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类别</w:t>
            </w:r>
          </w:p>
        </w:tc>
        <w:tc>
          <w:tcPr>
            <w:tcW w:w="1211" w:type="dxa"/>
            <w:gridSpan w:val="2"/>
            <w:tcBorders>
              <w:tl2br w:val="nil"/>
              <w:tr2bl w:val="nil"/>
            </w:tcBorders>
            <w:vAlign w:val="center"/>
          </w:tcPr>
          <w:p w14:paraId="607B821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项目</w:t>
            </w:r>
          </w:p>
        </w:tc>
        <w:tc>
          <w:tcPr>
            <w:tcW w:w="1134" w:type="dxa"/>
            <w:tcBorders>
              <w:tl2br w:val="nil"/>
              <w:tr2bl w:val="nil"/>
            </w:tcBorders>
            <w:vAlign w:val="center"/>
          </w:tcPr>
          <w:p w14:paraId="6178680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污染因子</w:t>
            </w:r>
          </w:p>
        </w:tc>
        <w:tc>
          <w:tcPr>
            <w:tcW w:w="3424" w:type="dxa"/>
            <w:tcBorders>
              <w:tl2br w:val="nil"/>
              <w:tr2bl w:val="nil"/>
            </w:tcBorders>
            <w:vAlign w:val="center"/>
          </w:tcPr>
          <w:p w14:paraId="24308EF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污染防治措施</w:t>
            </w:r>
          </w:p>
        </w:tc>
        <w:tc>
          <w:tcPr>
            <w:tcW w:w="1493" w:type="dxa"/>
            <w:tcBorders>
              <w:tl2br w:val="nil"/>
              <w:tr2bl w:val="nil"/>
            </w:tcBorders>
            <w:vAlign w:val="center"/>
          </w:tcPr>
          <w:p w14:paraId="59884B7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排放浓度</w:t>
            </w:r>
          </w:p>
          <w:p w14:paraId="373BD2F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mg/l或mg/m</w:t>
            </w:r>
            <w:r>
              <w:rPr>
                <w:rFonts w:cs="Times New Roman"/>
                <w:color w:val="auto"/>
                <w:sz w:val="21"/>
                <w:szCs w:val="21"/>
                <w:highlight w:val="none"/>
                <w:vertAlign w:val="superscript"/>
              </w:rPr>
              <w:t>3</w:t>
            </w:r>
          </w:p>
        </w:tc>
        <w:tc>
          <w:tcPr>
            <w:tcW w:w="1493" w:type="dxa"/>
            <w:tcBorders>
              <w:tl2br w:val="nil"/>
              <w:tr2bl w:val="nil"/>
            </w:tcBorders>
            <w:vAlign w:val="center"/>
          </w:tcPr>
          <w:p w14:paraId="4CC4BF2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排放量t/a</w:t>
            </w:r>
          </w:p>
        </w:tc>
        <w:tc>
          <w:tcPr>
            <w:tcW w:w="2385" w:type="dxa"/>
            <w:tcBorders>
              <w:tl2br w:val="nil"/>
              <w:tr2bl w:val="nil"/>
            </w:tcBorders>
            <w:vAlign w:val="center"/>
          </w:tcPr>
          <w:p w14:paraId="2BECE62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排放标准</w:t>
            </w:r>
          </w:p>
        </w:tc>
        <w:tc>
          <w:tcPr>
            <w:tcW w:w="1792" w:type="dxa"/>
            <w:tcBorders>
              <w:tl2br w:val="nil"/>
              <w:tr2bl w:val="nil"/>
            </w:tcBorders>
            <w:vAlign w:val="center"/>
          </w:tcPr>
          <w:p w14:paraId="592DF50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排放口编码</w:t>
            </w:r>
          </w:p>
        </w:tc>
        <w:tc>
          <w:tcPr>
            <w:tcW w:w="1792" w:type="dxa"/>
            <w:tcBorders>
              <w:tl2br w:val="nil"/>
              <w:tr2bl w:val="nil"/>
            </w:tcBorders>
            <w:vAlign w:val="center"/>
          </w:tcPr>
          <w:p w14:paraId="375B5A9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排放口信息</w:t>
            </w:r>
          </w:p>
        </w:tc>
      </w:tr>
      <w:tr w14:paraId="0B0FDB7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522" w:hRule="atLeast"/>
          <w:jc w:val="center"/>
        </w:trPr>
        <w:tc>
          <w:tcPr>
            <w:tcW w:w="666" w:type="dxa"/>
            <w:vMerge w:val="restart"/>
            <w:tcBorders>
              <w:tl2br w:val="nil"/>
              <w:tr2bl w:val="nil"/>
            </w:tcBorders>
            <w:vAlign w:val="center"/>
          </w:tcPr>
          <w:p w14:paraId="02B0013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废水</w:t>
            </w:r>
          </w:p>
        </w:tc>
        <w:tc>
          <w:tcPr>
            <w:tcW w:w="1211" w:type="dxa"/>
            <w:gridSpan w:val="2"/>
            <w:vMerge w:val="restart"/>
            <w:tcBorders>
              <w:tl2br w:val="nil"/>
              <w:tr2bl w:val="nil"/>
            </w:tcBorders>
            <w:vAlign w:val="center"/>
          </w:tcPr>
          <w:p w14:paraId="08650FA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废水</w:t>
            </w:r>
          </w:p>
        </w:tc>
        <w:tc>
          <w:tcPr>
            <w:tcW w:w="1134" w:type="dxa"/>
            <w:tcBorders>
              <w:tl2br w:val="nil"/>
              <w:tr2bl w:val="nil"/>
            </w:tcBorders>
            <w:vAlign w:val="center"/>
          </w:tcPr>
          <w:p w14:paraId="5EDED1BA">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COD</w:t>
            </w:r>
          </w:p>
        </w:tc>
        <w:tc>
          <w:tcPr>
            <w:tcW w:w="3424" w:type="dxa"/>
            <w:vMerge w:val="restart"/>
            <w:tcBorders>
              <w:tl2br w:val="nil"/>
              <w:tr2bl w:val="nil"/>
            </w:tcBorders>
            <w:vAlign w:val="center"/>
          </w:tcPr>
          <w:p w14:paraId="0B677CF9">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屠宰废水经污水处理站（处理工艺：</w:t>
            </w:r>
            <w:r>
              <w:rPr>
                <w:rFonts w:hint="eastAsia" w:cs="Times New Roman"/>
                <w:color w:val="auto"/>
                <w:sz w:val="21"/>
                <w:szCs w:val="21"/>
                <w:highlight w:val="none"/>
                <w:lang w:eastAsia="zh-CN"/>
              </w:rPr>
              <w:t>格栅+</w:t>
            </w:r>
            <w:r>
              <w:rPr>
                <w:rFonts w:hint="eastAsia" w:cs="Times New Roman"/>
                <w:color w:val="auto"/>
                <w:sz w:val="21"/>
                <w:szCs w:val="21"/>
                <w:highlight w:val="none"/>
                <w:lang w:val="en-US" w:eastAsia="zh-CN"/>
              </w:rPr>
              <w:t>隔油池+调节池</w:t>
            </w:r>
            <w:r>
              <w:rPr>
                <w:rFonts w:hint="eastAsia" w:cs="Times New Roman"/>
                <w:color w:val="auto"/>
                <w:sz w:val="21"/>
                <w:szCs w:val="21"/>
                <w:highlight w:val="none"/>
                <w:lang w:eastAsia="zh-CN"/>
              </w:rPr>
              <w:t>+气浮+水解酸化+</w:t>
            </w:r>
            <w:r>
              <w:rPr>
                <w:rFonts w:hint="eastAsia" w:cs="Times New Roman"/>
                <w:color w:val="auto"/>
                <w:sz w:val="21"/>
                <w:szCs w:val="21"/>
                <w:highlight w:val="none"/>
                <w:lang w:val="en-US" w:eastAsia="zh-CN"/>
              </w:rPr>
              <w:t>反硝化缺氧+好氧</w:t>
            </w:r>
            <w:r>
              <w:rPr>
                <w:rFonts w:hint="eastAsia" w:cs="Times New Roman"/>
                <w:color w:val="auto"/>
                <w:sz w:val="21"/>
                <w:szCs w:val="21"/>
                <w:highlight w:val="none"/>
                <w:lang w:eastAsia="zh-CN"/>
              </w:rPr>
              <w:t>+沉淀+消毒（</w:t>
            </w:r>
            <w:r>
              <w:rPr>
                <w:rFonts w:hint="eastAsia" w:cs="Times New Roman"/>
                <w:color w:val="auto"/>
                <w:sz w:val="21"/>
                <w:szCs w:val="21"/>
                <w:highlight w:val="none"/>
                <w:lang w:val="en-US" w:eastAsia="zh-CN"/>
              </w:rPr>
              <w:t>次氯酸钠）</w:t>
            </w:r>
            <w:r>
              <w:rPr>
                <w:rFonts w:cs="Times New Roman"/>
                <w:color w:val="auto"/>
                <w:sz w:val="21"/>
                <w:szCs w:val="21"/>
                <w:highlight w:val="none"/>
              </w:rPr>
              <w:t>能够达到《肉类加工工业水污染物排放标准》（GB13457-92）表3三级标准限值及</w:t>
            </w:r>
            <w:r>
              <w:rPr>
                <w:rFonts w:hint="eastAsia" w:cs="Times New Roman"/>
                <w:color w:val="auto"/>
                <w:sz w:val="21"/>
                <w:szCs w:val="21"/>
                <w:highlight w:val="none"/>
                <w:lang w:val="en-GB" w:eastAsia="zh-CN"/>
              </w:rPr>
              <w:t>双鸭山市畅源排水有限公司</w:t>
            </w:r>
            <w:r>
              <w:rPr>
                <w:rFonts w:cs="Times New Roman"/>
                <w:color w:val="auto"/>
                <w:sz w:val="21"/>
                <w:szCs w:val="21"/>
                <w:highlight w:val="none"/>
              </w:rPr>
              <w:t>进水水质要求</w:t>
            </w:r>
            <w:r>
              <w:rPr>
                <w:rFonts w:cs="Times New Roman"/>
                <w:color w:val="auto"/>
                <w:sz w:val="21"/>
                <w:szCs w:val="21"/>
                <w:highlight w:val="none"/>
                <w:lang w:val="en-GB"/>
              </w:rPr>
              <w:t>后，</w:t>
            </w:r>
            <w:r>
              <w:rPr>
                <w:rFonts w:cs="Times New Roman"/>
                <w:color w:val="auto"/>
                <w:sz w:val="21"/>
                <w:szCs w:val="21"/>
                <w:highlight w:val="none"/>
              </w:rPr>
              <w:t>与生活污水一同经污水管网进入</w:t>
            </w:r>
            <w:r>
              <w:rPr>
                <w:rFonts w:hint="eastAsia" w:cs="Times New Roman"/>
                <w:color w:val="auto"/>
                <w:sz w:val="21"/>
                <w:szCs w:val="21"/>
                <w:highlight w:val="none"/>
                <w:lang w:val="en-GB" w:eastAsia="zh-CN"/>
              </w:rPr>
              <w:t>双鸭山市畅源排水有限公司</w:t>
            </w:r>
            <w:r>
              <w:rPr>
                <w:rFonts w:cs="Times New Roman"/>
                <w:color w:val="auto"/>
                <w:sz w:val="21"/>
                <w:szCs w:val="21"/>
                <w:highlight w:val="none"/>
              </w:rPr>
              <w:t>处理，处理</w:t>
            </w:r>
            <w:r>
              <w:rPr>
                <w:rFonts w:cs="Times New Roman"/>
                <w:color w:val="auto"/>
                <w:sz w:val="21"/>
                <w:szCs w:val="21"/>
                <w:highlight w:val="none"/>
                <w:lang w:val="en-GB"/>
              </w:rPr>
              <w:t>达标后排入</w:t>
            </w:r>
            <w:r>
              <w:rPr>
                <w:rFonts w:hint="eastAsia" w:cs="Times New Roman"/>
                <w:color w:val="auto"/>
                <w:sz w:val="21"/>
                <w:szCs w:val="21"/>
                <w:highlight w:val="none"/>
                <w:lang w:val="en-GB" w:eastAsia="zh-CN"/>
              </w:rPr>
              <w:t>安邦河</w:t>
            </w:r>
          </w:p>
        </w:tc>
        <w:tc>
          <w:tcPr>
            <w:tcW w:w="1493" w:type="dxa"/>
            <w:tcBorders>
              <w:tl2br w:val="nil"/>
              <w:tr2bl w:val="nil"/>
            </w:tcBorders>
            <w:vAlign w:val="center"/>
          </w:tcPr>
          <w:p w14:paraId="145B64C8">
            <w:pPr>
              <w:spacing w:line="360" w:lineRule="exact"/>
              <w:ind w:firstLine="0" w:firstLineChars="0"/>
              <w:jc w:val="center"/>
              <w:rPr>
                <w:rFonts w:hint="eastAsia"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265</w:t>
            </w:r>
          </w:p>
        </w:tc>
        <w:tc>
          <w:tcPr>
            <w:tcW w:w="1493" w:type="dxa"/>
            <w:tcBorders>
              <w:tl2br w:val="nil"/>
              <w:tr2bl w:val="nil"/>
            </w:tcBorders>
            <w:vAlign w:val="center"/>
          </w:tcPr>
          <w:p w14:paraId="7AA3B733">
            <w:pPr>
              <w:spacing w:line="360" w:lineRule="exact"/>
              <w:ind w:firstLine="0" w:firstLineChars="0"/>
              <w:jc w:val="center"/>
              <w:rPr>
                <w:rFonts w:hint="default"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 xml:space="preserve">18.98 </w:t>
            </w:r>
          </w:p>
        </w:tc>
        <w:tc>
          <w:tcPr>
            <w:tcW w:w="2385" w:type="dxa"/>
            <w:vMerge w:val="restart"/>
            <w:tcBorders>
              <w:tl2br w:val="nil"/>
              <w:tr2bl w:val="nil"/>
            </w:tcBorders>
            <w:vAlign w:val="center"/>
          </w:tcPr>
          <w:p w14:paraId="06B8B0D1">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《肉类加工工业水污染物排放标准》（GB13457-92）表3三级标准限值及</w:t>
            </w:r>
            <w:r>
              <w:rPr>
                <w:rFonts w:hint="eastAsia" w:cs="Times New Roman"/>
                <w:color w:val="auto"/>
                <w:sz w:val="21"/>
                <w:szCs w:val="21"/>
                <w:highlight w:val="none"/>
                <w:lang w:val="en-GB" w:eastAsia="zh-CN"/>
              </w:rPr>
              <w:t>双鸭山市畅源排水有限公司</w:t>
            </w:r>
            <w:r>
              <w:rPr>
                <w:rFonts w:cs="Times New Roman"/>
                <w:color w:val="auto"/>
                <w:sz w:val="21"/>
                <w:szCs w:val="21"/>
                <w:highlight w:val="none"/>
              </w:rPr>
              <w:t>进水水质要求</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从严取值</w:t>
            </w:r>
            <w:r>
              <w:rPr>
                <w:rFonts w:hint="eastAsia" w:cs="Times New Roman"/>
                <w:color w:val="auto"/>
                <w:sz w:val="21"/>
                <w:szCs w:val="21"/>
                <w:highlight w:val="none"/>
                <w:lang w:eastAsia="zh-CN"/>
              </w:rPr>
              <w:t>）</w:t>
            </w:r>
          </w:p>
        </w:tc>
        <w:tc>
          <w:tcPr>
            <w:tcW w:w="1792" w:type="dxa"/>
            <w:vMerge w:val="restart"/>
            <w:tcBorders>
              <w:tl2br w:val="nil"/>
              <w:tr2bl w:val="nil"/>
            </w:tcBorders>
            <w:vAlign w:val="center"/>
          </w:tcPr>
          <w:p w14:paraId="15F09C8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DW001</w:t>
            </w:r>
          </w:p>
        </w:tc>
        <w:tc>
          <w:tcPr>
            <w:tcW w:w="1792" w:type="dxa"/>
            <w:vMerge w:val="restart"/>
            <w:tcBorders>
              <w:tl2br w:val="nil"/>
              <w:tr2bl w:val="nil"/>
            </w:tcBorders>
            <w:vAlign w:val="center"/>
          </w:tcPr>
          <w:p w14:paraId="66E31265">
            <w:pPr>
              <w:spacing w:line="360" w:lineRule="exact"/>
              <w:ind w:firstLine="0" w:firstLineChars="0"/>
              <w:jc w:val="center"/>
              <w:rPr>
                <w:rFonts w:cs="Times New Roman"/>
                <w:color w:val="auto"/>
                <w:highlight w:val="none"/>
              </w:rPr>
            </w:pPr>
          </w:p>
          <w:p w14:paraId="36933AA2">
            <w:pPr>
              <w:spacing w:line="360" w:lineRule="exact"/>
              <w:ind w:firstLine="0" w:firstLineChars="0"/>
              <w:jc w:val="center"/>
              <w:rPr>
                <w:rFonts w:cs="Times New Roman"/>
                <w:color w:val="auto"/>
                <w:highlight w:val="none"/>
              </w:rPr>
            </w:pPr>
          </w:p>
          <w:p w14:paraId="691AF2C1">
            <w:pPr>
              <w:spacing w:line="360" w:lineRule="exact"/>
              <w:ind w:firstLine="0" w:firstLineChars="0"/>
              <w:jc w:val="center"/>
              <w:rPr>
                <w:rFonts w:cs="Times New Roman"/>
                <w:color w:val="auto"/>
                <w:highlight w:val="none"/>
              </w:rPr>
            </w:pPr>
            <w:r>
              <w:rPr>
                <w:rFonts w:cs="Times New Roman"/>
                <w:color w:val="auto"/>
                <w:highlight w:val="none"/>
              </w:rPr>
              <w:drawing>
                <wp:anchor distT="0" distB="0" distL="114300" distR="114300" simplePos="0" relativeHeight="251667456" behindDoc="0" locked="0" layoutInCell="1" allowOverlap="1">
                  <wp:simplePos x="0" y="0"/>
                  <wp:positionH relativeFrom="column">
                    <wp:posOffset>139065</wp:posOffset>
                  </wp:positionH>
                  <wp:positionV relativeFrom="paragraph">
                    <wp:posOffset>22860</wp:posOffset>
                  </wp:positionV>
                  <wp:extent cx="779780" cy="724535"/>
                  <wp:effectExtent l="0" t="0" r="1270" b="18415"/>
                  <wp:wrapNone/>
                  <wp:docPr id="33" name="图片 9" descr="C:/Users/Administrator/AppData/Local/Temp/picturecompress_20211105115811/output_17.pngoutpu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descr="C:/Users/Administrator/AppData/Local/Temp/picturecompress_20211105115811/output_17.pngoutput_17"/>
                          <pic:cNvPicPr>
                            <a:picLocks noChangeAspect="1"/>
                          </pic:cNvPicPr>
                        </pic:nvPicPr>
                        <pic:blipFill>
                          <a:blip r:embed="rId54"/>
                          <a:stretch>
                            <a:fillRect/>
                          </a:stretch>
                        </pic:blipFill>
                        <pic:spPr>
                          <a:xfrm>
                            <a:off x="0" y="0"/>
                            <a:ext cx="779780" cy="724535"/>
                          </a:xfrm>
                          <a:prstGeom prst="rect">
                            <a:avLst/>
                          </a:prstGeom>
                          <a:noFill/>
                          <a:ln>
                            <a:noFill/>
                          </a:ln>
                        </pic:spPr>
                      </pic:pic>
                    </a:graphicData>
                  </a:graphic>
                </wp:anchor>
              </w:drawing>
            </w:r>
          </w:p>
          <w:p w14:paraId="31B1DEAC">
            <w:pPr>
              <w:spacing w:line="360" w:lineRule="exact"/>
              <w:ind w:firstLine="0" w:firstLineChars="0"/>
              <w:jc w:val="center"/>
              <w:rPr>
                <w:rFonts w:cs="Times New Roman"/>
                <w:color w:val="auto"/>
                <w:highlight w:val="none"/>
              </w:rPr>
            </w:pPr>
          </w:p>
          <w:p w14:paraId="60397BD2">
            <w:pPr>
              <w:ind w:firstLine="0" w:firstLineChars="0"/>
              <w:rPr>
                <w:rFonts w:cs="Times New Roman"/>
                <w:color w:val="auto"/>
                <w:highlight w:val="none"/>
              </w:rPr>
            </w:pPr>
          </w:p>
          <w:p w14:paraId="073A3CB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drawing>
                <wp:anchor distT="0" distB="0" distL="114300" distR="114300" simplePos="0" relativeHeight="251688960" behindDoc="0" locked="0" layoutInCell="1" allowOverlap="1">
                  <wp:simplePos x="0" y="0"/>
                  <wp:positionH relativeFrom="column">
                    <wp:posOffset>8591550</wp:posOffset>
                  </wp:positionH>
                  <wp:positionV relativeFrom="paragraph">
                    <wp:posOffset>4698365</wp:posOffset>
                  </wp:positionV>
                  <wp:extent cx="826135" cy="636905"/>
                  <wp:effectExtent l="0" t="0" r="12065" b="10795"/>
                  <wp:wrapNone/>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55"/>
                          <a:stretch>
                            <a:fillRect/>
                          </a:stretch>
                        </pic:blipFill>
                        <pic:spPr>
                          <a:xfrm>
                            <a:off x="0" y="0"/>
                            <a:ext cx="826135" cy="636905"/>
                          </a:xfrm>
                          <a:prstGeom prst="rect">
                            <a:avLst/>
                          </a:prstGeom>
                          <a:noFill/>
                          <a:ln>
                            <a:noFill/>
                          </a:ln>
                        </pic:spPr>
                      </pic:pic>
                    </a:graphicData>
                  </a:graphic>
                </wp:anchor>
              </w:drawing>
            </w:r>
            <w:r>
              <w:rPr>
                <w:rFonts w:cs="Times New Roman"/>
                <w:color w:val="auto"/>
                <w:sz w:val="21"/>
                <w:szCs w:val="21"/>
                <w:highlight w:val="none"/>
              </w:rPr>
              <w:drawing>
                <wp:anchor distT="0" distB="0" distL="114300" distR="114300" simplePos="0" relativeHeight="251687936" behindDoc="0" locked="0" layoutInCell="1" allowOverlap="1">
                  <wp:simplePos x="0" y="0"/>
                  <wp:positionH relativeFrom="column">
                    <wp:posOffset>8591550</wp:posOffset>
                  </wp:positionH>
                  <wp:positionV relativeFrom="paragraph">
                    <wp:posOffset>4698365</wp:posOffset>
                  </wp:positionV>
                  <wp:extent cx="826135" cy="636905"/>
                  <wp:effectExtent l="0" t="0" r="12065" b="10795"/>
                  <wp:wrapNone/>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55"/>
                          <a:stretch>
                            <a:fillRect/>
                          </a:stretch>
                        </pic:blipFill>
                        <pic:spPr>
                          <a:xfrm>
                            <a:off x="0" y="0"/>
                            <a:ext cx="826135" cy="636905"/>
                          </a:xfrm>
                          <a:prstGeom prst="rect">
                            <a:avLst/>
                          </a:prstGeom>
                          <a:noFill/>
                          <a:ln>
                            <a:noFill/>
                          </a:ln>
                        </pic:spPr>
                      </pic:pic>
                    </a:graphicData>
                  </a:graphic>
                </wp:anchor>
              </w:drawing>
            </w:r>
            <w:r>
              <w:rPr>
                <w:rFonts w:cs="Times New Roman"/>
                <w:color w:val="auto"/>
                <w:sz w:val="21"/>
                <w:szCs w:val="21"/>
                <w:highlight w:val="none"/>
              </w:rPr>
              <w:drawing>
                <wp:anchor distT="0" distB="0" distL="114300" distR="114300" simplePos="0" relativeHeight="251686912" behindDoc="0" locked="0" layoutInCell="1" allowOverlap="1">
                  <wp:simplePos x="0" y="0"/>
                  <wp:positionH relativeFrom="column">
                    <wp:posOffset>8591550</wp:posOffset>
                  </wp:positionH>
                  <wp:positionV relativeFrom="paragraph">
                    <wp:posOffset>4698365</wp:posOffset>
                  </wp:positionV>
                  <wp:extent cx="826135" cy="636905"/>
                  <wp:effectExtent l="0" t="0" r="12065" b="10795"/>
                  <wp:wrapNone/>
                  <wp:docPr id="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pic:cNvPicPr>
                            <a:picLocks noChangeAspect="1"/>
                          </pic:cNvPicPr>
                        </pic:nvPicPr>
                        <pic:blipFill>
                          <a:blip r:embed="rId55"/>
                          <a:stretch>
                            <a:fillRect/>
                          </a:stretch>
                        </pic:blipFill>
                        <pic:spPr>
                          <a:xfrm>
                            <a:off x="0" y="0"/>
                            <a:ext cx="826135" cy="636905"/>
                          </a:xfrm>
                          <a:prstGeom prst="rect">
                            <a:avLst/>
                          </a:prstGeom>
                          <a:noFill/>
                          <a:ln>
                            <a:noFill/>
                          </a:ln>
                        </pic:spPr>
                      </pic:pic>
                    </a:graphicData>
                  </a:graphic>
                </wp:anchor>
              </w:drawing>
            </w:r>
            <w:r>
              <w:rPr>
                <w:rFonts w:cs="Times New Roman"/>
                <w:color w:val="auto"/>
                <w:sz w:val="21"/>
                <w:szCs w:val="21"/>
                <w:highlight w:val="none"/>
              </w:rPr>
              <w:drawing>
                <wp:anchor distT="0" distB="0" distL="114300" distR="114300" simplePos="0" relativeHeight="251685888" behindDoc="0" locked="0" layoutInCell="1" allowOverlap="1">
                  <wp:simplePos x="0" y="0"/>
                  <wp:positionH relativeFrom="column">
                    <wp:posOffset>8591550</wp:posOffset>
                  </wp:positionH>
                  <wp:positionV relativeFrom="paragraph">
                    <wp:posOffset>4698365</wp:posOffset>
                  </wp:positionV>
                  <wp:extent cx="826135" cy="636905"/>
                  <wp:effectExtent l="0" t="0" r="12065" b="10795"/>
                  <wp:wrapNone/>
                  <wp:docPr id="78"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39"/>
                          <pic:cNvPicPr>
                            <a:picLocks noChangeAspect="1"/>
                          </pic:cNvPicPr>
                        </pic:nvPicPr>
                        <pic:blipFill>
                          <a:blip r:embed="rId55"/>
                          <a:stretch>
                            <a:fillRect/>
                          </a:stretch>
                        </pic:blipFill>
                        <pic:spPr>
                          <a:xfrm>
                            <a:off x="0" y="0"/>
                            <a:ext cx="826135" cy="636905"/>
                          </a:xfrm>
                          <a:prstGeom prst="rect">
                            <a:avLst/>
                          </a:prstGeom>
                          <a:noFill/>
                          <a:ln>
                            <a:noFill/>
                          </a:ln>
                        </pic:spPr>
                      </pic:pic>
                    </a:graphicData>
                  </a:graphic>
                </wp:anchor>
              </w:drawing>
            </w:r>
            <w:r>
              <w:rPr>
                <w:rFonts w:cs="Times New Roman"/>
                <w:color w:val="auto"/>
                <w:sz w:val="21"/>
                <w:szCs w:val="21"/>
                <w:highlight w:val="none"/>
              </w:rPr>
              <w:t>提示图形符号</w:t>
            </w:r>
          </w:p>
          <w:p w14:paraId="5C04F934">
            <w:pPr>
              <w:pStyle w:val="36"/>
              <w:rPr>
                <w:color w:val="auto"/>
                <w:highlight w:val="none"/>
              </w:rPr>
            </w:pPr>
          </w:p>
        </w:tc>
      </w:tr>
      <w:tr w14:paraId="3ECB1AB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473" w:hRule="atLeast"/>
          <w:jc w:val="center"/>
        </w:trPr>
        <w:tc>
          <w:tcPr>
            <w:tcW w:w="666" w:type="dxa"/>
            <w:vMerge w:val="continue"/>
            <w:tcBorders>
              <w:tl2br w:val="nil"/>
              <w:tr2bl w:val="nil"/>
            </w:tcBorders>
            <w:vAlign w:val="center"/>
          </w:tcPr>
          <w:p w14:paraId="0241CD02">
            <w:pPr>
              <w:widowControl/>
              <w:spacing w:line="360" w:lineRule="exact"/>
              <w:ind w:firstLine="0" w:firstLineChars="0"/>
              <w:jc w:val="center"/>
              <w:rPr>
                <w:rFonts w:cs="Times New Roman"/>
                <w:color w:val="auto"/>
                <w:sz w:val="21"/>
                <w:szCs w:val="21"/>
                <w:highlight w:val="none"/>
              </w:rPr>
            </w:pPr>
          </w:p>
        </w:tc>
        <w:tc>
          <w:tcPr>
            <w:tcW w:w="1211" w:type="dxa"/>
            <w:gridSpan w:val="2"/>
            <w:vMerge w:val="continue"/>
            <w:tcBorders>
              <w:tl2br w:val="nil"/>
              <w:tr2bl w:val="nil"/>
            </w:tcBorders>
            <w:vAlign w:val="center"/>
          </w:tcPr>
          <w:p w14:paraId="4BCCE0D1">
            <w:pPr>
              <w:widowControl/>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06B4552E">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BOD</w:t>
            </w:r>
            <w:r>
              <w:rPr>
                <w:rFonts w:cs="Times New Roman"/>
                <w:color w:val="auto"/>
                <w:kern w:val="0"/>
                <w:sz w:val="21"/>
                <w:szCs w:val="21"/>
                <w:highlight w:val="none"/>
                <w:vertAlign w:val="subscript"/>
                <w:lang w:bidi="ar"/>
              </w:rPr>
              <w:t>5</w:t>
            </w:r>
          </w:p>
        </w:tc>
        <w:tc>
          <w:tcPr>
            <w:tcW w:w="3424" w:type="dxa"/>
            <w:vMerge w:val="continue"/>
            <w:tcBorders>
              <w:tl2br w:val="nil"/>
              <w:tr2bl w:val="nil"/>
            </w:tcBorders>
            <w:vAlign w:val="center"/>
          </w:tcPr>
          <w:p w14:paraId="379F2445">
            <w:pPr>
              <w:widowControl/>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4A7AA7E3">
            <w:pPr>
              <w:spacing w:line="360" w:lineRule="exact"/>
              <w:ind w:firstLine="0" w:firstLineChars="0"/>
              <w:jc w:val="center"/>
              <w:rPr>
                <w:rFonts w:hint="eastAsia"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241</w:t>
            </w:r>
          </w:p>
        </w:tc>
        <w:tc>
          <w:tcPr>
            <w:tcW w:w="1493" w:type="dxa"/>
            <w:tcBorders>
              <w:tl2br w:val="nil"/>
              <w:tr2bl w:val="nil"/>
            </w:tcBorders>
            <w:vAlign w:val="center"/>
          </w:tcPr>
          <w:p w14:paraId="24DFFA8E">
            <w:pPr>
              <w:spacing w:line="360" w:lineRule="exact"/>
              <w:ind w:firstLine="0" w:firstLineChars="0"/>
              <w:jc w:val="center"/>
              <w:rPr>
                <w:rFonts w:hint="default"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 xml:space="preserve">17.26 </w:t>
            </w:r>
          </w:p>
        </w:tc>
        <w:tc>
          <w:tcPr>
            <w:tcW w:w="2385" w:type="dxa"/>
            <w:vMerge w:val="continue"/>
            <w:tcBorders>
              <w:tl2br w:val="nil"/>
              <w:tr2bl w:val="nil"/>
            </w:tcBorders>
            <w:vAlign w:val="center"/>
          </w:tcPr>
          <w:p w14:paraId="304BEAE0">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5A4B2F3C">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117F446C">
            <w:pPr>
              <w:widowControl/>
              <w:spacing w:line="360" w:lineRule="exact"/>
              <w:ind w:firstLine="0" w:firstLineChars="0"/>
              <w:jc w:val="center"/>
              <w:rPr>
                <w:rFonts w:cs="Times New Roman"/>
                <w:color w:val="auto"/>
                <w:sz w:val="21"/>
                <w:szCs w:val="21"/>
                <w:highlight w:val="none"/>
              </w:rPr>
            </w:pPr>
          </w:p>
        </w:tc>
      </w:tr>
      <w:tr w14:paraId="640E9BA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438" w:hRule="atLeast"/>
          <w:jc w:val="center"/>
        </w:trPr>
        <w:tc>
          <w:tcPr>
            <w:tcW w:w="666" w:type="dxa"/>
            <w:vMerge w:val="continue"/>
            <w:tcBorders>
              <w:tl2br w:val="nil"/>
              <w:tr2bl w:val="nil"/>
            </w:tcBorders>
            <w:vAlign w:val="center"/>
          </w:tcPr>
          <w:p w14:paraId="3808E320">
            <w:pPr>
              <w:widowControl/>
              <w:spacing w:line="360" w:lineRule="exact"/>
              <w:ind w:firstLine="0" w:firstLineChars="0"/>
              <w:jc w:val="center"/>
              <w:rPr>
                <w:rFonts w:cs="Times New Roman"/>
                <w:color w:val="auto"/>
                <w:sz w:val="21"/>
                <w:szCs w:val="21"/>
                <w:highlight w:val="none"/>
              </w:rPr>
            </w:pPr>
          </w:p>
        </w:tc>
        <w:tc>
          <w:tcPr>
            <w:tcW w:w="1211" w:type="dxa"/>
            <w:gridSpan w:val="2"/>
            <w:vMerge w:val="continue"/>
            <w:tcBorders>
              <w:tl2br w:val="nil"/>
              <w:tr2bl w:val="nil"/>
            </w:tcBorders>
            <w:vAlign w:val="center"/>
          </w:tcPr>
          <w:p w14:paraId="72155D5A">
            <w:pPr>
              <w:widowControl/>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32667C68">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SS</w:t>
            </w:r>
          </w:p>
        </w:tc>
        <w:tc>
          <w:tcPr>
            <w:tcW w:w="3424" w:type="dxa"/>
            <w:vMerge w:val="continue"/>
            <w:tcBorders>
              <w:tl2br w:val="nil"/>
              <w:tr2bl w:val="nil"/>
            </w:tcBorders>
            <w:vAlign w:val="center"/>
          </w:tcPr>
          <w:p w14:paraId="742085CA">
            <w:pPr>
              <w:widowControl/>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02608B4C">
            <w:pPr>
              <w:spacing w:line="360" w:lineRule="exact"/>
              <w:ind w:firstLine="0" w:firstLineChars="0"/>
              <w:jc w:val="center"/>
              <w:rPr>
                <w:rFonts w:hint="eastAsia"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289</w:t>
            </w:r>
          </w:p>
        </w:tc>
        <w:tc>
          <w:tcPr>
            <w:tcW w:w="1493" w:type="dxa"/>
            <w:tcBorders>
              <w:tl2br w:val="nil"/>
              <w:tr2bl w:val="nil"/>
            </w:tcBorders>
            <w:vAlign w:val="center"/>
          </w:tcPr>
          <w:p w14:paraId="5EB3F1BA">
            <w:pPr>
              <w:spacing w:line="360" w:lineRule="exact"/>
              <w:ind w:firstLine="0" w:firstLineChars="0"/>
              <w:jc w:val="center"/>
              <w:rPr>
                <w:rFonts w:hint="default"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 xml:space="preserve">20.70 </w:t>
            </w:r>
          </w:p>
        </w:tc>
        <w:tc>
          <w:tcPr>
            <w:tcW w:w="2385" w:type="dxa"/>
            <w:vMerge w:val="continue"/>
            <w:tcBorders>
              <w:tl2br w:val="nil"/>
              <w:tr2bl w:val="nil"/>
            </w:tcBorders>
            <w:vAlign w:val="center"/>
          </w:tcPr>
          <w:p w14:paraId="15427C2E">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33B793FB">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5515DFED">
            <w:pPr>
              <w:widowControl/>
              <w:spacing w:line="360" w:lineRule="exact"/>
              <w:ind w:firstLine="0" w:firstLineChars="0"/>
              <w:jc w:val="center"/>
              <w:rPr>
                <w:rFonts w:cs="Times New Roman"/>
                <w:color w:val="auto"/>
                <w:sz w:val="21"/>
                <w:szCs w:val="21"/>
                <w:highlight w:val="none"/>
              </w:rPr>
            </w:pPr>
          </w:p>
        </w:tc>
      </w:tr>
      <w:tr w14:paraId="274B781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495" w:hRule="atLeast"/>
          <w:jc w:val="center"/>
        </w:trPr>
        <w:tc>
          <w:tcPr>
            <w:tcW w:w="666" w:type="dxa"/>
            <w:vMerge w:val="continue"/>
            <w:tcBorders>
              <w:tl2br w:val="nil"/>
              <w:tr2bl w:val="nil"/>
            </w:tcBorders>
            <w:vAlign w:val="center"/>
          </w:tcPr>
          <w:p w14:paraId="33DC7CA0">
            <w:pPr>
              <w:widowControl/>
              <w:spacing w:line="360" w:lineRule="exact"/>
              <w:ind w:firstLine="0" w:firstLineChars="0"/>
              <w:jc w:val="center"/>
              <w:rPr>
                <w:rFonts w:cs="Times New Roman"/>
                <w:color w:val="auto"/>
                <w:sz w:val="21"/>
                <w:szCs w:val="21"/>
                <w:highlight w:val="none"/>
              </w:rPr>
            </w:pPr>
          </w:p>
        </w:tc>
        <w:tc>
          <w:tcPr>
            <w:tcW w:w="1211" w:type="dxa"/>
            <w:gridSpan w:val="2"/>
            <w:vMerge w:val="continue"/>
            <w:tcBorders>
              <w:tl2br w:val="nil"/>
              <w:tr2bl w:val="nil"/>
            </w:tcBorders>
            <w:vAlign w:val="center"/>
          </w:tcPr>
          <w:p w14:paraId="7F060B19">
            <w:pPr>
              <w:widowControl/>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17A6B81C">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氨氮</w:t>
            </w:r>
          </w:p>
        </w:tc>
        <w:tc>
          <w:tcPr>
            <w:tcW w:w="3424" w:type="dxa"/>
            <w:vMerge w:val="continue"/>
            <w:tcBorders>
              <w:tl2br w:val="nil"/>
              <w:tr2bl w:val="nil"/>
            </w:tcBorders>
            <w:vAlign w:val="center"/>
          </w:tcPr>
          <w:p w14:paraId="48910B60">
            <w:pPr>
              <w:widowControl/>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2B44CFFA">
            <w:pPr>
              <w:spacing w:line="360" w:lineRule="exact"/>
              <w:ind w:firstLine="0" w:firstLineChars="0"/>
              <w:jc w:val="center"/>
              <w:rPr>
                <w:rFonts w:hint="eastAsia"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34</w:t>
            </w:r>
          </w:p>
        </w:tc>
        <w:tc>
          <w:tcPr>
            <w:tcW w:w="1493" w:type="dxa"/>
            <w:tcBorders>
              <w:tl2br w:val="nil"/>
              <w:tr2bl w:val="nil"/>
            </w:tcBorders>
            <w:vAlign w:val="center"/>
          </w:tcPr>
          <w:p w14:paraId="7C128890">
            <w:pPr>
              <w:spacing w:line="360" w:lineRule="exact"/>
              <w:ind w:firstLine="0" w:firstLineChars="0"/>
              <w:jc w:val="center"/>
              <w:rPr>
                <w:rFonts w:hint="default"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 xml:space="preserve">2.44 </w:t>
            </w:r>
          </w:p>
        </w:tc>
        <w:tc>
          <w:tcPr>
            <w:tcW w:w="2385" w:type="dxa"/>
            <w:vMerge w:val="continue"/>
            <w:tcBorders>
              <w:tl2br w:val="nil"/>
              <w:tr2bl w:val="nil"/>
            </w:tcBorders>
            <w:vAlign w:val="center"/>
          </w:tcPr>
          <w:p w14:paraId="14B3CCC8">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06978101">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7079AD1F">
            <w:pPr>
              <w:widowControl/>
              <w:spacing w:line="360" w:lineRule="exact"/>
              <w:ind w:firstLine="0" w:firstLineChars="0"/>
              <w:jc w:val="center"/>
              <w:rPr>
                <w:rFonts w:cs="Times New Roman"/>
                <w:color w:val="auto"/>
                <w:sz w:val="21"/>
                <w:szCs w:val="21"/>
                <w:highlight w:val="none"/>
              </w:rPr>
            </w:pPr>
          </w:p>
        </w:tc>
      </w:tr>
      <w:tr w14:paraId="5F8FF8C9">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508" w:hRule="atLeast"/>
          <w:jc w:val="center"/>
        </w:trPr>
        <w:tc>
          <w:tcPr>
            <w:tcW w:w="666" w:type="dxa"/>
            <w:vMerge w:val="continue"/>
            <w:tcBorders>
              <w:tl2br w:val="nil"/>
              <w:tr2bl w:val="nil"/>
            </w:tcBorders>
            <w:vAlign w:val="center"/>
          </w:tcPr>
          <w:p w14:paraId="2CF460C3">
            <w:pPr>
              <w:widowControl/>
              <w:spacing w:line="360" w:lineRule="exact"/>
              <w:ind w:firstLine="0" w:firstLineChars="0"/>
              <w:jc w:val="center"/>
              <w:rPr>
                <w:rFonts w:cs="Times New Roman"/>
                <w:color w:val="auto"/>
                <w:sz w:val="21"/>
                <w:szCs w:val="21"/>
                <w:highlight w:val="none"/>
              </w:rPr>
            </w:pPr>
          </w:p>
        </w:tc>
        <w:tc>
          <w:tcPr>
            <w:tcW w:w="1211" w:type="dxa"/>
            <w:gridSpan w:val="2"/>
            <w:vMerge w:val="continue"/>
            <w:tcBorders>
              <w:tl2br w:val="nil"/>
              <w:tr2bl w:val="nil"/>
            </w:tcBorders>
            <w:vAlign w:val="center"/>
          </w:tcPr>
          <w:p w14:paraId="121A1AB6">
            <w:pPr>
              <w:widowControl/>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596E68E8">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动植物油</w:t>
            </w:r>
          </w:p>
        </w:tc>
        <w:tc>
          <w:tcPr>
            <w:tcW w:w="3424" w:type="dxa"/>
            <w:vMerge w:val="continue"/>
            <w:tcBorders>
              <w:tl2br w:val="nil"/>
              <w:tr2bl w:val="nil"/>
            </w:tcBorders>
            <w:vAlign w:val="center"/>
          </w:tcPr>
          <w:p w14:paraId="00EB8DBF">
            <w:pPr>
              <w:widowControl/>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730227A7">
            <w:pPr>
              <w:spacing w:line="360" w:lineRule="exact"/>
              <w:ind w:firstLine="0" w:firstLineChars="0"/>
              <w:jc w:val="center"/>
              <w:rPr>
                <w:rFonts w:hint="eastAsia"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48</w:t>
            </w:r>
          </w:p>
        </w:tc>
        <w:tc>
          <w:tcPr>
            <w:tcW w:w="1493" w:type="dxa"/>
            <w:tcBorders>
              <w:tl2br w:val="nil"/>
              <w:tr2bl w:val="nil"/>
            </w:tcBorders>
            <w:vAlign w:val="center"/>
          </w:tcPr>
          <w:p w14:paraId="19469DFB">
            <w:pPr>
              <w:spacing w:line="360" w:lineRule="exact"/>
              <w:ind w:firstLine="0" w:firstLineChars="0"/>
              <w:jc w:val="center"/>
              <w:rPr>
                <w:rFonts w:hint="eastAsia"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 xml:space="preserve">3.44 </w:t>
            </w:r>
          </w:p>
        </w:tc>
        <w:tc>
          <w:tcPr>
            <w:tcW w:w="2385" w:type="dxa"/>
            <w:vMerge w:val="continue"/>
            <w:tcBorders>
              <w:tl2br w:val="nil"/>
              <w:tr2bl w:val="nil"/>
            </w:tcBorders>
            <w:vAlign w:val="center"/>
          </w:tcPr>
          <w:p w14:paraId="0F2A3D3F">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792BF684">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5EF0B966">
            <w:pPr>
              <w:widowControl/>
              <w:spacing w:line="360" w:lineRule="exact"/>
              <w:ind w:firstLine="0" w:firstLineChars="0"/>
              <w:jc w:val="center"/>
              <w:rPr>
                <w:rFonts w:cs="Times New Roman"/>
                <w:color w:val="auto"/>
                <w:sz w:val="21"/>
                <w:szCs w:val="21"/>
                <w:highlight w:val="none"/>
              </w:rPr>
            </w:pPr>
          </w:p>
        </w:tc>
      </w:tr>
      <w:tr w14:paraId="4C36BE9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464" w:hRule="atLeast"/>
          <w:jc w:val="center"/>
        </w:trPr>
        <w:tc>
          <w:tcPr>
            <w:tcW w:w="666" w:type="dxa"/>
            <w:vMerge w:val="continue"/>
            <w:tcBorders>
              <w:tl2br w:val="nil"/>
              <w:tr2bl w:val="nil"/>
            </w:tcBorders>
            <w:vAlign w:val="center"/>
          </w:tcPr>
          <w:p w14:paraId="261C0697">
            <w:pPr>
              <w:spacing w:line="360" w:lineRule="exact"/>
              <w:ind w:firstLine="0" w:firstLineChars="0"/>
              <w:jc w:val="center"/>
              <w:rPr>
                <w:rFonts w:cs="Times New Roman"/>
                <w:color w:val="auto"/>
                <w:sz w:val="21"/>
                <w:szCs w:val="21"/>
                <w:highlight w:val="none"/>
              </w:rPr>
            </w:pPr>
          </w:p>
        </w:tc>
        <w:tc>
          <w:tcPr>
            <w:tcW w:w="1211" w:type="dxa"/>
            <w:gridSpan w:val="2"/>
            <w:vMerge w:val="continue"/>
            <w:tcBorders>
              <w:tl2br w:val="nil"/>
              <w:tr2bl w:val="nil"/>
            </w:tcBorders>
            <w:vAlign w:val="center"/>
          </w:tcPr>
          <w:p w14:paraId="7440C85D">
            <w:pPr>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4FDBD99D">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总氮</w:t>
            </w:r>
          </w:p>
        </w:tc>
        <w:tc>
          <w:tcPr>
            <w:tcW w:w="3424" w:type="dxa"/>
            <w:vMerge w:val="continue"/>
            <w:tcBorders>
              <w:tl2br w:val="nil"/>
              <w:tr2bl w:val="nil"/>
            </w:tcBorders>
            <w:vAlign w:val="center"/>
          </w:tcPr>
          <w:p w14:paraId="2EA666A6">
            <w:pPr>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6E86C953">
            <w:pPr>
              <w:spacing w:line="360" w:lineRule="exact"/>
              <w:ind w:firstLine="0" w:firstLineChars="0"/>
              <w:jc w:val="center"/>
              <w:rPr>
                <w:rFonts w:hint="eastAsia"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47</w:t>
            </w:r>
          </w:p>
        </w:tc>
        <w:tc>
          <w:tcPr>
            <w:tcW w:w="1493" w:type="dxa"/>
            <w:tcBorders>
              <w:tl2br w:val="nil"/>
              <w:tr2bl w:val="nil"/>
            </w:tcBorders>
            <w:vAlign w:val="center"/>
          </w:tcPr>
          <w:p w14:paraId="15D50B4F">
            <w:pPr>
              <w:spacing w:line="360" w:lineRule="exact"/>
              <w:ind w:firstLine="0" w:firstLineChars="0"/>
              <w:jc w:val="center"/>
              <w:rPr>
                <w:rFonts w:hint="default"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 xml:space="preserve">3.37 </w:t>
            </w:r>
          </w:p>
        </w:tc>
        <w:tc>
          <w:tcPr>
            <w:tcW w:w="2385" w:type="dxa"/>
            <w:vMerge w:val="continue"/>
            <w:tcBorders>
              <w:tl2br w:val="nil"/>
              <w:tr2bl w:val="nil"/>
            </w:tcBorders>
            <w:vAlign w:val="center"/>
          </w:tcPr>
          <w:p w14:paraId="28B44A09">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70C289EF">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1C547CCF">
            <w:pPr>
              <w:spacing w:line="360" w:lineRule="exact"/>
              <w:ind w:firstLine="0" w:firstLineChars="0"/>
              <w:jc w:val="center"/>
              <w:rPr>
                <w:rFonts w:cs="Times New Roman"/>
                <w:color w:val="auto"/>
                <w:sz w:val="21"/>
                <w:szCs w:val="21"/>
                <w:highlight w:val="none"/>
              </w:rPr>
            </w:pPr>
          </w:p>
        </w:tc>
      </w:tr>
      <w:tr w14:paraId="0C92F4A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229" w:hRule="atLeast"/>
          <w:jc w:val="center"/>
        </w:trPr>
        <w:tc>
          <w:tcPr>
            <w:tcW w:w="666" w:type="dxa"/>
            <w:vMerge w:val="continue"/>
            <w:tcBorders>
              <w:tl2br w:val="nil"/>
              <w:tr2bl w:val="nil"/>
            </w:tcBorders>
            <w:vAlign w:val="center"/>
          </w:tcPr>
          <w:p w14:paraId="6B9BD882">
            <w:pPr>
              <w:spacing w:line="360" w:lineRule="exact"/>
              <w:ind w:firstLine="0" w:firstLineChars="0"/>
              <w:jc w:val="center"/>
              <w:rPr>
                <w:rFonts w:cs="Times New Roman"/>
                <w:color w:val="auto"/>
                <w:sz w:val="21"/>
                <w:szCs w:val="21"/>
                <w:highlight w:val="none"/>
              </w:rPr>
            </w:pPr>
          </w:p>
        </w:tc>
        <w:tc>
          <w:tcPr>
            <w:tcW w:w="1211" w:type="dxa"/>
            <w:gridSpan w:val="2"/>
            <w:vMerge w:val="continue"/>
            <w:tcBorders>
              <w:tl2br w:val="nil"/>
              <w:tr2bl w:val="nil"/>
            </w:tcBorders>
            <w:vAlign w:val="center"/>
          </w:tcPr>
          <w:p w14:paraId="38DC469E">
            <w:pPr>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3C416654">
            <w:pPr>
              <w:widowControl/>
              <w:spacing w:line="360" w:lineRule="exact"/>
              <w:ind w:firstLine="0" w:firstLineChars="0"/>
              <w:jc w:val="center"/>
              <w:textAlignment w:val="center"/>
              <w:rPr>
                <w:rFonts w:cs="Times New Roman"/>
                <w:color w:val="auto"/>
                <w:sz w:val="21"/>
                <w:szCs w:val="21"/>
                <w:highlight w:val="none"/>
              </w:rPr>
            </w:pPr>
            <w:r>
              <w:rPr>
                <w:rFonts w:cs="Times New Roman"/>
                <w:color w:val="auto"/>
                <w:kern w:val="0"/>
                <w:sz w:val="21"/>
                <w:szCs w:val="21"/>
                <w:highlight w:val="none"/>
                <w:lang w:bidi="ar"/>
              </w:rPr>
              <w:t>总磷</w:t>
            </w:r>
          </w:p>
        </w:tc>
        <w:tc>
          <w:tcPr>
            <w:tcW w:w="3424" w:type="dxa"/>
            <w:vMerge w:val="continue"/>
            <w:tcBorders>
              <w:tl2br w:val="nil"/>
              <w:tr2bl w:val="nil"/>
            </w:tcBorders>
            <w:vAlign w:val="center"/>
          </w:tcPr>
          <w:p w14:paraId="458900DE">
            <w:pPr>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41B985BA">
            <w:pPr>
              <w:spacing w:line="360" w:lineRule="exact"/>
              <w:ind w:firstLine="0" w:firstLineChars="0"/>
              <w:jc w:val="center"/>
              <w:rPr>
                <w:rFonts w:hint="eastAsia"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5</w:t>
            </w:r>
          </w:p>
        </w:tc>
        <w:tc>
          <w:tcPr>
            <w:tcW w:w="1493" w:type="dxa"/>
            <w:tcBorders>
              <w:tl2br w:val="nil"/>
              <w:tr2bl w:val="nil"/>
            </w:tcBorders>
            <w:vAlign w:val="center"/>
          </w:tcPr>
          <w:p w14:paraId="4BD9191D">
            <w:pPr>
              <w:spacing w:line="360" w:lineRule="exact"/>
              <w:ind w:firstLine="0" w:firstLineChars="0"/>
              <w:jc w:val="center"/>
              <w:rPr>
                <w:rFonts w:hint="default" w:eastAsia="宋体" w:cs="Times New Roman"/>
                <w:color w:val="auto"/>
                <w:sz w:val="21"/>
                <w:szCs w:val="21"/>
                <w:highlight w:val="none"/>
                <w:lang w:val="en-US" w:eastAsia="zh-CN"/>
              </w:rPr>
            </w:pPr>
            <w:r>
              <w:rPr>
                <w:rFonts w:hint="default" w:eastAsia="宋体" w:cs="Times New Roman"/>
                <w:color w:val="auto"/>
                <w:sz w:val="21"/>
                <w:szCs w:val="21"/>
                <w:highlight w:val="none"/>
                <w:lang w:val="en-US" w:eastAsia="zh-CN"/>
              </w:rPr>
              <w:t xml:space="preserve">0.36 </w:t>
            </w:r>
          </w:p>
        </w:tc>
        <w:tc>
          <w:tcPr>
            <w:tcW w:w="2385" w:type="dxa"/>
            <w:vMerge w:val="continue"/>
            <w:tcBorders>
              <w:tl2br w:val="nil"/>
              <w:tr2bl w:val="nil"/>
            </w:tcBorders>
            <w:vAlign w:val="center"/>
          </w:tcPr>
          <w:p w14:paraId="51A142BD">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1492B482">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15D1F8E7">
            <w:pPr>
              <w:spacing w:line="360" w:lineRule="exact"/>
              <w:ind w:firstLine="0" w:firstLineChars="0"/>
              <w:jc w:val="center"/>
              <w:rPr>
                <w:rFonts w:cs="Times New Roman"/>
                <w:color w:val="auto"/>
                <w:sz w:val="21"/>
                <w:szCs w:val="21"/>
                <w:highlight w:val="none"/>
              </w:rPr>
            </w:pPr>
          </w:p>
        </w:tc>
      </w:tr>
      <w:tr w14:paraId="059F6669">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1178" w:hRule="atLeast"/>
          <w:jc w:val="center"/>
        </w:trPr>
        <w:tc>
          <w:tcPr>
            <w:tcW w:w="666" w:type="dxa"/>
            <w:vMerge w:val="restart"/>
            <w:tcBorders>
              <w:tl2br w:val="nil"/>
              <w:tr2bl w:val="nil"/>
            </w:tcBorders>
            <w:vAlign w:val="center"/>
          </w:tcPr>
          <w:p w14:paraId="2F0409D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废气</w:t>
            </w:r>
          </w:p>
        </w:tc>
        <w:tc>
          <w:tcPr>
            <w:tcW w:w="480" w:type="dxa"/>
            <w:vMerge w:val="restart"/>
            <w:tcBorders>
              <w:tl2br w:val="nil"/>
              <w:tr2bl w:val="nil"/>
            </w:tcBorders>
            <w:vAlign w:val="center"/>
          </w:tcPr>
          <w:p w14:paraId="2C55C2E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有组织</w:t>
            </w:r>
          </w:p>
        </w:tc>
        <w:tc>
          <w:tcPr>
            <w:tcW w:w="731" w:type="dxa"/>
            <w:vMerge w:val="restart"/>
            <w:tcBorders>
              <w:tl2br w:val="nil"/>
              <w:tr2bl w:val="nil"/>
            </w:tcBorders>
            <w:vAlign w:val="center"/>
          </w:tcPr>
          <w:p w14:paraId="201A038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屠宰车间、</w:t>
            </w:r>
            <w:r>
              <w:rPr>
                <w:rFonts w:hint="eastAsia" w:cs="Times New Roman"/>
                <w:color w:val="auto"/>
                <w:sz w:val="21"/>
                <w:szCs w:val="21"/>
                <w:highlight w:val="none"/>
                <w:lang w:val="en-US" w:eastAsia="zh-CN"/>
              </w:rPr>
              <w:t>急宰间、隔离间及固体废物暂存间</w:t>
            </w:r>
          </w:p>
        </w:tc>
        <w:tc>
          <w:tcPr>
            <w:tcW w:w="1134" w:type="dxa"/>
            <w:tcBorders>
              <w:tl2br w:val="nil"/>
              <w:tr2bl w:val="nil"/>
            </w:tcBorders>
            <w:vAlign w:val="center"/>
          </w:tcPr>
          <w:p w14:paraId="2DD5330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3424" w:type="dxa"/>
            <w:vMerge w:val="restart"/>
            <w:tcBorders>
              <w:tl2br w:val="nil"/>
              <w:tr2bl w:val="nil"/>
            </w:tcBorders>
            <w:vAlign w:val="center"/>
          </w:tcPr>
          <w:p w14:paraId="629F4E47">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活性炭吸附装置+15m排气筒</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DA001</w:t>
            </w:r>
            <w:r>
              <w:rPr>
                <w:rFonts w:hint="eastAsia" w:cs="Times New Roman"/>
                <w:color w:val="auto"/>
                <w:sz w:val="21"/>
                <w:szCs w:val="21"/>
                <w:highlight w:val="none"/>
                <w:lang w:eastAsia="zh-CN"/>
              </w:rPr>
              <w:t>）</w:t>
            </w:r>
          </w:p>
        </w:tc>
        <w:tc>
          <w:tcPr>
            <w:tcW w:w="1493" w:type="dxa"/>
            <w:tcBorders>
              <w:tl2br w:val="nil"/>
              <w:tr2bl w:val="nil"/>
            </w:tcBorders>
            <w:shd w:val="clear" w:color="auto" w:fill="auto"/>
            <w:vAlign w:val="center"/>
          </w:tcPr>
          <w:p w14:paraId="57170386">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1.85</w:t>
            </w:r>
          </w:p>
        </w:tc>
        <w:tc>
          <w:tcPr>
            <w:tcW w:w="1493" w:type="dxa"/>
            <w:tcBorders>
              <w:tl2br w:val="nil"/>
              <w:tr2bl w:val="nil"/>
            </w:tcBorders>
            <w:shd w:val="clear" w:color="auto" w:fill="auto"/>
            <w:vAlign w:val="center"/>
          </w:tcPr>
          <w:p w14:paraId="1058C396">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7.4</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3</w:t>
            </w:r>
          </w:p>
        </w:tc>
        <w:tc>
          <w:tcPr>
            <w:tcW w:w="2385" w:type="dxa"/>
            <w:vMerge w:val="restart"/>
            <w:tcBorders>
              <w:tl2br w:val="nil"/>
              <w:tr2bl w:val="nil"/>
            </w:tcBorders>
            <w:vAlign w:val="center"/>
          </w:tcPr>
          <w:p w14:paraId="126D1E8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《恶臭污染物排放标准》（GB14554-93）表2标准</w:t>
            </w:r>
          </w:p>
        </w:tc>
        <w:tc>
          <w:tcPr>
            <w:tcW w:w="1792" w:type="dxa"/>
            <w:vMerge w:val="restart"/>
            <w:tcBorders>
              <w:tl2br w:val="nil"/>
              <w:tr2bl w:val="nil"/>
            </w:tcBorders>
            <w:vAlign w:val="center"/>
          </w:tcPr>
          <w:p w14:paraId="6408B09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DA001</w:t>
            </w:r>
          </w:p>
        </w:tc>
        <w:tc>
          <w:tcPr>
            <w:tcW w:w="1792" w:type="dxa"/>
            <w:vMerge w:val="restart"/>
            <w:tcBorders>
              <w:tl2br w:val="nil"/>
              <w:tr2bl w:val="nil"/>
            </w:tcBorders>
            <w:vAlign w:val="center"/>
          </w:tcPr>
          <w:p w14:paraId="781C4B3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drawing>
                <wp:anchor distT="0" distB="0" distL="114300" distR="114300" simplePos="0" relativeHeight="251673600" behindDoc="0" locked="0" layoutInCell="1" allowOverlap="1">
                  <wp:simplePos x="0" y="0"/>
                  <wp:positionH relativeFrom="column">
                    <wp:posOffset>140970</wp:posOffset>
                  </wp:positionH>
                  <wp:positionV relativeFrom="paragraph">
                    <wp:posOffset>46990</wp:posOffset>
                  </wp:positionV>
                  <wp:extent cx="788670" cy="617220"/>
                  <wp:effectExtent l="0" t="0" r="11430" b="11430"/>
                  <wp:wrapNone/>
                  <wp:docPr id="20" name="图片 10" descr="C:/Users/Administrator/AppData/Local/Temp/picturecompress_20211105115811/output_23.pngoutpu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C:/Users/Administrator/AppData/Local/Temp/picturecompress_20211105115811/output_23.pngoutput_23"/>
                          <pic:cNvPicPr>
                            <a:picLocks noChangeAspect="1"/>
                          </pic:cNvPicPr>
                        </pic:nvPicPr>
                        <pic:blipFill>
                          <a:blip r:embed="rId56"/>
                          <a:stretch>
                            <a:fillRect/>
                          </a:stretch>
                        </pic:blipFill>
                        <pic:spPr>
                          <a:xfrm>
                            <a:off x="0" y="0"/>
                            <a:ext cx="788670" cy="617220"/>
                          </a:xfrm>
                          <a:prstGeom prst="rect">
                            <a:avLst/>
                          </a:prstGeom>
                          <a:noFill/>
                          <a:ln>
                            <a:noFill/>
                          </a:ln>
                        </pic:spPr>
                      </pic:pic>
                    </a:graphicData>
                  </a:graphic>
                </wp:anchor>
              </w:drawing>
            </w:r>
          </w:p>
          <w:p w14:paraId="3FEA52EA">
            <w:pPr>
              <w:spacing w:line="360" w:lineRule="exact"/>
              <w:ind w:firstLine="0" w:firstLineChars="0"/>
              <w:jc w:val="center"/>
              <w:rPr>
                <w:rFonts w:cs="Times New Roman"/>
                <w:color w:val="auto"/>
                <w:sz w:val="21"/>
                <w:szCs w:val="21"/>
                <w:highlight w:val="none"/>
              </w:rPr>
            </w:pPr>
          </w:p>
          <w:p w14:paraId="4EFA9A9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drawing>
                <wp:anchor distT="0" distB="0" distL="114300" distR="114300" simplePos="0" relativeHeight="251672576" behindDoc="0" locked="0" layoutInCell="1" allowOverlap="1">
                  <wp:simplePos x="0" y="0"/>
                  <wp:positionH relativeFrom="column">
                    <wp:posOffset>8591550</wp:posOffset>
                  </wp:positionH>
                  <wp:positionV relativeFrom="paragraph">
                    <wp:posOffset>4698365</wp:posOffset>
                  </wp:positionV>
                  <wp:extent cx="826135" cy="636905"/>
                  <wp:effectExtent l="0" t="0" r="12065" b="10795"/>
                  <wp:wrapNone/>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55"/>
                          <a:stretch>
                            <a:fillRect/>
                          </a:stretch>
                        </pic:blipFill>
                        <pic:spPr>
                          <a:xfrm>
                            <a:off x="0" y="0"/>
                            <a:ext cx="826135" cy="636905"/>
                          </a:xfrm>
                          <a:prstGeom prst="rect">
                            <a:avLst/>
                          </a:prstGeom>
                          <a:noFill/>
                          <a:ln>
                            <a:noFill/>
                          </a:ln>
                        </pic:spPr>
                      </pic:pic>
                    </a:graphicData>
                  </a:graphic>
                </wp:anchor>
              </w:drawing>
            </w:r>
          </w:p>
          <w:p w14:paraId="382A3C1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drawing>
                <wp:anchor distT="0" distB="0" distL="114300" distR="114300" simplePos="0" relativeHeight="251671552" behindDoc="0" locked="0" layoutInCell="1" allowOverlap="1">
                  <wp:simplePos x="0" y="0"/>
                  <wp:positionH relativeFrom="column">
                    <wp:posOffset>8591550</wp:posOffset>
                  </wp:positionH>
                  <wp:positionV relativeFrom="paragraph">
                    <wp:posOffset>4698365</wp:posOffset>
                  </wp:positionV>
                  <wp:extent cx="826135" cy="636905"/>
                  <wp:effectExtent l="0" t="0" r="12065" b="10795"/>
                  <wp:wrapNone/>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55"/>
                          <a:stretch>
                            <a:fillRect/>
                          </a:stretch>
                        </pic:blipFill>
                        <pic:spPr>
                          <a:xfrm>
                            <a:off x="0" y="0"/>
                            <a:ext cx="826135" cy="636905"/>
                          </a:xfrm>
                          <a:prstGeom prst="rect">
                            <a:avLst/>
                          </a:prstGeom>
                          <a:noFill/>
                          <a:ln>
                            <a:noFill/>
                          </a:ln>
                        </pic:spPr>
                      </pic:pic>
                    </a:graphicData>
                  </a:graphic>
                </wp:anchor>
              </w:drawing>
            </w:r>
            <w:r>
              <w:rPr>
                <w:rFonts w:cs="Times New Roman"/>
                <w:color w:val="auto"/>
                <w:sz w:val="21"/>
                <w:szCs w:val="21"/>
                <w:highlight w:val="none"/>
              </w:rPr>
              <w:drawing>
                <wp:anchor distT="0" distB="0" distL="114300" distR="114300" simplePos="0" relativeHeight="251670528" behindDoc="0" locked="0" layoutInCell="1" allowOverlap="1">
                  <wp:simplePos x="0" y="0"/>
                  <wp:positionH relativeFrom="column">
                    <wp:posOffset>8591550</wp:posOffset>
                  </wp:positionH>
                  <wp:positionV relativeFrom="paragraph">
                    <wp:posOffset>4698365</wp:posOffset>
                  </wp:positionV>
                  <wp:extent cx="826135" cy="636905"/>
                  <wp:effectExtent l="0" t="0" r="12065" b="10795"/>
                  <wp:wrapNone/>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55"/>
                          <a:stretch>
                            <a:fillRect/>
                          </a:stretch>
                        </pic:blipFill>
                        <pic:spPr>
                          <a:xfrm>
                            <a:off x="0" y="0"/>
                            <a:ext cx="826135" cy="636905"/>
                          </a:xfrm>
                          <a:prstGeom prst="rect">
                            <a:avLst/>
                          </a:prstGeom>
                          <a:noFill/>
                          <a:ln>
                            <a:noFill/>
                          </a:ln>
                        </pic:spPr>
                      </pic:pic>
                    </a:graphicData>
                  </a:graphic>
                </wp:anchor>
              </w:drawing>
            </w:r>
            <w:r>
              <w:rPr>
                <w:rFonts w:cs="Times New Roman"/>
                <w:color w:val="auto"/>
                <w:sz w:val="21"/>
                <w:szCs w:val="21"/>
                <w:highlight w:val="none"/>
              </w:rPr>
              <w:drawing>
                <wp:anchor distT="0" distB="0" distL="114300" distR="114300" simplePos="0" relativeHeight="251669504" behindDoc="0" locked="0" layoutInCell="1" allowOverlap="1">
                  <wp:simplePos x="0" y="0"/>
                  <wp:positionH relativeFrom="column">
                    <wp:posOffset>8591550</wp:posOffset>
                  </wp:positionH>
                  <wp:positionV relativeFrom="paragraph">
                    <wp:posOffset>4698365</wp:posOffset>
                  </wp:positionV>
                  <wp:extent cx="826135" cy="636905"/>
                  <wp:effectExtent l="0" t="0" r="12065" b="10795"/>
                  <wp:wrapNone/>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55"/>
                          <a:stretch>
                            <a:fillRect/>
                          </a:stretch>
                        </pic:blipFill>
                        <pic:spPr>
                          <a:xfrm>
                            <a:off x="0" y="0"/>
                            <a:ext cx="826135" cy="636905"/>
                          </a:xfrm>
                          <a:prstGeom prst="rect">
                            <a:avLst/>
                          </a:prstGeom>
                          <a:noFill/>
                          <a:ln>
                            <a:noFill/>
                          </a:ln>
                        </pic:spPr>
                      </pic:pic>
                    </a:graphicData>
                  </a:graphic>
                </wp:anchor>
              </w:drawing>
            </w:r>
            <w:r>
              <w:rPr>
                <w:rFonts w:cs="Times New Roman"/>
                <w:color w:val="auto"/>
                <w:sz w:val="21"/>
                <w:szCs w:val="21"/>
                <w:highlight w:val="none"/>
              </w:rPr>
              <w:drawing>
                <wp:anchor distT="0" distB="0" distL="114300" distR="114300" simplePos="0" relativeHeight="251668480" behindDoc="0" locked="0" layoutInCell="1" allowOverlap="1">
                  <wp:simplePos x="0" y="0"/>
                  <wp:positionH relativeFrom="column">
                    <wp:posOffset>8591550</wp:posOffset>
                  </wp:positionH>
                  <wp:positionV relativeFrom="paragraph">
                    <wp:posOffset>4698365</wp:posOffset>
                  </wp:positionV>
                  <wp:extent cx="826135" cy="636905"/>
                  <wp:effectExtent l="0" t="0" r="12065" b="10795"/>
                  <wp:wrapNone/>
                  <wp:docPr id="28"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39"/>
                          <pic:cNvPicPr>
                            <a:picLocks noChangeAspect="1"/>
                          </pic:cNvPicPr>
                        </pic:nvPicPr>
                        <pic:blipFill>
                          <a:blip r:embed="rId55"/>
                          <a:stretch>
                            <a:fillRect/>
                          </a:stretch>
                        </pic:blipFill>
                        <pic:spPr>
                          <a:xfrm>
                            <a:off x="0" y="0"/>
                            <a:ext cx="826135" cy="636905"/>
                          </a:xfrm>
                          <a:prstGeom prst="rect">
                            <a:avLst/>
                          </a:prstGeom>
                          <a:noFill/>
                          <a:ln>
                            <a:noFill/>
                          </a:ln>
                        </pic:spPr>
                      </pic:pic>
                    </a:graphicData>
                  </a:graphic>
                </wp:anchor>
              </w:drawing>
            </w:r>
            <w:r>
              <w:rPr>
                <w:rFonts w:cs="Times New Roman"/>
                <w:color w:val="auto"/>
                <w:sz w:val="21"/>
                <w:szCs w:val="21"/>
                <w:highlight w:val="none"/>
              </w:rPr>
              <w:t>提示图形符号</w:t>
            </w:r>
          </w:p>
          <w:p w14:paraId="636342FD">
            <w:pPr>
              <w:pStyle w:val="82"/>
              <w:spacing w:line="360" w:lineRule="exact"/>
              <w:ind w:firstLine="420"/>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drawing>
                <wp:anchor distT="0" distB="0" distL="114300" distR="114300" simplePos="0" relativeHeight="251666432" behindDoc="0" locked="0" layoutInCell="1" allowOverlap="1">
                  <wp:simplePos x="0" y="0"/>
                  <wp:positionH relativeFrom="column">
                    <wp:posOffset>109220</wp:posOffset>
                  </wp:positionH>
                  <wp:positionV relativeFrom="paragraph">
                    <wp:posOffset>212725</wp:posOffset>
                  </wp:positionV>
                  <wp:extent cx="847725" cy="586105"/>
                  <wp:effectExtent l="0" t="0" r="9525" b="4445"/>
                  <wp:wrapNone/>
                  <wp:docPr id="17"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40"/>
                          <pic:cNvPicPr>
                            <a:picLocks noChangeAspect="1"/>
                          </pic:cNvPicPr>
                        </pic:nvPicPr>
                        <pic:blipFill>
                          <a:blip r:embed="rId57"/>
                          <a:stretch>
                            <a:fillRect/>
                          </a:stretch>
                        </pic:blipFill>
                        <pic:spPr>
                          <a:xfrm>
                            <a:off x="0" y="0"/>
                            <a:ext cx="847725" cy="586105"/>
                          </a:xfrm>
                          <a:prstGeom prst="rect">
                            <a:avLst/>
                          </a:prstGeom>
                          <a:noFill/>
                          <a:ln>
                            <a:noFill/>
                          </a:ln>
                        </pic:spPr>
                      </pic:pic>
                    </a:graphicData>
                  </a:graphic>
                </wp:anchor>
              </w:drawing>
            </w:r>
          </w:p>
          <w:p w14:paraId="19A496BA">
            <w:pPr>
              <w:spacing w:line="360" w:lineRule="exact"/>
              <w:ind w:firstLine="0" w:firstLineChars="0"/>
              <w:jc w:val="center"/>
              <w:rPr>
                <w:rFonts w:cs="Times New Roman"/>
                <w:color w:val="auto"/>
                <w:sz w:val="21"/>
                <w:szCs w:val="21"/>
                <w:highlight w:val="none"/>
              </w:rPr>
            </w:pPr>
          </w:p>
          <w:p w14:paraId="3EB7C045">
            <w:pPr>
              <w:spacing w:line="360" w:lineRule="exact"/>
              <w:ind w:firstLine="0" w:firstLineChars="0"/>
              <w:jc w:val="center"/>
              <w:rPr>
                <w:rFonts w:cs="Times New Roman"/>
                <w:color w:val="auto"/>
                <w:sz w:val="21"/>
                <w:szCs w:val="21"/>
                <w:highlight w:val="none"/>
              </w:rPr>
            </w:pPr>
          </w:p>
          <w:p w14:paraId="74FB8FFC">
            <w:pPr>
              <w:spacing w:line="360" w:lineRule="exact"/>
              <w:ind w:firstLine="0" w:firstLineChars="0"/>
              <w:rPr>
                <w:rFonts w:cs="Times New Roman"/>
                <w:color w:val="auto"/>
                <w:sz w:val="21"/>
                <w:szCs w:val="21"/>
                <w:highlight w:val="none"/>
              </w:rPr>
            </w:pPr>
          </w:p>
          <w:p w14:paraId="5BC3B7F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警告图形符号</w:t>
            </w:r>
          </w:p>
        </w:tc>
      </w:tr>
      <w:tr w14:paraId="7538649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5DCC387F">
            <w:pPr>
              <w:widowControl/>
              <w:spacing w:line="360" w:lineRule="exact"/>
              <w:ind w:firstLine="0" w:firstLineChars="0"/>
              <w:jc w:val="center"/>
              <w:rPr>
                <w:rFonts w:cs="Times New Roman"/>
                <w:color w:val="auto"/>
                <w:sz w:val="21"/>
                <w:szCs w:val="21"/>
                <w:highlight w:val="none"/>
              </w:rPr>
            </w:pPr>
          </w:p>
        </w:tc>
        <w:tc>
          <w:tcPr>
            <w:tcW w:w="480" w:type="dxa"/>
            <w:vMerge w:val="continue"/>
            <w:tcBorders>
              <w:tl2br w:val="nil"/>
              <w:tr2bl w:val="nil"/>
            </w:tcBorders>
            <w:vAlign w:val="center"/>
          </w:tcPr>
          <w:p w14:paraId="0F6EFF2B">
            <w:pPr>
              <w:widowControl/>
              <w:spacing w:line="360" w:lineRule="exact"/>
              <w:ind w:firstLine="0" w:firstLineChars="0"/>
              <w:jc w:val="center"/>
              <w:rPr>
                <w:rFonts w:cs="Times New Roman"/>
                <w:color w:val="auto"/>
                <w:sz w:val="21"/>
                <w:szCs w:val="21"/>
                <w:highlight w:val="none"/>
              </w:rPr>
            </w:pPr>
          </w:p>
        </w:tc>
        <w:tc>
          <w:tcPr>
            <w:tcW w:w="731" w:type="dxa"/>
            <w:vMerge w:val="continue"/>
            <w:tcBorders>
              <w:tl2br w:val="nil"/>
              <w:tr2bl w:val="nil"/>
            </w:tcBorders>
            <w:vAlign w:val="center"/>
          </w:tcPr>
          <w:p w14:paraId="3C152ACA">
            <w:pPr>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203B420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3424" w:type="dxa"/>
            <w:vMerge w:val="continue"/>
            <w:tcBorders>
              <w:tl2br w:val="nil"/>
              <w:tr2bl w:val="nil"/>
            </w:tcBorders>
            <w:vAlign w:val="center"/>
          </w:tcPr>
          <w:p w14:paraId="643FF43A">
            <w:pPr>
              <w:spacing w:line="360" w:lineRule="exact"/>
              <w:ind w:firstLine="0" w:firstLineChars="0"/>
              <w:jc w:val="center"/>
              <w:rPr>
                <w:rFonts w:cs="Times New Roman"/>
                <w:color w:val="auto"/>
                <w:sz w:val="21"/>
                <w:szCs w:val="21"/>
                <w:highlight w:val="none"/>
              </w:rPr>
            </w:pPr>
          </w:p>
        </w:tc>
        <w:tc>
          <w:tcPr>
            <w:tcW w:w="1493" w:type="dxa"/>
            <w:tcBorders>
              <w:tl2br w:val="nil"/>
              <w:tr2bl w:val="nil"/>
            </w:tcBorders>
            <w:shd w:val="clear" w:color="auto" w:fill="auto"/>
            <w:vAlign w:val="center"/>
          </w:tcPr>
          <w:p w14:paraId="51DFB744">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0.01475</w:t>
            </w:r>
          </w:p>
        </w:tc>
        <w:tc>
          <w:tcPr>
            <w:tcW w:w="1493" w:type="dxa"/>
            <w:tcBorders>
              <w:tl2br w:val="nil"/>
              <w:tr2bl w:val="nil"/>
            </w:tcBorders>
            <w:shd w:val="clear" w:color="auto" w:fill="auto"/>
            <w:vAlign w:val="center"/>
          </w:tcPr>
          <w:p w14:paraId="79B88895">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5.9</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5</w:t>
            </w:r>
          </w:p>
        </w:tc>
        <w:tc>
          <w:tcPr>
            <w:tcW w:w="2385" w:type="dxa"/>
            <w:vMerge w:val="continue"/>
            <w:tcBorders>
              <w:tl2br w:val="nil"/>
              <w:tr2bl w:val="nil"/>
            </w:tcBorders>
            <w:vAlign w:val="center"/>
          </w:tcPr>
          <w:p w14:paraId="218B07E0">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42D1A08C">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140F61C7">
            <w:pPr>
              <w:widowControl/>
              <w:spacing w:line="360" w:lineRule="exact"/>
              <w:ind w:firstLine="0" w:firstLineChars="0"/>
              <w:jc w:val="center"/>
              <w:rPr>
                <w:rFonts w:cs="Times New Roman"/>
                <w:color w:val="auto"/>
                <w:sz w:val="21"/>
                <w:szCs w:val="21"/>
                <w:highlight w:val="none"/>
              </w:rPr>
            </w:pPr>
          </w:p>
        </w:tc>
      </w:tr>
      <w:tr w14:paraId="0602F236">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01C6DDA6">
            <w:pPr>
              <w:widowControl/>
              <w:spacing w:line="360" w:lineRule="exact"/>
              <w:ind w:firstLine="0" w:firstLineChars="0"/>
              <w:jc w:val="center"/>
              <w:rPr>
                <w:rFonts w:cs="Times New Roman"/>
                <w:color w:val="auto"/>
                <w:sz w:val="21"/>
                <w:szCs w:val="21"/>
                <w:highlight w:val="none"/>
              </w:rPr>
            </w:pPr>
          </w:p>
        </w:tc>
        <w:tc>
          <w:tcPr>
            <w:tcW w:w="480" w:type="dxa"/>
            <w:vMerge w:val="continue"/>
            <w:tcBorders>
              <w:tl2br w:val="nil"/>
              <w:tr2bl w:val="nil"/>
            </w:tcBorders>
            <w:vAlign w:val="center"/>
          </w:tcPr>
          <w:p w14:paraId="7374DBB9">
            <w:pPr>
              <w:widowControl/>
              <w:spacing w:line="360" w:lineRule="exact"/>
              <w:ind w:firstLine="0" w:firstLineChars="0"/>
              <w:jc w:val="center"/>
              <w:rPr>
                <w:rFonts w:cs="Times New Roman"/>
                <w:color w:val="auto"/>
                <w:sz w:val="21"/>
                <w:szCs w:val="21"/>
                <w:highlight w:val="none"/>
              </w:rPr>
            </w:pPr>
          </w:p>
        </w:tc>
        <w:tc>
          <w:tcPr>
            <w:tcW w:w="731" w:type="dxa"/>
            <w:vMerge w:val="restart"/>
            <w:tcBorders>
              <w:tl2br w:val="nil"/>
              <w:tr2bl w:val="nil"/>
            </w:tcBorders>
            <w:vAlign w:val="center"/>
          </w:tcPr>
          <w:p w14:paraId="0141BBC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污水处理站</w:t>
            </w:r>
          </w:p>
        </w:tc>
        <w:tc>
          <w:tcPr>
            <w:tcW w:w="1134" w:type="dxa"/>
            <w:tcBorders>
              <w:tl2br w:val="nil"/>
              <w:tr2bl w:val="nil"/>
            </w:tcBorders>
            <w:vAlign w:val="center"/>
          </w:tcPr>
          <w:p w14:paraId="6EB13E1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3424" w:type="dxa"/>
            <w:vMerge w:val="restart"/>
            <w:tcBorders>
              <w:tl2br w:val="nil"/>
              <w:tr2bl w:val="nil"/>
            </w:tcBorders>
            <w:vAlign w:val="center"/>
          </w:tcPr>
          <w:p w14:paraId="1FBA441D">
            <w:pPr>
              <w:spacing w:line="360" w:lineRule="exact"/>
              <w:ind w:firstLine="0" w:firstLineChars="0"/>
              <w:jc w:val="center"/>
              <w:rPr>
                <w:rFonts w:hint="eastAsia" w:eastAsia="宋体" w:cs="Times New Roman"/>
                <w:color w:val="auto"/>
                <w:sz w:val="21"/>
                <w:szCs w:val="21"/>
                <w:highlight w:val="none"/>
                <w:lang w:val="en-US" w:eastAsia="zh-CN"/>
              </w:rPr>
            </w:pPr>
            <w:r>
              <w:rPr>
                <w:rFonts w:cs="Times New Roman"/>
                <w:color w:val="auto"/>
                <w:sz w:val="21"/>
                <w:szCs w:val="21"/>
                <w:highlight w:val="none"/>
              </w:rPr>
              <w:t>活性炭吸附装置+15m排气筒</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DA002</w:t>
            </w:r>
            <w:r>
              <w:rPr>
                <w:rFonts w:hint="eastAsia" w:cs="Times New Roman"/>
                <w:color w:val="auto"/>
                <w:sz w:val="21"/>
                <w:szCs w:val="21"/>
                <w:highlight w:val="none"/>
                <w:lang w:eastAsia="zh-CN"/>
              </w:rPr>
              <w:t>）</w:t>
            </w:r>
          </w:p>
        </w:tc>
        <w:tc>
          <w:tcPr>
            <w:tcW w:w="1493" w:type="dxa"/>
            <w:tcBorders>
              <w:tl2br w:val="nil"/>
              <w:tr2bl w:val="nil"/>
            </w:tcBorders>
            <w:shd w:val="clear" w:color="auto" w:fill="auto"/>
            <w:vAlign w:val="center"/>
          </w:tcPr>
          <w:p w14:paraId="249A84F8">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4.45</w:t>
            </w:r>
          </w:p>
        </w:tc>
        <w:tc>
          <w:tcPr>
            <w:tcW w:w="1493" w:type="dxa"/>
            <w:tcBorders>
              <w:tl2br w:val="nil"/>
              <w:tr2bl w:val="nil"/>
            </w:tcBorders>
            <w:shd w:val="clear" w:color="auto" w:fill="auto"/>
            <w:vAlign w:val="center"/>
          </w:tcPr>
          <w:p w14:paraId="0772F493">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8.9×10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3</w:t>
            </w:r>
          </w:p>
        </w:tc>
        <w:tc>
          <w:tcPr>
            <w:tcW w:w="2385" w:type="dxa"/>
            <w:vMerge w:val="continue"/>
            <w:tcBorders>
              <w:tl2br w:val="nil"/>
              <w:tr2bl w:val="nil"/>
            </w:tcBorders>
            <w:vAlign w:val="center"/>
          </w:tcPr>
          <w:p w14:paraId="25B46A94">
            <w:pPr>
              <w:widowControl/>
              <w:spacing w:line="360" w:lineRule="exact"/>
              <w:ind w:firstLine="0" w:firstLineChars="0"/>
              <w:jc w:val="center"/>
              <w:rPr>
                <w:rFonts w:cs="Times New Roman"/>
                <w:color w:val="auto"/>
                <w:sz w:val="21"/>
                <w:szCs w:val="21"/>
                <w:highlight w:val="none"/>
              </w:rPr>
            </w:pPr>
          </w:p>
        </w:tc>
        <w:tc>
          <w:tcPr>
            <w:tcW w:w="1792" w:type="dxa"/>
            <w:vMerge w:val="restart"/>
            <w:tcBorders>
              <w:tl2br w:val="nil"/>
              <w:tr2bl w:val="nil"/>
            </w:tcBorders>
            <w:vAlign w:val="center"/>
          </w:tcPr>
          <w:p w14:paraId="4BF98B94">
            <w:pPr>
              <w:widowControl/>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DA00</w:t>
            </w:r>
            <w:r>
              <w:rPr>
                <w:rFonts w:hint="eastAsia" w:cs="Times New Roman"/>
                <w:color w:val="auto"/>
                <w:sz w:val="21"/>
                <w:szCs w:val="21"/>
                <w:highlight w:val="none"/>
                <w:lang w:val="en-US" w:eastAsia="zh-CN"/>
              </w:rPr>
              <w:t>2</w:t>
            </w:r>
          </w:p>
        </w:tc>
        <w:tc>
          <w:tcPr>
            <w:tcW w:w="1792" w:type="dxa"/>
            <w:vMerge w:val="continue"/>
            <w:tcBorders>
              <w:tl2br w:val="nil"/>
              <w:tr2bl w:val="nil"/>
            </w:tcBorders>
            <w:vAlign w:val="center"/>
          </w:tcPr>
          <w:p w14:paraId="3D0A7C5C">
            <w:pPr>
              <w:widowControl/>
              <w:spacing w:line="360" w:lineRule="exact"/>
              <w:ind w:firstLine="0" w:firstLineChars="0"/>
              <w:jc w:val="center"/>
              <w:rPr>
                <w:rFonts w:cs="Times New Roman"/>
                <w:color w:val="auto"/>
                <w:sz w:val="21"/>
                <w:szCs w:val="21"/>
                <w:highlight w:val="none"/>
              </w:rPr>
            </w:pPr>
          </w:p>
        </w:tc>
      </w:tr>
      <w:tr w14:paraId="06E1254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753" w:hRule="atLeast"/>
          <w:jc w:val="center"/>
        </w:trPr>
        <w:tc>
          <w:tcPr>
            <w:tcW w:w="666" w:type="dxa"/>
            <w:vMerge w:val="continue"/>
            <w:tcBorders>
              <w:tl2br w:val="nil"/>
              <w:tr2bl w:val="nil"/>
            </w:tcBorders>
            <w:vAlign w:val="center"/>
          </w:tcPr>
          <w:p w14:paraId="362F7EA7">
            <w:pPr>
              <w:widowControl/>
              <w:spacing w:line="360" w:lineRule="exact"/>
              <w:ind w:firstLine="0" w:firstLineChars="0"/>
              <w:jc w:val="center"/>
              <w:rPr>
                <w:rFonts w:cs="Times New Roman"/>
                <w:color w:val="auto"/>
                <w:sz w:val="21"/>
                <w:szCs w:val="21"/>
                <w:highlight w:val="none"/>
              </w:rPr>
            </w:pPr>
          </w:p>
        </w:tc>
        <w:tc>
          <w:tcPr>
            <w:tcW w:w="480" w:type="dxa"/>
            <w:vMerge w:val="continue"/>
            <w:tcBorders>
              <w:tl2br w:val="nil"/>
              <w:tr2bl w:val="nil"/>
            </w:tcBorders>
            <w:vAlign w:val="center"/>
          </w:tcPr>
          <w:p w14:paraId="1915A05A">
            <w:pPr>
              <w:widowControl/>
              <w:spacing w:line="360" w:lineRule="exact"/>
              <w:ind w:firstLine="0" w:firstLineChars="0"/>
              <w:jc w:val="center"/>
              <w:rPr>
                <w:rFonts w:cs="Times New Roman"/>
                <w:color w:val="auto"/>
                <w:sz w:val="21"/>
                <w:szCs w:val="21"/>
                <w:highlight w:val="none"/>
              </w:rPr>
            </w:pPr>
          </w:p>
        </w:tc>
        <w:tc>
          <w:tcPr>
            <w:tcW w:w="731" w:type="dxa"/>
            <w:vMerge w:val="continue"/>
            <w:tcBorders>
              <w:tl2br w:val="nil"/>
              <w:tr2bl w:val="nil"/>
            </w:tcBorders>
            <w:vAlign w:val="center"/>
          </w:tcPr>
          <w:p w14:paraId="1F881BF5">
            <w:pPr>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15C73C3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3424" w:type="dxa"/>
            <w:vMerge w:val="continue"/>
            <w:tcBorders>
              <w:tl2br w:val="nil"/>
              <w:tr2bl w:val="nil"/>
            </w:tcBorders>
            <w:vAlign w:val="center"/>
          </w:tcPr>
          <w:p w14:paraId="361C948B">
            <w:pPr>
              <w:spacing w:line="360" w:lineRule="exact"/>
              <w:ind w:firstLine="0" w:firstLineChars="0"/>
              <w:jc w:val="center"/>
              <w:rPr>
                <w:rFonts w:cs="Times New Roman"/>
                <w:color w:val="auto"/>
                <w:sz w:val="21"/>
                <w:szCs w:val="21"/>
                <w:highlight w:val="none"/>
              </w:rPr>
            </w:pPr>
          </w:p>
        </w:tc>
        <w:tc>
          <w:tcPr>
            <w:tcW w:w="1493" w:type="dxa"/>
            <w:tcBorders>
              <w:tl2br w:val="nil"/>
              <w:tr2bl w:val="nil"/>
            </w:tcBorders>
            <w:shd w:val="clear" w:color="auto" w:fill="auto"/>
            <w:vAlign w:val="center"/>
          </w:tcPr>
          <w:p w14:paraId="5E93A0C3">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0.42</w:t>
            </w:r>
          </w:p>
        </w:tc>
        <w:tc>
          <w:tcPr>
            <w:tcW w:w="1493" w:type="dxa"/>
            <w:tcBorders>
              <w:tl2br w:val="nil"/>
              <w:tr2bl w:val="nil"/>
            </w:tcBorders>
            <w:shd w:val="clear" w:color="auto" w:fill="auto"/>
            <w:vAlign w:val="center"/>
          </w:tcPr>
          <w:p w14:paraId="41C829F7">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8.4×10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4</w:t>
            </w:r>
          </w:p>
        </w:tc>
        <w:tc>
          <w:tcPr>
            <w:tcW w:w="2385" w:type="dxa"/>
            <w:vMerge w:val="continue"/>
            <w:tcBorders>
              <w:tl2br w:val="nil"/>
              <w:tr2bl w:val="nil"/>
            </w:tcBorders>
            <w:vAlign w:val="center"/>
          </w:tcPr>
          <w:p w14:paraId="1B51D6E9">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35DDAED2">
            <w:pPr>
              <w:widowControl/>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08271F7C">
            <w:pPr>
              <w:widowControl/>
              <w:spacing w:line="360" w:lineRule="exact"/>
              <w:ind w:firstLine="0" w:firstLineChars="0"/>
              <w:jc w:val="center"/>
              <w:rPr>
                <w:rFonts w:cs="Times New Roman"/>
                <w:color w:val="auto"/>
                <w:sz w:val="21"/>
                <w:szCs w:val="21"/>
                <w:highlight w:val="none"/>
              </w:rPr>
            </w:pPr>
          </w:p>
        </w:tc>
      </w:tr>
      <w:tr w14:paraId="04507F6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1172" w:hRule="atLeast"/>
          <w:jc w:val="center"/>
        </w:trPr>
        <w:tc>
          <w:tcPr>
            <w:tcW w:w="666" w:type="dxa"/>
            <w:vMerge w:val="continue"/>
            <w:tcBorders>
              <w:tl2br w:val="nil"/>
              <w:tr2bl w:val="nil"/>
            </w:tcBorders>
            <w:vAlign w:val="center"/>
          </w:tcPr>
          <w:p w14:paraId="41D479A0">
            <w:pPr>
              <w:widowControl/>
              <w:spacing w:line="360" w:lineRule="exact"/>
              <w:ind w:firstLine="0" w:firstLineChars="0"/>
              <w:jc w:val="center"/>
              <w:rPr>
                <w:rFonts w:cs="Times New Roman"/>
                <w:color w:val="auto"/>
                <w:sz w:val="21"/>
                <w:szCs w:val="21"/>
                <w:highlight w:val="none"/>
              </w:rPr>
            </w:pPr>
          </w:p>
        </w:tc>
        <w:tc>
          <w:tcPr>
            <w:tcW w:w="480" w:type="dxa"/>
            <w:vMerge w:val="restart"/>
            <w:tcBorders>
              <w:tl2br w:val="nil"/>
              <w:tr2bl w:val="nil"/>
            </w:tcBorders>
            <w:vAlign w:val="center"/>
          </w:tcPr>
          <w:p w14:paraId="132F5D2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无组织</w:t>
            </w:r>
          </w:p>
        </w:tc>
        <w:tc>
          <w:tcPr>
            <w:tcW w:w="731" w:type="dxa"/>
            <w:vMerge w:val="restart"/>
            <w:tcBorders>
              <w:tl2br w:val="nil"/>
              <w:tr2bl w:val="nil"/>
            </w:tcBorders>
            <w:vAlign w:val="center"/>
          </w:tcPr>
          <w:p w14:paraId="0C38DA5C">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屠宰车间、</w:t>
            </w:r>
            <w:r>
              <w:rPr>
                <w:rFonts w:hint="eastAsia" w:cs="Times New Roman"/>
                <w:color w:val="auto"/>
                <w:sz w:val="21"/>
                <w:szCs w:val="21"/>
                <w:highlight w:val="none"/>
                <w:lang w:val="en-US" w:eastAsia="zh-CN"/>
              </w:rPr>
              <w:t>急宰间、隔离间及固体废物暂存间</w:t>
            </w:r>
          </w:p>
        </w:tc>
        <w:tc>
          <w:tcPr>
            <w:tcW w:w="1134" w:type="dxa"/>
            <w:tcBorders>
              <w:tl2br w:val="nil"/>
              <w:tr2bl w:val="nil"/>
            </w:tcBorders>
            <w:vAlign w:val="center"/>
          </w:tcPr>
          <w:p w14:paraId="61F2F85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3424" w:type="dxa"/>
            <w:vMerge w:val="restart"/>
            <w:tcBorders>
              <w:tl2br w:val="nil"/>
              <w:tr2bl w:val="nil"/>
            </w:tcBorders>
            <w:vAlign w:val="center"/>
          </w:tcPr>
          <w:p w14:paraId="2A5DE25F">
            <w:pPr>
              <w:spacing w:line="360" w:lineRule="exact"/>
              <w:ind w:firstLine="0" w:firstLineChars="0"/>
              <w:jc w:val="center"/>
              <w:rPr>
                <w:rFonts w:cs="Times New Roman"/>
                <w:color w:val="auto"/>
                <w:sz w:val="21"/>
                <w:szCs w:val="21"/>
                <w:highlight w:val="none"/>
              </w:rPr>
            </w:pPr>
          </w:p>
          <w:p w14:paraId="26C5806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增加清洗车间地面频次</w:t>
            </w:r>
            <w:r>
              <w:rPr>
                <w:rFonts w:hint="eastAsia" w:cs="Times New Roman"/>
                <w:color w:val="auto"/>
                <w:sz w:val="21"/>
                <w:szCs w:val="21"/>
                <w:highlight w:val="none"/>
                <w:lang w:eastAsia="zh-CN"/>
              </w:rPr>
              <w:t>，</w:t>
            </w:r>
            <w:r>
              <w:rPr>
                <w:rFonts w:cs="Times New Roman"/>
                <w:color w:val="auto"/>
                <w:sz w:val="21"/>
                <w:szCs w:val="21"/>
                <w:highlight w:val="none"/>
              </w:rPr>
              <w:t>喷洒除臭剂</w:t>
            </w:r>
          </w:p>
        </w:tc>
        <w:tc>
          <w:tcPr>
            <w:tcW w:w="1493" w:type="dxa"/>
            <w:tcBorders>
              <w:tl2br w:val="nil"/>
              <w:tr2bl w:val="nil"/>
            </w:tcBorders>
            <w:vAlign w:val="center"/>
          </w:tcPr>
          <w:p w14:paraId="07A9CBB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shd w:val="clear" w:color="auto" w:fill="auto"/>
            <w:vAlign w:val="center"/>
          </w:tcPr>
          <w:p w14:paraId="029F9B31">
            <w:pPr>
              <w:spacing w:line="360" w:lineRule="exact"/>
              <w:ind w:firstLine="0" w:firstLineChars="0"/>
              <w:jc w:val="center"/>
              <w:rPr>
                <w:rFonts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8.2</w:t>
            </w:r>
            <w:r>
              <w:rPr>
                <w:rFonts w:cs="Times New Roman"/>
                <w:color w:val="auto"/>
                <w:kern w:val="0"/>
                <w:sz w:val="21"/>
                <w:szCs w:val="21"/>
                <w:highlight w:val="none"/>
              </w:rPr>
              <w:t>×10</w:t>
            </w:r>
            <w:r>
              <w:rPr>
                <w:rFonts w:cs="Times New Roman"/>
                <w:color w:val="auto"/>
                <w:kern w:val="0"/>
                <w:sz w:val="21"/>
                <w:szCs w:val="21"/>
                <w:highlight w:val="none"/>
                <w:vertAlign w:val="superscript"/>
              </w:rPr>
              <w:t>-4</w:t>
            </w:r>
          </w:p>
        </w:tc>
        <w:tc>
          <w:tcPr>
            <w:tcW w:w="2385" w:type="dxa"/>
            <w:vMerge w:val="restart"/>
            <w:tcBorders>
              <w:tl2br w:val="nil"/>
              <w:tr2bl w:val="nil"/>
            </w:tcBorders>
            <w:vAlign w:val="center"/>
          </w:tcPr>
          <w:p w14:paraId="3AA0CD2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《恶臭污染物排放标准》（GB14554-93）中表1中二级标准</w:t>
            </w:r>
          </w:p>
        </w:tc>
        <w:tc>
          <w:tcPr>
            <w:tcW w:w="1792" w:type="dxa"/>
            <w:tcBorders>
              <w:tl2br w:val="nil"/>
              <w:tr2bl w:val="nil"/>
            </w:tcBorders>
            <w:vAlign w:val="center"/>
          </w:tcPr>
          <w:p w14:paraId="18747B65">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continue"/>
            <w:tcBorders>
              <w:tl2br w:val="nil"/>
              <w:tr2bl w:val="nil"/>
            </w:tcBorders>
            <w:vAlign w:val="center"/>
          </w:tcPr>
          <w:p w14:paraId="7F797148">
            <w:pPr>
              <w:widowControl/>
              <w:spacing w:line="360" w:lineRule="exact"/>
              <w:ind w:firstLine="0" w:firstLineChars="0"/>
              <w:jc w:val="center"/>
              <w:rPr>
                <w:rFonts w:cs="Times New Roman"/>
                <w:color w:val="auto"/>
                <w:sz w:val="21"/>
                <w:szCs w:val="21"/>
                <w:highlight w:val="none"/>
              </w:rPr>
            </w:pPr>
          </w:p>
        </w:tc>
      </w:tr>
      <w:tr w14:paraId="64DE95A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1172" w:hRule="atLeast"/>
          <w:jc w:val="center"/>
        </w:trPr>
        <w:tc>
          <w:tcPr>
            <w:tcW w:w="666" w:type="dxa"/>
            <w:vMerge w:val="continue"/>
            <w:tcBorders>
              <w:tl2br w:val="nil"/>
              <w:tr2bl w:val="nil"/>
            </w:tcBorders>
            <w:vAlign w:val="center"/>
          </w:tcPr>
          <w:p w14:paraId="54E112DC">
            <w:pPr>
              <w:widowControl/>
              <w:spacing w:line="360" w:lineRule="exact"/>
              <w:ind w:firstLine="0" w:firstLineChars="0"/>
              <w:jc w:val="center"/>
              <w:rPr>
                <w:rFonts w:cs="Times New Roman"/>
                <w:color w:val="auto"/>
                <w:sz w:val="21"/>
                <w:szCs w:val="21"/>
                <w:highlight w:val="none"/>
              </w:rPr>
            </w:pPr>
          </w:p>
        </w:tc>
        <w:tc>
          <w:tcPr>
            <w:tcW w:w="480" w:type="dxa"/>
            <w:vMerge w:val="continue"/>
            <w:tcBorders>
              <w:tl2br w:val="nil"/>
              <w:tr2bl w:val="nil"/>
            </w:tcBorders>
            <w:vAlign w:val="center"/>
          </w:tcPr>
          <w:p w14:paraId="294216A3">
            <w:pPr>
              <w:spacing w:line="360" w:lineRule="exact"/>
              <w:ind w:firstLine="0" w:firstLineChars="0"/>
              <w:jc w:val="center"/>
              <w:rPr>
                <w:rFonts w:cs="Times New Roman"/>
                <w:color w:val="auto"/>
                <w:sz w:val="21"/>
                <w:szCs w:val="21"/>
                <w:highlight w:val="none"/>
              </w:rPr>
            </w:pPr>
          </w:p>
        </w:tc>
        <w:tc>
          <w:tcPr>
            <w:tcW w:w="731" w:type="dxa"/>
            <w:vMerge w:val="continue"/>
            <w:tcBorders>
              <w:tl2br w:val="nil"/>
              <w:tr2bl w:val="nil"/>
            </w:tcBorders>
            <w:vAlign w:val="center"/>
          </w:tcPr>
          <w:p w14:paraId="59FDE0BD">
            <w:pPr>
              <w:widowControl/>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7A2BD2C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3424" w:type="dxa"/>
            <w:vMerge w:val="continue"/>
            <w:tcBorders>
              <w:tl2br w:val="nil"/>
              <w:tr2bl w:val="nil"/>
            </w:tcBorders>
            <w:vAlign w:val="center"/>
          </w:tcPr>
          <w:p w14:paraId="6511EA97">
            <w:pPr>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0B77FD8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578E8A31">
            <w:pPr>
              <w:spacing w:line="360" w:lineRule="exact"/>
              <w:ind w:firstLine="0" w:firstLineChars="0"/>
              <w:jc w:val="center"/>
              <w:rPr>
                <w:rFonts w:cs="Times New Roman"/>
                <w:color w:val="auto"/>
                <w:sz w:val="21"/>
                <w:szCs w:val="21"/>
                <w:highlight w:val="none"/>
              </w:rPr>
            </w:pPr>
            <w:r>
              <w:rPr>
                <w:rFonts w:hint="eastAsia" w:cs="Times New Roman"/>
                <w:color w:val="auto"/>
                <w:kern w:val="0"/>
                <w:sz w:val="21"/>
                <w:szCs w:val="21"/>
                <w:highlight w:val="none"/>
                <w:lang w:val="en-US" w:eastAsia="zh-CN"/>
              </w:rPr>
              <w:t>6.6</w:t>
            </w:r>
            <w:r>
              <w:rPr>
                <w:rFonts w:cs="Times New Roman"/>
                <w:color w:val="auto"/>
                <w:kern w:val="0"/>
                <w:sz w:val="21"/>
                <w:szCs w:val="21"/>
                <w:highlight w:val="none"/>
              </w:rPr>
              <w:t>×10</w:t>
            </w:r>
            <w:r>
              <w:rPr>
                <w:rFonts w:cs="Times New Roman"/>
                <w:color w:val="auto"/>
                <w:kern w:val="0"/>
                <w:sz w:val="21"/>
                <w:szCs w:val="21"/>
                <w:highlight w:val="none"/>
                <w:vertAlign w:val="superscript"/>
              </w:rPr>
              <w:t>-</w:t>
            </w:r>
            <w:r>
              <w:rPr>
                <w:rFonts w:hint="eastAsia" w:cs="Times New Roman"/>
                <w:color w:val="auto"/>
                <w:kern w:val="0"/>
                <w:sz w:val="21"/>
                <w:szCs w:val="21"/>
                <w:highlight w:val="none"/>
                <w:vertAlign w:val="superscript"/>
                <w:lang w:val="en-US" w:eastAsia="zh-CN"/>
              </w:rPr>
              <w:t>6</w:t>
            </w:r>
          </w:p>
        </w:tc>
        <w:tc>
          <w:tcPr>
            <w:tcW w:w="2385" w:type="dxa"/>
            <w:vMerge w:val="continue"/>
            <w:tcBorders>
              <w:tl2br w:val="nil"/>
              <w:tr2bl w:val="nil"/>
            </w:tcBorders>
            <w:vAlign w:val="center"/>
          </w:tcPr>
          <w:p w14:paraId="5EBAC439">
            <w:pPr>
              <w:spacing w:line="360" w:lineRule="exact"/>
              <w:ind w:firstLine="0" w:firstLineChars="0"/>
              <w:jc w:val="center"/>
              <w:rPr>
                <w:rFonts w:cs="Times New Roman"/>
                <w:color w:val="auto"/>
                <w:sz w:val="21"/>
                <w:szCs w:val="21"/>
                <w:highlight w:val="none"/>
              </w:rPr>
            </w:pPr>
          </w:p>
        </w:tc>
        <w:tc>
          <w:tcPr>
            <w:tcW w:w="1792" w:type="dxa"/>
            <w:tcBorders>
              <w:tl2br w:val="nil"/>
              <w:tr2bl w:val="nil"/>
            </w:tcBorders>
            <w:vAlign w:val="center"/>
          </w:tcPr>
          <w:p w14:paraId="32D34A6A">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continue"/>
            <w:tcBorders>
              <w:tl2br w:val="nil"/>
              <w:tr2bl w:val="nil"/>
            </w:tcBorders>
            <w:vAlign w:val="center"/>
          </w:tcPr>
          <w:p w14:paraId="48D3959B">
            <w:pPr>
              <w:widowControl/>
              <w:spacing w:line="360" w:lineRule="exact"/>
              <w:ind w:firstLine="0" w:firstLineChars="0"/>
              <w:jc w:val="center"/>
              <w:rPr>
                <w:rFonts w:cs="Times New Roman"/>
                <w:color w:val="auto"/>
                <w:sz w:val="21"/>
                <w:szCs w:val="21"/>
                <w:highlight w:val="none"/>
              </w:rPr>
            </w:pPr>
          </w:p>
        </w:tc>
      </w:tr>
      <w:tr w14:paraId="5A9BBB1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65680AE2">
            <w:pPr>
              <w:widowControl/>
              <w:spacing w:line="360" w:lineRule="exact"/>
              <w:ind w:firstLine="0" w:firstLineChars="0"/>
              <w:jc w:val="center"/>
              <w:rPr>
                <w:rFonts w:cs="Times New Roman"/>
                <w:color w:val="auto"/>
                <w:sz w:val="21"/>
                <w:szCs w:val="21"/>
                <w:highlight w:val="none"/>
              </w:rPr>
            </w:pPr>
          </w:p>
        </w:tc>
        <w:tc>
          <w:tcPr>
            <w:tcW w:w="480" w:type="dxa"/>
            <w:vMerge w:val="continue"/>
            <w:tcBorders>
              <w:tl2br w:val="nil"/>
              <w:tr2bl w:val="nil"/>
            </w:tcBorders>
            <w:vAlign w:val="center"/>
          </w:tcPr>
          <w:p w14:paraId="1A8EAD27">
            <w:pPr>
              <w:spacing w:line="360" w:lineRule="exact"/>
              <w:ind w:firstLine="0" w:firstLineChars="0"/>
              <w:jc w:val="center"/>
              <w:rPr>
                <w:rFonts w:cs="Times New Roman"/>
                <w:color w:val="auto"/>
                <w:sz w:val="21"/>
                <w:szCs w:val="21"/>
                <w:highlight w:val="none"/>
              </w:rPr>
            </w:pPr>
          </w:p>
        </w:tc>
        <w:tc>
          <w:tcPr>
            <w:tcW w:w="731" w:type="dxa"/>
            <w:vMerge w:val="restart"/>
            <w:tcBorders>
              <w:tl2br w:val="nil"/>
              <w:tr2bl w:val="nil"/>
            </w:tcBorders>
            <w:vAlign w:val="center"/>
          </w:tcPr>
          <w:p w14:paraId="2837B0B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污水处理</w:t>
            </w:r>
          </w:p>
        </w:tc>
        <w:tc>
          <w:tcPr>
            <w:tcW w:w="1134" w:type="dxa"/>
            <w:tcBorders>
              <w:tl2br w:val="nil"/>
              <w:tr2bl w:val="nil"/>
            </w:tcBorders>
            <w:vAlign w:val="center"/>
          </w:tcPr>
          <w:p w14:paraId="6A8BB47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3424" w:type="dxa"/>
            <w:vMerge w:val="restart"/>
            <w:tcBorders>
              <w:tl2br w:val="nil"/>
              <w:tr2bl w:val="nil"/>
            </w:tcBorders>
            <w:vAlign w:val="center"/>
          </w:tcPr>
          <w:p w14:paraId="0E46CD9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产生恶臭区域加盖，喷洒除臭剂</w:t>
            </w:r>
          </w:p>
        </w:tc>
        <w:tc>
          <w:tcPr>
            <w:tcW w:w="1493" w:type="dxa"/>
            <w:tcBorders>
              <w:tl2br w:val="nil"/>
              <w:tr2bl w:val="nil"/>
            </w:tcBorders>
            <w:vAlign w:val="center"/>
          </w:tcPr>
          <w:p w14:paraId="733EBD9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shd w:val="clear" w:color="auto" w:fill="auto"/>
            <w:vAlign w:val="center"/>
          </w:tcPr>
          <w:p w14:paraId="31602629">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9.8</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2385" w:type="dxa"/>
            <w:vMerge w:val="continue"/>
            <w:tcBorders>
              <w:tl2br w:val="nil"/>
              <w:tr2bl w:val="nil"/>
            </w:tcBorders>
            <w:vAlign w:val="center"/>
          </w:tcPr>
          <w:p w14:paraId="3B2BB47A">
            <w:pPr>
              <w:spacing w:line="360" w:lineRule="exact"/>
              <w:ind w:firstLine="0" w:firstLineChars="0"/>
              <w:jc w:val="center"/>
              <w:rPr>
                <w:rFonts w:cs="Times New Roman"/>
                <w:color w:val="auto"/>
                <w:sz w:val="21"/>
                <w:szCs w:val="21"/>
                <w:highlight w:val="none"/>
              </w:rPr>
            </w:pPr>
          </w:p>
        </w:tc>
        <w:tc>
          <w:tcPr>
            <w:tcW w:w="1792" w:type="dxa"/>
            <w:tcBorders>
              <w:tl2br w:val="nil"/>
              <w:tr2bl w:val="nil"/>
            </w:tcBorders>
            <w:vAlign w:val="center"/>
          </w:tcPr>
          <w:p w14:paraId="09F17248">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continue"/>
            <w:tcBorders>
              <w:tl2br w:val="nil"/>
              <w:tr2bl w:val="nil"/>
            </w:tcBorders>
            <w:vAlign w:val="center"/>
          </w:tcPr>
          <w:p w14:paraId="7EBDFF11">
            <w:pPr>
              <w:widowControl/>
              <w:spacing w:line="360" w:lineRule="exact"/>
              <w:ind w:firstLine="0" w:firstLineChars="0"/>
              <w:jc w:val="center"/>
              <w:rPr>
                <w:rFonts w:cs="Times New Roman"/>
                <w:color w:val="auto"/>
                <w:sz w:val="21"/>
                <w:szCs w:val="21"/>
                <w:highlight w:val="none"/>
              </w:rPr>
            </w:pPr>
          </w:p>
        </w:tc>
      </w:tr>
      <w:tr w14:paraId="6BEE7BE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2F59251E">
            <w:pPr>
              <w:widowControl/>
              <w:spacing w:line="360" w:lineRule="exact"/>
              <w:ind w:firstLine="0" w:firstLineChars="0"/>
              <w:jc w:val="center"/>
              <w:rPr>
                <w:rFonts w:cs="Times New Roman"/>
                <w:color w:val="auto"/>
                <w:sz w:val="21"/>
                <w:szCs w:val="21"/>
                <w:highlight w:val="none"/>
              </w:rPr>
            </w:pPr>
          </w:p>
        </w:tc>
        <w:tc>
          <w:tcPr>
            <w:tcW w:w="480" w:type="dxa"/>
            <w:vMerge w:val="continue"/>
            <w:tcBorders>
              <w:tl2br w:val="nil"/>
              <w:tr2bl w:val="nil"/>
            </w:tcBorders>
            <w:vAlign w:val="center"/>
          </w:tcPr>
          <w:p w14:paraId="2EBC534E">
            <w:pPr>
              <w:widowControl/>
              <w:spacing w:line="360" w:lineRule="exact"/>
              <w:ind w:firstLine="0" w:firstLineChars="0"/>
              <w:jc w:val="center"/>
              <w:rPr>
                <w:rFonts w:cs="Times New Roman"/>
                <w:color w:val="auto"/>
                <w:sz w:val="21"/>
                <w:szCs w:val="21"/>
                <w:highlight w:val="none"/>
              </w:rPr>
            </w:pPr>
          </w:p>
        </w:tc>
        <w:tc>
          <w:tcPr>
            <w:tcW w:w="731" w:type="dxa"/>
            <w:vMerge w:val="continue"/>
            <w:tcBorders>
              <w:tl2br w:val="nil"/>
              <w:tr2bl w:val="nil"/>
            </w:tcBorders>
            <w:vAlign w:val="center"/>
          </w:tcPr>
          <w:p w14:paraId="0899FD00">
            <w:pPr>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1F0E4B3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3424" w:type="dxa"/>
            <w:vMerge w:val="continue"/>
            <w:tcBorders>
              <w:tl2br w:val="nil"/>
              <w:tr2bl w:val="nil"/>
            </w:tcBorders>
            <w:vAlign w:val="center"/>
          </w:tcPr>
          <w:p w14:paraId="054AD06A">
            <w:pPr>
              <w:widowControl/>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31591EB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shd w:val="clear" w:color="auto" w:fill="auto"/>
            <w:vAlign w:val="center"/>
          </w:tcPr>
          <w:p w14:paraId="3F48B3EF">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8.4</w:t>
            </w:r>
            <w:r>
              <w:rPr>
                <w:rFonts w:hint="eastAsia" w:cs="Times New Roman"/>
                <w:color w:val="auto"/>
                <w:sz w:val="21"/>
                <w:szCs w:val="21"/>
                <w:highlight w:val="none"/>
                <w:lang w:eastAsia="zh-CN"/>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5</w:t>
            </w:r>
          </w:p>
        </w:tc>
        <w:tc>
          <w:tcPr>
            <w:tcW w:w="2385" w:type="dxa"/>
            <w:vMerge w:val="continue"/>
            <w:tcBorders>
              <w:tl2br w:val="nil"/>
              <w:tr2bl w:val="nil"/>
            </w:tcBorders>
            <w:vAlign w:val="center"/>
          </w:tcPr>
          <w:p w14:paraId="08CD7C0E">
            <w:pPr>
              <w:widowControl/>
              <w:spacing w:line="360" w:lineRule="exact"/>
              <w:ind w:firstLine="0" w:firstLineChars="0"/>
              <w:jc w:val="center"/>
              <w:rPr>
                <w:rFonts w:cs="Times New Roman"/>
                <w:color w:val="auto"/>
                <w:sz w:val="21"/>
                <w:szCs w:val="21"/>
                <w:highlight w:val="none"/>
              </w:rPr>
            </w:pPr>
          </w:p>
        </w:tc>
        <w:tc>
          <w:tcPr>
            <w:tcW w:w="1792" w:type="dxa"/>
            <w:tcBorders>
              <w:tl2br w:val="nil"/>
              <w:tr2bl w:val="nil"/>
            </w:tcBorders>
            <w:vAlign w:val="center"/>
          </w:tcPr>
          <w:p w14:paraId="7FE4394D">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continue"/>
            <w:tcBorders>
              <w:tl2br w:val="nil"/>
              <w:tr2bl w:val="nil"/>
            </w:tcBorders>
            <w:vAlign w:val="center"/>
          </w:tcPr>
          <w:p w14:paraId="0E09157B">
            <w:pPr>
              <w:widowControl/>
              <w:spacing w:line="360" w:lineRule="exact"/>
              <w:ind w:firstLine="0" w:firstLineChars="0"/>
              <w:jc w:val="center"/>
              <w:rPr>
                <w:rFonts w:cs="Times New Roman"/>
                <w:color w:val="auto"/>
                <w:sz w:val="21"/>
                <w:szCs w:val="21"/>
                <w:highlight w:val="none"/>
              </w:rPr>
            </w:pPr>
          </w:p>
        </w:tc>
      </w:tr>
      <w:tr w14:paraId="47DE0FE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2CBE86F7">
            <w:pPr>
              <w:widowControl/>
              <w:spacing w:line="360" w:lineRule="exact"/>
              <w:ind w:firstLine="0" w:firstLineChars="0"/>
              <w:jc w:val="center"/>
              <w:rPr>
                <w:rFonts w:cs="Times New Roman"/>
                <w:color w:val="auto"/>
                <w:sz w:val="21"/>
                <w:szCs w:val="21"/>
                <w:highlight w:val="none"/>
              </w:rPr>
            </w:pPr>
          </w:p>
        </w:tc>
        <w:tc>
          <w:tcPr>
            <w:tcW w:w="480" w:type="dxa"/>
            <w:vMerge w:val="continue"/>
            <w:tcBorders>
              <w:tl2br w:val="nil"/>
              <w:tr2bl w:val="nil"/>
            </w:tcBorders>
            <w:vAlign w:val="center"/>
          </w:tcPr>
          <w:p w14:paraId="0B1A7B56">
            <w:pPr>
              <w:widowControl/>
              <w:spacing w:line="360" w:lineRule="exact"/>
              <w:ind w:firstLine="0" w:firstLineChars="0"/>
              <w:jc w:val="center"/>
              <w:rPr>
                <w:rFonts w:cs="Times New Roman"/>
                <w:color w:val="auto"/>
                <w:sz w:val="21"/>
                <w:szCs w:val="21"/>
                <w:highlight w:val="none"/>
              </w:rPr>
            </w:pPr>
          </w:p>
        </w:tc>
        <w:tc>
          <w:tcPr>
            <w:tcW w:w="731" w:type="dxa"/>
            <w:vMerge w:val="restart"/>
            <w:tcBorders>
              <w:tl2br w:val="nil"/>
              <w:tr2bl w:val="nil"/>
            </w:tcBorders>
            <w:vAlign w:val="center"/>
          </w:tcPr>
          <w:p w14:paraId="1C36D5CA">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待宰</w:t>
            </w:r>
            <w:r>
              <w:rPr>
                <w:rFonts w:cs="Times New Roman"/>
                <w:color w:val="auto"/>
                <w:sz w:val="21"/>
                <w:szCs w:val="21"/>
                <w:highlight w:val="none"/>
              </w:rPr>
              <w:t>圈</w:t>
            </w:r>
          </w:p>
        </w:tc>
        <w:tc>
          <w:tcPr>
            <w:tcW w:w="1134" w:type="dxa"/>
            <w:tcBorders>
              <w:tl2br w:val="nil"/>
              <w:tr2bl w:val="nil"/>
            </w:tcBorders>
            <w:vAlign w:val="center"/>
          </w:tcPr>
          <w:p w14:paraId="59D65CA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w:t>
            </w:r>
          </w:p>
        </w:tc>
        <w:tc>
          <w:tcPr>
            <w:tcW w:w="3424" w:type="dxa"/>
            <w:vMerge w:val="restart"/>
            <w:tcBorders>
              <w:tl2br w:val="nil"/>
              <w:tr2bl w:val="nil"/>
            </w:tcBorders>
            <w:vAlign w:val="center"/>
          </w:tcPr>
          <w:p w14:paraId="4B69216D">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及时清运粪便，喷洒除臭剂</w:t>
            </w:r>
          </w:p>
        </w:tc>
        <w:tc>
          <w:tcPr>
            <w:tcW w:w="1493" w:type="dxa"/>
            <w:tcBorders>
              <w:tl2br w:val="nil"/>
              <w:tr2bl w:val="nil"/>
            </w:tcBorders>
            <w:vAlign w:val="center"/>
          </w:tcPr>
          <w:p w14:paraId="17B5528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shd w:val="clear" w:color="auto" w:fill="auto"/>
            <w:vAlign w:val="center"/>
          </w:tcPr>
          <w:p w14:paraId="30C807BF">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2.5</w:t>
            </w:r>
            <w:r>
              <w:rPr>
                <w:rFonts w:cs="Times New Roman"/>
                <w:color w:val="auto"/>
                <w:sz w:val="21"/>
                <w:szCs w:val="21"/>
                <w:highlight w:val="none"/>
              </w:rPr>
              <w:t>×10</w:t>
            </w:r>
            <w:r>
              <w:rPr>
                <w:rFonts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4</w:t>
            </w:r>
          </w:p>
        </w:tc>
        <w:tc>
          <w:tcPr>
            <w:tcW w:w="2385" w:type="dxa"/>
            <w:vMerge w:val="continue"/>
            <w:tcBorders>
              <w:tl2br w:val="nil"/>
              <w:tr2bl w:val="nil"/>
            </w:tcBorders>
            <w:vAlign w:val="center"/>
          </w:tcPr>
          <w:p w14:paraId="690718A6">
            <w:pPr>
              <w:widowControl/>
              <w:spacing w:line="360" w:lineRule="exact"/>
              <w:ind w:firstLine="0" w:firstLineChars="0"/>
              <w:jc w:val="center"/>
              <w:rPr>
                <w:rFonts w:cs="Times New Roman"/>
                <w:color w:val="auto"/>
                <w:sz w:val="21"/>
                <w:szCs w:val="21"/>
                <w:highlight w:val="none"/>
              </w:rPr>
            </w:pPr>
          </w:p>
        </w:tc>
        <w:tc>
          <w:tcPr>
            <w:tcW w:w="1792" w:type="dxa"/>
            <w:tcBorders>
              <w:tl2br w:val="nil"/>
              <w:tr2bl w:val="nil"/>
            </w:tcBorders>
            <w:vAlign w:val="center"/>
          </w:tcPr>
          <w:p w14:paraId="751C86F1">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continue"/>
            <w:tcBorders>
              <w:tl2br w:val="nil"/>
              <w:tr2bl w:val="nil"/>
            </w:tcBorders>
            <w:vAlign w:val="center"/>
          </w:tcPr>
          <w:p w14:paraId="2898F03F">
            <w:pPr>
              <w:widowControl/>
              <w:spacing w:line="360" w:lineRule="exact"/>
              <w:ind w:firstLine="0" w:firstLineChars="0"/>
              <w:jc w:val="center"/>
              <w:rPr>
                <w:rFonts w:cs="Times New Roman"/>
                <w:color w:val="auto"/>
                <w:sz w:val="21"/>
                <w:szCs w:val="21"/>
                <w:highlight w:val="none"/>
              </w:rPr>
            </w:pPr>
          </w:p>
        </w:tc>
      </w:tr>
      <w:tr w14:paraId="53CFC44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5859E220">
            <w:pPr>
              <w:widowControl/>
              <w:spacing w:line="360" w:lineRule="exact"/>
              <w:ind w:firstLine="0" w:firstLineChars="0"/>
              <w:jc w:val="center"/>
              <w:rPr>
                <w:rFonts w:cs="Times New Roman"/>
                <w:color w:val="auto"/>
                <w:sz w:val="21"/>
                <w:szCs w:val="21"/>
                <w:highlight w:val="none"/>
              </w:rPr>
            </w:pPr>
          </w:p>
        </w:tc>
        <w:tc>
          <w:tcPr>
            <w:tcW w:w="480" w:type="dxa"/>
            <w:vMerge w:val="continue"/>
            <w:tcBorders>
              <w:tl2br w:val="nil"/>
              <w:tr2bl w:val="nil"/>
            </w:tcBorders>
            <w:vAlign w:val="center"/>
          </w:tcPr>
          <w:p w14:paraId="5E9B5E67">
            <w:pPr>
              <w:widowControl/>
              <w:spacing w:line="360" w:lineRule="exact"/>
              <w:ind w:firstLine="0" w:firstLineChars="0"/>
              <w:jc w:val="center"/>
              <w:rPr>
                <w:rFonts w:cs="Times New Roman"/>
                <w:color w:val="auto"/>
                <w:sz w:val="21"/>
                <w:szCs w:val="21"/>
                <w:highlight w:val="none"/>
              </w:rPr>
            </w:pPr>
          </w:p>
        </w:tc>
        <w:tc>
          <w:tcPr>
            <w:tcW w:w="731" w:type="dxa"/>
            <w:vMerge w:val="continue"/>
            <w:tcBorders>
              <w:tl2br w:val="nil"/>
              <w:tr2bl w:val="nil"/>
            </w:tcBorders>
            <w:vAlign w:val="center"/>
          </w:tcPr>
          <w:p w14:paraId="62B7FC56">
            <w:pPr>
              <w:spacing w:line="360" w:lineRule="exact"/>
              <w:ind w:firstLine="0" w:firstLineChars="0"/>
              <w:jc w:val="center"/>
              <w:rPr>
                <w:rFonts w:cs="Times New Roman"/>
                <w:color w:val="auto"/>
                <w:sz w:val="21"/>
                <w:szCs w:val="21"/>
                <w:highlight w:val="none"/>
              </w:rPr>
            </w:pPr>
          </w:p>
        </w:tc>
        <w:tc>
          <w:tcPr>
            <w:tcW w:w="1134" w:type="dxa"/>
            <w:tcBorders>
              <w:tl2br w:val="nil"/>
              <w:tr2bl w:val="nil"/>
            </w:tcBorders>
            <w:vAlign w:val="center"/>
          </w:tcPr>
          <w:p w14:paraId="46D44B8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硫化氢</w:t>
            </w:r>
          </w:p>
        </w:tc>
        <w:tc>
          <w:tcPr>
            <w:tcW w:w="3424" w:type="dxa"/>
            <w:vMerge w:val="continue"/>
            <w:tcBorders>
              <w:tl2br w:val="nil"/>
              <w:tr2bl w:val="nil"/>
            </w:tcBorders>
            <w:vAlign w:val="center"/>
          </w:tcPr>
          <w:p w14:paraId="344B66D6">
            <w:pPr>
              <w:widowControl/>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1E1BD94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shd w:val="clear" w:color="auto" w:fill="auto"/>
            <w:vAlign w:val="center"/>
          </w:tcPr>
          <w:p w14:paraId="67C13CE5">
            <w:pPr>
              <w:spacing w:line="36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2.5</w:t>
            </w:r>
            <w:r>
              <w:rPr>
                <w:rFonts w:cs="Times New Roman"/>
                <w:color w:val="auto"/>
                <w:sz w:val="21"/>
                <w:szCs w:val="21"/>
                <w:highlight w:val="none"/>
                <w:lang w:val="zh-CN"/>
              </w:rPr>
              <w:t>×10</w:t>
            </w:r>
            <w:r>
              <w:rPr>
                <w:rFonts w:cs="Times New Roman"/>
                <w:color w:val="auto"/>
                <w:sz w:val="21"/>
                <w:szCs w:val="21"/>
                <w:highlight w:val="none"/>
                <w:vertAlign w:val="superscript"/>
                <w:lang w:val="zh-CN"/>
              </w:rPr>
              <w:t>-</w:t>
            </w:r>
            <w:r>
              <w:rPr>
                <w:rFonts w:hint="eastAsia" w:cs="Times New Roman"/>
                <w:color w:val="auto"/>
                <w:sz w:val="21"/>
                <w:szCs w:val="21"/>
                <w:highlight w:val="none"/>
                <w:vertAlign w:val="superscript"/>
                <w:lang w:val="en-US" w:eastAsia="zh-CN"/>
              </w:rPr>
              <w:t>5</w:t>
            </w:r>
          </w:p>
        </w:tc>
        <w:tc>
          <w:tcPr>
            <w:tcW w:w="2385" w:type="dxa"/>
            <w:vMerge w:val="continue"/>
            <w:tcBorders>
              <w:tl2br w:val="nil"/>
              <w:tr2bl w:val="nil"/>
            </w:tcBorders>
            <w:vAlign w:val="center"/>
          </w:tcPr>
          <w:p w14:paraId="1BCFAB97">
            <w:pPr>
              <w:widowControl/>
              <w:spacing w:line="360" w:lineRule="exact"/>
              <w:ind w:firstLine="0" w:firstLineChars="0"/>
              <w:jc w:val="center"/>
              <w:rPr>
                <w:rFonts w:cs="Times New Roman"/>
                <w:color w:val="auto"/>
                <w:sz w:val="21"/>
                <w:szCs w:val="21"/>
                <w:highlight w:val="none"/>
              </w:rPr>
            </w:pPr>
          </w:p>
        </w:tc>
        <w:tc>
          <w:tcPr>
            <w:tcW w:w="1792" w:type="dxa"/>
            <w:tcBorders>
              <w:tl2br w:val="nil"/>
              <w:tr2bl w:val="nil"/>
            </w:tcBorders>
            <w:vAlign w:val="center"/>
          </w:tcPr>
          <w:p w14:paraId="06D35EB9">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continue"/>
            <w:tcBorders>
              <w:tl2br w:val="nil"/>
              <w:tr2bl w:val="nil"/>
            </w:tcBorders>
            <w:vAlign w:val="center"/>
          </w:tcPr>
          <w:p w14:paraId="43437164">
            <w:pPr>
              <w:widowControl/>
              <w:spacing w:line="360" w:lineRule="exact"/>
              <w:ind w:firstLine="0" w:firstLineChars="0"/>
              <w:jc w:val="center"/>
              <w:rPr>
                <w:rFonts w:cs="Times New Roman"/>
                <w:color w:val="auto"/>
                <w:sz w:val="21"/>
                <w:szCs w:val="21"/>
                <w:highlight w:val="none"/>
              </w:rPr>
            </w:pPr>
          </w:p>
        </w:tc>
      </w:tr>
      <w:tr w14:paraId="7B9A532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3CBAE2DB">
            <w:pPr>
              <w:widowControl/>
              <w:spacing w:line="360" w:lineRule="exact"/>
              <w:ind w:firstLine="0" w:firstLineChars="0"/>
              <w:jc w:val="center"/>
              <w:rPr>
                <w:rFonts w:cs="Times New Roman"/>
                <w:color w:val="auto"/>
                <w:sz w:val="21"/>
                <w:szCs w:val="21"/>
                <w:highlight w:val="none"/>
              </w:rPr>
            </w:pPr>
          </w:p>
        </w:tc>
        <w:tc>
          <w:tcPr>
            <w:tcW w:w="480" w:type="dxa"/>
            <w:vMerge w:val="continue"/>
            <w:tcBorders>
              <w:tl2br w:val="nil"/>
              <w:tr2bl w:val="nil"/>
            </w:tcBorders>
            <w:vAlign w:val="center"/>
          </w:tcPr>
          <w:p w14:paraId="588E73A3">
            <w:pPr>
              <w:widowControl/>
              <w:spacing w:line="360" w:lineRule="exact"/>
              <w:ind w:firstLine="0" w:firstLineChars="0"/>
              <w:jc w:val="center"/>
              <w:rPr>
                <w:rFonts w:cs="Times New Roman"/>
                <w:color w:val="auto"/>
                <w:sz w:val="21"/>
                <w:szCs w:val="21"/>
                <w:highlight w:val="none"/>
              </w:rPr>
            </w:pPr>
          </w:p>
        </w:tc>
        <w:tc>
          <w:tcPr>
            <w:tcW w:w="731" w:type="dxa"/>
            <w:tcBorders>
              <w:tl2br w:val="nil"/>
              <w:tr2bl w:val="nil"/>
            </w:tcBorders>
            <w:vAlign w:val="center"/>
          </w:tcPr>
          <w:p w14:paraId="262FE9F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固废暂存间</w:t>
            </w:r>
          </w:p>
        </w:tc>
        <w:tc>
          <w:tcPr>
            <w:tcW w:w="1134" w:type="dxa"/>
            <w:tcBorders>
              <w:tl2br w:val="nil"/>
              <w:tr2bl w:val="nil"/>
            </w:tcBorders>
            <w:vAlign w:val="center"/>
          </w:tcPr>
          <w:p w14:paraId="4F6C4DC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恶臭</w:t>
            </w:r>
          </w:p>
        </w:tc>
        <w:tc>
          <w:tcPr>
            <w:tcW w:w="3424" w:type="dxa"/>
            <w:tcBorders>
              <w:tl2br w:val="nil"/>
              <w:tr2bl w:val="nil"/>
            </w:tcBorders>
            <w:vAlign w:val="center"/>
          </w:tcPr>
          <w:p w14:paraId="2F3EC8D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各储存池密封</w:t>
            </w:r>
          </w:p>
        </w:tc>
        <w:tc>
          <w:tcPr>
            <w:tcW w:w="1493" w:type="dxa"/>
            <w:tcBorders>
              <w:tl2br w:val="nil"/>
              <w:tr2bl w:val="nil"/>
            </w:tcBorders>
            <w:vAlign w:val="center"/>
          </w:tcPr>
          <w:p w14:paraId="174F0D0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20DCE2D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30918318">
            <w:pPr>
              <w:widowControl/>
              <w:spacing w:line="360" w:lineRule="exact"/>
              <w:ind w:firstLine="0" w:firstLineChars="0"/>
              <w:jc w:val="center"/>
              <w:rPr>
                <w:rFonts w:cs="Times New Roman"/>
                <w:color w:val="auto"/>
                <w:sz w:val="21"/>
                <w:szCs w:val="21"/>
                <w:highlight w:val="none"/>
              </w:rPr>
            </w:pPr>
          </w:p>
        </w:tc>
        <w:tc>
          <w:tcPr>
            <w:tcW w:w="1792" w:type="dxa"/>
            <w:tcBorders>
              <w:tl2br w:val="nil"/>
              <w:tr2bl w:val="nil"/>
            </w:tcBorders>
            <w:vAlign w:val="center"/>
          </w:tcPr>
          <w:p w14:paraId="130F394F">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continue"/>
            <w:tcBorders>
              <w:tl2br w:val="nil"/>
              <w:tr2bl w:val="nil"/>
            </w:tcBorders>
            <w:vAlign w:val="center"/>
          </w:tcPr>
          <w:p w14:paraId="1C0804F4">
            <w:pPr>
              <w:widowControl/>
              <w:spacing w:line="360" w:lineRule="exact"/>
              <w:ind w:firstLine="0" w:firstLineChars="0"/>
              <w:jc w:val="center"/>
              <w:rPr>
                <w:rFonts w:cs="Times New Roman"/>
                <w:color w:val="auto"/>
                <w:sz w:val="21"/>
                <w:szCs w:val="21"/>
                <w:highlight w:val="none"/>
              </w:rPr>
            </w:pPr>
          </w:p>
        </w:tc>
      </w:tr>
      <w:tr w14:paraId="72A0811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1653" w:hRule="atLeast"/>
          <w:jc w:val="center"/>
        </w:trPr>
        <w:tc>
          <w:tcPr>
            <w:tcW w:w="666" w:type="dxa"/>
            <w:vMerge w:val="restart"/>
            <w:tcBorders>
              <w:tl2br w:val="nil"/>
              <w:tr2bl w:val="nil"/>
            </w:tcBorders>
            <w:vAlign w:val="center"/>
          </w:tcPr>
          <w:p w14:paraId="6F6E8E0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噪声</w:t>
            </w:r>
          </w:p>
        </w:tc>
        <w:tc>
          <w:tcPr>
            <w:tcW w:w="2345" w:type="dxa"/>
            <w:gridSpan w:val="3"/>
            <w:tcBorders>
              <w:tl2br w:val="nil"/>
              <w:tr2bl w:val="nil"/>
            </w:tcBorders>
            <w:vAlign w:val="center"/>
          </w:tcPr>
          <w:p w14:paraId="35AC55C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设备</w:t>
            </w:r>
          </w:p>
        </w:tc>
        <w:tc>
          <w:tcPr>
            <w:tcW w:w="3424" w:type="dxa"/>
            <w:tcBorders>
              <w:tl2br w:val="nil"/>
              <w:tr2bl w:val="nil"/>
            </w:tcBorders>
            <w:vAlign w:val="center"/>
          </w:tcPr>
          <w:p w14:paraId="2140658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低噪声设备、封闭厂房、消声、减振</w:t>
            </w:r>
          </w:p>
        </w:tc>
        <w:tc>
          <w:tcPr>
            <w:tcW w:w="1493" w:type="dxa"/>
            <w:tcBorders>
              <w:tl2br w:val="nil"/>
              <w:tr2bl w:val="nil"/>
            </w:tcBorders>
            <w:vAlign w:val="center"/>
          </w:tcPr>
          <w:p w14:paraId="402A414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421DD2A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restart"/>
            <w:tcBorders>
              <w:tl2br w:val="nil"/>
              <w:tr2bl w:val="nil"/>
            </w:tcBorders>
            <w:vAlign w:val="center"/>
          </w:tcPr>
          <w:p w14:paraId="494F491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《工业企业厂界环境噪声排放标准》（GB12348-2008）中</w:t>
            </w:r>
            <w:r>
              <w:rPr>
                <w:rFonts w:hint="eastAsia" w:cs="Times New Roman"/>
                <w:color w:val="auto"/>
                <w:sz w:val="21"/>
                <w:szCs w:val="21"/>
                <w:highlight w:val="none"/>
                <w:lang w:val="en-US" w:eastAsia="zh-CN"/>
              </w:rPr>
              <w:t>2</w:t>
            </w:r>
            <w:r>
              <w:rPr>
                <w:rFonts w:cs="Times New Roman"/>
                <w:color w:val="auto"/>
                <w:sz w:val="21"/>
                <w:szCs w:val="21"/>
                <w:highlight w:val="none"/>
              </w:rPr>
              <w:t>类标准</w:t>
            </w:r>
          </w:p>
        </w:tc>
        <w:tc>
          <w:tcPr>
            <w:tcW w:w="1792" w:type="dxa"/>
            <w:tcBorders>
              <w:tl2br w:val="nil"/>
              <w:tr2bl w:val="nil"/>
            </w:tcBorders>
            <w:vAlign w:val="center"/>
          </w:tcPr>
          <w:p w14:paraId="14637AA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restart"/>
            <w:tcBorders>
              <w:tl2br w:val="nil"/>
              <w:tr2bl w:val="nil"/>
            </w:tcBorders>
            <w:vAlign w:val="center"/>
          </w:tcPr>
          <w:p w14:paraId="518881E9">
            <w:pPr>
              <w:spacing w:line="360" w:lineRule="exact"/>
              <w:ind w:firstLine="0" w:firstLineChars="0"/>
              <w:jc w:val="center"/>
              <w:rPr>
                <w:rFonts w:cs="Times New Roman"/>
                <w:color w:val="auto"/>
                <w:sz w:val="21"/>
                <w:szCs w:val="21"/>
                <w:highlight w:val="none"/>
              </w:rPr>
            </w:pPr>
          </w:p>
          <w:p w14:paraId="2B95DDC5">
            <w:pPr>
              <w:spacing w:line="360" w:lineRule="exact"/>
              <w:ind w:firstLine="0" w:firstLineChars="0"/>
              <w:jc w:val="center"/>
              <w:rPr>
                <w:rFonts w:cs="Times New Roman"/>
                <w:color w:val="auto"/>
                <w:sz w:val="21"/>
                <w:szCs w:val="21"/>
                <w:highlight w:val="none"/>
              </w:rPr>
            </w:pPr>
          </w:p>
          <w:p w14:paraId="71706F47">
            <w:pPr>
              <w:pStyle w:val="82"/>
              <w:spacing w:line="360" w:lineRule="exact"/>
              <w:ind w:firstLine="420"/>
              <w:rPr>
                <w:rFonts w:ascii="Times New Roman" w:hAnsi="Times New Roman" w:cs="Times New Roman"/>
                <w:color w:val="auto"/>
                <w:sz w:val="21"/>
                <w:szCs w:val="21"/>
                <w:highlight w:val="none"/>
              </w:rPr>
            </w:pPr>
          </w:p>
          <w:p w14:paraId="2CC88D7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drawing>
                <wp:anchor distT="0" distB="0" distL="114300" distR="114300" simplePos="0" relativeHeight="251674624" behindDoc="0" locked="0" layoutInCell="1" allowOverlap="1">
                  <wp:simplePos x="0" y="0"/>
                  <wp:positionH relativeFrom="column">
                    <wp:posOffset>116205</wp:posOffset>
                  </wp:positionH>
                  <wp:positionV relativeFrom="paragraph">
                    <wp:posOffset>-600710</wp:posOffset>
                  </wp:positionV>
                  <wp:extent cx="866775" cy="731520"/>
                  <wp:effectExtent l="0" t="0" r="9525" b="11430"/>
                  <wp:wrapNone/>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58"/>
                          <a:stretch>
                            <a:fillRect/>
                          </a:stretch>
                        </pic:blipFill>
                        <pic:spPr>
                          <a:xfrm>
                            <a:off x="0" y="0"/>
                            <a:ext cx="866775" cy="731520"/>
                          </a:xfrm>
                          <a:prstGeom prst="rect">
                            <a:avLst/>
                          </a:prstGeom>
                          <a:noFill/>
                          <a:ln>
                            <a:noFill/>
                          </a:ln>
                        </pic:spPr>
                      </pic:pic>
                    </a:graphicData>
                  </a:graphic>
                </wp:anchor>
              </w:drawing>
            </w:r>
          </w:p>
          <w:p w14:paraId="7D51FAC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drawing>
                <wp:anchor distT="0" distB="0" distL="114300" distR="114300" simplePos="0" relativeHeight="251675648" behindDoc="0" locked="0" layoutInCell="1" allowOverlap="1">
                  <wp:simplePos x="0" y="0"/>
                  <wp:positionH relativeFrom="column">
                    <wp:posOffset>116205</wp:posOffset>
                  </wp:positionH>
                  <wp:positionV relativeFrom="paragraph">
                    <wp:posOffset>215265</wp:posOffset>
                  </wp:positionV>
                  <wp:extent cx="866140" cy="675005"/>
                  <wp:effectExtent l="0" t="0" r="10160" b="10795"/>
                  <wp:wrapNone/>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59"/>
                          <a:stretch>
                            <a:fillRect/>
                          </a:stretch>
                        </pic:blipFill>
                        <pic:spPr>
                          <a:xfrm>
                            <a:off x="0" y="0"/>
                            <a:ext cx="866140" cy="675005"/>
                          </a:xfrm>
                          <a:prstGeom prst="rect">
                            <a:avLst/>
                          </a:prstGeom>
                          <a:noFill/>
                          <a:ln>
                            <a:noFill/>
                          </a:ln>
                        </pic:spPr>
                      </pic:pic>
                    </a:graphicData>
                  </a:graphic>
                </wp:anchor>
              </w:drawing>
            </w:r>
            <w:r>
              <w:rPr>
                <w:rFonts w:cs="Times New Roman"/>
                <w:color w:val="auto"/>
                <w:sz w:val="21"/>
                <w:szCs w:val="21"/>
                <w:highlight w:val="none"/>
              </w:rPr>
              <w:t>提示图形符号</w:t>
            </w:r>
          </w:p>
          <w:p w14:paraId="0B1DDA0E">
            <w:pPr>
              <w:pStyle w:val="82"/>
              <w:spacing w:line="360" w:lineRule="exact"/>
              <w:ind w:firstLine="420"/>
              <w:rPr>
                <w:rFonts w:ascii="Times New Roman" w:hAnsi="Times New Roman" w:cs="Times New Roman"/>
                <w:color w:val="auto"/>
                <w:sz w:val="21"/>
                <w:szCs w:val="21"/>
                <w:highlight w:val="none"/>
              </w:rPr>
            </w:pPr>
          </w:p>
          <w:p w14:paraId="7A2F70FF">
            <w:pPr>
              <w:spacing w:line="360" w:lineRule="exact"/>
              <w:ind w:firstLine="420"/>
              <w:rPr>
                <w:rFonts w:cs="Times New Roman"/>
                <w:color w:val="auto"/>
                <w:sz w:val="21"/>
                <w:szCs w:val="21"/>
                <w:highlight w:val="none"/>
              </w:rPr>
            </w:pPr>
          </w:p>
          <w:p w14:paraId="7DC2B33D">
            <w:pPr>
              <w:spacing w:line="360" w:lineRule="exact"/>
              <w:ind w:firstLine="0" w:firstLineChars="0"/>
              <w:jc w:val="center"/>
              <w:rPr>
                <w:rFonts w:cs="Times New Roman"/>
                <w:color w:val="auto"/>
                <w:sz w:val="21"/>
                <w:szCs w:val="21"/>
                <w:highlight w:val="none"/>
              </w:rPr>
            </w:pPr>
          </w:p>
          <w:p w14:paraId="317A6ED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警示图形符号</w:t>
            </w:r>
          </w:p>
        </w:tc>
      </w:tr>
      <w:tr w14:paraId="1257BAE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1576" w:hRule="atLeast"/>
          <w:jc w:val="center"/>
        </w:trPr>
        <w:tc>
          <w:tcPr>
            <w:tcW w:w="666" w:type="dxa"/>
            <w:vMerge w:val="continue"/>
            <w:tcBorders>
              <w:tl2br w:val="nil"/>
              <w:tr2bl w:val="nil"/>
            </w:tcBorders>
            <w:vAlign w:val="center"/>
          </w:tcPr>
          <w:p w14:paraId="103D6722">
            <w:pPr>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403795A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嚎叫</w:t>
            </w:r>
          </w:p>
        </w:tc>
        <w:tc>
          <w:tcPr>
            <w:tcW w:w="3424" w:type="dxa"/>
            <w:tcBorders>
              <w:tl2br w:val="nil"/>
              <w:tr2bl w:val="nil"/>
            </w:tcBorders>
            <w:vAlign w:val="center"/>
          </w:tcPr>
          <w:p w14:paraId="26144FC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厂房隔声</w:t>
            </w:r>
          </w:p>
        </w:tc>
        <w:tc>
          <w:tcPr>
            <w:tcW w:w="1493" w:type="dxa"/>
            <w:tcBorders>
              <w:tl2br w:val="nil"/>
              <w:tr2bl w:val="nil"/>
            </w:tcBorders>
            <w:vAlign w:val="center"/>
          </w:tcPr>
          <w:p w14:paraId="3194E69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0B56B7F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0B8574A6">
            <w:pPr>
              <w:spacing w:line="360" w:lineRule="exact"/>
              <w:ind w:firstLine="0" w:firstLineChars="0"/>
              <w:jc w:val="center"/>
              <w:rPr>
                <w:rFonts w:cs="Times New Roman"/>
                <w:color w:val="auto"/>
                <w:sz w:val="21"/>
                <w:szCs w:val="21"/>
                <w:highlight w:val="none"/>
              </w:rPr>
            </w:pPr>
          </w:p>
        </w:tc>
        <w:tc>
          <w:tcPr>
            <w:tcW w:w="1792" w:type="dxa"/>
            <w:tcBorders>
              <w:tl2br w:val="nil"/>
              <w:tr2bl w:val="nil"/>
            </w:tcBorders>
            <w:vAlign w:val="center"/>
          </w:tcPr>
          <w:p w14:paraId="5EE0FEB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continue"/>
            <w:tcBorders>
              <w:tl2br w:val="nil"/>
              <w:tr2bl w:val="nil"/>
            </w:tcBorders>
            <w:vAlign w:val="center"/>
          </w:tcPr>
          <w:p w14:paraId="19B8C259">
            <w:pPr>
              <w:spacing w:line="360" w:lineRule="exact"/>
              <w:ind w:firstLine="0" w:firstLineChars="0"/>
              <w:jc w:val="center"/>
              <w:rPr>
                <w:rFonts w:cs="Times New Roman"/>
                <w:color w:val="auto"/>
                <w:sz w:val="21"/>
                <w:szCs w:val="21"/>
                <w:highlight w:val="none"/>
              </w:rPr>
            </w:pPr>
          </w:p>
        </w:tc>
      </w:tr>
      <w:tr w14:paraId="04B9A219">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324" w:hRule="atLeast"/>
          <w:jc w:val="center"/>
        </w:trPr>
        <w:tc>
          <w:tcPr>
            <w:tcW w:w="666" w:type="dxa"/>
            <w:vMerge w:val="restart"/>
            <w:tcBorders>
              <w:tl2br w:val="nil"/>
              <w:tr2bl w:val="nil"/>
            </w:tcBorders>
            <w:vAlign w:val="center"/>
          </w:tcPr>
          <w:p w14:paraId="42341DD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固体废物</w:t>
            </w:r>
          </w:p>
        </w:tc>
        <w:tc>
          <w:tcPr>
            <w:tcW w:w="2345" w:type="dxa"/>
            <w:gridSpan w:val="3"/>
            <w:tcBorders>
              <w:tl2br w:val="nil"/>
              <w:tr2bl w:val="nil"/>
            </w:tcBorders>
            <w:vAlign w:val="center"/>
          </w:tcPr>
          <w:p w14:paraId="387C7AF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生活垃圾</w:t>
            </w:r>
          </w:p>
        </w:tc>
        <w:tc>
          <w:tcPr>
            <w:tcW w:w="3424" w:type="dxa"/>
            <w:tcBorders>
              <w:tl2br w:val="nil"/>
              <w:tr2bl w:val="nil"/>
            </w:tcBorders>
            <w:vAlign w:val="center"/>
          </w:tcPr>
          <w:p w14:paraId="08F321E7">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eastAsia="zh-CN"/>
              </w:rPr>
              <w:t>由市政环卫部门统一清运</w:t>
            </w:r>
          </w:p>
        </w:tc>
        <w:tc>
          <w:tcPr>
            <w:tcW w:w="1493" w:type="dxa"/>
            <w:tcBorders>
              <w:tl2br w:val="nil"/>
              <w:tr2bl w:val="nil"/>
            </w:tcBorders>
            <w:vAlign w:val="center"/>
          </w:tcPr>
          <w:p w14:paraId="41052B3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395459B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restart"/>
            <w:tcBorders>
              <w:tl2br w:val="nil"/>
              <w:tr2bl w:val="nil"/>
            </w:tcBorders>
            <w:vAlign w:val="center"/>
          </w:tcPr>
          <w:p w14:paraId="7915AC8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100%处置</w:t>
            </w:r>
          </w:p>
        </w:tc>
        <w:tc>
          <w:tcPr>
            <w:tcW w:w="1792" w:type="dxa"/>
            <w:vMerge w:val="restart"/>
            <w:tcBorders>
              <w:tl2br w:val="nil"/>
              <w:tr2bl w:val="nil"/>
            </w:tcBorders>
            <w:vAlign w:val="center"/>
          </w:tcPr>
          <w:p w14:paraId="00BDEBB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792" w:type="dxa"/>
            <w:vMerge w:val="restart"/>
            <w:tcBorders>
              <w:tl2br w:val="nil"/>
              <w:tr2bl w:val="nil"/>
            </w:tcBorders>
            <w:vAlign w:val="center"/>
          </w:tcPr>
          <w:p w14:paraId="669AEFB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52A29DF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324" w:hRule="atLeast"/>
          <w:jc w:val="center"/>
        </w:trPr>
        <w:tc>
          <w:tcPr>
            <w:tcW w:w="666" w:type="dxa"/>
            <w:vMerge w:val="continue"/>
            <w:tcBorders>
              <w:tl2br w:val="nil"/>
              <w:tr2bl w:val="nil"/>
            </w:tcBorders>
            <w:vAlign w:val="center"/>
          </w:tcPr>
          <w:p w14:paraId="091A3D68">
            <w:pPr>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13BE607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检疫不合格品</w:t>
            </w:r>
          </w:p>
        </w:tc>
        <w:tc>
          <w:tcPr>
            <w:tcW w:w="3424" w:type="dxa"/>
            <w:vMerge w:val="restart"/>
            <w:tcBorders>
              <w:tl2br w:val="nil"/>
              <w:tr2bl w:val="nil"/>
            </w:tcBorders>
            <w:vAlign w:val="center"/>
          </w:tcPr>
          <w:p w14:paraId="71D8C52E">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委托</w:t>
            </w:r>
            <w:r>
              <w:rPr>
                <w:rFonts w:hint="eastAsia" w:cs="Times New Roman"/>
                <w:color w:val="auto"/>
                <w:sz w:val="21"/>
                <w:szCs w:val="21"/>
                <w:highlight w:val="none"/>
                <w:lang w:eastAsia="zh-CN"/>
              </w:rPr>
              <w:t>双鸭山百奥迈斯生物科技有限公司</w:t>
            </w:r>
            <w:r>
              <w:rPr>
                <w:rFonts w:hint="eastAsia" w:cs="Times New Roman"/>
                <w:color w:val="auto"/>
                <w:sz w:val="21"/>
                <w:szCs w:val="21"/>
                <w:highlight w:val="none"/>
                <w:lang w:val="en-US" w:eastAsia="zh-CN"/>
              </w:rPr>
              <w:t>处置</w:t>
            </w:r>
          </w:p>
        </w:tc>
        <w:tc>
          <w:tcPr>
            <w:tcW w:w="1493" w:type="dxa"/>
            <w:tcBorders>
              <w:tl2br w:val="nil"/>
              <w:tr2bl w:val="nil"/>
            </w:tcBorders>
            <w:vAlign w:val="center"/>
          </w:tcPr>
          <w:p w14:paraId="587C0C8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2E25529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69E0FAE9">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50DAE419">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7F142C52">
            <w:pPr>
              <w:spacing w:line="360" w:lineRule="exact"/>
              <w:ind w:firstLine="0" w:firstLineChars="0"/>
              <w:jc w:val="center"/>
              <w:rPr>
                <w:rFonts w:cs="Times New Roman"/>
                <w:color w:val="auto"/>
                <w:sz w:val="21"/>
                <w:szCs w:val="21"/>
                <w:highlight w:val="none"/>
              </w:rPr>
            </w:pPr>
          </w:p>
        </w:tc>
      </w:tr>
      <w:tr w14:paraId="336FE81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324" w:hRule="atLeast"/>
          <w:jc w:val="center"/>
        </w:trPr>
        <w:tc>
          <w:tcPr>
            <w:tcW w:w="666" w:type="dxa"/>
            <w:vMerge w:val="continue"/>
            <w:tcBorders>
              <w:tl2br w:val="nil"/>
              <w:tr2bl w:val="nil"/>
            </w:tcBorders>
            <w:vAlign w:val="center"/>
          </w:tcPr>
          <w:p w14:paraId="76597141">
            <w:pPr>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6517FA4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病死牛羊</w:t>
            </w:r>
          </w:p>
        </w:tc>
        <w:tc>
          <w:tcPr>
            <w:tcW w:w="3424" w:type="dxa"/>
            <w:vMerge w:val="continue"/>
            <w:tcBorders>
              <w:tl2br w:val="nil"/>
              <w:tr2bl w:val="nil"/>
            </w:tcBorders>
            <w:vAlign w:val="center"/>
          </w:tcPr>
          <w:p w14:paraId="4F18E2AA">
            <w:pPr>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4E34272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5AE9413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29D1C306">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565923B8">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3EBE8ADF">
            <w:pPr>
              <w:spacing w:line="360" w:lineRule="exact"/>
              <w:ind w:firstLine="0" w:firstLineChars="0"/>
              <w:jc w:val="center"/>
              <w:rPr>
                <w:rFonts w:cs="Times New Roman"/>
                <w:color w:val="auto"/>
                <w:sz w:val="21"/>
                <w:szCs w:val="21"/>
                <w:highlight w:val="none"/>
              </w:rPr>
            </w:pPr>
          </w:p>
        </w:tc>
      </w:tr>
      <w:tr w14:paraId="0581F90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0468C9C1">
            <w:pPr>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4F8373D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边角料</w:t>
            </w:r>
          </w:p>
        </w:tc>
        <w:tc>
          <w:tcPr>
            <w:tcW w:w="3424" w:type="dxa"/>
            <w:vMerge w:val="restart"/>
            <w:tcBorders>
              <w:tl2br w:val="nil"/>
              <w:tr2bl w:val="nil"/>
            </w:tcBorders>
            <w:vAlign w:val="center"/>
          </w:tcPr>
          <w:p w14:paraId="20EB24D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作为有机肥原料外售</w:t>
            </w:r>
          </w:p>
        </w:tc>
        <w:tc>
          <w:tcPr>
            <w:tcW w:w="1493" w:type="dxa"/>
            <w:tcBorders>
              <w:tl2br w:val="nil"/>
              <w:tr2bl w:val="nil"/>
            </w:tcBorders>
            <w:vAlign w:val="center"/>
          </w:tcPr>
          <w:p w14:paraId="32721E9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4528276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4DB11521">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3E9BE438">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0691DFBD">
            <w:pPr>
              <w:spacing w:line="360" w:lineRule="exact"/>
              <w:ind w:firstLine="0" w:firstLineChars="0"/>
              <w:jc w:val="center"/>
              <w:rPr>
                <w:rFonts w:cs="Times New Roman"/>
                <w:color w:val="auto"/>
                <w:sz w:val="21"/>
                <w:szCs w:val="21"/>
                <w:highlight w:val="none"/>
              </w:rPr>
            </w:pPr>
          </w:p>
        </w:tc>
      </w:tr>
      <w:tr w14:paraId="0A4C65F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412F1B8C">
            <w:pPr>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0B5D04A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胃容物及肠内物</w:t>
            </w:r>
          </w:p>
        </w:tc>
        <w:tc>
          <w:tcPr>
            <w:tcW w:w="3424" w:type="dxa"/>
            <w:vMerge w:val="continue"/>
            <w:tcBorders>
              <w:tl2br w:val="nil"/>
              <w:tr2bl w:val="nil"/>
            </w:tcBorders>
            <w:vAlign w:val="center"/>
          </w:tcPr>
          <w:p w14:paraId="45C581B0">
            <w:pPr>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0AF6D25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342444A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06946EF3">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080F56CA">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55CCCB6D">
            <w:pPr>
              <w:spacing w:line="360" w:lineRule="exact"/>
              <w:ind w:firstLine="0" w:firstLineChars="0"/>
              <w:jc w:val="center"/>
              <w:rPr>
                <w:rFonts w:cs="Times New Roman"/>
                <w:color w:val="auto"/>
                <w:sz w:val="21"/>
                <w:szCs w:val="21"/>
                <w:highlight w:val="none"/>
              </w:rPr>
            </w:pPr>
          </w:p>
        </w:tc>
      </w:tr>
      <w:tr w14:paraId="4AAD477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90" w:hRule="atLeast"/>
          <w:jc w:val="center"/>
        </w:trPr>
        <w:tc>
          <w:tcPr>
            <w:tcW w:w="666" w:type="dxa"/>
            <w:vMerge w:val="continue"/>
            <w:tcBorders>
              <w:tl2br w:val="nil"/>
              <w:tr2bl w:val="nil"/>
            </w:tcBorders>
            <w:vAlign w:val="center"/>
          </w:tcPr>
          <w:p w14:paraId="74BB2F0D">
            <w:pPr>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597315F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粪便</w:t>
            </w:r>
          </w:p>
        </w:tc>
        <w:tc>
          <w:tcPr>
            <w:tcW w:w="3424" w:type="dxa"/>
            <w:vMerge w:val="continue"/>
            <w:tcBorders>
              <w:tl2br w:val="nil"/>
              <w:tr2bl w:val="nil"/>
            </w:tcBorders>
            <w:vAlign w:val="center"/>
          </w:tcPr>
          <w:p w14:paraId="471E9CD1">
            <w:pPr>
              <w:spacing w:line="360" w:lineRule="exact"/>
              <w:ind w:firstLine="0" w:firstLineChars="0"/>
              <w:jc w:val="center"/>
              <w:rPr>
                <w:rFonts w:cs="Times New Roman"/>
                <w:color w:val="auto"/>
                <w:sz w:val="21"/>
                <w:szCs w:val="21"/>
                <w:highlight w:val="none"/>
              </w:rPr>
            </w:pPr>
          </w:p>
        </w:tc>
        <w:tc>
          <w:tcPr>
            <w:tcW w:w="1493" w:type="dxa"/>
            <w:tcBorders>
              <w:tl2br w:val="nil"/>
              <w:tr2bl w:val="nil"/>
            </w:tcBorders>
            <w:vAlign w:val="center"/>
          </w:tcPr>
          <w:p w14:paraId="2B2D1F8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6539A7F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4F95DACF">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35D0CEF8">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7178457C">
            <w:pPr>
              <w:spacing w:line="360" w:lineRule="exact"/>
              <w:ind w:firstLine="0" w:firstLineChars="0"/>
              <w:jc w:val="center"/>
              <w:rPr>
                <w:rFonts w:cs="Times New Roman"/>
                <w:color w:val="auto"/>
                <w:sz w:val="21"/>
                <w:szCs w:val="21"/>
                <w:highlight w:val="none"/>
              </w:rPr>
            </w:pPr>
          </w:p>
        </w:tc>
      </w:tr>
      <w:tr w14:paraId="5A51F1D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90" w:hRule="atLeast"/>
          <w:jc w:val="center"/>
        </w:trPr>
        <w:tc>
          <w:tcPr>
            <w:tcW w:w="666" w:type="dxa"/>
            <w:vMerge w:val="continue"/>
            <w:tcBorders>
              <w:tl2br w:val="nil"/>
              <w:tr2bl w:val="nil"/>
            </w:tcBorders>
            <w:vAlign w:val="center"/>
          </w:tcPr>
          <w:p w14:paraId="1F8C5CB2">
            <w:pPr>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1D33260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废包装</w:t>
            </w:r>
          </w:p>
        </w:tc>
        <w:tc>
          <w:tcPr>
            <w:tcW w:w="3424" w:type="dxa"/>
            <w:tcBorders>
              <w:tl2br w:val="nil"/>
              <w:tr2bl w:val="nil"/>
            </w:tcBorders>
            <w:vAlign w:val="center"/>
          </w:tcPr>
          <w:p w14:paraId="7575E8B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定期外售综合利用</w:t>
            </w:r>
          </w:p>
        </w:tc>
        <w:tc>
          <w:tcPr>
            <w:tcW w:w="1493" w:type="dxa"/>
            <w:tcBorders>
              <w:tl2br w:val="nil"/>
              <w:tr2bl w:val="nil"/>
            </w:tcBorders>
            <w:vAlign w:val="center"/>
          </w:tcPr>
          <w:p w14:paraId="7FE145E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048CA38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104EEE4B">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6DDA7FF7">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2D8C6226">
            <w:pPr>
              <w:spacing w:line="360" w:lineRule="exact"/>
              <w:ind w:firstLine="0" w:firstLineChars="0"/>
              <w:jc w:val="center"/>
              <w:rPr>
                <w:rFonts w:cs="Times New Roman"/>
                <w:color w:val="auto"/>
                <w:sz w:val="21"/>
                <w:szCs w:val="21"/>
                <w:highlight w:val="none"/>
              </w:rPr>
            </w:pPr>
          </w:p>
        </w:tc>
      </w:tr>
      <w:tr w14:paraId="5FB002D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90" w:hRule="atLeast"/>
          <w:jc w:val="center"/>
        </w:trPr>
        <w:tc>
          <w:tcPr>
            <w:tcW w:w="666" w:type="dxa"/>
            <w:vMerge w:val="continue"/>
            <w:tcBorders>
              <w:tl2br w:val="nil"/>
              <w:tr2bl w:val="nil"/>
            </w:tcBorders>
            <w:vAlign w:val="center"/>
          </w:tcPr>
          <w:p w14:paraId="4A19AB48">
            <w:pPr>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3D60D5FF">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隔油池废油脂</w:t>
            </w:r>
          </w:p>
        </w:tc>
        <w:tc>
          <w:tcPr>
            <w:tcW w:w="3424" w:type="dxa"/>
            <w:tcBorders>
              <w:tl2br w:val="nil"/>
              <w:tr2bl w:val="nil"/>
            </w:tcBorders>
            <w:vAlign w:val="center"/>
          </w:tcPr>
          <w:p w14:paraId="138830D8">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收集后交由有能力处置单位进行运输处理</w:t>
            </w:r>
          </w:p>
        </w:tc>
        <w:tc>
          <w:tcPr>
            <w:tcW w:w="1493" w:type="dxa"/>
            <w:tcBorders>
              <w:tl2br w:val="nil"/>
              <w:tr2bl w:val="nil"/>
            </w:tcBorders>
            <w:vAlign w:val="center"/>
          </w:tcPr>
          <w:p w14:paraId="69135E8E">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493" w:type="dxa"/>
            <w:tcBorders>
              <w:tl2br w:val="nil"/>
              <w:tr2bl w:val="nil"/>
            </w:tcBorders>
            <w:vAlign w:val="center"/>
          </w:tcPr>
          <w:p w14:paraId="38FB98CE">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385" w:type="dxa"/>
            <w:vMerge w:val="continue"/>
            <w:tcBorders>
              <w:tl2br w:val="nil"/>
              <w:tr2bl w:val="nil"/>
            </w:tcBorders>
            <w:vAlign w:val="center"/>
          </w:tcPr>
          <w:p w14:paraId="790E298A">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6058F031">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1CAFD5BD">
            <w:pPr>
              <w:spacing w:line="360" w:lineRule="exact"/>
              <w:ind w:firstLine="0" w:firstLineChars="0"/>
              <w:jc w:val="center"/>
              <w:rPr>
                <w:rFonts w:cs="Times New Roman"/>
                <w:color w:val="auto"/>
                <w:sz w:val="21"/>
                <w:szCs w:val="21"/>
                <w:highlight w:val="none"/>
              </w:rPr>
            </w:pPr>
          </w:p>
        </w:tc>
      </w:tr>
      <w:tr w14:paraId="79B09B4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2A2862B4">
            <w:pPr>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4B49A4B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脱水污泥（含栅渣）</w:t>
            </w:r>
          </w:p>
        </w:tc>
        <w:tc>
          <w:tcPr>
            <w:tcW w:w="3424" w:type="dxa"/>
            <w:tcBorders>
              <w:tl2br w:val="nil"/>
              <w:tr2bl w:val="nil"/>
            </w:tcBorders>
            <w:vAlign w:val="center"/>
          </w:tcPr>
          <w:p w14:paraId="116570A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送生活垃圾填埋场填埋</w:t>
            </w:r>
          </w:p>
        </w:tc>
        <w:tc>
          <w:tcPr>
            <w:tcW w:w="1493" w:type="dxa"/>
            <w:tcBorders>
              <w:tl2br w:val="nil"/>
              <w:tr2bl w:val="nil"/>
            </w:tcBorders>
            <w:vAlign w:val="center"/>
          </w:tcPr>
          <w:p w14:paraId="6F3FCCD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192B7B9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30EED84E">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005CD667">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68F79353">
            <w:pPr>
              <w:spacing w:line="360" w:lineRule="exact"/>
              <w:ind w:firstLine="0" w:firstLineChars="0"/>
              <w:jc w:val="center"/>
              <w:rPr>
                <w:rFonts w:cs="Times New Roman"/>
                <w:color w:val="auto"/>
                <w:sz w:val="21"/>
                <w:szCs w:val="21"/>
                <w:highlight w:val="none"/>
              </w:rPr>
            </w:pPr>
          </w:p>
        </w:tc>
      </w:tr>
      <w:tr w14:paraId="22D905A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trHeight w:val="256" w:hRule="atLeast"/>
          <w:jc w:val="center"/>
        </w:trPr>
        <w:tc>
          <w:tcPr>
            <w:tcW w:w="666" w:type="dxa"/>
            <w:vMerge w:val="continue"/>
            <w:tcBorders>
              <w:tl2br w:val="nil"/>
              <w:tr2bl w:val="nil"/>
            </w:tcBorders>
            <w:vAlign w:val="center"/>
          </w:tcPr>
          <w:p w14:paraId="74A403B2">
            <w:pPr>
              <w:widowControl/>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218B0DF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废活性炭</w:t>
            </w:r>
          </w:p>
        </w:tc>
        <w:tc>
          <w:tcPr>
            <w:tcW w:w="3424" w:type="dxa"/>
            <w:tcBorders>
              <w:tl2br w:val="nil"/>
              <w:tr2bl w:val="nil"/>
            </w:tcBorders>
            <w:vAlign w:val="center"/>
          </w:tcPr>
          <w:p w14:paraId="2A42137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定期由有资质的单位处置</w:t>
            </w:r>
          </w:p>
        </w:tc>
        <w:tc>
          <w:tcPr>
            <w:tcW w:w="1493" w:type="dxa"/>
            <w:tcBorders>
              <w:tl2br w:val="nil"/>
              <w:tr2bl w:val="nil"/>
            </w:tcBorders>
            <w:vAlign w:val="center"/>
          </w:tcPr>
          <w:p w14:paraId="013A4FD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65E74BB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402CD665">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1A624D18">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29974FDB">
            <w:pPr>
              <w:spacing w:line="360" w:lineRule="exact"/>
              <w:ind w:firstLine="0" w:firstLineChars="0"/>
              <w:jc w:val="center"/>
              <w:rPr>
                <w:rFonts w:cs="Times New Roman"/>
                <w:color w:val="auto"/>
                <w:sz w:val="21"/>
                <w:szCs w:val="21"/>
                <w:highlight w:val="none"/>
              </w:rPr>
            </w:pPr>
          </w:p>
        </w:tc>
      </w:tr>
      <w:tr w14:paraId="2D83FDD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69AAFC5C">
            <w:pPr>
              <w:widowControl/>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5EC0530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检疫废物</w:t>
            </w:r>
          </w:p>
        </w:tc>
        <w:tc>
          <w:tcPr>
            <w:tcW w:w="3424" w:type="dxa"/>
            <w:tcBorders>
              <w:tl2br w:val="nil"/>
              <w:tr2bl w:val="nil"/>
            </w:tcBorders>
            <w:vAlign w:val="center"/>
          </w:tcPr>
          <w:p w14:paraId="259FD0E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定期由有资质的单位处置</w:t>
            </w:r>
          </w:p>
        </w:tc>
        <w:tc>
          <w:tcPr>
            <w:tcW w:w="1493" w:type="dxa"/>
            <w:tcBorders>
              <w:tl2br w:val="nil"/>
              <w:tr2bl w:val="nil"/>
            </w:tcBorders>
            <w:vAlign w:val="center"/>
          </w:tcPr>
          <w:p w14:paraId="650C692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1493" w:type="dxa"/>
            <w:tcBorders>
              <w:tl2br w:val="nil"/>
              <w:tr2bl w:val="nil"/>
            </w:tcBorders>
            <w:vAlign w:val="center"/>
          </w:tcPr>
          <w:p w14:paraId="0CDEA5C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c>
          <w:tcPr>
            <w:tcW w:w="2385" w:type="dxa"/>
            <w:vMerge w:val="continue"/>
            <w:tcBorders>
              <w:tl2br w:val="nil"/>
              <w:tr2bl w:val="nil"/>
            </w:tcBorders>
            <w:vAlign w:val="center"/>
          </w:tcPr>
          <w:p w14:paraId="54FE41A9">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69A12FCF">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6062B80A">
            <w:pPr>
              <w:spacing w:line="360" w:lineRule="exact"/>
              <w:ind w:firstLine="0" w:firstLineChars="0"/>
              <w:jc w:val="center"/>
              <w:rPr>
                <w:rFonts w:cs="Times New Roman"/>
                <w:color w:val="auto"/>
                <w:sz w:val="21"/>
                <w:szCs w:val="21"/>
                <w:highlight w:val="none"/>
              </w:rPr>
            </w:pPr>
          </w:p>
        </w:tc>
      </w:tr>
      <w:tr w14:paraId="60FADE5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448ED944">
            <w:pPr>
              <w:widowControl/>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600868F5">
            <w:pPr>
              <w:spacing w:line="360" w:lineRule="exact"/>
              <w:ind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废润滑油</w:t>
            </w:r>
          </w:p>
        </w:tc>
        <w:tc>
          <w:tcPr>
            <w:tcW w:w="3424" w:type="dxa"/>
            <w:tcBorders>
              <w:tl2br w:val="nil"/>
              <w:tr2bl w:val="nil"/>
            </w:tcBorders>
            <w:vAlign w:val="center"/>
          </w:tcPr>
          <w:p w14:paraId="3A05D60A">
            <w:pPr>
              <w:spacing w:line="360" w:lineRule="exact"/>
              <w:ind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定期由有资质的单位处置</w:t>
            </w:r>
          </w:p>
        </w:tc>
        <w:tc>
          <w:tcPr>
            <w:tcW w:w="1493" w:type="dxa"/>
            <w:tcBorders>
              <w:tl2br w:val="nil"/>
              <w:tr2bl w:val="nil"/>
            </w:tcBorders>
            <w:vAlign w:val="center"/>
          </w:tcPr>
          <w:p w14:paraId="246E346C">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493" w:type="dxa"/>
            <w:tcBorders>
              <w:tl2br w:val="nil"/>
              <w:tr2bl w:val="nil"/>
            </w:tcBorders>
            <w:vAlign w:val="center"/>
          </w:tcPr>
          <w:p w14:paraId="4A2AFE62">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2385" w:type="dxa"/>
            <w:vMerge w:val="continue"/>
            <w:tcBorders>
              <w:tl2br w:val="nil"/>
              <w:tr2bl w:val="nil"/>
            </w:tcBorders>
            <w:vAlign w:val="center"/>
          </w:tcPr>
          <w:p w14:paraId="3728D380">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37458E48">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26F3015E">
            <w:pPr>
              <w:spacing w:line="360" w:lineRule="exact"/>
              <w:ind w:firstLine="0" w:firstLineChars="0"/>
              <w:jc w:val="center"/>
              <w:rPr>
                <w:rFonts w:cs="Times New Roman"/>
                <w:color w:val="auto"/>
                <w:sz w:val="21"/>
                <w:szCs w:val="21"/>
                <w:highlight w:val="none"/>
              </w:rPr>
            </w:pPr>
          </w:p>
        </w:tc>
      </w:tr>
      <w:tr w14:paraId="418BA05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3" w:type="dxa"/>
            <w:bottom w:w="0" w:type="dxa"/>
            <w:right w:w="23" w:type="dxa"/>
          </w:tblCellMar>
        </w:tblPrEx>
        <w:trPr>
          <w:jc w:val="center"/>
        </w:trPr>
        <w:tc>
          <w:tcPr>
            <w:tcW w:w="666" w:type="dxa"/>
            <w:vMerge w:val="continue"/>
            <w:tcBorders>
              <w:tl2br w:val="nil"/>
              <w:tr2bl w:val="nil"/>
            </w:tcBorders>
            <w:vAlign w:val="center"/>
          </w:tcPr>
          <w:p w14:paraId="745BD376">
            <w:pPr>
              <w:widowControl/>
              <w:spacing w:line="360" w:lineRule="exact"/>
              <w:ind w:firstLine="0" w:firstLineChars="0"/>
              <w:jc w:val="center"/>
              <w:rPr>
                <w:rFonts w:cs="Times New Roman"/>
                <w:color w:val="auto"/>
                <w:sz w:val="21"/>
                <w:szCs w:val="21"/>
                <w:highlight w:val="none"/>
              </w:rPr>
            </w:pPr>
          </w:p>
        </w:tc>
        <w:tc>
          <w:tcPr>
            <w:tcW w:w="2345" w:type="dxa"/>
            <w:gridSpan w:val="3"/>
            <w:tcBorders>
              <w:tl2br w:val="nil"/>
              <w:tr2bl w:val="nil"/>
            </w:tcBorders>
            <w:vAlign w:val="center"/>
          </w:tcPr>
          <w:p w14:paraId="15B14265">
            <w:pPr>
              <w:spacing w:line="360" w:lineRule="exact"/>
              <w:ind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含油抹布、劳保手套</w:t>
            </w:r>
          </w:p>
        </w:tc>
        <w:tc>
          <w:tcPr>
            <w:tcW w:w="3424" w:type="dxa"/>
            <w:tcBorders>
              <w:tl2br w:val="nil"/>
              <w:tr2bl w:val="nil"/>
            </w:tcBorders>
            <w:vAlign w:val="center"/>
          </w:tcPr>
          <w:p w14:paraId="006A9E51">
            <w:pPr>
              <w:spacing w:line="360" w:lineRule="exact"/>
              <w:ind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定期由有资质的单位处置</w:t>
            </w:r>
          </w:p>
        </w:tc>
        <w:tc>
          <w:tcPr>
            <w:tcW w:w="1493" w:type="dxa"/>
            <w:tcBorders>
              <w:tl2br w:val="nil"/>
              <w:tr2bl w:val="nil"/>
            </w:tcBorders>
            <w:vAlign w:val="center"/>
          </w:tcPr>
          <w:p w14:paraId="2230EF59">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493" w:type="dxa"/>
            <w:tcBorders>
              <w:tl2br w:val="nil"/>
              <w:tr2bl w:val="nil"/>
            </w:tcBorders>
            <w:vAlign w:val="center"/>
          </w:tcPr>
          <w:p w14:paraId="16A4FED5">
            <w:pPr>
              <w:spacing w:line="36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2385" w:type="dxa"/>
            <w:vMerge w:val="continue"/>
            <w:tcBorders>
              <w:tl2br w:val="nil"/>
              <w:tr2bl w:val="nil"/>
            </w:tcBorders>
            <w:vAlign w:val="center"/>
          </w:tcPr>
          <w:p w14:paraId="4DC44C74">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65835D8E">
            <w:pPr>
              <w:spacing w:line="360" w:lineRule="exact"/>
              <w:ind w:firstLine="0" w:firstLineChars="0"/>
              <w:jc w:val="center"/>
              <w:rPr>
                <w:rFonts w:cs="Times New Roman"/>
                <w:color w:val="auto"/>
                <w:sz w:val="21"/>
                <w:szCs w:val="21"/>
                <w:highlight w:val="none"/>
              </w:rPr>
            </w:pPr>
          </w:p>
        </w:tc>
        <w:tc>
          <w:tcPr>
            <w:tcW w:w="1792" w:type="dxa"/>
            <w:vMerge w:val="continue"/>
            <w:tcBorders>
              <w:tl2br w:val="nil"/>
              <w:tr2bl w:val="nil"/>
            </w:tcBorders>
            <w:vAlign w:val="center"/>
          </w:tcPr>
          <w:p w14:paraId="4022D31B">
            <w:pPr>
              <w:spacing w:line="360" w:lineRule="exact"/>
              <w:ind w:firstLine="0" w:firstLineChars="0"/>
              <w:jc w:val="center"/>
              <w:rPr>
                <w:rFonts w:cs="Times New Roman"/>
                <w:color w:val="auto"/>
                <w:sz w:val="21"/>
                <w:szCs w:val="21"/>
                <w:highlight w:val="none"/>
              </w:rPr>
            </w:pPr>
          </w:p>
        </w:tc>
      </w:tr>
    </w:tbl>
    <w:p w14:paraId="4F53C52F">
      <w:pPr>
        <w:rPr>
          <w:rFonts w:cs="Times New Roman"/>
          <w:snapToGrid w:val="0"/>
          <w:color w:val="auto"/>
          <w:kern w:val="0"/>
          <w:highlight w:val="none"/>
        </w:rPr>
      </w:pPr>
    </w:p>
    <w:p w14:paraId="68B57523">
      <w:pPr>
        <w:rPr>
          <w:rFonts w:cs="Times New Roman"/>
          <w:snapToGrid w:val="0"/>
          <w:color w:val="auto"/>
          <w:kern w:val="0"/>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1CAB1622">
      <w:pPr>
        <w:pStyle w:val="4"/>
        <w:spacing w:after="120"/>
        <w:rPr>
          <w:rFonts w:cs="Times New Roman"/>
          <w:color w:val="auto"/>
          <w:highlight w:val="none"/>
        </w:rPr>
      </w:pPr>
      <w:bookmarkStart w:id="412" w:name="_Toc29505"/>
      <w:bookmarkStart w:id="413" w:name="_Toc342462534"/>
      <w:bookmarkStart w:id="414" w:name="_Toc455043910"/>
      <w:bookmarkStart w:id="415" w:name="_Toc456590418"/>
      <w:r>
        <w:rPr>
          <w:rFonts w:cs="Times New Roman"/>
          <w:color w:val="auto"/>
          <w:highlight w:val="none"/>
        </w:rPr>
        <w:t>8.1.4排污口管理信息</w:t>
      </w:r>
      <w:bookmarkEnd w:id="412"/>
    </w:p>
    <w:p w14:paraId="0A236E2D">
      <w:pPr>
        <w:spacing w:line="500" w:lineRule="exact"/>
        <w:rPr>
          <w:rFonts w:cs="Times New Roman"/>
          <w:color w:val="auto"/>
          <w:szCs w:val="24"/>
          <w:highlight w:val="none"/>
        </w:rPr>
      </w:pPr>
      <w:r>
        <w:rPr>
          <w:rFonts w:cs="Times New Roman"/>
          <w:color w:val="auto"/>
          <w:kern w:val="0"/>
          <w:szCs w:val="24"/>
          <w:highlight w:val="none"/>
        </w:rPr>
        <w:t>企</w:t>
      </w:r>
      <w:r>
        <w:rPr>
          <w:rFonts w:cs="Times New Roman"/>
          <w:color w:val="auto"/>
          <w:szCs w:val="24"/>
          <w:highlight w:val="none"/>
        </w:rPr>
        <w:t>业在严格进行环境管理的同时还应遵照国家对排污口规范的要求，“三废”及噪声排放点设置明显标志，标志的设置应执行《环境保护图形标志排放口》（GB15562.1-1995）、《环境保护图形标志固体废物贮存（处置）场》（GB15562.2-1995）中有关规定</w:t>
      </w:r>
    </w:p>
    <w:p w14:paraId="01D3266A">
      <w:pPr>
        <w:spacing w:line="500" w:lineRule="exact"/>
        <w:rPr>
          <w:rFonts w:cs="Times New Roman"/>
          <w:color w:val="auto"/>
          <w:szCs w:val="24"/>
          <w:highlight w:val="none"/>
        </w:rPr>
      </w:pPr>
      <w:r>
        <w:rPr>
          <w:rFonts w:cs="Times New Roman"/>
          <w:color w:val="auto"/>
          <w:szCs w:val="24"/>
          <w:highlight w:val="none"/>
        </w:rPr>
        <w:t>①根据国家环境保护总局《关于开展排放口规范化整治工作的通知》环发[1999]24号文件的规定，一切新建、扩建、改建的排污单位必须在建设污染治理设施的同时建设规范化排污口，作为落实环境保护“三同时”制度的必要组成和项目验收内容之一。具体管理原则如下：</w:t>
      </w:r>
    </w:p>
    <w:p w14:paraId="30363B09">
      <w:pPr>
        <w:spacing w:line="500" w:lineRule="exact"/>
        <w:rPr>
          <w:rFonts w:cs="Times New Roman"/>
          <w:color w:val="auto"/>
          <w:szCs w:val="24"/>
          <w:highlight w:val="none"/>
        </w:rPr>
      </w:pPr>
      <w:r>
        <w:rPr>
          <w:rFonts w:cs="Times New Roman"/>
          <w:color w:val="auto"/>
          <w:szCs w:val="24"/>
          <w:highlight w:val="none"/>
        </w:rPr>
        <w:t>（1）向环境排放的污染物的排放口必须规范化。</w:t>
      </w:r>
    </w:p>
    <w:p w14:paraId="02DC45D3">
      <w:pPr>
        <w:spacing w:line="500" w:lineRule="exact"/>
        <w:rPr>
          <w:rFonts w:cs="Times New Roman"/>
          <w:color w:val="auto"/>
          <w:szCs w:val="24"/>
          <w:highlight w:val="none"/>
        </w:rPr>
      </w:pPr>
      <w:r>
        <w:rPr>
          <w:rFonts w:cs="Times New Roman"/>
          <w:color w:val="auto"/>
          <w:szCs w:val="24"/>
          <w:highlight w:val="none"/>
        </w:rPr>
        <w:t>（2）列入总量控制的污染物、排污口列为管理的重点。</w:t>
      </w:r>
    </w:p>
    <w:p w14:paraId="58287DC9">
      <w:pPr>
        <w:spacing w:line="500" w:lineRule="exact"/>
        <w:rPr>
          <w:rFonts w:cs="Times New Roman"/>
          <w:color w:val="auto"/>
          <w:szCs w:val="24"/>
          <w:highlight w:val="none"/>
        </w:rPr>
      </w:pPr>
      <w:r>
        <w:rPr>
          <w:rFonts w:cs="Times New Roman"/>
          <w:color w:val="auto"/>
          <w:szCs w:val="24"/>
          <w:highlight w:val="none"/>
        </w:rPr>
        <w:t>（3）排污口应便于采样与计量监测，便于日常现场监督检查。</w:t>
      </w:r>
    </w:p>
    <w:p w14:paraId="4FB8290A">
      <w:pPr>
        <w:spacing w:line="500" w:lineRule="exact"/>
        <w:rPr>
          <w:rFonts w:cs="Times New Roman"/>
          <w:color w:val="auto"/>
          <w:szCs w:val="24"/>
          <w:highlight w:val="none"/>
        </w:rPr>
      </w:pPr>
      <w:r>
        <w:rPr>
          <w:rFonts w:cs="Times New Roman"/>
          <w:color w:val="auto"/>
          <w:szCs w:val="24"/>
          <w:highlight w:val="none"/>
        </w:rPr>
        <w:t>（4）如实向环保管理部门申报排污口数量、位置及所排放的主要污染物种类、数量、浓度、排放去向等情况。</w:t>
      </w:r>
    </w:p>
    <w:p w14:paraId="152C307B">
      <w:pPr>
        <w:spacing w:line="500" w:lineRule="exact"/>
        <w:rPr>
          <w:rFonts w:cs="Times New Roman"/>
          <w:color w:val="auto"/>
          <w:szCs w:val="24"/>
          <w:highlight w:val="none"/>
        </w:rPr>
      </w:pPr>
      <w:r>
        <w:rPr>
          <w:rFonts w:cs="Times New Roman"/>
          <w:color w:val="auto"/>
          <w:szCs w:val="24"/>
          <w:highlight w:val="none"/>
        </w:rPr>
        <w:t>（5）废气排气及废水排放口装置应设置便于采样、监测的采样孔和采样平台，设置应符合《污染源监测技术规范》。</w:t>
      </w:r>
    </w:p>
    <w:p w14:paraId="7777ADBB">
      <w:pPr>
        <w:spacing w:line="500" w:lineRule="exact"/>
        <w:rPr>
          <w:rFonts w:cs="Times New Roman"/>
          <w:color w:val="auto"/>
          <w:szCs w:val="24"/>
          <w:highlight w:val="none"/>
        </w:rPr>
      </w:pPr>
      <w:r>
        <w:rPr>
          <w:rFonts w:cs="Times New Roman"/>
          <w:color w:val="auto"/>
          <w:szCs w:val="24"/>
          <w:highlight w:val="none"/>
        </w:rPr>
        <w:t>（6）工程固废堆存时，专用堆放场应设有防扬散、防流失、防渗漏措施。</w:t>
      </w:r>
    </w:p>
    <w:p w14:paraId="64994D5D">
      <w:pPr>
        <w:spacing w:line="500" w:lineRule="exact"/>
        <w:rPr>
          <w:rFonts w:cs="Times New Roman"/>
          <w:color w:val="auto"/>
          <w:szCs w:val="24"/>
          <w:highlight w:val="none"/>
        </w:rPr>
      </w:pPr>
      <w:r>
        <w:rPr>
          <w:rFonts w:cs="Times New Roman"/>
          <w:color w:val="auto"/>
          <w:szCs w:val="24"/>
          <w:highlight w:val="none"/>
        </w:rPr>
        <w:t>②排污口立标管理</w:t>
      </w:r>
    </w:p>
    <w:p w14:paraId="41FC0565">
      <w:pPr>
        <w:spacing w:line="500" w:lineRule="exact"/>
        <w:rPr>
          <w:rFonts w:cs="Times New Roman"/>
          <w:color w:val="auto"/>
          <w:szCs w:val="24"/>
          <w:highlight w:val="none"/>
        </w:rPr>
      </w:pPr>
      <w:r>
        <w:rPr>
          <w:rFonts w:cs="Times New Roman"/>
          <w:color w:val="auto"/>
          <w:szCs w:val="24"/>
          <w:highlight w:val="none"/>
        </w:rPr>
        <w:t>对高噪声排放源、废水排放口以及固体废物堆场，应按照国家《环境保护图形标志》（GB15562.1-1995）与《环境保护图形标志固体废物贮存（处置）场》（GB1556.2-1995）规定，设置国家环保局统一制作的环境保护图形标志牌，排污口标志设置见表8.1-2：</w:t>
      </w:r>
    </w:p>
    <w:p w14:paraId="3AB3376D">
      <w:pPr>
        <w:spacing w:line="500" w:lineRule="exact"/>
        <w:rPr>
          <w:rFonts w:cs="Times New Roman"/>
          <w:color w:val="auto"/>
          <w:szCs w:val="24"/>
          <w:highlight w:val="none"/>
        </w:rPr>
      </w:pPr>
      <w:r>
        <w:rPr>
          <w:rFonts w:cs="Times New Roman"/>
          <w:color w:val="auto"/>
          <w:szCs w:val="24"/>
          <w:highlight w:val="none"/>
        </w:rPr>
        <w:t>（1）污染物排放口的环保图形标志牌应设置在靠近采样点且醒目处，标志牌设置高度为其上边缘距离地面约2m；</w:t>
      </w:r>
    </w:p>
    <w:p w14:paraId="0C33D6B9">
      <w:pPr>
        <w:spacing w:line="500" w:lineRule="exact"/>
        <w:rPr>
          <w:rFonts w:cs="Times New Roman"/>
          <w:color w:val="auto"/>
          <w:szCs w:val="24"/>
          <w:highlight w:val="none"/>
        </w:rPr>
      </w:pPr>
      <w:r>
        <w:rPr>
          <w:rFonts w:cs="Times New Roman"/>
          <w:color w:val="auto"/>
          <w:szCs w:val="24"/>
          <w:highlight w:val="none"/>
        </w:rPr>
        <w:t>（2）重点排污单位的污染物排放口以设置立式标志牌为主，一般排污单位的污染物排放口，可根据情况设置立式或平面固定式标志牌。</w:t>
      </w:r>
    </w:p>
    <w:p w14:paraId="7B372006">
      <w:pPr>
        <w:spacing w:line="500" w:lineRule="exact"/>
        <w:rPr>
          <w:rFonts w:cs="Times New Roman"/>
          <w:color w:val="auto"/>
          <w:szCs w:val="24"/>
          <w:highlight w:val="none"/>
        </w:rPr>
      </w:pPr>
      <w:r>
        <w:rPr>
          <w:rFonts w:cs="Times New Roman"/>
          <w:color w:val="auto"/>
          <w:szCs w:val="24"/>
          <w:highlight w:val="none"/>
        </w:rPr>
        <w:t>③排污口建档管理</w:t>
      </w:r>
    </w:p>
    <w:p w14:paraId="64936EC0">
      <w:pPr>
        <w:spacing w:line="500" w:lineRule="exact"/>
        <w:rPr>
          <w:rFonts w:cs="Times New Roman"/>
          <w:color w:val="auto"/>
          <w:szCs w:val="24"/>
          <w:highlight w:val="none"/>
        </w:rPr>
      </w:pPr>
      <w:r>
        <w:rPr>
          <w:rFonts w:cs="Times New Roman"/>
          <w:color w:val="auto"/>
          <w:szCs w:val="24"/>
          <w:highlight w:val="none"/>
        </w:rPr>
        <w:t>（1）本项目应使用国家环保局统一印制的《中华人民共和国规范化排污口标志登记证》，并按要求填写有关内容；</w:t>
      </w:r>
    </w:p>
    <w:p w14:paraId="373CA614">
      <w:pPr>
        <w:spacing w:line="500" w:lineRule="exact"/>
        <w:rPr>
          <w:rFonts w:cs="Times New Roman"/>
          <w:snapToGrid w:val="0"/>
          <w:color w:val="auto"/>
          <w:kern w:val="0"/>
          <w:highlight w:val="none"/>
        </w:rPr>
      </w:pPr>
      <w:r>
        <w:rPr>
          <w:rFonts w:cs="Times New Roman"/>
          <w:color w:val="auto"/>
          <w:szCs w:val="24"/>
          <w:highlight w:val="none"/>
        </w:rPr>
        <w:t>（2）根据排污口管理内容要求，项目建成投产后，应将主要污染物种类、数量、浓度、排放去向，立标情况及设施运行情况记录于档案。</w:t>
      </w:r>
    </w:p>
    <w:p w14:paraId="683E5DBA">
      <w:pPr>
        <w:keepNext/>
        <w:keepLines/>
        <w:spacing w:line="500" w:lineRule="exact"/>
        <w:ind w:firstLine="0" w:firstLineChars="0"/>
        <w:jc w:val="left"/>
        <w:outlineLvl w:val="2"/>
        <w:rPr>
          <w:rFonts w:eastAsia="黑体" w:cs="Times New Roman"/>
          <w:bCs/>
          <w:snapToGrid w:val="0"/>
          <w:color w:val="auto"/>
          <w:kern w:val="0"/>
          <w:szCs w:val="32"/>
          <w:highlight w:val="none"/>
        </w:rPr>
      </w:pPr>
      <w:bookmarkStart w:id="416" w:name="_Toc7624"/>
      <w:r>
        <w:rPr>
          <w:rFonts w:eastAsia="黑体" w:cs="Times New Roman"/>
          <w:bCs/>
          <w:snapToGrid w:val="0"/>
          <w:color w:val="auto"/>
          <w:kern w:val="0"/>
          <w:szCs w:val="32"/>
          <w:highlight w:val="none"/>
        </w:rPr>
        <w:t>8.1.5企业信息公开</w:t>
      </w:r>
      <w:bookmarkEnd w:id="416"/>
    </w:p>
    <w:p w14:paraId="6DF2AF12">
      <w:pPr>
        <w:spacing w:line="500" w:lineRule="exact"/>
        <w:rPr>
          <w:rFonts w:cs="Times New Roman"/>
          <w:color w:val="auto"/>
          <w:highlight w:val="none"/>
        </w:rPr>
      </w:pPr>
      <w:bookmarkStart w:id="417" w:name="_Toc480447684"/>
      <w:bookmarkStart w:id="418" w:name="_Toc31823"/>
      <w:r>
        <w:rPr>
          <w:rFonts w:cs="Times New Roman"/>
          <w:color w:val="auto"/>
          <w:highlight w:val="none"/>
        </w:rPr>
        <w:t>根据《企事业单位环境信息公开办法》（环保部令第31号），本项目应当采取主动公开和申请公开两种方式及时、如实地公开其环境信息。</w:t>
      </w:r>
    </w:p>
    <w:p w14:paraId="37C95EC9">
      <w:pPr>
        <w:spacing w:line="500" w:lineRule="exact"/>
        <w:rPr>
          <w:rFonts w:cs="Times New Roman"/>
          <w:color w:val="auto"/>
          <w:highlight w:val="none"/>
        </w:rPr>
      </w:pPr>
      <w:r>
        <w:rPr>
          <w:rFonts w:cs="Times New Roman"/>
          <w:color w:val="auto"/>
          <w:highlight w:val="none"/>
        </w:rPr>
        <w:t>（1）主动公开</w:t>
      </w:r>
    </w:p>
    <w:p w14:paraId="6F4BB61F">
      <w:pPr>
        <w:spacing w:line="500" w:lineRule="exact"/>
        <w:rPr>
          <w:rFonts w:cs="Times New Roman"/>
          <w:color w:val="auto"/>
          <w:highlight w:val="none"/>
        </w:rPr>
      </w:pPr>
      <w:r>
        <w:rPr>
          <w:rFonts w:cs="Times New Roman"/>
          <w:color w:val="auto"/>
          <w:highlight w:val="none"/>
        </w:rPr>
        <w:t>主动向社会公开的信息内容包括项目名称、建设单位、地址、联系方式、排污信息（污染源名称、监测点位名称、监测日期，监测指标名称、监测指标浓度、排放浓度限值）和污染设施运行情况等。主动公开的环保信息，主要通过</w:t>
      </w:r>
      <w:r>
        <w:rPr>
          <w:rFonts w:hint="eastAsia" w:cs="Times New Roman"/>
          <w:color w:val="auto"/>
          <w:highlight w:val="none"/>
          <w:lang w:val="en-US" w:eastAsia="zh-CN"/>
        </w:rPr>
        <w:t>双鸭山</w:t>
      </w:r>
      <w:r>
        <w:rPr>
          <w:rFonts w:cs="Times New Roman"/>
          <w:color w:val="auto"/>
          <w:highlight w:val="none"/>
        </w:rPr>
        <w:t>政府门户网站、生态环境局网站公开，同时，根据政府信息内容和特点通过报刊、广播、电视等便于公众知晓的辅助方式公开。</w:t>
      </w:r>
    </w:p>
    <w:p w14:paraId="0B576B56">
      <w:pPr>
        <w:spacing w:line="500" w:lineRule="exact"/>
        <w:rPr>
          <w:rFonts w:cs="Times New Roman"/>
          <w:color w:val="auto"/>
          <w:highlight w:val="none"/>
        </w:rPr>
      </w:pPr>
      <w:r>
        <w:rPr>
          <w:rFonts w:cs="Times New Roman"/>
          <w:color w:val="auto"/>
          <w:highlight w:val="none"/>
        </w:rPr>
        <w:t>（2）依法申请公开</w:t>
      </w:r>
    </w:p>
    <w:p w14:paraId="0F8C965E">
      <w:pPr>
        <w:spacing w:line="500" w:lineRule="exact"/>
        <w:rPr>
          <w:rFonts w:ascii="Times New Roman" w:hAnsi="Times New Roman" w:eastAsia="宋体" w:cs="Times New Roman"/>
          <w:color w:val="auto"/>
          <w:highlight w:val="none"/>
        </w:rPr>
      </w:pPr>
      <w:r>
        <w:rPr>
          <w:rFonts w:ascii="Times New Roman" w:hAnsi="Times New Roman" w:eastAsia="宋体" w:cs="Times New Roman"/>
          <w:color w:val="auto"/>
          <w:highlight w:val="none"/>
        </w:rPr>
        <w:t>公民、法人和其他组织依照《中华人民共和国政府信息公开条例》的规定，向</w:t>
      </w:r>
      <w:r>
        <w:rPr>
          <w:rFonts w:hint="eastAsia" w:cs="Times New Roman"/>
          <w:color w:val="auto"/>
          <w:highlight w:val="none"/>
          <w:lang w:val="en-US" w:eastAsia="zh-CN"/>
        </w:rPr>
        <w:t>双鸭山市</w:t>
      </w:r>
      <w:r>
        <w:rPr>
          <w:rFonts w:ascii="Times New Roman" w:hAnsi="Times New Roman" w:eastAsia="宋体" w:cs="Times New Roman"/>
          <w:color w:val="auto"/>
          <w:highlight w:val="none"/>
        </w:rPr>
        <w:t>生态环境局及其直属机构申请主动公开以外的环境信息。</w:t>
      </w:r>
    </w:p>
    <w:p w14:paraId="5C5B2267">
      <w:pPr>
        <w:pStyle w:val="3"/>
        <w:spacing w:before="120" w:after="120"/>
        <w:rPr>
          <w:rFonts w:cs="Times New Roman"/>
          <w:color w:val="auto"/>
          <w:highlight w:val="none"/>
        </w:rPr>
      </w:pPr>
      <w:r>
        <w:rPr>
          <w:rFonts w:cs="Times New Roman"/>
          <w:color w:val="auto"/>
          <w:highlight w:val="none"/>
        </w:rPr>
        <w:t>8.2</w:t>
      </w:r>
      <w:bookmarkEnd w:id="413"/>
      <w:bookmarkEnd w:id="414"/>
      <w:bookmarkEnd w:id="415"/>
      <w:bookmarkEnd w:id="417"/>
      <w:r>
        <w:rPr>
          <w:rFonts w:cs="Times New Roman"/>
          <w:color w:val="auto"/>
          <w:highlight w:val="none"/>
        </w:rPr>
        <w:t>环境监测计划</w:t>
      </w:r>
      <w:bookmarkEnd w:id="418"/>
    </w:p>
    <w:p w14:paraId="15AA45A0">
      <w:pPr>
        <w:pStyle w:val="253"/>
        <w:adjustRightInd w:val="0"/>
        <w:snapToGrid w:val="0"/>
        <w:spacing w:before="0" w:line="500" w:lineRule="exact"/>
        <w:rPr>
          <w:color w:val="auto"/>
          <w:highlight w:val="none"/>
        </w:rPr>
      </w:pPr>
      <w:r>
        <w:rPr>
          <w:color w:val="auto"/>
          <w:highlight w:val="none"/>
        </w:rPr>
        <w:t>根据本项目的建设规模，通过环境监测手段，掌握各种污染物的排放情况，如排放量或排放浓度是否符合相应的环境标准，监督生产安全运行和配合环境管理工作的改进，并为控制污染和保护环境提供科学依据。</w:t>
      </w:r>
    </w:p>
    <w:p w14:paraId="095C6C02">
      <w:pPr>
        <w:pStyle w:val="253"/>
        <w:adjustRightInd w:val="0"/>
        <w:snapToGrid w:val="0"/>
        <w:spacing w:before="0" w:line="500" w:lineRule="exact"/>
        <w:rPr>
          <w:snapToGrid w:val="0"/>
          <w:color w:val="auto"/>
          <w:highlight w:val="none"/>
        </w:rPr>
      </w:pPr>
      <w:r>
        <w:rPr>
          <w:color w:val="auto"/>
          <w:highlight w:val="none"/>
        </w:rPr>
        <w:t>环境监测制度的制定和执行，将会保证环保措施的实施和落实，可以及时发现环保措施的不足，进行修正和改进。</w:t>
      </w:r>
    </w:p>
    <w:p w14:paraId="431D18C7">
      <w:pPr>
        <w:pStyle w:val="4"/>
        <w:spacing w:after="120"/>
        <w:rPr>
          <w:rFonts w:cs="Times New Roman"/>
          <w:color w:val="auto"/>
          <w:highlight w:val="none"/>
        </w:rPr>
      </w:pPr>
      <w:bookmarkStart w:id="419" w:name="_Toc15255"/>
      <w:r>
        <w:rPr>
          <w:rFonts w:cs="Times New Roman"/>
          <w:color w:val="auto"/>
          <w:highlight w:val="none"/>
        </w:rPr>
        <w:t>8.2.1环境监测机构职责</w:t>
      </w:r>
      <w:bookmarkEnd w:id="419"/>
    </w:p>
    <w:p w14:paraId="5C6F577A">
      <w:pPr>
        <w:pStyle w:val="462"/>
        <w:spacing w:line="500" w:lineRule="exact"/>
        <w:ind w:left="0" w:right="0"/>
        <w:rPr>
          <w:rFonts w:cs="Times New Roman"/>
          <w:color w:val="auto"/>
          <w:szCs w:val="24"/>
          <w:highlight w:val="none"/>
        </w:rPr>
      </w:pPr>
      <w:r>
        <w:rPr>
          <w:rFonts w:cs="Times New Roman"/>
          <w:color w:val="auto"/>
          <w:szCs w:val="24"/>
          <w:highlight w:val="none"/>
        </w:rPr>
        <w:t>环境监测机构应是国家明文规定的有资质监测机构，按就近原则，对于本项目环境监测站的职责主要有：</w:t>
      </w:r>
    </w:p>
    <w:p w14:paraId="0C66C0BF">
      <w:pPr>
        <w:pStyle w:val="462"/>
        <w:spacing w:line="500" w:lineRule="exact"/>
        <w:ind w:left="0" w:right="0"/>
        <w:rPr>
          <w:rFonts w:cs="Times New Roman"/>
          <w:color w:val="auto"/>
          <w:szCs w:val="24"/>
          <w:highlight w:val="none"/>
        </w:rPr>
      </w:pPr>
      <w:r>
        <w:rPr>
          <w:rFonts w:cs="Times New Roman"/>
          <w:color w:val="auto"/>
          <w:szCs w:val="24"/>
          <w:highlight w:val="none"/>
        </w:rPr>
        <w:t>（1）测试、收集环境状况基本资料；</w:t>
      </w:r>
    </w:p>
    <w:p w14:paraId="282C17E0">
      <w:pPr>
        <w:pStyle w:val="462"/>
        <w:spacing w:line="500" w:lineRule="exact"/>
        <w:ind w:left="0" w:right="0"/>
        <w:rPr>
          <w:rFonts w:cs="Times New Roman"/>
          <w:color w:val="auto"/>
          <w:szCs w:val="24"/>
          <w:highlight w:val="none"/>
        </w:rPr>
      </w:pPr>
      <w:r>
        <w:rPr>
          <w:rFonts w:cs="Times New Roman"/>
          <w:color w:val="auto"/>
          <w:szCs w:val="24"/>
          <w:highlight w:val="none"/>
        </w:rPr>
        <w:t>（2）对环保设施运行状况进行监测；</w:t>
      </w:r>
    </w:p>
    <w:p w14:paraId="179374A7">
      <w:pPr>
        <w:pStyle w:val="462"/>
        <w:spacing w:line="500" w:lineRule="exact"/>
        <w:ind w:left="0" w:right="0"/>
        <w:rPr>
          <w:rFonts w:cs="Times New Roman"/>
          <w:snapToGrid w:val="0"/>
          <w:color w:val="auto"/>
          <w:highlight w:val="none"/>
        </w:rPr>
      </w:pPr>
      <w:r>
        <w:rPr>
          <w:rFonts w:cs="Times New Roman"/>
          <w:color w:val="auto"/>
          <w:szCs w:val="24"/>
          <w:highlight w:val="none"/>
        </w:rPr>
        <w:t>（3）整理、统计分析监测结果，上报当地生态环境局，归档管理。</w:t>
      </w:r>
    </w:p>
    <w:p w14:paraId="4755A400">
      <w:pPr>
        <w:keepNext/>
        <w:keepLines/>
        <w:spacing w:line="500" w:lineRule="exact"/>
        <w:ind w:firstLine="0" w:firstLineChars="0"/>
        <w:jc w:val="left"/>
        <w:outlineLvl w:val="2"/>
        <w:rPr>
          <w:rFonts w:eastAsia="黑体" w:cs="Times New Roman"/>
          <w:bCs/>
          <w:snapToGrid w:val="0"/>
          <w:color w:val="auto"/>
          <w:kern w:val="0"/>
          <w:szCs w:val="32"/>
          <w:highlight w:val="none"/>
        </w:rPr>
      </w:pPr>
      <w:bookmarkStart w:id="420" w:name="_Toc19862"/>
      <w:r>
        <w:rPr>
          <w:rFonts w:eastAsia="黑体" w:cs="Times New Roman"/>
          <w:bCs/>
          <w:snapToGrid w:val="0"/>
          <w:color w:val="auto"/>
          <w:kern w:val="0"/>
          <w:szCs w:val="32"/>
          <w:highlight w:val="none"/>
        </w:rPr>
        <w:t>8.2.2环境监测计划</w:t>
      </w:r>
      <w:bookmarkEnd w:id="420"/>
    </w:p>
    <w:p w14:paraId="7D715514">
      <w:pPr>
        <w:pStyle w:val="462"/>
        <w:spacing w:line="500" w:lineRule="exact"/>
        <w:ind w:left="0" w:right="0"/>
        <w:rPr>
          <w:rFonts w:cs="Times New Roman"/>
          <w:b/>
          <w:color w:val="auto"/>
          <w:sz w:val="21"/>
          <w:szCs w:val="21"/>
          <w:highlight w:val="none"/>
        </w:rPr>
      </w:pPr>
      <w:r>
        <w:rPr>
          <w:rFonts w:hint="eastAsia" w:ascii="宋体" w:hAnsi="宋体" w:cs="宋体"/>
          <w:color w:val="auto"/>
          <w:sz w:val="24"/>
          <w:szCs w:val="24"/>
          <w:highlight w:val="none"/>
          <w:lang w:val="en-US" w:eastAsia="zh-CN"/>
        </w:rPr>
        <w:t>本项目为屠宰项目，根据</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重点排污单位名录管理规定</w:t>
      </w:r>
      <w:r>
        <w:rPr>
          <w:rFonts w:hint="eastAsia" w:ascii="宋体" w:hAnsi="宋体" w:eastAsia="宋体" w:cs="宋体"/>
          <w:color w:val="auto"/>
          <w:sz w:val="24"/>
          <w:szCs w:val="24"/>
          <w:highlight w:val="none"/>
          <w:lang w:eastAsia="zh-CN"/>
        </w:rPr>
        <w:t>》</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本项目为重点排污单位。</w:t>
      </w:r>
      <w:r>
        <w:rPr>
          <w:rFonts w:cs="Times New Roman"/>
          <w:color w:val="auto"/>
          <w:szCs w:val="24"/>
          <w:highlight w:val="none"/>
        </w:rPr>
        <w:t>根据《排污单位自行监测技术指南 总则》（HJ 819-2017）、《排污单位自行监测技术指南 农副食品加工业》（HJ 986-2018）</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并</w:t>
      </w:r>
      <w:r>
        <w:rPr>
          <w:rFonts w:hint="eastAsia" w:cs="Times New Roman"/>
          <w:color w:val="auto"/>
          <w:szCs w:val="24"/>
          <w:highlight w:val="none"/>
          <w:lang w:val="en-US" w:eastAsia="zh-CN"/>
        </w:rPr>
        <w:t>结合</w:t>
      </w:r>
      <w:r>
        <w:rPr>
          <w:rFonts w:cs="Times New Roman"/>
          <w:color w:val="auto"/>
          <w:szCs w:val="24"/>
          <w:highlight w:val="none"/>
        </w:rPr>
        <w:t>本项目的污染特征</w:t>
      </w:r>
      <w:r>
        <w:rPr>
          <w:rFonts w:hint="eastAsia" w:cs="Times New Roman"/>
          <w:color w:val="auto"/>
          <w:szCs w:val="24"/>
          <w:highlight w:val="none"/>
          <w:lang w:val="en-US" w:eastAsia="zh-CN"/>
        </w:rPr>
        <w:t>制定本项目环境监测计划</w:t>
      </w:r>
      <w:r>
        <w:rPr>
          <w:rFonts w:hint="eastAsia" w:cs="Times New Roman"/>
          <w:color w:val="auto"/>
          <w:szCs w:val="24"/>
          <w:highlight w:val="none"/>
        </w:rPr>
        <w:t>，</w:t>
      </w:r>
      <w:r>
        <w:rPr>
          <w:rFonts w:cs="Times New Roman"/>
          <w:color w:val="auto"/>
          <w:szCs w:val="24"/>
          <w:highlight w:val="none"/>
        </w:rPr>
        <w:t>本项目营运期监测计划见表8-2-1。</w:t>
      </w:r>
    </w:p>
    <w:p w14:paraId="1479C3D7">
      <w:pPr>
        <w:pStyle w:val="462"/>
        <w:spacing w:line="240" w:lineRule="auto"/>
        <w:ind w:left="0" w:right="0" w:firstLine="0" w:firstLineChars="0"/>
        <w:jc w:val="center"/>
        <w:rPr>
          <w:rFonts w:cs="Times New Roman"/>
          <w:b/>
          <w:color w:val="auto"/>
          <w:szCs w:val="24"/>
          <w:highlight w:val="none"/>
        </w:rPr>
      </w:pPr>
      <w:r>
        <w:rPr>
          <w:rFonts w:cs="Times New Roman"/>
          <w:b/>
          <w:color w:val="auto"/>
          <w:szCs w:val="24"/>
          <w:highlight w:val="none"/>
        </w:rPr>
        <w:t>表8-2-1  环境监测计划</w:t>
      </w:r>
    </w:p>
    <w:tbl>
      <w:tblPr>
        <w:tblStyle w:val="47"/>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08"/>
        <w:gridCol w:w="3815"/>
        <w:gridCol w:w="1662"/>
        <w:gridCol w:w="2301"/>
      </w:tblGrid>
      <w:tr w14:paraId="12490D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1508" w:type="dxa"/>
            <w:vAlign w:val="center"/>
          </w:tcPr>
          <w:p w14:paraId="697BE9F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名称</w:t>
            </w:r>
          </w:p>
        </w:tc>
        <w:tc>
          <w:tcPr>
            <w:tcW w:w="3815" w:type="dxa"/>
            <w:vAlign w:val="center"/>
          </w:tcPr>
          <w:p w14:paraId="4E9FE66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监测项目</w:t>
            </w:r>
          </w:p>
        </w:tc>
        <w:tc>
          <w:tcPr>
            <w:tcW w:w="1662" w:type="dxa"/>
            <w:vAlign w:val="center"/>
          </w:tcPr>
          <w:p w14:paraId="64E848F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监测计划</w:t>
            </w:r>
          </w:p>
        </w:tc>
        <w:tc>
          <w:tcPr>
            <w:tcW w:w="2301" w:type="dxa"/>
            <w:vAlign w:val="center"/>
          </w:tcPr>
          <w:p w14:paraId="16456EF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监测点位</w:t>
            </w:r>
          </w:p>
        </w:tc>
      </w:tr>
      <w:tr w14:paraId="2583CE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508" w:type="dxa"/>
            <w:vMerge w:val="restart"/>
            <w:vAlign w:val="center"/>
          </w:tcPr>
          <w:p w14:paraId="1DF98E8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大气污染源</w:t>
            </w:r>
          </w:p>
        </w:tc>
        <w:tc>
          <w:tcPr>
            <w:tcW w:w="3815" w:type="dxa"/>
            <w:vAlign w:val="center"/>
          </w:tcPr>
          <w:p w14:paraId="78C4F92D">
            <w:pPr>
              <w:spacing w:line="360" w:lineRule="exac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氨、硫化氢、臭气浓度</w:t>
            </w:r>
          </w:p>
        </w:tc>
        <w:tc>
          <w:tcPr>
            <w:tcW w:w="1662" w:type="dxa"/>
            <w:vAlign w:val="center"/>
          </w:tcPr>
          <w:p w14:paraId="67181F1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1次/半年</w:t>
            </w:r>
          </w:p>
        </w:tc>
        <w:tc>
          <w:tcPr>
            <w:tcW w:w="2301" w:type="dxa"/>
            <w:vAlign w:val="center"/>
          </w:tcPr>
          <w:p w14:paraId="3B607D1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厂界</w:t>
            </w:r>
          </w:p>
        </w:tc>
      </w:tr>
      <w:tr w14:paraId="598A3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1508" w:type="dxa"/>
            <w:vMerge w:val="continue"/>
            <w:vAlign w:val="center"/>
          </w:tcPr>
          <w:p w14:paraId="109C4B16">
            <w:pPr>
              <w:spacing w:line="360" w:lineRule="exact"/>
              <w:ind w:firstLine="0" w:firstLineChars="0"/>
              <w:jc w:val="center"/>
              <w:rPr>
                <w:rFonts w:cs="Times New Roman"/>
                <w:color w:val="auto"/>
                <w:sz w:val="21"/>
                <w:szCs w:val="21"/>
                <w:highlight w:val="none"/>
              </w:rPr>
            </w:pPr>
          </w:p>
        </w:tc>
        <w:tc>
          <w:tcPr>
            <w:tcW w:w="3815" w:type="dxa"/>
            <w:vAlign w:val="center"/>
          </w:tcPr>
          <w:p w14:paraId="669A76C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氨、硫化氢、臭气浓度</w:t>
            </w:r>
          </w:p>
        </w:tc>
        <w:tc>
          <w:tcPr>
            <w:tcW w:w="1662" w:type="dxa"/>
            <w:vAlign w:val="center"/>
          </w:tcPr>
          <w:p w14:paraId="1524967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1次/半年</w:t>
            </w:r>
          </w:p>
        </w:tc>
        <w:tc>
          <w:tcPr>
            <w:tcW w:w="2301" w:type="dxa"/>
            <w:vAlign w:val="center"/>
          </w:tcPr>
          <w:p w14:paraId="2A57D24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DA001、DA002</w:t>
            </w:r>
          </w:p>
        </w:tc>
      </w:tr>
      <w:tr w14:paraId="038FF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1508" w:type="dxa"/>
            <w:vMerge w:val="restart"/>
            <w:vAlign w:val="center"/>
          </w:tcPr>
          <w:p w14:paraId="3D3C166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废水</w:t>
            </w:r>
          </w:p>
        </w:tc>
        <w:tc>
          <w:tcPr>
            <w:tcW w:w="3815" w:type="dxa"/>
            <w:vAlign w:val="center"/>
          </w:tcPr>
          <w:p w14:paraId="43388BFF">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流量、pH值、化学需氧量、氨氮</w:t>
            </w:r>
          </w:p>
        </w:tc>
        <w:tc>
          <w:tcPr>
            <w:tcW w:w="1662" w:type="dxa"/>
            <w:vAlign w:val="center"/>
          </w:tcPr>
          <w:p w14:paraId="76540A33">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val="en-US" w:eastAsia="zh-CN"/>
              </w:rPr>
              <w:t>自动监测</w:t>
            </w:r>
          </w:p>
        </w:tc>
        <w:tc>
          <w:tcPr>
            <w:tcW w:w="2301" w:type="dxa"/>
            <w:vMerge w:val="restart"/>
            <w:vAlign w:val="center"/>
          </w:tcPr>
          <w:p w14:paraId="61989608">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DW001</w:t>
            </w:r>
          </w:p>
        </w:tc>
      </w:tr>
      <w:tr w14:paraId="790348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1508" w:type="dxa"/>
            <w:vMerge w:val="continue"/>
            <w:vAlign w:val="center"/>
          </w:tcPr>
          <w:p w14:paraId="5D246289">
            <w:pPr>
              <w:spacing w:line="360" w:lineRule="exact"/>
              <w:ind w:firstLine="0" w:firstLineChars="0"/>
              <w:jc w:val="center"/>
              <w:rPr>
                <w:rFonts w:cs="Times New Roman"/>
                <w:color w:val="auto"/>
                <w:sz w:val="21"/>
                <w:szCs w:val="21"/>
                <w:highlight w:val="none"/>
              </w:rPr>
            </w:pPr>
          </w:p>
        </w:tc>
        <w:tc>
          <w:tcPr>
            <w:tcW w:w="3815" w:type="dxa"/>
            <w:vAlign w:val="center"/>
          </w:tcPr>
          <w:p w14:paraId="1BA70CFF">
            <w:pPr>
              <w:spacing w:line="360" w:lineRule="exac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五日生化需氧量、悬浮物</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动植物油、大肠菌群数、色度</w:t>
            </w:r>
            <w:r>
              <w:rPr>
                <w:rFonts w:cs="Times New Roman"/>
                <w:color w:val="auto"/>
                <w:sz w:val="21"/>
                <w:szCs w:val="21"/>
                <w:highlight w:val="none"/>
              </w:rPr>
              <w:t>、总磷</w:t>
            </w:r>
            <w:r>
              <w:rPr>
                <w:rFonts w:hint="eastAsia" w:cs="Times New Roman"/>
                <w:color w:val="auto"/>
                <w:sz w:val="21"/>
                <w:szCs w:val="21"/>
                <w:highlight w:val="none"/>
                <w:lang w:eastAsia="zh-CN"/>
              </w:rPr>
              <w:t>、</w:t>
            </w:r>
            <w:r>
              <w:rPr>
                <w:rFonts w:cs="Times New Roman"/>
                <w:color w:val="auto"/>
                <w:sz w:val="21"/>
                <w:szCs w:val="21"/>
                <w:highlight w:val="none"/>
              </w:rPr>
              <w:t>总氮</w:t>
            </w:r>
          </w:p>
        </w:tc>
        <w:tc>
          <w:tcPr>
            <w:tcW w:w="1662" w:type="dxa"/>
            <w:vAlign w:val="center"/>
          </w:tcPr>
          <w:p w14:paraId="6235CA74">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1</w:t>
            </w:r>
            <w:r>
              <w:rPr>
                <w:rFonts w:cs="Times New Roman"/>
                <w:color w:val="auto"/>
                <w:sz w:val="21"/>
                <w:szCs w:val="21"/>
                <w:highlight w:val="none"/>
              </w:rPr>
              <w:t>次/季度</w:t>
            </w:r>
          </w:p>
        </w:tc>
        <w:tc>
          <w:tcPr>
            <w:tcW w:w="2301" w:type="dxa"/>
            <w:vMerge w:val="continue"/>
            <w:vAlign w:val="center"/>
          </w:tcPr>
          <w:p w14:paraId="6BC7CF76">
            <w:pPr>
              <w:spacing w:line="360" w:lineRule="exact"/>
              <w:ind w:firstLine="0" w:firstLineChars="0"/>
              <w:jc w:val="center"/>
              <w:rPr>
                <w:rFonts w:hint="eastAsia" w:cs="Times New Roman"/>
                <w:color w:val="auto"/>
                <w:sz w:val="21"/>
                <w:szCs w:val="21"/>
                <w:highlight w:val="none"/>
                <w:lang w:val="en-US" w:eastAsia="zh-CN"/>
              </w:rPr>
            </w:pPr>
          </w:p>
        </w:tc>
      </w:tr>
      <w:tr w14:paraId="79226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1508" w:type="dxa"/>
            <w:vAlign w:val="center"/>
          </w:tcPr>
          <w:p w14:paraId="749AA3C4">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雨水</w:t>
            </w:r>
          </w:p>
        </w:tc>
        <w:tc>
          <w:tcPr>
            <w:tcW w:w="3815" w:type="dxa"/>
            <w:vAlign w:val="center"/>
          </w:tcPr>
          <w:p w14:paraId="43A9E28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化学需氧量、悬浮物</w:t>
            </w:r>
          </w:p>
        </w:tc>
        <w:tc>
          <w:tcPr>
            <w:tcW w:w="1662" w:type="dxa"/>
            <w:vAlign w:val="center"/>
          </w:tcPr>
          <w:p w14:paraId="15FDF2FF">
            <w:pPr>
              <w:spacing w:line="360" w:lineRule="exac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1次/</w:t>
            </w:r>
            <w:r>
              <w:rPr>
                <w:rFonts w:hint="eastAsia" w:cs="Times New Roman"/>
                <w:color w:val="auto"/>
                <w:sz w:val="21"/>
                <w:szCs w:val="21"/>
                <w:highlight w:val="none"/>
                <w:lang w:val="en-US" w:eastAsia="zh-CN"/>
              </w:rPr>
              <w:t>日</w:t>
            </w:r>
            <w:r>
              <w:rPr>
                <w:rFonts w:hint="eastAsia" w:cs="Times New Roman"/>
                <w:color w:val="auto"/>
                <w:sz w:val="21"/>
                <w:szCs w:val="21"/>
                <w:highlight w:val="none"/>
                <w:vertAlign w:val="superscript"/>
                <w:lang w:val="en-US" w:eastAsia="zh-CN"/>
              </w:rPr>
              <w:t>a</w:t>
            </w:r>
          </w:p>
        </w:tc>
        <w:tc>
          <w:tcPr>
            <w:tcW w:w="2301" w:type="dxa"/>
            <w:vAlign w:val="center"/>
          </w:tcPr>
          <w:p w14:paraId="33F75BB8">
            <w:pPr>
              <w:spacing w:line="36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DW002（雨水排放口）</w:t>
            </w:r>
          </w:p>
        </w:tc>
      </w:tr>
      <w:tr w14:paraId="747C0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1508" w:type="dxa"/>
            <w:vAlign w:val="center"/>
          </w:tcPr>
          <w:p w14:paraId="34A7E02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噪声</w:t>
            </w:r>
          </w:p>
        </w:tc>
        <w:tc>
          <w:tcPr>
            <w:tcW w:w="3815" w:type="dxa"/>
            <w:vAlign w:val="center"/>
          </w:tcPr>
          <w:p w14:paraId="5FEDC0D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厂界噪声Leq</w:t>
            </w:r>
          </w:p>
        </w:tc>
        <w:tc>
          <w:tcPr>
            <w:tcW w:w="1662" w:type="dxa"/>
            <w:vAlign w:val="center"/>
          </w:tcPr>
          <w:p w14:paraId="0DE326AB">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lang w:val="en-US" w:eastAsia="zh-CN"/>
              </w:rPr>
              <w:t>1</w:t>
            </w:r>
            <w:r>
              <w:rPr>
                <w:rFonts w:cs="Times New Roman"/>
                <w:color w:val="auto"/>
                <w:sz w:val="21"/>
                <w:szCs w:val="21"/>
                <w:highlight w:val="none"/>
              </w:rPr>
              <w:t>次/季度</w:t>
            </w:r>
          </w:p>
        </w:tc>
        <w:tc>
          <w:tcPr>
            <w:tcW w:w="2301" w:type="dxa"/>
            <w:vAlign w:val="center"/>
          </w:tcPr>
          <w:p w14:paraId="5093DEE5">
            <w:pPr>
              <w:spacing w:line="360" w:lineRule="exac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厂界四周</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敏感点</w:t>
            </w:r>
          </w:p>
        </w:tc>
      </w:tr>
      <w:tr w14:paraId="3BC24B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1508" w:type="dxa"/>
            <w:vAlign w:val="center"/>
          </w:tcPr>
          <w:p w14:paraId="79AF715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地下水</w:t>
            </w:r>
          </w:p>
        </w:tc>
        <w:tc>
          <w:tcPr>
            <w:tcW w:w="3815" w:type="dxa"/>
            <w:vAlign w:val="center"/>
          </w:tcPr>
          <w:p w14:paraId="3D814F3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pH值、COD、氨氮等</w:t>
            </w:r>
          </w:p>
        </w:tc>
        <w:tc>
          <w:tcPr>
            <w:tcW w:w="1662" w:type="dxa"/>
            <w:vAlign w:val="center"/>
          </w:tcPr>
          <w:p w14:paraId="228E5B8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1次/年</w:t>
            </w:r>
          </w:p>
        </w:tc>
        <w:tc>
          <w:tcPr>
            <w:tcW w:w="2301" w:type="dxa"/>
            <w:vAlign w:val="center"/>
          </w:tcPr>
          <w:p w14:paraId="30963E8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监测井</w:t>
            </w:r>
          </w:p>
        </w:tc>
      </w:tr>
    </w:tbl>
    <w:p w14:paraId="02863C4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ascii="宋体" w:hAnsi="宋体" w:eastAsia="宋体" w:cs="宋体"/>
          <w:b/>
          <w:bCs w:val="0"/>
          <w:color w:val="auto"/>
          <w:sz w:val="21"/>
          <w:szCs w:val="21"/>
          <w:highlight w:val="none"/>
          <w:lang w:val="en-US" w:eastAsia="zh-CN"/>
        </w:rPr>
      </w:pPr>
      <w:bookmarkStart w:id="421" w:name="_Toc18114"/>
      <w:r>
        <w:rPr>
          <w:rFonts w:hint="eastAsia"/>
          <w:b/>
          <w:bCs/>
          <w:color w:val="auto"/>
          <w:sz w:val="21"/>
          <w:szCs w:val="21"/>
          <w:highlight w:val="none"/>
          <w:lang w:val="en-US" w:eastAsia="zh-CN"/>
        </w:rPr>
        <w:t>注：</w:t>
      </w:r>
      <w:r>
        <w:rPr>
          <w:rFonts w:hint="default"/>
          <w:b/>
          <w:bCs/>
          <w:color w:val="auto"/>
          <w:sz w:val="21"/>
          <w:szCs w:val="21"/>
          <w:highlight w:val="none"/>
          <w:vertAlign w:val="superscript"/>
          <w:lang w:val="en-US" w:eastAsia="zh-CN"/>
        </w:rPr>
        <w:t>a</w:t>
      </w:r>
      <w:r>
        <w:rPr>
          <w:rFonts w:hint="eastAsia"/>
          <w:b/>
          <w:bCs/>
          <w:color w:val="auto"/>
          <w:sz w:val="21"/>
          <w:szCs w:val="21"/>
          <w:highlight w:val="none"/>
          <w:lang w:val="en-US" w:eastAsia="zh-CN"/>
        </w:rPr>
        <w:t>雨水排放口有流动水排放时按日监测，若监测一年无异常情况，可放宽至每季度开展一次监测。</w:t>
      </w:r>
    </w:p>
    <w:p w14:paraId="126E3F37">
      <w:pPr>
        <w:pStyle w:val="4"/>
        <w:spacing w:after="120"/>
        <w:rPr>
          <w:rFonts w:cs="Times New Roman"/>
          <w:color w:val="auto"/>
          <w:highlight w:val="none"/>
        </w:rPr>
      </w:pPr>
      <w:r>
        <w:rPr>
          <w:rFonts w:cs="Times New Roman"/>
          <w:color w:val="auto"/>
          <w:highlight w:val="none"/>
        </w:rPr>
        <w:t>8.2.3监测资料管理</w:t>
      </w:r>
      <w:bookmarkEnd w:id="421"/>
    </w:p>
    <w:p w14:paraId="40A3CB13">
      <w:pPr>
        <w:rPr>
          <w:rFonts w:cs="Times New Roman"/>
          <w:snapToGrid w:val="0"/>
          <w:color w:val="auto"/>
          <w:kern w:val="0"/>
          <w:highlight w:val="none"/>
        </w:rPr>
      </w:pPr>
      <w:r>
        <w:rPr>
          <w:rFonts w:cs="Times New Roman"/>
          <w:snapToGrid w:val="0"/>
          <w:color w:val="auto"/>
          <w:kern w:val="0"/>
          <w:highlight w:val="none"/>
        </w:rPr>
        <w:t>每次监测都应有完整的记录。监测数据应及时整理、统计，及时向各有关部门通报。并应做好监测资料的归档工作。如发现问题，应及时采取纠正或预防措施，以防止可能伴随的环境污染。</w:t>
      </w:r>
    </w:p>
    <w:p w14:paraId="508A204F">
      <w:pPr>
        <w:pStyle w:val="3"/>
        <w:spacing w:before="120" w:after="120"/>
        <w:rPr>
          <w:rFonts w:cs="Times New Roman"/>
          <w:color w:val="auto"/>
          <w:highlight w:val="none"/>
        </w:rPr>
      </w:pPr>
      <w:bookmarkStart w:id="422" w:name="_Toc480447685"/>
      <w:bookmarkStart w:id="423" w:name="_Toc12726"/>
      <w:bookmarkStart w:id="424" w:name="_Toc342462535"/>
      <w:bookmarkStart w:id="425" w:name="_Toc456590419"/>
      <w:bookmarkStart w:id="426" w:name="_Toc455043911"/>
      <w:r>
        <w:rPr>
          <w:rFonts w:cs="Times New Roman"/>
          <w:color w:val="auto"/>
          <w:highlight w:val="none"/>
        </w:rPr>
        <w:t>8.3</w:t>
      </w:r>
      <w:bookmarkEnd w:id="422"/>
      <w:bookmarkStart w:id="427" w:name="_Toc56168648"/>
      <w:r>
        <w:rPr>
          <w:rFonts w:cs="Times New Roman"/>
          <w:color w:val="auto"/>
          <w:highlight w:val="none"/>
        </w:rPr>
        <w:t>竣工环境保护验收管理</w:t>
      </w:r>
      <w:bookmarkEnd w:id="423"/>
      <w:bookmarkEnd w:id="427"/>
    </w:p>
    <w:p w14:paraId="4E49F769">
      <w:pPr>
        <w:rPr>
          <w:rFonts w:cs="Times New Roman"/>
          <w:snapToGrid w:val="0"/>
          <w:color w:val="auto"/>
          <w:kern w:val="0"/>
          <w:highlight w:val="none"/>
        </w:rPr>
      </w:pPr>
      <w:r>
        <w:rPr>
          <w:rFonts w:cs="Times New Roman"/>
          <w:snapToGrid w:val="0"/>
          <w:color w:val="auto"/>
          <w:kern w:val="0"/>
          <w:highlight w:val="none"/>
        </w:rPr>
        <w:t>建设项目竣工环境保护验收是指建设项目竣工后，环境保护行政主管部门根据规定，依据环境保护验收监测或调查结果，并通过现场检查等手段，考核本项目是否达到环境保护要求的活动。验收范围包括：与建设项目有关的各项环境保护设施，包括为防治污染和保护环境所建成或配备的工程、设备、装置和监测手段。建设项目的主体工程完工后，其配套建设的环境保护设施必须与主体工程同时投入生产或者运行。需要进行试生产的，其配套建设的环境保护设施必须与主体工程同时投入试运行，建设单位应当自试产之日起3个月内，向有审批权的环境保护行政主管部门申请该建设项目竣工环境保护验收。</w:t>
      </w:r>
    </w:p>
    <w:p w14:paraId="197F55E1">
      <w:pPr>
        <w:pStyle w:val="4"/>
        <w:spacing w:after="120" w:line="360" w:lineRule="auto"/>
        <w:rPr>
          <w:rFonts w:cs="Times New Roman"/>
          <w:color w:val="auto"/>
          <w:highlight w:val="none"/>
        </w:rPr>
      </w:pPr>
      <w:bookmarkStart w:id="428" w:name="_Toc420"/>
      <w:r>
        <w:rPr>
          <w:rFonts w:cs="Times New Roman"/>
          <w:color w:val="auto"/>
          <w:highlight w:val="none"/>
        </w:rPr>
        <w:t>8.3.1环境保护验收条件</w:t>
      </w:r>
      <w:bookmarkEnd w:id="428"/>
    </w:p>
    <w:p w14:paraId="3F9D45E0">
      <w:pPr>
        <w:rPr>
          <w:rFonts w:cs="Times New Roman"/>
          <w:snapToGrid w:val="0"/>
          <w:color w:val="auto"/>
          <w:kern w:val="0"/>
          <w:highlight w:val="none"/>
        </w:rPr>
      </w:pPr>
      <w:r>
        <w:rPr>
          <w:rFonts w:cs="Times New Roman"/>
          <w:snapToGrid w:val="0"/>
          <w:color w:val="auto"/>
          <w:kern w:val="0"/>
          <w:highlight w:val="none"/>
        </w:rPr>
        <w:t>（1）建设前期环境保护审查、审批手续完备，技术资料与环境保护档案资料齐全；</w:t>
      </w:r>
    </w:p>
    <w:p w14:paraId="479F206D">
      <w:pPr>
        <w:rPr>
          <w:rFonts w:cs="Times New Roman"/>
          <w:snapToGrid w:val="0"/>
          <w:color w:val="auto"/>
          <w:kern w:val="0"/>
          <w:highlight w:val="none"/>
        </w:rPr>
      </w:pPr>
      <w:r>
        <w:rPr>
          <w:rFonts w:cs="Times New Roman"/>
          <w:snapToGrid w:val="0"/>
          <w:color w:val="auto"/>
          <w:kern w:val="0"/>
          <w:highlight w:val="none"/>
        </w:rPr>
        <w:t>（2）环境保护设施及其它措施等已按批准的环境影响报告书的要求建成或者落实，环境保护设施经负荷试车检测合格，其防治污染能力适应主体工程的需要；</w:t>
      </w:r>
    </w:p>
    <w:p w14:paraId="7C18B949">
      <w:pPr>
        <w:rPr>
          <w:rFonts w:cs="Times New Roman"/>
          <w:snapToGrid w:val="0"/>
          <w:color w:val="auto"/>
          <w:kern w:val="0"/>
          <w:highlight w:val="none"/>
        </w:rPr>
      </w:pPr>
      <w:r>
        <w:rPr>
          <w:rFonts w:cs="Times New Roman"/>
          <w:snapToGrid w:val="0"/>
          <w:color w:val="auto"/>
          <w:kern w:val="0"/>
          <w:highlight w:val="none"/>
        </w:rPr>
        <w:t>（3）环境保护设施安装质量符合国家和有关部门颁发的专业工程验收规范、规程和检验评定标准：</w:t>
      </w:r>
    </w:p>
    <w:p w14:paraId="1657E7F0">
      <w:pPr>
        <w:rPr>
          <w:rFonts w:cs="Times New Roman"/>
          <w:snapToGrid w:val="0"/>
          <w:color w:val="auto"/>
          <w:kern w:val="0"/>
          <w:highlight w:val="none"/>
        </w:rPr>
      </w:pPr>
      <w:r>
        <w:rPr>
          <w:rFonts w:cs="Times New Roman"/>
          <w:snapToGrid w:val="0"/>
          <w:color w:val="auto"/>
          <w:kern w:val="0"/>
          <w:highlight w:val="none"/>
        </w:rPr>
        <w:t>（4）具备环境保护设施正常运转的条件，包括：经培训合格的操作人员、健全的岗位操作规程及相应的规章制度，原利、动力供应落实，符合交付使用的其他要求；</w:t>
      </w:r>
    </w:p>
    <w:p w14:paraId="2B3B1EF5">
      <w:pPr>
        <w:rPr>
          <w:rFonts w:cs="Times New Roman"/>
          <w:snapToGrid w:val="0"/>
          <w:color w:val="auto"/>
          <w:kern w:val="0"/>
          <w:highlight w:val="none"/>
        </w:rPr>
      </w:pPr>
      <w:r>
        <w:rPr>
          <w:rFonts w:cs="Times New Roman"/>
          <w:snapToGrid w:val="0"/>
          <w:color w:val="auto"/>
          <w:kern w:val="0"/>
          <w:highlight w:val="none"/>
        </w:rPr>
        <w:t>（5）污染物排放符合环境影响报告书利设计文件中提出的标准及核定的污染物排放总量控制指标的要求；</w:t>
      </w:r>
    </w:p>
    <w:p w14:paraId="51924253">
      <w:pPr>
        <w:rPr>
          <w:rFonts w:cs="Times New Roman"/>
          <w:snapToGrid w:val="0"/>
          <w:color w:val="auto"/>
          <w:kern w:val="0"/>
          <w:highlight w:val="none"/>
        </w:rPr>
      </w:pPr>
      <w:r>
        <w:rPr>
          <w:rFonts w:cs="Times New Roman"/>
          <w:snapToGrid w:val="0"/>
          <w:color w:val="auto"/>
          <w:kern w:val="0"/>
          <w:highlight w:val="none"/>
        </w:rPr>
        <w:t>（6）环境监测项目、点位、机构设置及人员配备，符合环境影响报告书和有关规定的要求。</w:t>
      </w:r>
    </w:p>
    <w:p w14:paraId="2B71585A">
      <w:pPr>
        <w:pStyle w:val="4"/>
        <w:spacing w:after="120" w:line="360" w:lineRule="auto"/>
        <w:rPr>
          <w:rFonts w:cs="Times New Roman"/>
          <w:color w:val="auto"/>
          <w:highlight w:val="none"/>
        </w:rPr>
      </w:pPr>
      <w:bookmarkStart w:id="429" w:name="_Toc25324"/>
      <w:r>
        <w:rPr>
          <w:rFonts w:cs="Times New Roman"/>
          <w:color w:val="auto"/>
          <w:highlight w:val="none"/>
        </w:rPr>
        <w:t>8.3.2竣工环境保护验收内容</w:t>
      </w:r>
      <w:bookmarkEnd w:id="429"/>
    </w:p>
    <w:p w14:paraId="49C6D779">
      <w:pPr>
        <w:pStyle w:val="462"/>
        <w:adjustRightInd/>
        <w:spacing w:line="360" w:lineRule="auto"/>
        <w:ind w:left="0" w:right="0"/>
        <w:rPr>
          <w:rFonts w:cs="Times New Roman"/>
          <w:color w:val="auto"/>
          <w:szCs w:val="24"/>
          <w:highlight w:val="none"/>
        </w:rPr>
      </w:pPr>
      <w:r>
        <w:rPr>
          <w:rFonts w:cs="Times New Roman"/>
          <w:color w:val="auto"/>
          <w:szCs w:val="24"/>
          <w:highlight w:val="none"/>
        </w:rPr>
        <w:t>建设单位在工程竣工后，应按照2017年7月16日修订的《建设项目环境保护管理条例》中的有关要求，建设单位自行进行环保验收并编制验收报告，列出主要环境保护验收目标及监测内容如表8-3-1。</w:t>
      </w:r>
    </w:p>
    <w:p w14:paraId="5BFD8FA1">
      <w:pPr>
        <w:pStyle w:val="462"/>
        <w:adjustRightInd/>
        <w:spacing w:line="360" w:lineRule="auto"/>
        <w:ind w:left="0" w:right="0"/>
        <w:rPr>
          <w:rFonts w:cs="Times New Roman"/>
          <w:color w:val="auto"/>
          <w:szCs w:val="24"/>
          <w:highlight w:val="none"/>
        </w:rPr>
        <w:sectPr>
          <w:pgSz w:w="11906" w:h="16838"/>
          <w:pgMar w:top="158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14:paraId="6E1F6BD7">
      <w:pPr>
        <w:spacing w:line="240" w:lineRule="auto"/>
        <w:ind w:firstLine="0" w:firstLineChars="0"/>
        <w:jc w:val="center"/>
        <w:rPr>
          <w:rFonts w:cs="Times New Roman"/>
          <w:b/>
          <w:color w:val="auto"/>
          <w:szCs w:val="24"/>
          <w:highlight w:val="none"/>
        </w:rPr>
      </w:pPr>
      <w:r>
        <w:rPr>
          <w:rFonts w:cs="Times New Roman"/>
          <w:b/>
          <w:color w:val="auto"/>
          <w:szCs w:val="24"/>
          <w:highlight w:val="none"/>
        </w:rPr>
        <w:t>表8-3-1  环境保护设施“三同时”验收一览表</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715"/>
        <w:gridCol w:w="328"/>
        <w:gridCol w:w="1149"/>
        <w:gridCol w:w="2507"/>
        <w:gridCol w:w="3537"/>
        <w:gridCol w:w="1933"/>
        <w:gridCol w:w="3528"/>
      </w:tblGrid>
      <w:tr w14:paraId="5E06B1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68" w:hRule="atLeast"/>
          <w:jc w:val="center"/>
        </w:trPr>
        <w:tc>
          <w:tcPr>
            <w:tcW w:w="2192" w:type="dxa"/>
            <w:gridSpan w:val="3"/>
            <w:tcBorders>
              <w:tl2br w:val="nil"/>
              <w:tr2bl w:val="nil"/>
            </w:tcBorders>
            <w:tcMar>
              <w:top w:w="0" w:type="dxa"/>
              <w:left w:w="11" w:type="dxa"/>
              <w:bottom w:w="0" w:type="dxa"/>
              <w:right w:w="11" w:type="dxa"/>
            </w:tcMar>
            <w:vAlign w:val="center"/>
          </w:tcPr>
          <w:p w14:paraId="2E34965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治理对象</w:t>
            </w:r>
          </w:p>
        </w:tc>
        <w:tc>
          <w:tcPr>
            <w:tcW w:w="2507" w:type="dxa"/>
            <w:tcBorders>
              <w:tl2br w:val="nil"/>
              <w:tr2bl w:val="nil"/>
            </w:tcBorders>
            <w:tcMar>
              <w:top w:w="0" w:type="dxa"/>
              <w:left w:w="11" w:type="dxa"/>
              <w:bottom w:w="0" w:type="dxa"/>
              <w:right w:w="11" w:type="dxa"/>
            </w:tcMar>
            <w:vAlign w:val="center"/>
          </w:tcPr>
          <w:p w14:paraId="28DD65B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污染物名称</w:t>
            </w:r>
          </w:p>
        </w:tc>
        <w:tc>
          <w:tcPr>
            <w:tcW w:w="5470" w:type="dxa"/>
            <w:gridSpan w:val="2"/>
            <w:tcBorders>
              <w:tl2br w:val="nil"/>
              <w:tr2bl w:val="nil"/>
            </w:tcBorders>
            <w:tcMar>
              <w:top w:w="0" w:type="dxa"/>
              <w:left w:w="11" w:type="dxa"/>
              <w:bottom w:w="0" w:type="dxa"/>
              <w:right w:w="11" w:type="dxa"/>
            </w:tcMar>
            <w:vAlign w:val="center"/>
          </w:tcPr>
          <w:p w14:paraId="05AFDF3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治理措施</w:t>
            </w:r>
          </w:p>
        </w:tc>
        <w:tc>
          <w:tcPr>
            <w:tcW w:w="3528" w:type="dxa"/>
            <w:tcBorders>
              <w:tl2br w:val="nil"/>
              <w:tr2bl w:val="nil"/>
            </w:tcBorders>
            <w:tcMar>
              <w:top w:w="0" w:type="dxa"/>
              <w:left w:w="11" w:type="dxa"/>
              <w:bottom w:w="0" w:type="dxa"/>
              <w:right w:w="11" w:type="dxa"/>
            </w:tcMar>
            <w:vAlign w:val="center"/>
          </w:tcPr>
          <w:p w14:paraId="21D9438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治理效果</w:t>
            </w:r>
          </w:p>
        </w:tc>
      </w:tr>
      <w:tr w14:paraId="029823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restart"/>
            <w:tcBorders>
              <w:tl2br w:val="nil"/>
              <w:tr2bl w:val="nil"/>
            </w:tcBorders>
            <w:tcMar>
              <w:top w:w="0" w:type="dxa"/>
              <w:left w:w="11" w:type="dxa"/>
              <w:bottom w:w="0" w:type="dxa"/>
              <w:right w:w="11" w:type="dxa"/>
            </w:tcMar>
            <w:vAlign w:val="center"/>
          </w:tcPr>
          <w:p w14:paraId="40A5C0E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废气</w:t>
            </w:r>
          </w:p>
        </w:tc>
        <w:tc>
          <w:tcPr>
            <w:tcW w:w="1477" w:type="dxa"/>
            <w:gridSpan w:val="2"/>
            <w:tcBorders>
              <w:tl2br w:val="nil"/>
              <w:tr2bl w:val="nil"/>
            </w:tcBorders>
            <w:tcMar>
              <w:top w:w="0" w:type="dxa"/>
              <w:left w:w="11" w:type="dxa"/>
              <w:bottom w:w="0" w:type="dxa"/>
              <w:right w:w="11" w:type="dxa"/>
            </w:tcMar>
            <w:vAlign w:val="center"/>
          </w:tcPr>
          <w:p w14:paraId="72F9C486">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屠宰车间、</w:t>
            </w:r>
            <w:r>
              <w:rPr>
                <w:rFonts w:hint="eastAsia" w:cs="Times New Roman"/>
                <w:color w:val="auto"/>
                <w:sz w:val="21"/>
                <w:szCs w:val="21"/>
                <w:highlight w:val="none"/>
                <w:lang w:val="en-US" w:eastAsia="zh-CN"/>
              </w:rPr>
              <w:t>急宰间、隔离间及固体废物暂存间（一般固体废物暂存间、危险废物暂存点）</w:t>
            </w:r>
          </w:p>
        </w:tc>
        <w:tc>
          <w:tcPr>
            <w:tcW w:w="2507" w:type="dxa"/>
            <w:tcBorders>
              <w:tl2br w:val="nil"/>
              <w:tr2bl w:val="nil"/>
            </w:tcBorders>
            <w:tcMar>
              <w:top w:w="0" w:type="dxa"/>
              <w:left w:w="11" w:type="dxa"/>
              <w:bottom w:w="0" w:type="dxa"/>
              <w:right w:w="11" w:type="dxa"/>
            </w:tcMar>
            <w:vAlign w:val="center"/>
          </w:tcPr>
          <w:p w14:paraId="57B0A4A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氨、硫化氢、臭气浓度</w:t>
            </w:r>
          </w:p>
        </w:tc>
        <w:tc>
          <w:tcPr>
            <w:tcW w:w="5470" w:type="dxa"/>
            <w:gridSpan w:val="2"/>
            <w:tcBorders>
              <w:tl2br w:val="nil"/>
              <w:tr2bl w:val="nil"/>
            </w:tcBorders>
            <w:tcMar>
              <w:top w:w="0" w:type="dxa"/>
              <w:left w:w="11" w:type="dxa"/>
              <w:bottom w:w="0" w:type="dxa"/>
              <w:right w:w="11" w:type="dxa"/>
            </w:tcMar>
            <w:vAlign w:val="center"/>
          </w:tcPr>
          <w:p w14:paraId="68867F7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活性炭吸附装置+15m排气筒（DA001）</w:t>
            </w:r>
          </w:p>
        </w:tc>
        <w:tc>
          <w:tcPr>
            <w:tcW w:w="3528" w:type="dxa"/>
            <w:vMerge w:val="restart"/>
            <w:tcBorders>
              <w:tl2br w:val="nil"/>
              <w:tr2bl w:val="nil"/>
            </w:tcBorders>
            <w:tcMar>
              <w:top w:w="0" w:type="dxa"/>
              <w:left w:w="11" w:type="dxa"/>
              <w:bottom w:w="0" w:type="dxa"/>
              <w:right w:w="11" w:type="dxa"/>
            </w:tcMar>
            <w:vAlign w:val="center"/>
          </w:tcPr>
          <w:p w14:paraId="5F8F973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《恶臭污染物排放标准》（GB14554-93）表2</w:t>
            </w:r>
          </w:p>
        </w:tc>
      </w:tr>
      <w:tr w14:paraId="088B97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tcMar>
              <w:top w:w="0" w:type="dxa"/>
              <w:left w:w="11" w:type="dxa"/>
              <w:bottom w:w="0" w:type="dxa"/>
              <w:right w:w="11" w:type="dxa"/>
            </w:tcMar>
            <w:vAlign w:val="center"/>
          </w:tcPr>
          <w:p w14:paraId="60EE263B">
            <w:pPr>
              <w:spacing w:line="360" w:lineRule="exact"/>
              <w:ind w:firstLine="0" w:firstLineChars="0"/>
              <w:jc w:val="center"/>
              <w:rPr>
                <w:rFonts w:cs="Times New Roman"/>
                <w:color w:val="auto"/>
                <w:sz w:val="21"/>
                <w:szCs w:val="21"/>
                <w:highlight w:val="none"/>
              </w:rPr>
            </w:pPr>
          </w:p>
        </w:tc>
        <w:tc>
          <w:tcPr>
            <w:tcW w:w="1477" w:type="dxa"/>
            <w:gridSpan w:val="2"/>
            <w:tcBorders>
              <w:tl2br w:val="nil"/>
              <w:tr2bl w:val="nil"/>
            </w:tcBorders>
            <w:tcMar>
              <w:top w:w="0" w:type="dxa"/>
              <w:left w:w="11" w:type="dxa"/>
              <w:bottom w:w="0" w:type="dxa"/>
              <w:right w:w="11" w:type="dxa"/>
            </w:tcMar>
            <w:vAlign w:val="center"/>
          </w:tcPr>
          <w:p w14:paraId="73FDD20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污水处理站</w:t>
            </w:r>
          </w:p>
        </w:tc>
        <w:tc>
          <w:tcPr>
            <w:tcW w:w="2507" w:type="dxa"/>
            <w:tcBorders>
              <w:tl2br w:val="nil"/>
              <w:tr2bl w:val="nil"/>
            </w:tcBorders>
            <w:tcMar>
              <w:top w:w="0" w:type="dxa"/>
              <w:left w:w="11" w:type="dxa"/>
              <w:bottom w:w="0" w:type="dxa"/>
              <w:right w:w="11" w:type="dxa"/>
            </w:tcMar>
            <w:vAlign w:val="center"/>
          </w:tcPr>
          <w:p w14:paraId="6C6046E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氨、硫化氢、臭气浓度</w:t>
            </w:r>
          </w:p>
        </w:tc>
        <w:tc>
          <w:tcPr>
            <w:tcW w:w="5470" w:type="dxa"/>
            <w:gridSpan w:val="2"/>
            <w:tcBorders>
              <w:tl2br w:val="nil"/>
              <w:tr2bl w:val="nil"/>
            </w:tcBorders>
            <w:tcMar>
              <w:top w:w="0" w:type="dxa"/>
              <w:left w:w="11" w:type="dxa"/>
              <w:bottom w:w="0" w:type="dxa"/>
              <w:right w:w="11" w:type="dxa"/>
            </w:tcMar>
            <w:vAlign w:val="center"/>
          </w:tcPr>
          <w:p w14:paraId="19B965D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活性炭吸附装置+15m排气筒（DA00</w:t>
            </w:r>
            <w:r>
              <w:rPr>
                <w:rFonts w:hint="eastAsia" w:cs="Times New Roman"/>
                <w:color w:val="auto"/>
                <w:sz w:val="21"/>
                <w:szCs w:val="21"/>
                <w:highlight w:val="none"/>
                <w:lang w:val="en-US" w:eastAsia="zh-CN"/>
              </w:rPr>
              <w:t>2</w:t>
            </w:r>
            <w:r>
              <w:rPr>
                <w:rFonts w:cs="Times New Roman"/>
                <w:color w:val="auto"/>
                <w:sz w:val="21"/>
                <w:szCs w:val="21"/>
                <w:highlight w:val="none"/>
              </w:rPr>
              <w:t>）</w:t>
            </w:r>
          </w:p>
        </w:tc>
        <w:tc>
          <w:tcPr>
            <w:tcW w:w="3528" w:type="dxa"/>
            <w:vMerge w:val="continue"/>
            <w:tcBorders>
              <w:tl2br w:val="nil"/>
              <w:tr2bl w:val="nil"/>
            </w:tcBorders>
            <w:tcMar>
              <w:top w:w="0" w:type="dxa"/>
              <w:left w:w="11" w:type="dxa"/>
              <w:bottom w:w="0" w:type="dxa"/>
              <w:right w:w="11" w:type="dxa"/>
            </w:tcMar>
            <w:vAlign w:val="center"/>
          </w:tcPr>
          <w:p w14:paraId="5BE41E6D">
            <w:pPr>
              <w:spacing w:line="360" w:lineRule="exact"/>
              <w:ind w:firstLine="0" w:firstLineChars="0"/>
              <w:jc w:val="center"/>
              <w:rPr>
                <w:rFonts w:cs="Times New Roman"/>
                <w:color w:val="auto"/>
                <w:sz w:val="21"/>
                <w:szCs w:val="21"/>
                <w:highlight w:val="none"/>
              </w:rPr>
            </w:pPr>
          </w:p>
        </w:tc>
      </w:tr>
      <w:tr w14:paraId="1EC121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39A25ABB">
            <w:pPr>
              <w:widowControl/>
              <w:spacing w:line="360" w:lineRule="exact"/>
              <w:ind w:firstLine="0" w:firstLineChars="0"/>
              <w:jc w:val="center"/>
              <w:rPr>
                <w:rFonts w:cs="Times New Roman"/>
                <w:color w:val="auto"/>
                <w:sz w:val="21"/>
                <w:szCs w:val="21"/>
                <w:highlight w:val="none"/>
              </w:rPr>
            </w:pPr>
          </w:p>
        </w:tc>
        <w:tc>
          <w:tcPr>
            <w:tcW w:w="328" w:type="dxa"/>
            <w:vMerge w:val="restart"/>
            <w:tcBorders>
              <w:tl2br w:val="nil"/>
              <w:tr2bl w:val="nil"/>
            </w:tcBorders>
            <w:tcMar>
              <w:top w:w="0" w:type="dxa"/>
              <w:left w:w="11" w:type="dxa"/>
              <w:bottom w:w="0" w:type="dxa"/>
              <w:right w:w="11" w:type="dxa"/>
            </w:tcMar>
            <w:vAlign w:val="center"/>
          </w:tcPr>
          <w:p w14:paraId="4B6191A1">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厂界</w:t>
            </w:r>
          </w:p>
        </w:tc>
        <w:tc>
          <w:tcPr>
            <w:tcW w:w="1149" w:type="dxa"/>
            <w:tcBorders>
              <w:tl2br w:val="nil"/>
              <w:tr2bl w:val="nil"/>
            </w:tcBorders>
            <w:tcMar>
              <w:top w:w="0" w:type="dxa"/>
              <w:left w:w="11" w:type="dxa"/>
              <w:bottom w:w="0" w:type="dxa"/>
              <w:right w:w="11" w:type="dxa"/>
            </w:tcMar>
            <w:vAlign w:val="center"/>
          </w:tcPr>
          <w:p w14:paraId="41B478D5">
            <w:pPr>
              <w:spacing w:line="360" w:lineRule="exact"/>
              <w:ind w:firstLine="0" w:firstLineChars="0"/>
              <w:jc w:val="center"/>
              <w:rPr>
                <w:rFonts w:hint="eastAsia" w:eastAsia="宋体" w:cs="Times New Roman"/>
                <w:color w:val="auto"/>
                <w:sz w:val="21"/>
                <w:szCs w:val="21"/>
                <w:highlight w:val="none"/>
                <w:lang w:eastAsia="zh-CN"/>
              </w:rPr>
            </w:pPr>
            <w:r>
              <w:rPr>
                <w:rFonts w:hint="eastAsia" w:cs="Times New Roman"/>
                <w:color w:val="auto"/>
                <w:sz w:val="21"/>
                <w:szCs w:val="21"/>
                <w:highlight w:val="none"/>
                <w:lang w:eastAsia="zh-CN"/>
              </w:rPr>
              <w:t>待宰圈</w:t>
            </w:r>
          </w:p>
        </w:tc>
        <w:tc>
          <w:tcPr>
            <w:tcW w:w="2507" w:type="dxa"/>
            <w:vMerge w:val="restart"/>
            <w:tcBorders>
              <w:tl2br w:val="nil"/>
              <w:tr2bl w:val="nil"/>
            </w:tcBorders>
            <w:tcMar>
              <w:top w:w="0" w:type="dxa"/>
              <w:left w:w="11" w:type="dxa"/>
              <w:bottom w:w="0" w:type="dxa"/>
              <w:right w:w="11" w:type="dxa"/>
            </w:tcMar>
            <w:vAlign w:val="center"/>
          </w:tcPr>
          <w:p w14:paraId="379A581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氨、硫化氢、臭气浓度</w:t>
            </w:r>
          </w:p>
        </w:tc>
        <w:tc>
          <w:tcPr>
            <w:tcW w:w="5470" w:type="dxa"/>
            <w:gridSpan w:val="2"/>
            <w:tcBorders>
              <w:tl2br w:val="nil"/>
              <w:tr2bl w:val="nil"/>
            </w:tcBorders>
            <w:tcMar>
              <w:top w:w="0" w:type="dxa"/>
              <w:left w:w="11" w:type="dxa"/>
              <w:bottom w:w="0" w:type="dxa"/>
              <w:right w:w="11" w:type="dxa"/>
            </w:tcMar>
            <w:vAlign w:val="center"/>
          </w:tcPr>
          <w:p w14:paraId="7AB2358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及时清运粪便、喷洒除臭剂</w:t>
            </w:r>
          </w:p>
        </w:tc>
        <w:tc>
          <w:tcPr>
            <w:tcW w:w="3528" w:type="dxa"/>
            <w:vMerge w:val="restart"/>
            <w:tcBorders>
              <w:tl2br w:val="nil"/>
              <w:tr2bl w:val="nil"/>
            </w:tcBorders>
            <w:vAlign w:val="center"/>
          </w:tcPr>
          <w:p w14:paraId="79F70DAC">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《恶臭污染物排放标准》（GB14554-93）表1中二级标准</w:t>
            </w:r>
          </w:p>
        </w:tc>
      </w:tr>
      <w:tr w14:paraId="251E35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146DC243">
            <w:pPr>
              <w:widowControl/>
              <w:spacing w:line="360" w:lineRule="exact"/>
              <w:ind w:firstLine="0" w:firstLineChars="0"/>
              <w:jc w:val="center"/>
              <w:rPr>
                <w:rFonts w:cs="Times New Roman"/>
                <w:color w:val="auto"/>
                <w:sz w:val="21"/>
                <w:szCs w:val="21"/>
                <w:highlight w:val="none"/>
              </w:rPr>
            </w:pPr>
          </w:p>
        </w:tc>
        <w:tc>
          <w:tcPr>
            <w:tcW w:w="328" w:type="dxa"/>
            <w:vMerge w:val="continue"/>
            <w:tcBorders>
              <w:tl2br w:val="nil"/>
              <w:tr2bl w:val="nil"/>
            </w:tcBorders>
            <w:tcMar>
              <w:top w:w="0" w:type="dxa"/>
              <w:left w:w="11" w:type="dxa"/>
              <w:bottom w:w="0" w:type="dxa"/>
              <w:right w:w="11" w:type="dxa"/>
            </w:tcMar>
            <w:vAlign w:val="center"/>
          </w:tcPr>
          <w:p w14:paraId="12B79DEC">
            <w:pPr>
              <w:spacing w:line="360" w:lineRule="exact"/>
              <w:ind w:firstLine="0" w:firstLineChars="0"/>
              <w:jc w:val="center"/>
              <w:rPr>
                <w:rFonts w:cs="Times New Roman"/>
                <w:color w:val="auto"/>
                <w:sz w:val="21"/>
                <w:szCs w:val="21"/>
                <w:highlight w:val="none"/>
              </w:rPr>
            </w:pPr>
          </w:p>
        </w:tc>
        <w:tc>
          <w:tcPr>
            <w:tcW w:w="1149" w:type="dxa"/>
            <w:tcBorders>
              <w:tl2br w:val="nil"/>
              <w:tr2bl w:val="nil"/>
            </w:tcBorders>
            <w:tcMar>
              <w:top w:w="0" w:type="dxa"/>
              <w:left w:w="11" w:type="dxa"/>
              <w:bottom w:w="0" w:type="dxa"/>
              <w:right w:w="11" w:type="dxa"/>
            </w:tcMar>
            <w:vAlign w:val="center"/>
          </w:tcPr>
          <w:p w14:paraId="7D90513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屠宰车间</w:t>
            </w:r>
          </w:p>
        </w:tc>
        <w:tc>
          <w:tcPr>
            <w:tcW w:w="2507" w:type="dxa"/>
            <w:vMerge w:val="continue"/>
            <w:tcBorders>
              <w:tl2br w:val="nil"/>
              <w:tr2bl w:val="nil"/>
            </w:tcBorders>
            <w:tcMar>
              <w:top w:w="0" w:type="dxa"/>
              <w:left w:w="11" w:type="dxa"/>
              <w:bottom w:w="0" w:type="dxa"/>
              <w:right w:w="11" w:type="dxa"/>
            </w:tcMar>
            <w:vAlign w:val="center"/>
          </w:tcPr>
          <w:p w14:paraId="34222CCA">
            <w:pPr>
              <w:spacing w:line="360" w:lineRule="exact"/>
              <w:ind w:firstLine="0" w:firstLineChars="0"/>
              <w:jc w:val="center"/>
              <w:rPr>
                <w:rFonts w:cs="Times New Roman"/>
                <w:color w:val="auto"/>
                <w:sz w:val="21"/>
                <w:szCs w:val="21"/>
                <w:highlight w:val="none"/>
              </w:rPr>
            </w:pPr>
          </w:p>
        </w:tc>
        <w:tc>
          <w:tcPr>
            <w:tcW w:w="5470" w:type="dxa"/>
            <w:gridSpan w:val="2"/>
            <w:tcBorders>
              <w:tl2br w:val="nil"/>
              <w:tr2bl w:val="nil"/>
            </w:tcBorders>
            <w:tcMar>
              <w:top w:w="0" w:type="dxa"/>
              <w:left w:w="11" w:type="dxa"/>
              <w:bottom w:w="0" w:type="dxa"/>
              <w:right w:w="11" w:type="dxa"/>
            </w:tcMar>
            <w:vAlign w:val="center"/>
          </w:tcPr>
          <w:p w14:paraId="4097624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增加清洗车间地面频次，喷洒除臭剂</w:t>
            </w:r>
          </w:p>
        </w:tc>
        <w:tc>
          <w:tcPr>
            <w:tcW w:w="3528" w:type="dxa"/>
            <w:vMerge w:val="continue"/>
            <w:tcBorders>
              <w:tl2br w:val="nil"/>
              <w:tr2bl w:val="nil"/>
            </w:tcBorders>
            <w:vAlign w:val="center"/>
          </w:tcPr>
          <w:p w14:paraId="3FEC0064">
            <w:pPr>
              <w:widowControl/>
              <w:spacing w:line="360" w:lineRule="exact"/>
              <w:ind w:firstLine="0" w:firstLineChars="0"/>
              <w:jc w:val="center"/>
              <w:rPr>
                <w:rFonts w:cs="Times New Roman"/>
                <w:color w:val="auto"/>
                <w:sz w:val="21"/>
                <w:szCs w:val="21"/>
                <w:highlight w:val="none"/>
              </w:rPr>
            </w:pPr>
          </w:p>
        </w:tc>
      </w:tr>
      <w:tr w14:paraId="2A8066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176AC7E6">
            <w:pPr>
              <w:widowControl/>
              <w:spacing w:line="360" w:lineRule="exact"/>
              <w:ind w:firstLine="0" w:firstLineChars="0"/>
              <w:jc w:val="center"/>
              <w:rPr>
                <w:rFonts w:cs="Times New Roman"/>
                <w:color w:val="auto"/>
                <w:sz w:val="21"/>
                <w:szCs w:val="21"/>
                <w:highlight w:val="none"/>
              </w:rPr>
            </w:pPr>
          </w:p>
        </w:tc>
        <w:tc>
          <w:tcPr>
            <w:tcW w:w="328" w:type="dxa"/>
            <w:vMerge w:val="continue"/>
            <w:tcBorders>
              <w:tl2br w:val="nil"/>
              <w:tr2bl w:val="nil"/>
            </w:tcBorders>
            <w:tcMar>
              <w:top w:w="0" w:type="dxa"/>
              <w:left w:w="11" w:type="dxa"/>
              <w:bottom w:w="0" w:type="dxa"/>
              <w:right w:w="11" w:type="dxa"/>
            </w:tcMar>
            <w:vAlign w:val="center"/>
          </w:tcPr>
          <w:p w14:paraId="28518694">
            <w:pPr>
              <w:spacing w:line="360" w:lineRule="exact"/>
              <w:ind w:firstLine="0" w:firstLineChars="0"/>
              <w:jc w:val="center"/>
              <w:rPr>
                <w:rFonts w:cs="Times New Roman"/>
                <w:color w:val="auto"/>
                <w:sz w:val="21"/>
                <w:szCs w:val="21"/>
                <w:highlight w:val="none"/>
              </w:rPr>
            </w:pPr>
          </w:p>
        </w:tc>
        <w:tc>
          <w:tcPr>
            <w:tcW w:w="1149" w:type="dxa"/>
            <w:tcBorders>
              <w:tl2br w:val="nil"/>
              <w:tr2bl w:val="nil"/>
            </w:tcBorders>
            <w:tcMar>
              <w:top w:w="0" w:type="dxa"/>
              <w:left w:w="11" w:type="dxa"/>
              <w:bottom w:w="0" w:type="dxa"/>
              <w:right w:w="11" w:type="dxa"/>
            </w:tcMar>
            <w:vAlign w:val="center"/>
          </w:tcPr>
          <w:p w14:paraId="1BE2973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污水处理站</w:t>
            </w:r>
          </w:p>
        </w:tc>
        <w:tc>
          <w:tcPr>
            <w:tcW w:w="2507" w:type="dxa"/>
            <w:vMerge w:val="continue"/>
            <w:tcBorders>
              <w:tl2br w:val="nil"/>
              <w:tr2bl w:val="nil"/>
            </w:tcBorders>
            <w:tcMar>
              <w:top w:w="0" w:type="dxa"/>
              <w:left w:w="11" w:type="dxa"/>
              <w:bottom w:w="0" w:type="dxa"/>
              <w:right w:w="11" w:type="dxa"/>
            </w:tcMar>
            <w:vAlign w:val="center"/>
          </w:tcPr>
          <w:p w14:paraId="679688BD">
            <w:pPr>
              <w:spacing w:line="360" w:lineRule="exact"/>
              <w:ind w:firstLine="0" w:firstLineChars="0"/>
              <w:jc w:val="center"/>
              <w:rPr>
                <w:rFonts w:cs="Times New Roman"/>
                <w:color w:val="auto"/>
                <w:sz w:val="21"/>
                <w:szCs w:val="21"/>
                <w:highlight w:val="none"/>
              </w:rPr>
            </w:pPr>
          </w:p>
        </w:tc>
        <w:tc>
          <w:tcPr>
            <w:tcW w:w="5470" w:type="dxa"/>
            <w:gridSpan w:val="2"/>
            <w:tcBorders>
              <w:tl2br w:val="nil"/>
              <w:tr2bl w:val="nil"/>
            </w:tcBorders>
            <w:tcMar>
              <w:top w:w="0" w:type="dxa"/>
              <w:left w:w="11" w:type="dxa"/>
              <w:bottom w:w="0" w:type="dxa"/>
              <w:right w:w="11" w:type="dxa"/>
            </w:tcMar>
            <w:vAlign w:val="center"/>
          </w:tcPr>
          <w:p w14:paraId="03E4F5A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产生恶臭区域加盖，喷洒除臭剂</w:t>
            </w:r>
          </w:p>
        </w:tc>
        <w:tc>
          <w:tcPr>
            <w:tcW w:w="3528" w:type="dxa"/>
            <w:vMerge w:val="continue"/>
            <w:tcBorders>
              <w:tl2br w:val="nil"/>
              <w:tr2bl w:val="nil"/>
            </w:tcBorders>
            <w:vAlign w:val="center"/>
          </w:tcPr>
          <w:p w14:paraId="6E7184D1">
            <w:pPr>
              <w:widowControl/>
              <w:spacing w:line="360" w:lineRule="exact"/>
              <w:ind w:firstLine="0" w:firstLineChars="0"/>
              <w:jc w:val="center"/>
              <w:rPr>
                <w:rFonts w:cs="Times New Roman"/>
                <w:color w:val="auto"/>
                <w:sz w:val="21"/>
                <w:szCs w:val="21"/>
                <w:highlight w:val="none"/>
              </w:rPr>
            </w:pPr>
          </w:p>
        </w:tc>
      </w:tr>
      <w:tr w14:paraId="61D60A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40A4AE79">
            <w:pPr>
              <w:widowControl/>
              <w:spacing w:line="360" w:lineRule="exact"/>
              <w:ind w:firstLine="0" w:firstLineChars="0"/>
              <w:jc w:val="center"/>
              <w:rPr>
                <w:rFonts w:cs="Times New Roman"/>
                <w:color w:val="auto"/>
                <w:sz w:val="21"/>
                <w:szCs w:val="21"/>
                <w:highlight w:val="none"/>
              </w:rPr>
            </w:pPr>
          </w:p>
        </w:tc>
        <w:tc>
          <w:tcPr>
            <w:tcW w:w="328" w:type="dxa"/>
            <w:vMerge w:val="continue"/>
            <w:tcBorders>
              <w:tl2br w:val="nil"/>
              <w:tr2bl w:val="nil"/>
            </w:tcBorders>
            <w:tcMar>
              <w:top w:w="0" w:type="dxa"/>
              <w:left w:w="11" w:type="dxa"/>
              <w:bottom w:w="0" w:type="dxa"/>
              <w:right w:w="11" w:type="dxa"/>
            </w:tcMar>
            <w:vAlign w:val="center"/>
          </w:tcPr>
          <w:p w14:paraId="37BE1960">
            <w:pPr>
              <w:spacing w:line="360" w:lineRule="exact"/>
              <w:ind w:firstLine="0" w:firstLineChars="0"/>
              <w:jc w:val="center"/>
              <w:rPr>
                <w:rFonts w:cs="Times New Roman"/>
                <w:color w:val="auto"/>
                <w:sz w:val="21"/>
                <w:szCs w:val="21"/>
                <w:highlight w:val="none"/>
              </w:rPr>
            </w:pPr>
          </w:p>
        </w:tc>
        <w:tc>
          <w:tcPr>
            <w:tcW w:w="1149" w:type="dxa"/>
            <w:tcBorders>
              <w:tl2br w:val="nil"/>
              <w:tr2bl w:val="nil"/>
            </w:tcBorders>
            <w:tcMar>
              <w:top w:w="0" w:type="dxa"/>
              <w:left w:w="11" w:type="dxa"/>
              <w:bottom w:w="0" w:type="dxa"/>
              <w:right w:w="11" w:type="dxa"/>
            </w:tcMar>
            <w:vAlign w:val="center"/>
          </w:tcPr>
          <w:p w14:paraId="0451BC7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固废暂存间</w:t>
            </w:r>
          </w:p>
        </w:tc>
        <w:tc>
          <w:tcPr>
            <w:tcW w:w="2507" w:type="dxa"/>
            <w:tcBorders>
              <w:tl2br w:val="nil"/>
              <w:tr2bl w:val="nil"/>
            </w:tcBorders>
            <w:tcMar>
              <w:top w:w="0" w:type="dxa"/>
              <w:left w:w="11" w:type="dxa"/>
              <w:bottom w:w="0" w:type="dxa"/>
              <w:right w:w="11" w:type="dxa"/>
            </w:tcMar>
            <w:vAlign w:val="center"/>
          </w:tcPr>
          <w:p w14:paraId="5CE446F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臭气浓度</w:t>
            </w:r>
          </w:p>
        </w:tc>
        <w:tc>
          <w:tcPr>
            <w:tcW w:w="5470" w:type="dxa"/>
            <w:gridSpan w:val="2"/>
            <w:tcBorders>
              <w:tl2br w:val="nil"/>
              <w:tr2bl w:val="nil"/>
            </w:tcBorders>
            <w:tcMar>
              <w:top w:w="0" w:type="dxa"/>
              <w:left w:w="11" w:type="dxa"/>
              <w:bottom w:w="0" w:type="dxa"/>
              <w:right w:w="11" w:type="dxa"/>
            </w:tcMar>
            <w:vAlign w:val="center"/>
          </w:tcPr>
          <w:p w14:paraId="64A4B56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各储存池密封</w:t>
            </w:r>
          </w:p>
        </w:tc>
        <w:tc>
          <w:tcPr>
            <w:tcW w:w="3528" w:type="dxa"/>
            <w:vMerge w:val="continue"/>
            <w:tcBorders>
              <w:tl2br w:val="nil"/>
              <w:tr2bl w:val="nil"/>
            </w:tcBorders>
            <w:vAlign w:val="center"/>
          </w:tcPr>
          <w:p w14:paraId="010A698C">
            <w:pPr>
              <w:widowControl/>
              <w:spacing w:line="360" w:lineRule="exact"/>
              <w:ind w:firstLine="0" w:firstLineChars="0"/>
              <w:jc w:val="center"/>
              <w:rPr>
                <w:rFonts w:cs="Times New Roman"/>
                <w:color w:val="auto"/>
                <w:sz w:val="21"/>
                <w:szCs w:val="21"/>
                <w:highlight w:val="none"/>
              </w:rPr>
            </w:pPr>
          </w:p>
        </w:tc>
      </w:tr>
      <w:tr w14:paraId="427F28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29" w:hRule="atLeast"/>
          <w:jc w:val="center"/>
        </w:trPr>
        <w:tc>
          <w:tcPr>
            <w:tcW w:w="715" w:type="dxa"/>
            <w:vMerge w:val="restart"/>
            <w:tcBorders>
              <w:tl2br w:val="nil"/>
              <w:tr2bl w:val="nil"/>
            </w:tcBorders>
            <w:tcMar>
              <w:top w:w="0" w:type="dxa"/>
              <w:left w:w="11" w:type="dxa"/>
              <w:bottom w:w="0" w:type="dxa"/>
              <w:right w:w="11" w:type="dxa"/>
            </w:tcMar>
            <w:vAlign w:val="center"/>
          </w:tcPr>
          <w:p w14:paraId="6316488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废水</w:t>
            </w:r>
          </w:p>
        </w:tc>
        <w:tc>
          <w:tcPr>
            <w:tcW w:w="328" w:type="dxa"/>
            <w:vMerge w:val="restart"/>
            <w:tcBorders>
              <w:tl2br w:val="nil"/>
              <w:tr2bl w:val="nil"/>
            </w:tcBorders>
            <w:tcMar>
              <w:top w:w="0" w:type="dxa"/>
              <w:left w:w="11" w:type="dxa"/>
              <w:bottom w:w="0" w:type="dxa"/>
              <w:right w:w="11" w:type="dxa"/>
            </w:tcMar>
            <w:vAlign w:val="center"/>
          </w:tcPr>
          <w:p w14:paraId="26C4E7C2">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废水</w:t>
            </w:r>
          </w:p>
        </w:tc>
        <w:tc>
          <w:tcPr>
            <w:tcW w:w="1149" w:type="dxa"/>
            <w:tcBorders>
              <w:tl2br w:val="nil"/>
              <w:tr2bl w:val="nil"/>
            </w:tcBorders>
            <w:tcMar>
              <w:top w:w="0" w:type="dxa"/>
              <w:left w:w="11" w:type="dxa"/>
              <w:bottom w:w="0" w:type="dxa"/>
              <w:right w:w="11" w:type="dxa"/>
            </w:tcMar>
            <w:vAlign w:val="center"/>
          </w:tcPr>
          <w:p w14:paraId="41FB5E79">
            <w:pPr>
              <w:spacing w:line="360" w:lineRule="exact"/>
              <w:ind w:firstLine="0" w:firstLineChars="0"/>
              <w:jc w:val="center"/>
              <w:rPr>
                <w:rFonts w:hint="eastAsia" w:eastAsia="宋体" w:cs="Times New Roman"/>
                <w:color w:val="auto"/>
                <w:sz w:val="21"/>
                <w:szCs w:val="21"/>
                <w:highlight w:val="none"/>
                <w:lang w:eastAsia="zh-CN"/>
              </w:rPr>
            </w:pPr>
            <w:r>
              <w:rPr>
                <w:rFonts w:cs="Times New Roman"/>
                <w:color w:val="auto"/>
                <w:sz w:val="21"/>
                <w:szCs w:val="21"/>
                <w:highlight w:val="none"/>
              </w:rPr>
              <w:t>屠宰废水</w:t>
            </w:r>
          </w:p>
        </w:tc>
        <w:tc>
          <w:tcPr>
            <w:tcW w:w="2507" w:type="dxa"/>
            <w:tcBorders>
              <w:tl2br w:val="nil"/>
              <w:tr2bl w:val="nil"/>
            </w:tcBorders>
            <w:tcMar>
              <w:top w:w="0" w:type="dxa"/>
              <w:left w:w="11" w:type="dxa"/>
              <w:bottom w:w="0" w:type="dxa"/>
              <w:right w:w="11" w:type="dxa"/>
            </w:tcMar>
            <w:vAlign w:val="center"/>
          </w:tcPr>
          <w:p w14:paraId="2C12022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COD、氨氮、BOD</w:t>
            </w:r>
            <w:r>
              <w:rPr>
                <w:rFonts w:cs="Times New Roman"/>
                <w:color w:val="auto"/>
                <w:sz w:val="21"/>
                <w:szCs w:val="21"/>
                <w:highlight w:val="none"/>
                <w:vertAlign w:val="subscript"/>
              </w:rPr>
              <w:t>5</w:t>
            </w:r>
            <w:r>
              <w:rPr>
                <w:rFonts w:cs="Times New Roman"/>
                <w:color w:val="auto"/>
                <w:sz w:val="21"/>
                <w:szCs w:val="21"/>
                <w:highlight w:val="none"/>
              </w:rPr>
              <w:t>、SS、动植物油、</w:t>
            </w:r>
            <w:r>
              <w:rPr>
                <w:rFonts w:cs="Times New Roman"/>
                <w:bCs/>
                <w:color w:val="auto"/>
                <w:sz w:val="21"/>
                <w:szCs w:val="21"/>
                <w:highlight w:val="none"/>
              </w:rPr>
              <w:t>总氮、总磷</w:t>
            </w:r>
          </w:p>
        </w:tc>
        <w:tc>
          <w:tcPr>
            <w:tcW w:w="3537" w:type="dxa"/>
            <w:tcBorders>
              <w:tl2br w:val="nil"/>
              <w:tr2bl w:val="nil"/>
            </w:tcBorders>
            <w:tcMar>
              <w:top w:w="0" w:type="dxa"/>
              <w:left w:w="11" w:type="dxa"/>
              <w:bottom w:w="0" w:type="dxa"/>
              <w:right w:w="11" w:type="dxa"/>
            </w:tcMar>
            <w:vAlign w:val="center"/>
          </w:tcPr>
          <w:p w14:paraId="3FD7C357">
            <w:pPr>
              <w:spacing w:line="360" w:lineRule="exact"/>
              <w:ind w:firstLine="0" w:firstLineChars="0"/>
              <w:jc w:val="center"/>
              <w:rPr>
                <w:rFonts w:cs="Times New Roman"/>
                <w:color w:val="auto"/>
                <w:sz w:val="21"/>
                <w:szCs w:val="21"/>
                <w:highlight w:val="none"/>
              </w:rPr>
            </w:pPr>
            <w:r>
              <w:rPr>
                <w:rFonts w:cs="Times New Roman"/>
                <w:bCs/>
                <w:color w:val="auto"/>
                <w:sz w:val="21"/>
                <w:szCs w:val="21"/>
                <w:highlight w:val="none"/>
              </w:rPr>
              <w:t>“</w:t>
            </w:r>
            <w:r>
              <w:rPr>
                <w:rFonts w:hint="eastAsia" w:cs="Times New Roman"/>
                <w:color w:val="auto"/>
                <w:sz w:val="21"/>
                <w:szCs w:val="21"/>
                <w:highlight w:val="none"/>
                <w:lang w:eastAsia="zh-CN"/>
              </w:rPr>
              <w:t>格栅+</w:t>
            </w:r>
            <w:r>
              <w:rPr>
                <w:rFonts w:hint="eastAsia" w:cs="Times New Roman"/>
                <w:color w:val="auto"/>
                <w:sz w:val="21"/>
                <w:szCs w:val="21"/>
                <w:highlight w:val="none"/>
                <w:lang w:val="en-US" w:eastAsia="zh-CN"/>
              </w:rPr>
              <w:t>调节池</w:t>
            </w:r>
            <w:r>
              <w:rPr>
                <w:rFonts w:hint="eastAsia" w:cs="Times New Roman"/>
                <w:color w:val="auto"/>
                <w:sz w:val="21"/>
                <w:szCs w:val="21"/>
                <w:highlight w:val="none"/>
                <w:lang w:eastAsia="zh-CN"/>
              </w:rPr>
              <w:t>+气浮+水解酸化+</w:t>
            </w:r>
            <w:r>
              <w:rPr>
                <w:rFonts w:hint="eastAsia" w:cs="Times New Roman"/>
                <w:color w:val="auto"/>
                <w:sz w:val="21"/>
                <w:szCs w:val="21"/>
                <w:highlight w:val="none"/>
                <w:lang w:val="en-US" w:eastAsia="zh-CN"/>
              </w:rPr>
              <w:t>反硝化缺氧+好氧</w:t>
            </w:r>
            <w:r>
              <w:rPr>
                <w:rFonts w:hint="eastAsia" w:cs="Times New Roman"/>
                <w:color w:val="auto"/>
                <w:sz w:val="21"/>
                <w:szCs w:val="21"/>
                <w:highlight w:val="none"/>
                <w:lang w:eastAsia="zh-CN"/>
              </w:rPr>
              <w:t>+沉淀+消毒（</w:t>
            </w:r>
            <w:r>
              <w:rPr>
                <w:rFonts w:hint="eastAsia" w:cs="Times New Roman"/>
                <w:color w:val="auto"/>
                <w:sz w:val="21"/>
                <w:szCs w:val="21"/>
                <w:highlight w:val="none"/>
                <w:lang w:val="en-US" w:eastAsia="zh-CN"/>
              </w:rPr>
              <w:t>次氯酸钠）</w:t>
            </w:r>
            <w:r>
              <w:rPr>
                <w:rFonts w:cs="Times New Roman"/>
                <w:color w:val="auto"/>
                <w:sz w:val="21"/>
                <w:szCs w:val="21"/>
                <w:highlight w:val="none"/>
              </w:rPr>
              <w:t>”</w:t>
            </w:r>
          </w:p>
        </w:tc>
        <w:tc>
          <w:tcPr>
            <w:tcW w:w="1933" w:type="dxa"/>
            <w:vMerge w:val="restart"/>
            <w:tcBorders>
              <w:tl2br w:val="nil"/>
              <w:tr2bl w:val="nil"/>
            </w:tcBorders>
            <w:tcMar>
              <w:top w:w="0" w:type="dxa"/>
              <w:left w:w="11" w:type="dxa"/>
              <w:bottom w:w="0" w:type="dxa"/>
              <w:right w:w="11" w:type="dxa"/>
            </w:tcMar>
            <w:vAlign w:val="center"/>
          </w:tcPr>
          <w:p w14:paraId="2CEB259E">
            <w:pPr>
              <w:spacing w:line="360" w:lineRule="exact"/>
              <w:ind w:firstLine="0" w:firstLineChars="0"/>
              <w:jc w:val="center"/>
              <w:rPr>
                <w:rFonts w:hint="default"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DW001</w:t>
            </w:r>
          </w:p>
        </w:tc>
        <w:tc>
          <w:tcPr>
            <w:tcW w:w="3528" w:type="dxa"/>
            <w:vMerge w:val="restart"/>
            <w:tcBorders>
              <w:tl2br w:val="nil"/>
              <w:tr2bl w:val="nil"/>
            </w:tcBorders>
            <w:tcMar>
              <w:top w:w="0" w:type="dxa"/>
              <w:left w:w="11" w:type="dxa"/>
              <w:bottom w:w="0" w:type="dxa"/>
              <w:right w:w="11" w:type="dxa"/>
            </w:tcMar>
            <w:vAlign w:val="center"/>
          </w:tcPr>
          <w:p w14:paraId="1F7809B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《肉类加工工业水污染物排放标准》（GB13457-92）表3三级标准及</w:t>
            </w:r>
            <w:r>
              <w:rPr>
                <w:rFonts w:hint="eastAsia" w:cs="Times New Roman"/>
                <w:color w:val="auto"/>
                <w:sz w:val="21"/>
                <w:szCs w:val="21"/>
                <w:highlight w:val="none"/>
                <w:lang w:val="en-GB" w:eastAsia="zh-CN"/>
              </w:rPr>
              <w:t>双鸭山市畅源排水有限公司</w:t>
            </w:r>
            <w:r>
              <w:rPr>
                <w:rFonts w:cs="Times New Roman"/>
                <w:color w:val="auto"/>
                <w:sz w:val="21"/>
                <w:szCs w:val="21"/>
                <w:highlight w:val="none"/>
              </w:rPr>
              <w:t>进水水质要求</w:t>
            </w:r>
          </w:p>
        </w:tc>
      </w:tr>
      <w:tr w14:paraId="31B2B5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62" w:hRule="atLeast"/>
          <w:jc w:val="center"/>
        </w:trPr>
        <w:tc>
          <w:tcPr>
            <w:tcW w:w="715" w:type="dxa"/>
            <w:vMerge w:val="continue"/>
            <w:tcBorders>
              <w:tl2br w:val="nil"/>
              <w:tr2bl w:val="nil"/>
            </w:tcBorders>
            <w:tcMar>
              <w:top w:w="0" w:type="dxa"/>
              <w:left w:w="11" w:type="dxa"/>
              <w:bottom w:w="0" w:type="dxa"/>
              <w:right w:w="11" w:type="dxa"/>
            </w:tcMar>
            <w:vAlign w:val="center"/>
          </w:tcPr>
          <w:p w14:paraId="3C63F4B3">
            <w:pPr>
              <w:spacing w:line="360" w:lineRule="exact"/>
              <w:ind w:firstLine="0" w:firstLineChars="0"/>
              <w:jc w:val="center"/>
              <w:rPr>
                <w:rFonts w:cs="Times New Roman"/>
                <w:color w:val="auto"/>
                <w:sz w:val="21"/>
                <w:szCs w:val="21"/>
                <w:highlight w:val="none"/>
              </w:rPr>
            </w:pPr>
          </w:p>
        </w:tc>
        <w:tc>
          <w:tcPr>
            <w:tcW w:w="328" w:type="dxa"/>
            <w:vMerge w:val="continue"/>
            <w:tcBorders>
              <w:tl2br w:val="nil"/>
              <w:tr2bl w:val="nil"/>
            </w:tcBorders>
            <w:tcMar>
              <w:top w:w="0" w:type="dxa"/>
              <w:left w:w="11" w:type="dxa"/>
              <w:bottom w:w="0" w:type="dxa"/>
              <w:right w:w="11" w:type="dxa"/>
            </w:tcMar>
            <w:vAlign w:val="center"/>
          </w:tcPr>
          <w:p w14:paraId="0CE02E3D">
            <w:pPr>
              <w:spacing w:line="360" w:lineRule="exact"/>
              <w:ind w:firstLine="0" w:firstLineChars="0"/>
              <w:jc w:val="center"/>
              <w:rPr>
                <w:rFonts w:cs="Times New Roman"/>
                <w:color w:val="auto"/>
                <w:sz w:val="21"/>
                <w:szCs w:val="21"/>
                <w:highlight w:val="none"/>
              </w:rPr>
            </w:pPr>
          </w:p>
        </w:tc>
        <w:tc>
          <w:tcPr>
            <w:tcW w:w="1149" w:type="dxa"/>
            <w:tcBorders>
              <w:tl2br w:val="nil"/>
              <w:tr2bl w:val="nil"/>
            </w:tcBorders>
            <w:tcMar>
              <w:top w:w="0" w:type="dxa"/>
              <w:left w:w="11" w:type="dxa"/>
              <w:bottom w:w="0" w:type="dxa"/>
              <w:right w:w="11" w:type="dxa"/>
            </w:tcMar>
            <w:vAlign w:val="center"/>
          </w:tcPr>
          <w:p w14:paraId="5BD62B8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生活污水</w:t>
            </w:r>
          </w:p>
        </w:tc>
        <w:tc>
          <w:tcPr>
            <w:tcW w:w="2507" w:type="dxa"/>
            <w:tcBorders>
              <w:tl2br w:val="nil"/>
              <w:tr2bl w:val="nil"/>
            </w:tcBorders>
            <w:tcMar>
              <w:top w:w="0" w:type="dxa"/>
              <w:left w:w="11" w:type="dxa"/>
              <w:bottom w:w="0" w:type="dxa"/>
              <w:right w:w="11" w:type="dxa"/>
            </w:tcMar>
            <w:vAlign w:val="center"/>
          </w:tcPr>
          <w:p w14:paraId="7560FFB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COD、氨氮</w:t>
            </w:r>
          </w:p>
        </w:tc>
        <w:tc>
          <w:tcPr>
            <w:tcW w:w="3537" w:type="dxa"/>
            <w:tcBorders>
              <w:tl2br w:val="nil"/>
              <w:tr2bl w:val="nil"/>
            </w:tcBorders>
            <w:tcMar>
              <w:top w:w="0" w:type="dxa"/>
              <w:left w:w="11" w:type="dxa"/>
              <w:bottom w:w="0" w:type="dxa"/>
              <w:right w:w="11" w:type="dxa"/>
            </w:tcMar>
            <w:vAlign w:val="center"/>
          </w:tcPr>
          <w:p w14:paraId="38FBB863">
            <w:pPr>
              <w:spacing w:line="360" w:lineRule="exact"/>
              <w:ind w:firstLine="0" w:firstLineChars="0"/>
              <w:jc w:val="center"/>
              <w:rPr>
                <w:rFonts w:cs="Times New Roman"/>
                <w:bCs/>
                <w:color w:val="auto"/>
                <w:sz w:val="21"/>
                <w:szCs w:val="21"/>
                <w:highlight w:val="none"/>
              </w:rPr>
            </w:pPr>
            <w:r>
              <w:rPr>
                <w:rFonts w:cs="Times New Roman"/>
                <w:bCs/>
                <w:color w:val="auto"/>
                <w:sz w:val="21"/>
                <w:szCs w:val="21"/>
                <w:highlight w:val="none"/>
              </w:rPr>
              <w:t>/</w:t>
            </w:r>
          </w:p>
        </w:tc>
        <w:tc>
          <w:tcPr>
            <w:tcW w:w="1933" w:type="dxa"/>
            <w:vMerge w:val="continue"/>
            <w:tcBorders>
              <w:tl2br w:val="nil"/>
              <w:tr2bl w:val="nil"/>
            </w:tcBorders>
            <w:tcMar>
              <w:top w:w="0" w:type="dxa"/>
              <w:left w:w="11" w:type="dxa"/>
              <w:bottom w:w="0" w:type="dxa"/>
              <w:right w:w="11" w:type="dxa"/>
            </w:tcMar>
            <w:vAlign w:val="center"/>
          </w:tcPr>
          <w:p w14:paraId="1B4F030A">
            <w:pPr>
              <w:spacing w:line="360" w:lineRule="exact"/>
              <w:ind w:firstLine="0" w:firstLineChars="0"/>
              <w:jc w:val="center"/>
              <w:rPr>
                <w:rFonts w:cs="Times New Roman"/>
                <w:bCs/>
                <w:color w:val="auto"/>
                <w:sz w:val="21"/>
                <w:szCs w:val="21"/>
                <w:highlight w:val="none"/>
              </w:rPr>
            </w:pPr>
          </w:p>
        </w:tc>
        <w:tc>
          <w:tcPr>
            <w:tcW w:w="3528" w:type="dxa"/>
            <w:vMerge w:val="continue"/>
            <w:tcBorders>
              <w:tl2br w:val="nil"/>
              <w:tr2bl w:val="nil"/>
            </w:tcBorders>
            <w:tcMar>
              <w:top w:w="0" w:type="dxa"/>
              <w:left w:w="11" w:type="dxa"/>
              <w:bottom w:w="0" w:type="dxa"/>
              <w:right w:w="11" w:type="dxa"/>
            </w:tcMar>
            <w:vAlign w:val="center"/>
          </w:tcPr>
          <w:p w14:paraId="297EB395">
            <w:pPr>
              <w:spacing w:line="360" w:lineRule="exact"/>
              <w:ind w:firstLine="0" w:firstLineChars="0"/>
              <w:jc w:val="center"/>
              <w:rPr>
                <w:rFonts w:cs="Times New Roman"/>
                <w:color w:val="auto"/>
                <w:sz w:val="21"/>
                <w:szCs w:val="21"/>
                <w:highlight w:val="none"/>
              </w:rPr>
            </w:pPr>
          </w:p>
        </w:tc>
      </w:tr>
      <w:tr w14:paraId="59E358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tcMar>
              <w:top w:w="0" w:type="dxa"/>
              <w:left w:w="11" w:type="dxa"/>
              <w:bottom w:w="0" w:type="dxa"/>
              <w:right w:w="11" w:type="dxa"/>
            </w:tcMar>
            <w:vAlign w:val="center"/>
          </w:tcPr>
          <w:p w14:paraId="24E12A2B">
            <w:pPr>
              <w:spacing w:line="360" w:lineRule="exact"/>
              <w:ind w:firstLine="0" w:firstLineChars="0"/>
              <w:jc w:val="center"/>
              <w:rPr>
                <w:rFonts w:cs="Times New Roman"/>
                <w:color w:val="auto"/>
                <w:sz w:val="21"/>
                <w:szCs w:val="21"/>
                <w:highlight w:val="none"/>
              </w:rPr>
            </w:pPr>
          </w:p>
        </w:tc>
        <w:tc>
          <w:tcPr>
            <w:tcW w:w="1477" w:type="dxa"/>
            <w:gridSpan w:val="2"/>
            <w:tcBorders>
              <w:tl2br w:val="nil"/>
              <w:tr2bl w:val="nil"/>
            </w:tcBorders>
            <w:tcMar>
              <w:top w:w="0" w:type="dxa"/>
              <w:left w:w="11" w:type="dxa"/>
              <w:bottom w:w="0" w:type="dxa"/>
              <w:right w:w="11" w:type="dxa"/>
            </w:tcMar>
            <w:vAlign w:val="center"/>
          </w:tcPr>
          <w:p w14:paraId="31B9D92C">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雨水</w:t>
            </w:r>
          </w:p>
        </w:tc>
        <w:tc>
          <w:tcPr>
            <w:tcW w:w="2507" w:type="dxa"/>
            <w:tcBorders>
              <w:tl2br w:val="nil"/>
              <w:tr2bl w:val="nil"/>
            </w:tcBorders>
            <w:tcMar>
              <w:top w:w="0" w:type="dxa"/>
              <w:left w:w="11" w:type="dxa"/>
              <w:bottom w:w="0" w:type="dxa"/>
              <w:right w:w="11" w:type="dxa"/>
            </w:tcMar>
            <w:vAlign w:val="center"/>
          </w:tcPr>
          <w:p w14:paraId="236C566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COD、SS</w:t>
            </w:r>
          </w:p>
        </w:tc>
        <w:tc>
          <w:tcPr>
            <w:tcW w:w="3537" w:type="dxa"/>
            <w:tcBorders>
              <w:tl2br w:val="nil"/>
              <w:tr2bl w:val="nil"/>
            </w:tcBorders>
            <w:tcMar>
              <w:top w:w="0" w:type="dxa"/>
              <w:left w:w="11" w:type="dxa"/>
              <w:bottom w:w="0" w:type="dxa"/>
              <w:right w:w="11" w:type="dxa"/>
            </w:tcMar>
            <w:vAlign w:val="center"/>
          </w:tcPr>
          <w:p w14:paraId="25B5C27D">
            <w:pPr>
              <w:spacing w:line="360" w:lineRule="exact"/>
              <w:ind w:firstLine="0" w:firstLineChars="0"/>
              <w:jc w:val="center"/>
              <w:rPr>
                <w:rFonts w:hint="eastAsia"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933" w:type="dxa"/>
            <w:tcBorders>
              <w:tl2br w:val="nil"/>
              <w:tr2bl w:val="nil"/>
            </w:tcBorders>
            <w:tcMar>
              <w:top w:w="0" w:type="dxa"/>
              <w:left w:w="11" w:type="dxa"/>
              <w:bottom w:w="0" w:type="dxa"/>
              <w:right w:w="11" w:type="dxa"/>
            </w:tcMar>
            <w:vAlign w:val="center"/>
          </w:tcPr>
          <w:p w14:paraId="0788EAB4">
            <w:pPr>
              <w:spacing w:line="360" w:lineRule="exact"/>
              <w:ind w:firstLine="0" w:firstLineChars="0"/>
              <w:jc w:val="center"/>
              <w:rPr>
                <w:rFonts w:cs="Times New Roman"/>
                <w:bCs/>
                <w:color w:val="auto"/>
                <w:sz w:val="21"/>
                <w:szCs w:val="21"/>
                <w:highlight w:val="none"/>
              </w:rPr>
            </w:pPr>
            <w:r>
              <w:rPr>
                <w:rFonts w:hint="eastAsia" w:cs="Times New Roman"/>
                <w:bCs/>
                <w:color w:val="auto"/>
                <w:sz w:val="21"/>
                <w:szCs w:val="21"/>
                <w:highlight w:val="none"/>
                <w:lang w:val="en-US" w:eastAsia="zh-CN"/>
              </w:rPr>
              <w:t>DW002</w:t>
            </w:r>
          </w:p>
        </w:tc>
        <w:tc>
          <w:tcPr>
            <w:tcW w:w="3528" w:type="dxa"/>
            <w:tcBorders>
              <w:tl2br w:val="nil"/>
              <w:tr2bl w:val="nil"/>
            </w:tcBorders>
            <w:tcMar>
              <w:top w:w="0" w:type="dxa"/>
              <w:left w:w="11" w:type="dxa"/>
              <w:bottom w:w="0" w:type="dxa"/>
              <w:right w:w="11" w:type="dxa"/>
            </w:tcMar>
            <w:vAlign w:val="center"/>
          </w:tcPr>
          <w:p w14:paraId="61BBEECB">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7ECD16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2D96D359">
            <w:pPr>
              <w:widowControl/>
              <w:spacing w:line="360" w:lineRule="exact"/>
              <w:ind w:firstLine="0" w:firstLineChars="0"/>
              <w:jc w:val="center"/>
              <w:rPr>
                <w:rFonts w:cs="Times New Roman"/>
                <w:color w:val="auto"/>
                <w:sz w:val="21"/>
                <w:szCs w:val="21"/>
                <w:highlight w:val="none"/>
              </w:rPr>
            </w:pPr>
          </w:p>
        </w:tc>
        <w:tc>
          <w:tcPr>
            <w:tcW w:w="1477" w:type="dxa"/>
            <w:gridSpan w:val="2"/>
            <w:vMerge w:val="restart"/>
            <w:tcBorders>
              <w:tl2br w:val="nil"/>
              <w:tr2bl w:val="nil"/>
            </w:tcBorders>
            <w:tcMar>
              <w:top w:w="0" w:type="dxa"/>
              <w:left w:w="11" w:type="dxa"/>
              <w:bottom w:w="0" w:type="dxa"/>
              <w:right w:w="11" w:type="dxa"/>
            </w:tcMar>
            <w:vAlign w:val="center"/>
          </w:tcPr>
          <w:p w14:paraId="0579066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地下水</w:t>
            </w:r>
          </w:p>
        </w:tc>
        <w:tc>
          <w:tcPr>
            <w:tcW w:w="2507" w:type="dxa"/>
            <w:vMerge w:val="restart"/>
            <w:tcBorders>
              <w:tl2br w:val="nil"/>
              <w:tr2bl w:val="nil"/>
            </w:tcBorders>
            <w:tcMar>
              <w:top w:w="0" w:type="dxa"/>
              <w:left w:w="11" w:type="dxa"/>
              <w:bottom w:w="0" w:type="dxa"/>
              <w:right w:w="11" w:type="dxa"/>
            </w:tcMar>
            <w:vAlign w:val="center"/>
          </w:tcPr>
          <w:p w14:paraId="0EFD7AA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COD、氨氮</w:t>
            </w:r>
          </w:p>
        </w:tc>
        <w:tc>
          <w:tcPr>
            <w:tcW w:w="5470" w:type="dxa"/>
            <w:gridSpan w:val="2"/>
            <w:tcBorders>
              <w:tl2br w:val="nil"/>
              <w:tr2bl w:val="nil"/>
            </w:tcBorders>
            <w:tcMar>
              <w:top w:w="0" w:type="dxa"/>
              <w:left w:w="11" w:type="dxa"/>
              <w:bottom w:w="0" w:type="dxa"/>
              <w:right w:w="11" w:type="dxa"/>
            </w:tcMar>
            <w:vAlign w:val="center"/>
          </w:tcPr>
          <w:p w14:paraId="5CEB1F0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分区防渗</w:t>
            </w:r>
          </w:p>
        </w:tc>
        <w:tc>
          <w:tcPr>
            <w:tcW w:w="3528" w:type="dxa"/>
            <w:tcBorders>
              <w:tl2br w:val="nil"/>
              <w:tr2bl w:val="nil"/>
            </w:tcBorders>
            <w:vAlign w:val="center"/>
          </w:tcPr>
          <w:p w14:paraId="025E57C0">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w:t>
            </w:r>
          </w:p>
        </w:tc>
      </w:tr>
      <w:tr w14:paraId="071740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87" w:hRule="atLeast"/>
          <w:jc w:val="center"/>
        </w:trPr>
        <w:tc>
          <w:tcPr>
            <w:tcW w:w="715" w:type="dxa"/>
            <w:vMerge w:val="continue"/>
            <w:tcBorders>
              <w:tl2br w:val="nil"/>
              <w:tr2bl w:val="nil"/>
            </w:tcBorders>
            <w:vAlign w:val="center"/>
          </w:tcPr>
          <w:p w14:paraId="30E04D4B">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tcMar>
              <w:top w:w="0" w:type="dxa"/>
              <w:left w:w="11" w:type="dxa"/>
              <w:bottom w:w="0" w:type="dxa"/>
              <w:right w:w="11" w:type="dxa"/>
            </w:tcMar>
            <w:vAlign w:val="center"/>
          </w:tcPr>
          <w:p w14:paraId="2E89CD48">
            <w:pPr>
              <w:spacing w:line="360" w:lineRule="exact"/>
              <w:ind w:firstLine="0" w:firstLineChars="0"/>
              <w:jc w:val="center"/>
              <w:rPr>
                <w:rFonts w:cs="Times New Roman"/>
                <w:color w:val="auto"/>
                <w:sz w:val="21"/>
                <w:szCs w:val="21"/>
                <w:highlight w:val="none"/>
              </w:rPr>
            </w:pPr>
          </w:p>
        </w:tc>
        <w:tc>
          <w:tcPr>
            <w:tcW w:w="2507" w:type="dxa"/>
            <w:vMerge w:val="continue"/>
            <w:tcBorders>
              <w:tl2br w:val="nil"/>
              <w:tr2bl w:val="nil"/>
            </w:tcBorders>
            <w:tcMar>
              <w:top w:w="0" w:type="dxa"/>
              <w:left w:w="11" w:type="dxa"/>
              <w:bottom w:w="0" w:type="dxa"/>
              <w:right w:w="11" w:type="dxa"/>
            </w:tcMar>
            <w:vAlign w:val="center"/>
          </w:tcPr>
          <w:p w14:paraId="750C0918">
            <w:pPr>
              <w:spacing w:line="360" w:lineRule="exact"/>
              <w:ind w:firstLine="0" w:firstLineChars="0"/>
              <w:jc w:val="center"/>
              <w:rPr>
                <w:rFonts w:cs="Times New Roman"/>
                <w:color w:val="auto"/>
                <w:sz w:val="21"/>
                <w:szCs w:val="21"/>
                <w:highlight w:val="none"/>
              </w:rPr>
            </w:pPr>
          </w:p>
        </w:tc>
        <w:tc>
          <w:tcPr>
            <w:tcW w:w="5470" w:type="dxa"/>
            <w:gridSpan w:val="2"/>
            <w:tcBorders>
              <w:tl2br w:val="nil"/>
              <w:tr2bl w:val="nil"/>
            </w:tcBorders>
            <w:tcMar>
              <w:top w:w="0" w:type="dxa"/>
              <w:left w:w="11" w:type="dxa"/>
              <w:bottom w:w="0" w:type="dxa"/>
              <w:right w:w="11" w:type="dxa"/>
            </w:tcMar>
            <w:vAlign w:val="center"/>
          </w:tcPr>
          <w:p w14:paraId="51BB38F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跟踪监测井1座</w:t>
            </w:r>
          </w:p>
        </w:tc>
        <w:tc>
          <w:tcPr>
            <w:tcW w:w="3528" w:type="dxa"/>
            <w:tcBorders>
              <w:tl2br w:val="nil"/>
              <w:tr2bl w:val="nil"/>
            </w:tcBorders>
            <w:vAlign w:val="center"/>
          </w:tcPr>
          <w:p w14:paraId="5C1792E2">
            <w:pPr>
              <w:widowControl/>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定期监测记录</w:t>
            </w:r>
          </w:p>
        </w:tc>
      </w:tr>
      <w:tr w14:paraId="18C09C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845" w:hRule="atLeast"/>
          <w:jc w:val="center"/>
        </w:trPr>
        <w:tc>
          <w:tcPr>
            <w:tcW w:w="715" w:type="dxa"/>
            <w:tcBorders>
              <w:tl2br w:val="nil"/>
              <w:tr2bl w:val="nil"/>
            </w:tcBorders>
            <w:tcMar>
              <w:top w:w="0" w:type="dxa"/>
              <w:left w:w="11" w:type="dxa"/>
              <w:bottom w:w="0" w:type="dxa"/>
              <w:right w:w="11" w:type="dxa"/>
            </w:tcMar>
            <w:vAlign w:val="center"/>
          </w:tcPr>
          <w:p w14:paraId="262930A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噪声</w:t>
            </w:r>
          </w:p>
        </w:tc>
        <w:tc>
          <w:tcPr>
            <w:tcW w:w="1477" w:type="dxa"/>
            <w:gridSpan w:val="2"/>
            <w:tcBorders>
              <w:tl2br w:val="nil"/>
              <w:tr2bl w:val="nil"/>
            </w:tcBorders>
            <w:tcMar>
              <w:top w:w="0" w:type="dxa"/>
              <w:left w:w="11" w:type="dxa"/>
              <w:bottom w:w="0" w:type="dxa"/>
              <w:right w:w="11" w:type="dxa"/>
            </w:tcMar>
            <w:vAlign w:val="center"/>
          </w:tcPr>
          <w:p w14:paraId="51BEA6D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厂界噪声</w:t>
            </w:r>
          </w:p>
        </w:tc>
        <w:tc>
          <w:tcPr>
            <w:tcW w:w="2507" w:type="dxa"/>
            <w:tcBorders>
              <w:tl2br w:val="nil"/>
              <w:tr2bl w:val="nil"/>
            </w:tcBorders>
            <w:tcMar>
              <w:top w:w="0" w:type="dxa"/>
              <w:left w:w="11" w:type="dxa"/>
              <w:bottom w:w="0" w:type="dxa"/>
              <w:right w:w="11" w:type="dxa"/>
            </w:tcMar>
            <w:vAlign w:val="center"/>
          </w:tcPr>
          <w:p w14:paraId="5744B38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设备噪声</w:t>
            </w:r>
          </w:p>
        </w:tc>
        <w:tc>
          <w:tcPr>
            <w:tcW w:w="5470" w:type="dxa"/>
            <w:gridSpan w:val="2"/>
            <w:tcBorders>
              <w:tl2br w:val="nil"/>
              <w:tr2bl w:val="nil"/>
            </w:tcBorders>
            <w:tcMar>
              <w:top w:w="0" w:type="dxa"/>
              <w:left w:w="11" w:type="dxa"/>
              <w:bottom w:w="0" w:type="dxa"/>
              <w:right w:w="11" w:type="dxa"/>
            </w:tcMar>
            <w:vAlign w:val="center"/>
          </w:tcPr>
          <w:p w14:paraId="3534EE2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采取设备合理设计及选型、基础减振、厂房隔音、合理布置、绿化降噪等措施</w:t>
            </w:r>
          </w:p>
        </w:tc>
        <w:tc>
          <w:tcPr>
            <w:tcW w:w="3528" w:type="dxa"/>
            <w:tcBorders>
              <w:tl2br w:val="nil"/>
              <w:tr2bl w:val="nil"/>
            </w:tcBorders>
            <w:tcMar>
              <w:top w:w="0" w:type="dxa"/>
              <w:left w:w="11" w:type="dxa"/>
              <w:bottom w:w="0" w:type="dxa"/>
              <w:right w:w="11" w:type="dxa"/>
            </w:tcMar>
            <w:vAlign w:val="center"/>
          </w:tcPr>
          <w:p w14:paraId="6F51752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《工业企业厂界环境噪声排放标准》（GB12348-2008）</w:t>
            </w:r>
            <w:r>
              <w:rPr>
                <w:rFonts w:hint="eastAsia" w:cs="Times New Roman"/>
                <w:color w:val="auto"/>
                <w:sz w:val="21"/>
                <w:szCs w:val="21"/>
                <w:highlight w:val="none"/>
                <w:lang w:val="en-US" w:eastAsia="zh-CN"/>
              </w:rPr>
              <w:t>2</w:t>
            </w:r>
            <w:r>
              <w:rPr>
                <w:rFonts w:cs="Times New Roman"/>
                <w:color w:val="auto"/>
                <w:sz w:val="21"/>
                <w:szCs w:val="21"/>
                <w:highlight w:val="none"/>
              </w:rPr>
              <w:t>类标准</w:t>
            </w:r>
          </w:p>
        </w:tc>
      </w:tr>
      <w:tr w14:paraId="6768F1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715" w:type="dxa"/>
            <w:vMerge w:val="restart"/>
            <w:tcBorders>
              <w:tl2br w:val="nil"/>
              <w:tr2bl w:val="nil"/>
            </w:tcBorders>
            <w:tcMar>
              <w:top w:w="0" w:type="dxa"/>
              <w:left w:w="11" w:type="dxa"/>
              <w:bottom w:w="0" w:type="dxa"/>
              <w:right w:w="11" w:type="dxa"/>
            </w:tcMar>
            <w:vAlign w:val="center"/>
          </w:tcPr>
          <w:p w14:paraId="065F492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固废</w:t>
            </w:r>
          </w:p>
        </w:tc>
        <w:tc>
          <w:tcPr>
            <w:tcW w:w="1477" w:type="dxa"/>
            <w:gridSpan w:val="2"/>
            <w:vMerge w:val="restart"/>
            <w:tcBorders>
              <w:tl2br w:val="nil"/>
              <w:tr2bl w:val="nil"/>
            </w:tcBorders>
            <w:tcMar>
              <w:top w:w="0" w:type="dxa"/>
              <w:left w:w="11" w:type="dxa"/>
              <w:bottom w:w="0" w:type="dxa"/>
              <w:right w:w="11" w:type="dxa"/>
            </w:tcMar>
            <w:vAlign w:val="center"/>
          </w:tcPr>
          <w:p w14:paraId="619A9D3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一般工业固废</w:t>
            </w:r>
          </w:p>
        </w:tc>
        <w:tc>
          <w:tcPr>
            <w:tcW w:w="2507" w:type="dxa"/>
            <w:tcBorders>
              <w:tl2br w:val="nil"/>
              <w:tr2bl w:val="nil"/>
            </w:tcBorders>
            <w:tcMar>
              <w:top w:w="0" w:type="dxa"/>
              <w:left w:w="11" w:type="dxa"/>
              <w:bottom w:w="0" w:type="dxa"/>
              <w:right w:w="11" w:type="dxa"/>
            </w:tcMar>
            <w:vAlign w:val="center"/>
          </w:tcPr>
          <w:p w14:paraId="0D22770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检疫不合格品、病死牛羊</w:t>
            </w:r>
          </w:p>
        </w:tc>
        <w:tc>
          <w:tcPr>
            <w:tcW w:w="5470" w:type="dxa"/>
            <w:gridSpan w:val="2"/>
            <w:tcBorders>
              <w:tl2br w:val="nil"/>
              <w:tr2bl w:val="nil"/>
            </w:tcBorders>
            <w:tcMar>
              <w:top w:w="0" w:type="dxa"/>
              <w:left w:w="11" w:type="dxa"/>
              <w:bottom w:w="0" w:type="dxa"/>
              <w:right w:w="11" w:type="dxa"/>
            </w:tcMar>
            <w:vAlign w:val="center"/>
          </w:tcPr>
          <w:p w14:paraId="23BA8D2D">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委托</w:t>
            </w:r>
            <w:r>
              <w:rPr>
                <w:rFonts w:hint="eastAsia" w:cs="Times New Roman"/>
                <w:color w:val="auto"/>
                <w:sz w:val="21"/>
                <w:szCs w:val="21"/>
                <w:highlight w:val="none"/>
                <w:lang w:eastAsia="zh-CN"/>
              </w:rPr>
              <w:t>双鸭山百奥迈斯生物科技有限公司</w:t>
            </w:r>
            <w:r>
              <w:rPr>
                <w:rFonts w:hint="eastAsia" w:cs="Times New Roman"/>
                <w:color w:val="auto"/>
                <w:sz w:val="21"/>
                <w:szCs w:val="21"/>
                <w:highlight w:val="none"/>
              </w:rPr>
              <w:t>进行无害化处理</w:t>
            </w:r>
          </w:p>
        </w:tc>
        <w:tc>
          <w:tcPr>
            <w:tcW w:w="3528" w:type="dxa"/>
            <w:vMerge w:val="restart"/>
            <w:tcBorders>
              <w:tl2br w:val="nil"/>
              <w:tr2bl w:val="nil"/>
            </w:tcBorders>
            <w:tcMar>
              <w:top w:w="0" w:type="dxa"/>
              <w:left w:w="11" w:type="dxa"/>
              <w:bottom w:w="0" w:type="dxa"/>
              <w:right w:w="11" w:type="dxa"/>
            </w:tcMar>
            <w:vAlign w:val="center"/>
          </w:tcPr>
          <w:p w14:paraId="7470E07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100%处置</w:t>
            </w:r>
          </w:p>
        </w:tc>
      </w:tr>
      <w:tr w14:paraId="783C51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55" w:hRule="atLeast"/>
          <w:jc w:val="center"/>
        </w:trPr>
        <w:tc>
          <w:tcPr>
            <w:tcW w:w="715" w:type="dxa"/>
            <w:vMerge w:val="continue"/>
            <w:tcBorders>
              <w:tl2br w:val="nil"/>
              <w:tr2bl w:val="nil"/>
            </w:tcBorders>
            <w:vAlign w:val="center"/>
          </w:tcPr>
          <w:p w14:paraId="39B9CC06">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vAlign w:val="center"/>
          </w:tcPr>
          <w:p w14:paraId="557D3E00">
            <w:pPr>
              <w:spacing w:line="360" w:lineRule="exact"/>
              <w:ind w:firstLine="0" w:firstLineChars="0"/>
              <w:jc w:val="center"/>
              <w:rPr>
                <w:rFonts w:cs="Times New Roman"/>
                <w:color w:val="auto"/>
                <w:sz w:val="21"/>
                <w:szCs w:val="21"/>
                <w:highlight w:val="none"/>
              </w:rPr>
            </w:pPr>
          </w:p>
        </w:tc>
        <w:tc>
          <w:tcPr>
            <w:tcW w:w="2507" w:type="dxa"/>
            <w:tcBorders>
              <w:tl2br w:val="nil"/>
              <w:tr2bl w:val="nil"/>
            </w:tcBorders>
            <w:tcMar>
              <w:top w:w="0" w:type="dxa"/>
              <w:left w:w="11" w:type="dxa"/>
              <w:bottom w:w="0" w:type="dxa"/>
              <w:right w:w="11" w:type="dxa"/>
            </w:tcMar>
            <w:vAlign w:val="center"/>
          </w:tcPr>
          <w:p w14:paraId="5646280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边角料</w:t>
            </w:r>
          </w:p>
        </w:tc>
        <w:tc>
          <w:tcPr>
            <w:tcW w:w="5470" w:type="dxa"/>
            <w:gridSpan w:val="2"/>
            <w:vMerge w:val="restart"/>
            <w:tcBorders>
              <w:tl2br w:val="nil"/>
              <w:tr2bl w:val="nil"/>
            </w:tcBorders>
            <w:tcMar>
              <w:top w:w="0" w:type="dxa"/>
              <w:left w:w="11" w:type="dxa"/>
              <w:bottom w:w="0" w:type="dxa"/>
              <w:right w:w="11" w:type="dxa"/>
            </w:tcMar>
            <w:vAlign w:val="center"/>
          </w:tcPr>
          <w:p w14:paraId="35EF63F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分类收集，作为有机肥原料外售</w:t>
            </w:r>
          </w:p>
        </w:tc>
        <w:tc>
          <w:tcPr>
            <w:tcW w:w="3528" w:type="dxa"/>
            <w:vMerge w:val="continue"/>
            <w:tcBorders>
              <w:tl2br w:val="nil"/>
              <w:tr2bl w:val="nil"/>
            </w:tcBorders>
            <w:tcMar>
              <w:top w:w="0" w:type="dxa"/>
              <w:left w:w="11" w:type="dxa"/>
              <w:bottom w:w="0" w:type="dxa"/>
              <w:right w:w="11" w:type="dxa"/>
            </w:tcMar>
            <w:vAlign w:val="center"/>
          </w:tcPr>
          <w:p w14:paraId="0634DBF7">
            <w:pPr>
              <w:spacing w:line="360" w:lineRule="exact"/>
              <w:ind w:firstLine="0" w:firstLineChars="0"/>
              <w:jc w:val="center"/>
              <w:rPr>
                <w:rFonts w:cs="Times New Roman"/>
                <w:color w:val="auto"/>
                <w:sz w:val="21"/>
                <w:szCs w:val="21"/>
                <w:highlight w:val="none"/>
              </w:rPr>
            </w:pPr>
          </w:p>
        </w:tc>
      </w:tr>
      <w:tr w14:paraId="6329FA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2F52B6A9">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vAlign w:val="center"/>
          </w:tcPr>
          <w:p w14:paraId="165FF585">
            <w:pPr>
              <w:spacing w:line="360" w:lineRule="exact"/>
              <w:ind w:firstLine="0" w:firstLineChars="0"/>
              <w:jc w:val="center"/>
              <w:rPr>
                <w:rFonts w:cs="Times New Roman"/>
                <w:color w:val="auto"/>
                <w:sz w:val="21"/>
                <w:szCs w:val="21"/>
                <w:highlight w:val="none"/>
              </w:rPr>
            </w:pPr>
          </w:p>
        </w:tc>
        <w:tc>
          <w:tcPr>
            <w:tcW w:w="2507" w:type="dxa"/>
            <w:tcBorders>
              <w:tl2br w:val="nil"/>
              <w:tr2bl w:val="nil"/>
            </w:tcBorders>
            <w:tcMar>
              <w:top w:w="0" w:type="dxa"/>
              <w:left w:w="11" w:type="dxa"/>
              <w:bottom w:w="0" w:type="dxa"/>
              <w:right w:w="11" w:type="dxa"/>
            </w:tcMar>
            <w:vAlign w:val="center"/>
          </w:tcPr>
          <w:p w14:paraId="5F12438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胃容物及肠内物</w:t>
            </w:r>
          </w:p>
        </w:tc>
        <w:tc>
          <w:tcPr>
            <w:tcW w:w="5470" w:type="dxa"/>
            <w:gridSpan w:val="2"/>
            <w:vMerge w:val="continue"/>
            <w:tcBorders>
              <w:tl2br w:val="nil"/>
              <w:tr2bl w:val="nil"/>
            </w:tcBorders>
            <w:tcMar>
              <w:top w:w="0" w:type="dxa"/>
              <w:left w:w="11" w:type="dxa"/>
              <w:bottom w:w="0" w:type="dxa"/>
              <w:right w:w="11" w:type="dxa"/>
            </w:tcMar>
            <w:vAlign w:val="center"/>
          </w:tcPr>
          <w:p w14:paraId="16B42219">
            <w:pPr>
              <w:spacing w:line="360" w:lineRule="exact"/>
              <w:ind w:firstLine="0" w:firstLineChars="0"/>
              <w:jc w:val="center"/>
              <w:rPr>
                <w:rFonts w:cs="Times New Roman"/>
                <w:color w:val="auto"/>
                <w:sz w:val="21"/>
                <w:szCs w:val="21"/>
                <w:highlight w:val="none"/>
              </w:rPr>
            </w:pPr>
          </w:p>
        </w:tc>
        <w:tc>
          <w:tcPr>
            <w:tcW w:w="3528" w:type="dxa"/>
            <w:vMerge w:val="continue"/>
            <w:tcBorders>
              <w:tl2br w:val="nil"/>
              <w:tr2bl w:val="nil"/>
            </w:tcBorders>
            <w:tcMar>
              <w:top w:w="0" w:type="dxa"/>
              <w:left w:w="11" w:type="dxa"/>
              <w:bottom w:w="0" w:type="dxa"/>
              <w:right w:w="11" w:type="dxa"/>
            </w:tcMar>
            <w:vAlign w:val="center"/>
          </w:tcPr>
          <w:p w14:paraId="0C643E9E">
            <w:pPr>
              <w:spacing w:line="360" w:lineRule="exact"/>
              <w:ind w:firstLine="0" w:firstLineChars="0"/>
              <w:jc w:val="center"/>
              <w:rPr>
                <w:rFonts w:cs="Times New Roman"/>
                <w:color w:val="auto"/>
                <w:sz w:val="21"/>
                <w:szCs w:val="21"/>
                <w:highlight w:val="none"/>
              </w:rPr>
            </w:pPr>
          </w:p>
        </w:tc>
      </w:tr>
      <w:tr w14:paraId="7962B1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4AC4D778">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tcMar>
              <w:top w:w="0" w:type="dxa"/>
              <w:left w:w="11" w:type="dxa"/>
              <w:bottom w:w="0" w:type="dxa"/>
              <w:right w:w="11" w:type="dxa"/>
            </w:tcMar>
            <w:vAlign w:val="center"/>
          </w:tcPr>
          <w:p w14:paraId="5C265798">
            <w:pPr>
              <w:spacing w:line="360" w:lineRule="exact"/>
              <w:ind w:firstLine="0" w:firstLineChars="0"/>
              <w:jc w:val="center"/>
              <w:rPr>
                <w:rFonts w:cs="Times New Roman"/>
                <w:color w:val="auto"/>
                <w:sz w:val="21"/>
                <w:szCs w:val="21"/>
                <w:highlight w:val="none"/>
              </w:rPr>
            </w:pPr>
          </w:p>
        </w:tc>
        <w:tc>
          <w:tcPr>
            <w:tcW w:w="2507" w:type="dxa"/>
            <w:tcBorders>
              <w:tl2br w:val="nil"/>
              <w:tr2bl w:val="nil"/>
            </w:tcBorders>
            <w:tcMar>
              <w:top w:w="0" w:type="dxa"/>
              <w:left w:w="11" w:type="dxa"/>
              <w:bottom w:w="0" w:type="dxa"/>
              <w:right w:w="11" w:type="dxa"/>
            </w:tcMar>
            <w:vAlign w:val="center"/>
          </w:tcPr>
          <w:p w14:paraId="232B219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粪便</w:t>
            </w:r>
          </w:p>
        </w:tc>
        <w:tc>
          <w:tcPr>
            <w:tcW w:w="5470" w:type="dxa"/>
            <w:gridSpan w:val="2"/>
            <w:vMerge w:val="continue"/>
            <w:tcBorders>
              <w:tl2br w:val="nil"/>
              <w:tr2bl w:val="nil"/>
            </w:tcBorders>
            <w:tcMar>
              <w:top w:w="0" w:type="dxa"/>
              <w:left w:w="11" w:type="dxa"/>
              <w:bottom w:w="0" w:type="dxa"/>
              <w:right w:w="11" w:type="dxa"/>
            </w:tcMar>
            <w:vAlign w:val="center"/>
          </w:tcPr>
          <w:p w14:paraId="62ACB8BE">
            <w:pPr>
              <w:spacing w:line="360" w:lineRule="exact"/>
              <w:ind w:firstLine="0" w:firstLineChars="0"/>
              <w:jc w:val="center"/>
              <w:rPr>
                <w:rFonts w:cs="Times New Roman"/>
                <w:color w:val="auto"/>
                <w:sz w:val="21"/>
                <w:szCs w:val="21"/>
                <w:highlight w:val="none"/>
              </w:rPr>
            </w:pPr>
          </w:p>
        </w:tc>
        <w:tc>
          <w:tcPr>
            <w:tcW w:w="3528" w:type="dxa"/>
            <w:vMerge w:val="continue"/>
            <w:tcBorders>
              <w:tl2br w:val="nil"/>
              <w:tr2bl w:val="nil"/>
            </w:tcBorders>
            <w:tcMar>
              <w:top w:w="0" w:type="dxa"/>
              <w:left w:w="11" w:type="dxa"/>
              <w:bottom w:w="0" w:type="dxa"/>
              <w:right w:w="11" w:type="dxa"/>
            </w:tcMar>
            <w:vAlign w:val="center"/>
          </w:tcPr>
          <w:p w14:paraId="082A52BF">
            <w:pPr>
              <w:spacing w:line="360" w:lineRule="exact"/>
              <w:ind w:firstLine="0" w:firstLineChars="0"/>
              <w:jc w:val="center"/>
              <w:rPr>
                <w:rFonts w:cs="Times New Roman"/>
                <w:color w:val="auto"/>
                <w:sz w:val="21"/>
                <w:szCs w:val="21"/>
                <w:highlight w:val="none"/>
              </w:rPr>
            </w:pPr>
          </w:p>
        </w:tc>
      </w:tr>
      <w:tr w14:paraId="0D90F9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66FBA506">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tcMar>
              <w:top w:w="0" w:type="dxa"/>
              <w:left w:w="11" w:type="dxa"/>
              <w:bottom w:w="0" w:type="dxa"/>
              <w:right w:w="11" w:type="dxa"/>
            </w:tcMar>
            <w:vAlign w:val="center"/>
          </w:tcPr>
          <w:p w14:paraId="60DE0540">
            <w:pPr>
              <w:spacing w:line="360" w:lineRule="exact"/>
              <w:ind w:firstLine="0" w:firstLineChars="0"/>
              <w:jc w:val="center"/>
              <w:rPr>
                <w:rFonts w:cs="Times New Roman"/>
                <w:color w:val="auto"/>
                <w:sz w:val="21"/>
                <w:szCs w:val="21"/>
                <w:highlight w:val="none"/>
              </w:rPr>
            </w:pPr>
          </w:p>
        </w:tc>
        <w:tc>
          <w:tcPr>
            <w:tcW w:w="2507" w:type="dxa"/>
            <w:tcBorders>
              <w:tl2br w:val="nil"/>
              <w:tr2bl w:val="nil"/>
            </w:tcBorders>
            <w:tcMar>
              <w:top w:w="0" w:type="dxa"/>
              <w:left w:w="11" w:type="dxa"/>
              <w:bottom w:w="0" w:type="dxa"/>
              <w:right w:w="11" w:type="dxa"/>
            </w:tcMar>
            <w:vAlign w:val="center"/>
          </w:tcPr>
          <w:p w14:paraId="1829576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废包装</w:t>
            </w:r>
          </w:p>
        </w:tc>
        <w:tc>
          <w:tcPr>
            <w:tcW w:w="5470" w:type="dxa"/>
            <w:gridSpan w:val="2"/>
            <w:tcBorders>
              <w:tl2br w:val="nil"/>
              <w:tr2bl w:val="nil"/>
            </w:tcBorders>
            <w:tcMar>
              <w:top w:w="0" w:type="dxa"/>
              <w:left w:w="11" w:type="dxa"/>
              <w:bottom w:w="0" w:type="dxa"/>
              <w:right w:w="11" w:type="dxa"/>
            </w:tcMar>
            <w:vAlign w:val="center"/>
          </w:tcPr>
          <w:p w14:paraId="65735B4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定期外售综合利用</w:t>
            </w:r>
          </w:p>
        </w:tc>
        <w:tc>
          <w:tcPr>
            <w:tcW w:w="3528" w:type="dxa"/>
            <w:vMerge w:val="continue"/>
            <w:tcBorders>
              <w:tl2br w:val="nil"/>
              <w:tr2bl w:val="nil"/>
            </w:tcBorders>
            <w:tcMar>
              <w:top w:w="0" w:type="dxa"/>
              <w:left w:w="11" w:type="dxa"/>
              <w:bottom w:w="0" w:type="dxa"/>
              <w:right w:w="11" w:type="dxa"/>
            </w:tcMar>
            <w:vAlign w:val="center"/>
          </w:tcPr>
          <w:p w14:paraId="20CE926A">
            <w:pPr>
              <w:spacing w:line="360" w:lineRule="exact"/>
              <w:ind w:firstLine="0" w:firstLineChars="0"/>
              <w:jc w:val="center"/>
              <w:rPr>
                <w:rFonts w:cs="Times New Roman"/>
                <w:color w:val="auto"/>
                <w:sz w:val="21"/>
                <w:szCs w:val="21"/>
                <w:highlight w:val="none"/>
              </w:rPr>
            </w:pPr>
          </w:p>
        </w:tc>
      </w:tr>
      <w:tr w14:paraId="48781A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28CE8655">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tcMar>
              <w:top w:w="0" w:type="dxa"/>
              <w:left w:w="11" w:type="dxa"/>
              <w:bottom w:w="0" w:type="dxa"/>
              <w:right w:w="11" w:type="dxa"/>
            </w:tcMar>
            <w:vAlign w:val="center"/>
          </w:tcPr>
          <w:p w14:paraId="251793F4">
            <w:pPr>
              <w:spacing w:line="360" w:lineRule="exact"/>
              <w:ind w:firstLine="0" w:firstLineChars="0"/>
              <w:jc w:val="center"/>
              <w:rPr>
                <w:rFonts w:cs="Times New Roman"/>
                <w:color w:val="auto"/>
                <w:sz w:val="21"/>
                <w:szCs w:val="21"/>
                <w:highlight w:val="none"/>
              </w:rPr>
            </w:pPr>
          </w:p>
        </w:tc>
        <w:tc>
          <w:tcPr>
            <w:tcW w:w="2507" w:type="dxa"/>
            <w:tcBorders>
              <w:tl2br w:val="nil"/>
              <w:tr2bl w:val="nil"/>
            </w:tcBorders>
            <w:tcMar>
              <w:top w:w="0" w:type="dxa"/>
              <w:left w:w="11" w:type="dxa"/>
              <w:bottom w:w="0" w:type="dxa"/>
              <w:right w:w="11" w:type="dxa"/>
            </w:tcMar>
            <w:vAlign w:val="center"/>
          </w:tcPr>
          <w:p w14:paraId="6B8582A4">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隔油池废油脂</w:t>
            </w:r>
          </w:p>
        </w:tc>
        <w:tc>
          <w:tcPr>
            <w:tcW w:w="5470" w:type="dxa"/>
            <w:gridSpan w:val="2"/>
            <w:tcBorders>
              <w:tl2br w:val="nil"/>
              <w:tr2bl w:val="nil"/>
            </w:tcBorders>
            <w:tcMar>
              <w:top w:w="0" w:type="dxa"/>
              <w:left w:w="11" w:type="dxa"/>
              <w:bottom w:w="0" w:type="dxa"/>
              <w:right w:w="11" w:type="dxa"/>
            </w:tcMar>
            <w:vAlign w:val="center"/>
          </w:tcPr>
          <w:p w14:paraId="662D607C">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收集后交由有能力处置单位进行运输处理</w:t>
            </w:r>
          </w:p>
        </w:tc>
        <w:tc>
          <w:tcPr>
            <w:tcW w:w="3528" w:type="dxa"/>
            <w:vMerge w:val="continue"/>
            <w:tcBorders>
              <w:tl2br w:val="nil"/>
              <w:tr2bl w:val="nil"/>
            </w:tcBorders>
            <w:tcMar>
              <w:top w:w="0" w:type="dxa"/>
              <w:left w:w="11" w:type="dxa"/>
              <w:bottom w:w="0" w:type="dxa"/>
              <w:right w:w="11" w:type="dxa"/>
            </w:tcMar>
            <w:vAlign w:val="center"/>
          </w:tcPr>
          <w:p w14:paraId="0FACD623">
            <w:pPr>
              <w:spacing w:line="360" w:lineRule="exact"/>
              <w:ind w:firstLine="0" w:firstLineChars="0"/>
              <w:jc w:val="center"/>
              <w:rPr>
                <w:rFonts w:cs="Times New Roman"/>
                <w:color w:val="auto"/>
                <w:sz w:val="21"/>
                <w:szCs w:val="21"/>
                <w:highlight w:val="none"/>
              </w:rPr>
            </w:pPr>
          </w:p>
        </w:tc>
      </w:tr>
      <w:tr w14:paraId="6D3918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1FAFCC7D">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tcMar>
              <w:top w:w="0" w:type="dxa"/>
              <w:left w:w="11" w:type="dxa"/>
              <w:bottom w:w="0" w:type="dxa"/>
              <w:right w:w="11" w:type="dxa"/>
            </w:tcMar>
            <w:vAlign w:val="center"/>
          </w:tcPr>
          <w:p w14:paraId="4805ED98">
            <w:pPr>
              <w:spacing w:line="360" w:lineRule="exact"/>
              <w:ind w:firstLine="0" w:firstLineChars="0"/>
              <w:jc w:val="center"/>
              <w:rPr>
                <w:rFonts w:cs="Times New Roman"/>
                <w:color w:val="auto"/>
                <w:sz w:val="21"/>
                <w:szCs w:val="21"/>
                <w:highlight w:val="none"/>
              </w:rPr>
            </w:pPr>
          </w:p>
        </w:tc>
        <w:tc>
          <w:tcPr>
            <w:tcW w:w="2507" w:type="dxa"/>
            <w:tcBorders>
              <w:tl2br w:val="nil"/>
              <w:tr2bl w:val="nil"/>
            </w:tcBorders>
            <w:tcMar>
              <w:top w:w="0" w:type="dxa"/>
              <w:left w:w="11" w:type="dxa"/>
              <w:bottom w:w="0" w:type="dxa"/>
              <w:right w:w="11" w:type="dxa"/>
            </w:tcMar>
            <w:vAlign w:val="center"/>
          </w:tcPr>
          <w:p w14:paraId="2192564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脱水污泥（含栅渣）</w:t>
            </w:r>
          </w:p>
        </w:tc>
        <w:tc>
          <w:tcPr>
            <w:tcW w:w="5470" w:type="dxa"/>
            <w:gridSpan w:val="2"/>
            <w:tcBorders>
              <w:tl2br w:val="nil"/>
              <w:tr2bl w:val="nil"/>
            </w:tcBorders>
            <w:tcMar>
              <w:top w:w="0" w:type="dxa"/>
              <w:left w:w="11" w:type="dxa"/>
              <w:bottom w:w="0" w:type="dxa"/>
              <w:right w:w="11" w:type="dxa"/>
            </w:tcMar>
            <w:vAlign w:val="center"/>
          </w:tcPr>
          <w:p w14:paraId="352E6B8D">
            <w:pPr>
              <w:spacing w:line="360" w:lineRule="exact"/>
              <w:ind w:firstLine="0" w:firstLineChars="0"/>
              <w:jc w:val="center"/>
              <w:rPr>
                <w:rFonts w:cs="Times New Roman"/>
                <w:color w:val="auto"/>
                <w:sz w:val="21"/>
                <w:szCs w:val="21"/>
                <w:highlight w:val="none"/>
              </w:rPr>
            </w:pPr>
            <w:r>
              <w:rPr>
                <w:rFonts w:cs="Times New Roman"/>
                <w:snapToGrid w:val="0"/>
                <w:color w:val="auto"/>
                <w:kern w:val="0"/>
                <w:sz w:val="21"/>
                <w:szCs w:val="21"/>
                <w:highlight w:val="none"/>
              </w:rPr>
              <w:t>集中收集，送生活垃圾填埋场填埋</w:t>
            </w:r>
          </w:p>
        </w:tc>
        <w:tc>
          <w:tcPr>
            <w:tcW w:w="3528" w:type="dxa"/>
            <w:vMerge w:val="continue"/>
            <w:tcBorders>
              <w:tl2br w:val="nil"/>
              <w:tr2bl w:val="nil"/>
            </w:tcBorders>
            <w:tcMar>
              <w:top w:w="0" w:type="dxa"/>
              <w:left w:w="11" w:type="dxa"/>
              <w:bottom w:w="0" w:type="dxa"/>
              <w:right w:w="11" w:type="dxa"/>
            </w:tcMar>
            <w:vAlign w:val="center"/>
          </w:tcPr>
          <w:p w14:paraId="0C3D050A">
            <w:pPr>
              <w:spacing w:line="360" w:lineRule="exact"/>
              <w:ind w:firstLine="0" w:firstLineChars="0"/>
              <w:jc w:val="center"/>
              <w:rPr>
                <w:rFonts w:cs="Times New Roman"/>
                <w:color w:val="auto"/>
                <w:sz w:val="21"/>
                <w:szCs w:val="21"/>
                <w:highlight w:val="none"/>
              </w:rPr>
            </w:pPr>
          </w:p>
        </w:tc>
      </w:tr>
      <w:tr w14:paraId="5E9FA6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715" w:type="dxa"/>
            <w:vMerge w:val="continue"/>
            <w:tcBorders>
              <w:tl2br w:val="nil"/>
              <w:tr2bl w:val="nil"/>
            </w:tcBorders>
            <w:vAlign w:val="center"/>
          </w:tcPr>
          <w:p w14:paraId="040B16EB">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vAlign w:val="center"/>
          </w:tcPr>
          <w:p w14:paraId="3574E48B">
            <w:pPr>
              <w:widowControl/>
              <w:spacing w:line="360" w:lineRule="exact"/>
              <w:ind w:firstLine="0" w:firstLineChars="0"/>
              <w:jc w:val="center"/>
              <w:rPr>
                <w:rFonts w:cs="Times New Roman"/>
                <w:color w:val="auto"/>
                <w:sz w:val="21"/>
                <w:szCs w:val="21"/>
                <w:highlight w:val="none"/>
              </w:rPr>
            </w:pPr>
          </w:p>
        </w:tc>
        <w:tc>
          <w:tcPr>
            <w:tcW w:w="2507" w:type="dxa"/>
            <w:tcBorders>
              <w:tl2br w:val="nil"/>
              <w:tr2bl w:val="nil"/>
            </w:tcBorders>
            <w:tcMar>
              <w:top w:w="0" w:type="dxa"/>
              <w:left w:w="11" w:type="dxa"/>
              <w:bottom w:w="0" w:type="dxa"/>
              <w:right w:w="11" w:type="dxa"/>
            </w:tcMar>
            <w:vAlign w:val="center"/>
          </w:tcPr>
          <w:p w14:paraId="41A1349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废活性炭</w:t>
            </w:r>
          </w:p>
        </w:tc>
        <w:tc>
          <w:tcPr>
            <w:tcW w:w="5470" w:type="dxa"/>
            <w:gridSpan w:val="2"/>
            <w:tcBorders>
              <w:tl2br w:val="nil"/>
              <w:tr2bl w:val="nil"/>
            </w:tcBorders>
            <w:tcMar>
              <w:top w:w="0" w:type="dxa"/>
              <w:left w:w="11" w:type="dxa"/>
              <w:bottom w:w="0" w:type="dxa"/>
              <w:right w:w="11" w:type="dxa"/>
            </w:tcMar>
            <w:vAlign w:val="center"/>
          </w:tcPr>
          <w:p w14:paraId="332A8F0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集中收集，定期由厂家回收处置</w:t>
            </w:r>
          </w:p>
        </w:tc>
        <w:tc>
          <w:tcPr>
            <w:tcW w:w="3528" w:type="dxa"/>
            <w:vMerge w:val="continue"/>
            <w:tcBorders>
              <w:tl2br w:val="nil"/>
              <w:tr2bl w:val="nil"/>
            </w:tcBorders>
            <w:tcMar>
              <w:top w:w="0" w:type="dxa"/>
              <w:left w:w="11" w:type="dxa"/>
              <w:bottom w:w="0" w:type="dxa"/>
              <w:right w:w="11" w:type="dxa"/>
            </w:tcMar>
            <w:vAlign w:val="center"/>
          </w:tcPr>
          <w:p w14:paraId="7E06FB72">
            <w:pPr>
              <w:spacing w:line="360" w:lineRule="exact"/>
              <w:ind w:firstLine="0" w:firstLineChars="0"/>
              <w:jc w:val="center"/>
              <w:rPr>
                <w:rFonts w:cs="Times New Roman"/>
                <w:color w:val="auto"/>
                <w:sz w:val="21"/>
                <w:szCs w:val="21"/>
                <w:highlight w:val="none"/>
              </w:rPr>
            </w:pPr>
          </w:p>
        </w:tc>
      </w:tr>
      <w:tr w14:paraId="307A54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500" w:hRule="atLeast"/>
          <w:jc w:val="center"/>
        </w:trPr>
        <w:tc>
          <w:tcPr>
            <w:tcW w:w="715" w:type="dxa"/>
            <w:vMerge w:val="continue"/>
            <w:tcBorders>
              <w:tl2br w:val="nil"/>
              <w:tr2bl w:val="nil"/>
            </w:tcBorders>
            <w:vAlign w:val="center"/>
          </w:tcPr>
          <w:p w14:paraId="1F7E0A2D">
            <w:pPr>
              <w:widowControl/>
              <w:spacing w:line="360" w:lineRule="exact"/>
              <w:ind w:firstLine="0" w:firstLineChars="0"/>
              <w:jc w:val="center"/>
              <w:rPr>
                <w:rFonts w:cs="Times New Roman"/>
                <w:color w:val="auto"/>
                <w:sz w:val="21"/>
                <w:szCs w:val="21"/>
                <w:highlight w:val="none"/>
              </w:rPr>
            </w:pPr>
          </w:p>
        </w:tc>
        <w:tc>
          <w:tcPr>
            <w:tcW w:w="1477" w:type="dxa"/>
            <w:gridSpan w:val="2"/>
            <w:tcBorders>
              <w:tl2br w:val="nil"/>
              <w:tr2bl w:val="nil"/>
            </w:tcBorders>
            <w:tcMar>
              <w:top w:w="0" w:type="dxa"/>
              <w:left w:w="11" w:type="dxa"/>
              <w:bottom w:w="0" w:type="dxa"/>
              <w:right w:w="11" w:type="dxa"/>
            </w:tcMar>
            <w:vAlign w:val="center"/>
          </w:tcPr>
          <w:p w14:paraId="52B4F15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生活垃圾</w:t>
            </w:r>
          </w:p>
        </w:tc>
        <w:tc>
          <w:tcPr>
            <w:tcW w:w="2507" w:type="dxa"/>
            <w:tcBorders>
              <w:tl2br w:val="nil"/>
              <w:tr2bl w:val="nil"/>
            </w:tcBorders>
            <w:tcMar>
              <w:top w:w="0" w:type="dxa"/>
              <w:left w:w="11" w:type="dxa"/>
              <w:bottom w:w="0" w:type="dxa"/>
              <w:right w:w="11" w:type="dxa"/>
            </w:tcMar>
            <w:vAlign w:val="center"/>
          </w:tcPr>
          <w:p w14:paraId="4E7471A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生活垃圾</w:t>
            </w:r>
          </w:p>
        </w:tc>
        <w:tc>
          <w:tcPr>
            <w:tcW w:w="5470" w:type="dxa"/>
            <w:gridSpan w:val="2"/>
            <w:tcBorders>
              <w:tl2br w:val="nil"/>
              <w:tr2bl w:val="nil"/>
            </w:tcBorders>
            <w:tcMar>
              <w:top w:w="0" w:type="dxa"/>
              <w:left w:w="11" w:type="dxa"/>
              <w:bottom w:w="0" w:type="dxa"/>
              <w:right w:w="11" w:type="dxa"/>
            </w:tcMar>
            <w:vAlign w:val="center"/>
          </w:tcPr>
          <w:p w14:paraId="0557E75F">
            <w:pPr>
              <w:spacing w:line="360" w:lineRule="exact"/>
              <w:ind w:firstLine="0" w:firstLineChars="0"/>
              <w:jc w:val="center"/>
              <w:rPr>
                <w:rFonts w:hint="default" w:eastAsia="宋体" w:cs="Times New Roman"/>
                <w:color w:val="auto"/>
                <w:sz w:val="21"/>
                <w:szCs w:val="21"/>
                <w:highlight w:val="none"/>
                <w:lang w:val="en-US" w:eastAsia="zh-CN"/>
              </w:rPr>
            </w:pPr>
            <w:r>
              <w:rPr>
                <w:rFonts w:cs="Times New Roman"/>
                <w:color w:val="auto"/>
                <w:sz w:val="21"/>
                <w:szCs w:val="21"/>
                <w:highlight w:val="none"/>
              </w:rPr>
              <w:t>集中收集，</w:t>
            </w:r>
            <w:r>
              <w:rPr>
                <w:rFonts w:hint="eastAsia" w:cs="Times New Roman"/>
                <w:color w:val="auto"/>
                <w:sz w:val="21"/>
                <w:szCs w:val="21"/>
                <w:highlight w:val="none"/>
                <w:lang w:eastAsia="zh-CN"/>
              </w:rPr>
              <w:t>由市政环卫部门统一清运</w:t>
            </w:r>
            <w:r>
              <w:rPr>
                <w:rFonts w:hint="eastAsia" w:cs="Times New Roman"/>
                <w:color w:val="auto"/>
                <w:sz w:val="21"/>
                <w:szCs w:val="21"/>
                <w:highlight w:val="none"/>
                <w:lang w:val="en-US" w:eastAsia="zh-CN"/>
              </w:rPr>
              <w:t>处理</w:t>
            </w:r>
          </w:p>
        </w:tc>
        <w:tc>
          <w:tcPr>
            <w:tcW w:w="3528" w:type="dxa"/>
            <w:vMerge w:val="continue"/>
            <w:tcBorders>
              <w:tl2br w:val="nil"/>
              <w:tr2bl w:val="nil"/>
            </w:tcBorders>
            <w:tcMar>
              <w:top w:w="0" w:type="dxa"/>
              <w:left w:w="11" w:type="dxa"/>
              <w:bottom w:w="0" w:type="dxa"/>
              <w:right w:w="11" w:type="dxa"/>
            </w:tcMar>
            <w:vAlign w:val="center"/>
          </w:tcPr>
          <w:p w14:paraId="78A45A56">
            <w:pPr>
              <w:spacing w:line="360" w:lineRule="exact"/>
              <w:ind w:firstLine="0" w:firstLineChars="0"/>
              <w:jc w:val="center"/>
              <w:rPr>
                <w:rFonts w:cs="Times New Roman"/>
                <w:color w:val="auto"/>
                <w:sz w:val="21"/>
                <w:szCs w:val="21"/>
                <w:highlight w:val="none"/>
              </w:rPr>
            </w:pPr>
          </w:p>
        </w:tc>
      </w:tr>
      <w:tr w14:paraId="2086EF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500" w:hRule="atLeast"/>
          <w:jc w:val="center"/>
        </w:trPr>
        <w:tc>
          <w:tcPr>
            <w:tcW w:w="715" w:type="dxa"/>
            <w:vMerge w:val="continue"/>
            <w:tcBorders>
              <w:tl2br w:val="nil"/>
              <w:tr2bl w:val="nil"/>
            </w:tcBorders>
            <w:vAlign w:val="center"/>
          </w:tcPr>
          <w:p w14:paraId="515A8DFC">
            <w:pPr>
              <w:widowControl/>
              <w:spacing w:line="360" w:lineRule="exact"/>
              <w:ind w:firstLine="0" w:firstLineChars="0"/>
              <w:jc w:val="center"/>
              <w:rPr>
                <w:rFonts w:cs="Times New Roman"/>
                <w:color w:val="auto"/>
                <w:sz w:val="21"/>
                <w:szCs w:val="21"/>
                <w:highlight w:val="none"/>
              </w:rPr>
            </w:pPr>
          </w:p>
        </w:tc>
        <w:tc>
          <w:tcPr>
            <w:tcW w:w="1477" w:type="dxa"/>
            <w:gridSpan w:val="2"/>
            <w:vMerge w:val="restart"/>
            <w:tcBorders>
              <w:tl2br w:val="nil"/>
              <w:tr2bl w:val="nil"/>
            </w:tcBorders>
            <w:tcMar>
              <w:top w:w="0" w:type="dxa"/>
              <w:left w:w="11" w:type="dxa"/>
              <w:bottom w:w="0" w:type="dxa"/>
              <w:right w:w="11" w:type="dxa"/>
            </w:tcMar>
            <w:vAlign w:val="center"/>
          </w:tcPr>
          <w:p w14:paraId="7B1E037C">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危险废物</w:t>
            </w:r>
          </w:p>
        </w:tc>
        <w:tc>
          <w:tcPr>
            <w:tcW w:w="2507" w:type="dxa"/>
            <w:tcBorders>
              <w:tl2br w:val="nil"/>
              <w:tr2bl w:val="nil"/>
            </w:tcBorders>
            <w:tcMar>
              <w:top w:w="0" w:type="dxa"/>
              <w:left w:w="11" w:type="dxa"/>
              <w:bottom w:w="0" w:type="dxa"/>
              <w:right w:w="11" w:type="dxa"/>
            </w:tcMar>
            <w:vAlign w:val="center"/>
          </w:tcPr>
          <w:p w14:paraId="65C675C1">
            <w:pPr>
              <w:spacing w:line="360" w:lineRule="exact"/>
              <w:ind w:firstLine="0" w:firstLineChars="0"/>
              <w:jc w:val="center"/>
              <w:rPr>
                <w:rFonts w:cs="Times New Roman"/>
                <w:color w:val="auto"/>
                <w:sz w:val="21"/>
                <w:szCs w:val="21"/>
                <w:highlight w:val="none"/>
              </w:rPr>
            </w:pPr>
            <w:r>
              <w:rPr>
                <w:rFonts w:hint="eastAsia" w:cs="Times New Roman"/>
                <w:color w:val="auto"/>
                <w:sz w:val="21"/>
                <w:szCs w:val="21"/>
                <w:highlight w:val="none"/>
              </w:rPr>
              <w:t>检疫废物</w:t>
            </w:r>
          </w:p>
        </w:tc>
        <w:tc>
          <w:tcPr>
            <w:tcW w:w="5470" w:type="dxa"/>
            <w:gridSpan w:val="2"/>
            <w:tcBorders>
              <w:tl2br w:val="nil"/>
              <w:tr2bl w:val="nil"/>
            </w:tcBorders>
            <w:tcMar>
              <w:top w:w="0" w:type="dxa"/>
              <w:left w:w="11" w:type="dxa"/>
              <w:bottom w:w="0" w:type="dxa"/>
              <w:right w:w="11" w:type="dxa"/>
            </w:tcMar>
            <w:vAlign w:val="center"/>
          </w:tcPr>
          <w:p w14:paraId="72A3EDD3">
            <w:pPr>
              <w:spacing w:line="360" w:lineRule="exact"/>
              <w:ind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集中收集，暂存在</w:t>
            </w:r>
            <w:r>
              <w:rPr>
                <w:rFonts w:hint="eastAsia" w:ascii="Times New Roman" w:hAnsi="Times New Roman" w:eastAsia="宋体" w:cs="Times New Roman"/>
                <w:color w:val="auto"/>
                <w:sz w:val="21"/>
                <w:szCs w:val="21"/>
                <w:highlight w:val="none"/>
                <w:lang w:val="en-US" w:eastAsia="zh-CN"/>
              </w:rPr>
              <w:t>危险废物暂存点</w:t>
            </w:r>
            <w:r>
              <w:rPr>
                <w:rFonts w:hint="eastAsia" w:ascii="Times New Roman" w:hAnsi="Times New Roman" w:eastAsia="宋体" w:cs="Times New Roman"/>
                <w:color w:val="auto"/>
                <w:sz w:val="21"/>
                <w:szCs w:val="21"/>
                <w:highlight w:val="none"/>
              </w:rPr>
              <w:t>内，定期由有资质的单位处置</w:t>
            </w:r>
          </w:p>
        </w:tc>
        <w:tc>
          <w:tcPr>
            <w:tcW w:w="3528" w:type="dxa"/>
            <w:vMerge w:val="continue"/>
            <w:tcBorders>
              <w:tl2br w:val="nil"/>
              <w:tr2bl w:val="nil"/>
            </w:tcBorders>
            <w:tcMar>
              <w:top w:w="0" w:type="dxa"/>
              <w:left w:w="11" w:type="dxa"/>
              <w:bottom w:w="0" w:type="dxa"/>
              <w:right w:w="11" w:type="dxa"/>
            </w:tcMar>
            <w:vAlign w:val="center"/>
          </w:tcPr>
          <w:p w14:paraId="718DF5A4">
            <w:pPr>
              <w:spacing w:line="360" w:lineRule="exact"/>
              <w:ind w:firstLine="0" w:firstLineChars="0"/>
              <w:jc w:val="center"/>
              <w:rPr>
                <w:rFonts w:cs="Times New Roman"/>
                <w:color w:val="auto"/>
                <w:sz w:val="21"/>
                <w:szCs w:val="21"/>
                <w:highlight w:val="none"/>
              </w:rPr>
            </w:pPr>
          </w:p>
        </w:tc>
      </w:tr>
      <w:tr w14:paraId="124E74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500" w:hRule="atLeast"/>
          <w:jc w:val="center"/>
        </w:trPr>
        <w:tc>
          <w:tcPr>
            <w:tcW w:w="715" w:type="dxa"/>
            <w:vMerge w:val="continue"/>
            <w:tcBorders>
              <w:tl2br w:val="nil"/>
              <w:tr2bl w:val="nil"/>
            </w:tcBorders>
            <w:vAlign w:val="center"/>
          </w:tcPr>
          <w:p w14:paraId="4B47FD15">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tcMar>
              <w:top w:w="0" w:type="dxa"/>
              <w:left w:w="11" w:type="dxa"/>
              <w:bottom w:w="0" w:type="dxa"/>
              <w:right w:w="11" w:type="dxa"/>
            </w:tcMar>
            <w:vAlign w:val="center"/>
          </w:tcPr>
          <w:p w14:paraId="4FA99430">
            <w:pPr>
              <w:spacing w:line="360" w:lineRule="exact"/>
              <w:ind w:firstLine="0" w:firstLineChars="0"/>
              <w:jc w:val="center"/>
              <w:rPr>
                <w:rFonts w:hint="eastAsia" w:cs="Times New Roman"/>
                <w:color w:val="auto"/>
                <w:sz w:val="21"/>
                <w:szCs w:val="21"/>
                <w:highlight w:val="none"/>
              </w:rPr>
            </w:pPr>
          </w:p>
        </w:tc>
        <w:tc>
          <w:tcPr>
            <w:tcW w:w="2507" w:type="dxa"/>
            <w:tcBorders>
              <w:tl2br w:val="nil"/>
              <w:tr2bl w:val="nil"/>
            </w:tcBorders>
            <w:tcMar>
              <w:top w:w="0" w:type="dxa"/>
              <w:left w:w="11" w:type="dxa"/>
              <w:bottom w:w="0" w:type="dxa"/>
              <w:right w:w="11" w:type="dxa"/>
            </w:tcMar>
            <w:vAlign w:val="center"/>
          </w:tcPr>
          <w:p w14:paraId="1930060C">
            <w:pPr>
              <w:spacing w:line="360" w:lineRule="exact"/>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废润滑油</w:t>
            </w:r>
          </w:p>
        </w:tc>
        <w:tc>
          <w:tcPr>
            <w:tcW w:w="5470" w:type="dxa"/>
            <w:gridSpan w:val="2"/>
            <w:tcBorders>
              <w:tl2br w:val="nil"/>
              <w:tr2bl w:val="nil"/>
            </w:tcBorders>
            <w:tcMar>
              <w:top w:w="0" w:type="dxa"/>
              <w:left w:w="11" w:type="dxa"/>
              <w:bottom w:w="0" w:type="dxa"/>
              <w:right w:w="11" w:type="dxa"/>
            </w:tcMar>
            <w:vAlign w:val="center"/>
          </w:tcPr>
          <w:p w14:paraId="27BDC7E6">
            <w:pPr>
              <w:spacing w:line="360" w:lineRule="exact"/>
              <w:ind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集中收集，暂存在</w:t>
            </w:r>
            <w:r>
              <w:rPr>
                <w:rFonts w:hint="eastAsia" w:ascii="Times New Roman" w:hAnsi="Times New Roman" w:eastAsia="宋体" w:cs="Times New Roman"/>
                <w:color w:val="auto"/>
                <w:sz w:val="21"/>
                <w:szCs w:val="21"/>
                <w:highlight w:val="none"/>
                <w:lang w:val="en-US" w:eastAsia="zh-CN"/>
              </w:rPr>
              <w:t>危险废物暂存点</w:t>
            </w:r>
            <w:r>
              <w:rPr>
                <w:rFonts w:hint="eastAsia" w:ascii="Times New Roman" w:hAnsi="Times New Roman" w:eastAsia="宋体" w:cs="Times New Roman"/>
                <w:color w:val="auto"/>
                <w:sz w:val="21"/>
                <w:szCs w:val="21"/>
                <w:highlight w:val="none"/>
              </w:rPr>
              <w:t>内，定期由有资质的单位处置</w:t>
            </w:r>
          </w:p>
        </w:tc>
        <w:tc>
          <w:tcPr>
            <w:tcW w:w="3528" w:type="dxa"/>
            <w:vMerge w:val="continue"/>
            <w:tcBorders>
              <w:tl2br w:val="nil"/>
              <w:tr2bl w:val="nil"/>
            </w:tcBorders>
            <w:tcMar>
              <w:top w:w="0" w:type="dxa"/>
              <w:left w:w="11" w:type="dxa"/>
              <w:bottom w:w="0" w:type="dxa"/>
              <w:right w:w="11" w:type="dxa"/>
            </w:tcMar>
            <w:vAlign w:val="center"/>
          </w:tcPr>
          <w:p w14:paraId="00197016">
            <w:pPr>
              <w:spacing w:line="360" w:lineRule="exact"/>
              <w:ind w:firstLine="0" w:firstLineChars="0"/>
              <w:jc w:val="center"/>
              <w:rPr>
                <w:rFonts w:cs="Times New Roman"/>
                <w:color w:val="auto"/>
                <w:sz w:val="21"/>
                <w:szCs w:val="21"/>
                <w:highlight w:val="none"/>
              </w:rPr>
            </w:pPr>
          </w:p>
        </w:tc>
      </w:tr>
      <w:tr w14:paraId="0829C4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500" w:hRule="atLeast"/>
          <w:jc w:val="center"/>
        </w:trPr>
        <w:tc>
          <w:tcPr>
            <w:tcW w:w="715" w:type="dxa"/>
            <w:vMerge w:val="continue"/>
            <w:tcBorders>
              <w:tl2br w:val="nil"/>
              <w:tr2bl w:val="nil"/>
            </w:tcBorders>
            <w:vAlign w:val="center"/>
          </w:tcPr>
          <w:p w14:paraId="12CCA0BC">
            <w:pPr>
              <w:widowControl/>
              <w:spacing w:line="360" w:lineRule="exact"/>
              <w:ind w:firstLine="0" w:firstLineChars="0"/>
              <w:jc w:val="center"/>
              <w:rPr>
                <w:rFonts w:cs="Times New Roman"/>
                <w:color w:val="auto"/>
                <w:sz w:val="21"/>
                <w:szCs w:val="21"/>
                <w:highlight w:val="none"/>
              </w:rPr>
            </w:pPr>
          </w:p>
        </w:tc>
        <w:tc>
          <w:tcPr>
            <w:tcW w:w="1477" w:type="dxa"/>
            <w:gridSpan w:val="2"/>
            <w:vMerge w:val="continue"/>
            <w:tcBorders>
              <w:tl2br w:val="nil"/>
              <w:tr2bl w:val="nil"/>
            </w:tcBorders>
            <w:tcMar>
              <w:top w:w="0" w:type="dxa"/>
              <w:left w:w="11" w:type="dxa"/>
              <w:bottom w:w="0" w:type="dxa"/>
              <w:right w:w="11" w:type="dxa"/>
            </w:tcMar>
            <w:vAlign w:val="center"/>
          </w:tcPr>
          <w:p w14:paraId="1CBB2B72">
            <w:pPr>
              <w:spacing w:line="360" w:lineRule="exact"/>
              <w:ind w:firstLine="0" w:firstLineChars="0"/>
              <w:jc w:val="center"/>
              <w:rPr>
                <w:rFonts w:hint="eastAsia" w:cs="Times New Roman"/>
                <w:color w:val="auto"/>
                <w:sz w:val="21"/>
                <w:szCs w:val="21"/>
                <w:highlight w:val="none"/>
              </w:rPr>
            </w:pPr>
          </w:p>
        </w:tc>
        <w:tc>
          <w:tcPr>
            <w:tcW w:w="2507" w:type="dxa"/>
            <w:tcBorders>
              <w:tl2br w:val="nil"/>
              <w:tr2bl w:val="nil"/>
            </w:tcBorders>
            <w:tcMar>
              <w:top w:w="0" w:type="dxa"/>
              <w:left w:w="11" w:type="dxa"/>
              <w:bottom w:w="0" w:type="dxa"/>
              <w:right w:w="11" w:type="dxa"/>
            </w:tcMar>
            <w:vAlign w:val="center"/>
          </w:tcPr>
          <w:p w14:paraId="212DD7DD">
            <w:pPr>
              <w:spacing w:line="360" w:lineRule="exact"/>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含油抹布、劳保手套</w:t>
            </w:r>
          </w:p>
        </w:tc>
        <w:tc>
          <w:tcPr>
            <w:tcW w:w="5470" w:type="dxa"/>
            <w:gridSpan w:val="2"/>
            <w:tcBorders>
              <w:tl2br w:val="nil"/>
              <w:tr2bl w:val="nil"/>
            </w:tcBorders>
            <w:tcMar>
              <w:top w:w="0" w:type="dxa"/>
              <w:left w:w="11" w:type="dxa"/>
              <w:bottom w:w="0" w:type="dxa"/>
              <w:right w:w="11" w:type="dxa"/>
            </w:tcMar>
            <w:vAlign w:val="center"/>
          </w:tcPr>
          <w:p w14:paraId="1D50910B">
            <w:pPr>
              <w:spacing w:line="36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集中收集，暂存在</w:t>
            </w:r>
            <w:r>
              <w:rPr>
                <w:rFonts w:hint="eastAsia" w:ascii="Times New Roman" w:hAnsi="Times New Roman" w:eastAsia="宋体" w:cs="Times New Roman"/>
                <w:color w:val="auto"/>
                <w:sz w:val="21"/>
                <w:szCs w:val="21"/>
                <w:highlight w:val="none"/>
                <w:lang w:val="en-US" w:eastAsia="zh-CN"/>
              </w:rPr>
              <w:t>危险废物暂存点</w:t>
            </w:r>
            <w:r>
              <w:rPr>
                <w:rFonts w:hint="eastAsia" w:ascii="Times New Roman" w:hAnsi="Times New Roman" w:eastAsia="宋体" w:cs="Times New Roman"/>
                <w:color w:val="auto"/>
                <w:sz w:val="21"/>
                <w:szCs w:val="21"/>
                <w:highlight w:val="none"/>
              </w:rPr>
              <w:t>内，定期由有资质的单位处置</w:t>
            </w:r>
          </w:p>
        </w:tc>
        <w:tc>
          <w:tcPr>
            <w:tcW w:w="3528" w:type="dxa"/>
            <w:vMerge w:val="continue"/>
            <w:tcBorders>
              <w:tl2br w:val="nil"/>
              <w:tr2bl w:val="nil"/>
            </w:tcBorders>
            <w:tcMar>
              <w:top w:w="0" w:type="dxa"/>
              <w:left w:w="11" w:type="dxa"/>
              <w:bottom w:w="0" w:type="dxa"/>
              <w:right w:w="11" w:type="dxa"/>
            </w:tcMar>
            <w:vAlign w:val="center"/>
          </w:tcPr>
          <w:p w14:paraId="46F9A9A0">
            <w:pPr>
              <w:spacing w:line="360" w:lineRule="exact"/>
              <w:ind w:firstLine="0" w:firstLineChars="0"/>
              <w:jc w:val="center"/>
              <w:rPr>
                <w:rFonts w:cs="Times New Roman"/>
                <w:color w:val="auto"/>
                <w:sz w:val="21"/>
                <w:szCs w:val="21"/>
                <w:highlight w:val="none"/>
              </w:rPr>
            </w:pPr>
          </w:p>
        </w:tc>
      </w:tr>
    </w:tbl>
    <w:p w14:paraId="1E5AB3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cs="Times New Roman"/>
          <w:snapToGrid w:val="0"/>
          <w:color w:val="auto"/>
          <w:kern w:val="0"/>
          <w:sz w:val="15"/>
          <w:szCs w:val="15"/>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634F65E1">
      <w:pPr>
        <w:keepNext/>
        <w:keepLines/>
        <w:ind w:firstLine="0" w:firstLineChars="0"/>
        <w:jc w:val="left"/>
        <w:outlineLvl w:val="1"/>
        <w:rPr>
          <w:rFonts w:eastAsia="黑体" w:cs="Times New Roman"/>
          <w:bCs/>
          <w:snapToGrid w:val="0"/>
          <w:color w:val="auto"/>
          <w:kern w:val="0"/>
          <w:sz w:val="28"/>
          <w:szCs w:val="32"/>
          <w:highlight w:val="none"/>
        </w:rPr>
      </w:pPr>
      <w:bookmarkStart w:id="430" w:name="_Toc61529222"/>
      <w:bookmarkStart w:id="431" w:name="_Toc399"/>
      <w:r>
        <w:rPr>
          <w:rFonts w:eastAsia="黑体" w:cs="Times New Roman"/>
          <w:bCs/>
          <w:snapToGrid w:val="0"/>
          <w:color w:val="auto"/>
          <w:kern w:val="0"/>
          <w:sz w:val="28"/>
          <w:szCs w:val="32"/>
          <w:highlight w:val="none"/>
        </w:rPr>
        <w:t>8.4 总量控制</w:t>
      </w:r>
      <w:bookmarkEnd w:id="430"/>
      <w:bookmarkEnd w:id="431"/>
    </w:p>
    <w:p w14:paraId="4FC33D30">
      <w:pPr>
        <w:rPr>
          <w:rFonts w:cs="Times New Roman"/>
          <w:snapToGrid w:val="0"/>
          <w:color w:val="auto"/>
          <w:kern w:val="0"/>
          <w:highlight w:val="none"/>
        </w:rPr>
      </w:pPr>
      <w:r>
        <w:rPr>
          <w:rFonts w:cs="Times New Roman"/>
          <w:snapToGrid w:val="0"/>
          <w:color w:val="auto"/>
          <w:kern w:val="0"/>
          <w:highlight w:val="none"/>
        </w:rPr>
        <w:t>《建设项目环境保护管理条例》中第三条规定：“建设产生污染的建设项目，必须遵守污染物排放的国家和地方标准；在实施重点污染物排放总量控制的区域内，还必须符合重点污染物排放总量控制的要求”。因此总量控制的目的就是为了有效地保护和改善环境质量，保证经济建设和环境保护协调发展，使环境质量不因经济发展而随之恶化，并逐步改善。</w:t>
      </w:r>
    </w:p>
    <w:p w14:paraId="3BD83DFA">
      <w:pPr>
        <w:pStyle w:val="452"/>
        <w:spacing w:before="0" w:beforeLines="0" w:after="0" w:afterLines="0"/>
        <w:rPr>
          <w:rFonts w:cs="Times New Roman"/>
          <w:bCs/>
          <w:color w:val="auto"/>
          <w:szCs w:val="32"/>
          <w:highlight w:val="none"/>
        </w:rPr>
      </w:pPr>
      <w:bookmarkStart w:id="432" w:name="_Toc32037"/>
      <w:r>
        <w:rPr>
          <w:rFonts w:cs="Times New Roman"/>
          <w:bCs/>
          <w:color w:val="auto"/>
          <w:szCs w:val="32"/>
          <w:highlight w:val="none"/>
        </w:rPr>
        <w:t>8.4.1 总量控制的原则</w:t>
      </w:r>
      <w:bookmarkEnd w:id="432"/>
    </w:p>
    <w:p w14:paraId="07B98EAD">
      <w:pPr>
        <w:rPr>
          <w:rFonts w:cs="Times New Roman"/>
          <w:snapToGrid w:val="0"/>
          <w:color w:val="auto"/>
          <w:kern w:val="0"/>
          <w:highlight w:val="none"/>
        </w:rPr>
      </w:pPr>
      <w:r>
        <w:rPr>
          <w:rFonts w:cs="Times New Roman"/>
          <w:snapToGrid w:val="0"/>
          <w:color w:val="auto"/>
          <w:kern w:val="0"/>
          <w:highlight w:val="none"/>
        </w:rPr>
        <w:t>（1）建设项目建成投产后污染物排放必须达到国家标准和地方标准；</w:t>
      </w:r>
    </w:p>
    <w:p w14:paraId="1042EF67">
      <w:pPr>
        <w:rPr>
          <w:rFonts w:cs="Times New Roman"/>
          <w:snapToGrid w:val="0"/>
          <w:color w:val="auto"/>
          <w:kern w:val="0"/>
          <w:highlight w:val="none"/>
        </w:rPr>
      </w:pPr>
      <w:r>
        <w:rPr>
          <w:rFonts w:cs="Times New Roman"/>
          <w:snapToGrid w:val="0"/>
          <w:color w:val="auto"/>
          <w:kern w:val="0"/>
          <w:highlight w:val="none"/>
        </w:rPr>
        <w:t>（2）污染物排放总量必须满足当地区域环境质量达标或区域总量控制的要求；</w:t>
      </w:r>
    </w:p>
    <w:p w14:paraId="63177E29">
      <w:pPr>
        <w:rPr>
          <w:rFonts w:cs="Times New Roman"/>
          <w:snapToGrid w:val="0"/>
          <w:color w:val="auto"/>
          <w:kern w:val="0"/>
          <w:highlight w:val="none"/>
        </w:rPr>
      </w:pPr>
      <w:r>
        <w:rPr>
          <w:rFonts w:cs="Times New Roman"/>
          <w:snapToGrid w:val="0"/>
          <w:color w:val="auto"/>
          <w:kern w:val="0"/>
          <w:highlight w:val="none"/>
        </w:rPr>
        <w:t>（3）污染治理措施符合清洁生产的要求。</w:t>
      </w:r>
    </w:p>
    <w:p w14:paraId="24DEE710">
      <w:pPr>
        <w:pStyle w:val="452"/>
        <w:spacing w:before="0" w:beforeLines="0" w:after="0" w:afterLines="0"/>
        <w:rPr>
          <w:rFonts w:cs="Times New Roman"/>
          <w:bCs/>
          <w:color w:val="auto"/>
          <w:szCs w:val="32"/>
          <w:highlight w:val="none"/>
        </w:rPr>
      </w:pPr>
      <w:bookmarkStart w:id="433" w:name="_Toc26389"/>
      <w:r>
        <w:rPr>
          <w:rFonts w:cs="Times New Roman"/>
          <w:bCs/>
          <w:color w:val="auto"/>
          <w:szCs w:val="32"/>
          <w:highlight w:val="none"/>
        </w:rPr>
        <w:t>8.4.2 实施总量控制的项目</w:t>
      </w:r>
      <w:bookmarkEnd w:id="433"/>
    </w:p>
    <w:p w14:paraId="731B1DCA">
      <w:pPr>
        <w:rPr>
          <w:rFonts w:cs="Times New Roman"/>
          <w:color w:val="auto"/>
          <w:szCs w:val="24"/>
          <w:highlight w:val="none"/>
        </w:rPr>
      </w:pPr>
      <w:r>
        <w:rPr>
          <w:rFonts w:cs="Times New Roman"/>
          <w:color w:val="auto"/>
          <w:kern w:val="0"/>
          <w:szCs w:val="24"/>
          <w:highlight w:val="none"/>
        </w:rPr>
        <w:t>根据国家环境保护总局对实施污染物排放总量控制的要求，综合该项目排污特点、所在区域环境质量现状及环境主管部门的要求，该项目确定实行总量控制并</w:t>
      </w:r>
      <w:r>
        <w:rPr>
          <w:rFonts w:cs="Times New Roman"/>
          <w:color w:val="auto"/>
          <w:szCs w:val="24"/>
          <w:highlight w:val="none"/>
        </w:rPr>
        <w:t>结合项目排污特点，确定本项目的总量控制指标为COD、氨氮。</w:t>
      </w:r>
    </w:p>
    <w:p w14:paraId="10E9FB89">
      <w:pPr>
        <w:ind w:firstLine="482"/>
        <w:rPr>
          <w:rFonts w:cs="Times New Roman"/>
          <w:b/>
          <w:bCs/>
          <w:color w:val="auto"/>
          <w:szCs w:val="24"/>
          <w:highlight w:val="none"/>
        </w:rPr>
      </w:pPr>
      <w:bookmarkStart w:id="434" w:name="_Toc61529223"/>
      <w:r>
        <w:rPr>
          <w:rFonts w:cs="Times New Roman"/>
          <w:b/>
          <w:bCs/>
          <w:color w:val="auto"/>
          <w:szCs w:val="24"/>
          <w:highlight w:val="none"/>
        </w:rPr>
        <w:t>1、废水</w:t>
      </w:r>
    </w:p>
    <w:p w14:paraId="5EEB50D8">
      <w:pPr>
        <w:rPr>
          <w:rFonts w:cs="Times New Roman"/>
          <w:color w:val="auto"/>
          <w:szCs w:val="24"/>
          <w:highlight w:val="none"/>
        </w:rPr>
      </w:pPr>
      <w:r>
        <w:rPr>
          <w:rFonts w:cs="Times New Roman"/>
          <w:color w:val="auto"/>
          <w:szCs w:val="24"/>
          <w:highlight w:val="none"/>
        </w:rPr>
        <w:t>项目废水排放量为</w:t>
      </w:r>
      <w:r>
        <w:rPr>
          <w:rFonts w:hint="eastAsia"/>
          <w:color w:val="auto"/>
          <w:highlight w:val="none"/>
          <w:lang w:val="en-US" w:eastAsia="zh-CN"/>
        </w:rPr>
        <w:t>87232.5</w:t>
      </w:r>
      <w:r>
        <w:rPr>
          <w:rFonts w:eastAsia="等线" w:cs="Times New Roman"/>
          <w:snapToGrid w:val="0"/>
          <w:color w:val="auto"/>
          <w:kern w:val="0"/>
          <w:highlight w:val="none"/>
        </w:rPr>
        <w:t>t/a，</w:t>
      </w:r>
      <w:r>
        <w:rPr>
          <w:rFonts w:cs="Times New Roman"/>
          <w:color w:val="auto"/>
          <w:szCs w:val="24"/>
          <w:highlight w:val="none"/>
        </w:rPr>
        <w:t>核定总量按污水处理厂进水标准；（COD 500mg/L、NH</w:t>
      </w:r>
      <w:r>
        <w:rPr>
          <w:rFonts w:cs="Times New Roman"/>
          <w:color w:val="auto"/>
          <w:szCs w:val="24"/>
          <w:highlight w:val="none"/>
          <w:vertAlign w:val="subscript"/>
        </w:rPr>
        <w:t>3</w:t>
      </w:r>
      <w:r>
        <w:rPr>
          <w:rFonts w:cs="Times New Roman"/>
          <w:color w:val="auto"/>
          <w:szCs w:val="24"/>
          <w:highlight w:val="none"/>
        </w:rPr>
        <w:t xml:space="preserve">-N </w:t>
      </w:r>
      <w:r>
        <w:rPr>
          <w:rFonts w:hint="eastAsia" w:cs="Times New Roman"/>
          <w:color w:val="auto"/>
          <w:szCs w:val="24"/>
          <w:highlight w:val="none"/>
          <w:lang w:val="en-US" w:eastAsia="zh-CN"/>
        </w:rPr>
        <w:t>4</w:t>
      </w:r>
      <w:r>
        <w:rPr>
          <w:rFonts w:cs="Times New Roman"/>
          <w:color w:val="auto"/>
          <w:szCs w:val="24"/>
          <w:highlight w:val="none"/>
        </w:rPr>
        <w:t>5mg/L）进行核定。项目水污染物总量控制指标建议如下:</w:t>
      </w:r>
    </w:p>
    <w:p w14:paraId="7B9C98BB">
      <w:pPr>
        <w:rPr>
          <w:rFonts w:cs="Times New Roman"/>
          <w:color w:val="auto"/>
          <w:szCs w:val="24"/>
          <w:highlight w:val="none"/>
        </w:rPr>
      </w:pPr>
      <w:r>
        <w:rPr>
          <w:rFonts w:cs="Times New Roman"/>
          <w:color w:val="auto"/>
          <w:szCs w:val="24"/>
          <w:highlight w:val="none"/>
        </w:rPr>
        <w:t>核定总量：</w:t>
      </w:r>
    </w:p>
    <w:p w14:paraId="64B9A404">
      <w:pPr>
        <w:rPr>
          <w:rFonts w:cs="Times New Roman"/>
          <w:color w:val="auto"/>
          <w:szCs w:val="24"/>
          <w:highlight w:val="none"/>
        </w:rPr>
      </w:pPr>
      <w:r>
        <w:rPr>
          <w:rFonts w:cs="Times New Roman"/>
          <w:color w:val="auto"/>
          <w:szCs w:val="24"/>
          <w:highlight w:val="none"/>
        </w:rPr>
        <w:t>COD：</w:t>
      </w:r>
      <w:r>
        <w:rPr>
          <w:rFonts w:hint="eastAsia"/>
          <w:color w:val="auto"/>
          <w:highlight w:val="none"/>
          <w:lang w:val="en-US" w:eastAsia="zh-CN"/>
        </w:rPr>
        <w:t>87232.5</w:t>
      </w:r>
      <w:r>
        <w:rPr>
          <w:rFonts w:cs="Times New Roman"/>
          <w:color w:val="auto"/>
          <w:szCs w:val="24"/>
          <w:highlight w:val="none"/>
        </w:rPr>
        <w:t>t/a×500 mg/L÷1000000=</w:t>
      </w:r>
      <w:r>
        <w:rPr>
          <w:rFonts w:hint="eastAsia" w:cs="Times New Roman"/>
          <w:color w:val="auto"/>
          <w:szCs w:val="24"/>
          <w:highlight w:val="none"/>
          <w:lang w:val="en-US" w:eastAsia="zh-CN"/>
        </w:rPr>
        <w:t>43.66</w:t>
      </w:r>
      <w:r>
        <w:rPr>
          <w:rFonts w:cs="Times New Roman"/>
          <w:color w:val="auto"/>
          <w:szCs w:val="24"/>
          <w:highlight w:val="none"/>
        </w:rPr>
        <w:t>t/a</w:t>
      </w:r>
    </w:p>
    <w:p w14:paraId="596238C6">
      <w:pPr>
        <w:rPr>
          <w:rFonts w:cs="Times New Roman"/>
          <w:color w:val="auto"/>
          <w:szCs w:val="24"/>
          <w:highlight w:val="none"/>
        </w:rPr>
      </w:pPr>
      <w:r>
        <w:rPr>
          <w:rFonts w:cs="Times New Roman"/>
          <w:color w:val="auto"/>
          <w:szCs w:val="24"/>
          <w:highlight w:val="none"/>
        </w:rPr>
        <w:t>NH</w:t>
      </w:r>
      <w:r>
        <w:rPr>
          <w:rFonts w:cs="Times New Roman"/>
          <w:color w:val="auto"/>
          <w:szCs w:val="24"/>
          <w:highlight w:val="none"/>
          <w:vertAlign w:val="subscript"/>
        </w:rPr>
        <w:t>3</w:t>
      </w:r>
      <w:r>
        <w:rPr>
          <w:rFonts w:cs="Times New Roman"/>
          <w:color w:val="auto"/>
          <w:szCs w:val="24"/>
          <w:highlight w:val="none"/>
        </w:rPr>
        <w:t>-N：</w:t>
      </w:r>
      <w:r>
        <w:rPr>
          <w:rFonts w:hint="eastAsia"/>
          <w:color w:val="auto"/>
          <w:highlight w:val="none"/>
          <w:lang w:val="en-US" w:eastAsia="zh-CN"/>
        </w:rPr>
        <w:t>87232.5</w:t>
      </w:r>
      <w:r>
        <w:rPr>
          <w:rFonts w:cs="Times New Roman"/>
          <w:color w:val="auto"/>
          <w:szCs w:val="24"/>
          <w:highlight w:val="none"/>
        </w:rPr>
        <w:t>t/a×45mg/L÷1000000=</w:t>
      </w:r>
      <w:r>
        <w:rPr>
          <w:rFonts w:hint="eastAsia" w:cs="Times New Roman"/>
          <w:color w:val="auto"/>
          <w:szCs w:val="24"/>
          <w:highlight w:val="none"/>
          <w:lang w:val="en-US" w:eastAsia="zh-CN"/>
        </w:rPr>
        <w:t>3.92</w:t>
      </w:r>
      <w:r>
        <w:rPr>
          <w:rFonts w:cs="Times New Roman"/>
          <w:color w:val="auto"/>
          <w:szCs w:val="24"/>
          <w:highlight w:val="none"/>
        </w:rPr>
        <w:t>t/a</w:t>
      </w:r>
    </w:p>
    <w:p w14:paraId="10DFB59C">
      <w:pPr>
        <w:tabs>
          <w:tab w:val="left" w:pos="6480"/>
        </w:tabs>
        <w:ind w:firstLine="482"/>
        <w:rPr>
          <w:rFonts w:cs="Times New Roman"/>
          <w:b/>
          <w:bCs/>
          <w:color w:val="auto"/>
          <w:highlight w:val="none"/>
        </w:rPr>
      </w:pPr>
      <w:r>
        <w:rPr>
          <w:rFonts w:cs="Times New Roman"/>
          <w:b/>
          <w:bCs/>
          <w:color w:val="auto"/>
          <w:highlight w:val="none"/>
        </w:rPr>
        <w:t>3、总量控制指标</w:t>
      </w:r>
    </w:p>
    <w:p w14:paraId="46045A1E">
      <w:pPr>
        <w:spacing w:line="460" w:lineRule="exact"/>
        <w:ind w:firstLine="0" w:firstLineChars="0"/>
        <w:jc w:val="center"/>
        <w:rPr>
          <w:rFonts w:cs="Times New Roman"/>
          <w:b/>
          <w:color w:val="auto"/>
          <w:highlight w:val="none"/>
        </w:rPr>
      </w:pPr>
      <w:r>
        <w:rPr>
          <w:rFonts w:cs="Times New Roman"/>
          <w:b/>
          <w:color w:val="auto"/>
          <w:highlight w:val="none"/>
        </w:rPr>
        <w:t>表</w:t>
      </w:r>
      <w:r>
        <w:rPr>
          <w:rFonts w:eastAsia="Times New Roman" w:cs="Times New Roman"/>
          <w:b/>
          <w:color w:val="auto"/>
          <w:highlight w:val="none"/>
        </w:rPr>
        <w:t>8</w:t>
      </w:r>
      <w:r>
        <w:rPr>
          <w:rFonts w:cs="Times New Roman"/>
          <w:b/>
          <w:color w:val="auto"/>
          <w:highlight w:val="none"/>
        </w:rPr>
        <w:t>-4</w:t>
      </w:r>
      <w:r>
        <w:rPr>
          <w:rFonts w:eastAsia="Times New Roman" w:cs="Times New Roman"/>
          <w:b/>
          <w:color w:val="auto"/>
          <w:highlight w:val="none"/>
        </w:rPr>
        <w:t>-1</w:t>
      </w:r>
      <w:r>
        <w:rPr>
          <w:rFonts w:cs="Times New Roman" w:eastAsiaTheme="minorEastAsia"/>
          <w:b/>
          <w:color w:val="auto"/>
          <w:highlight w:val="none"/>
        </w:rPr>
        <w:t xml:space="preserve">  </w:t>
      </w:r>
      <w:r>
        <w:rPr>
          <w:rFonts w:cs="Times New Roman"/>
          <w:b/>
          <w:color w:val="auto"/>
          <w:highlight w:val="none"/>
        </w:rPr>
        <w:t>污染物控制总量</w:t>
      </w:r>
    </w:p>
    <w:tbl>
      <w:tblPr>
        <w:tblStyle w:val="475"/>
        <w:tblW w:w="84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2172"/>
        <w:gridCol w:w="2174"/>
        <w:gridCol w:w="1957"/>
        <w:gridCol w:w="2176"/>
      </w:tblGrid>
      <w:tr w14:paraId="66F8B2A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763" w:hRule="atLeast"/>
          <w:jc w:val="center"/>
        </w:trPr>
        <w:tc>
          <w:tcPr>
            <w:tcW w:w="4346" w:type="dxa"/>
            <w:gridSpan w:val="2"/>
            <w:tcBorders>
              <w:tl2br w:val="nil"/>
              <w:tr2bl w:val="nil"/>
            </w:tcBorders>
            <w:vAlign w:val="center"/>
          </w:tcPr>
          <w:p w14:paraId="745DE3E8">
            <w:pPr>
              <w:widowControl/>
              <w:spacing w:line="360" w:lineRule="exact"/>
              <w:ind w:firstLine="0" w:firstLineChars="0"/>
              <w:jc w:val="center"/>
              <w:rPr>
                <w:rFonts w:cs="Times New Roman"/>
                <w:b/>
                <w:color w:val="auto"/>
                <w:kern w:val="0"/>
                <w:szCs w:val="21"/>
                <w:highlight w:val="none"/>
              </w:rPr>
            </w:pPr>
            <w:r>
              <w:rPr>
                <w:rFonts w:cs="Times New Roman"/>
                <w:b/>
                <w:color w:val="auto"/>
                <w:kern w:val="0"/>
                <w:szCs w:val="21"/>
                <w:highlight w:val="none"/>
              </w:rPr>
              <w:t>污染物名称</w:t>
            </w:r>
          </w:p>
        </w:tc>
        <w:tc>
          <w:tcPr>
            <w:tcW w:w="1957" w:type="dxa"/>
            <w:tcBorders>
              <w:tl2br w:val="nil"/>
              <w:tr2bl w:val="nil"/>
            </w:tcBorders>
            <w:vAlign w:val="center"/>
          </w:tcPr>
          <w:p w14:paraId="78435777">
            <w:pPr>
              <w:widowControl/>
              <w:spacing w:line="360" w:lineRule="exact"/>
              <w:ind w:firstLine="0" w:firstLineChars="0"/>
              <w:jc w:val="center"/>
              <w:rPr>
                <w:rFonts w:cs="Times New Roman"/>
                <w:b/>
                <w:color w:val="auto"/>
                <w:kern w:val="0"/>
                <w:szCs w:val="21"/>
                <w:highlight w:val="none"/>
              </w:rPr>
            </w:pPr>
            <w:r>
              <w:rPr>
                <w:rFonts w:cs="Times New Roman"/>
                <w:b/>
                <w:color w:val="auto"/>
                <w:kern w:val="0"/>
                <w:szCs w:val="21"/>
                <w:highlight w:val="none"/>
              </w:rPr>
              <w:t>预测排放量t/a</w:t>
            </w:r>
          </w:p>
        </w:tc>
        <w:tc>
          <w:tcPr>
            <w:tcW w:w="2176" w:type="dxa"/>
            <w:tcBorders>
              <w:tl2br w:val="nil"/>
              <w:tr2bl w:val="nil"/>
            </w:tcBorders>
            <w:vAlign w:val="center"/>
          </w:tcPr>
          <w:p w14:paraId="4FC2FA1D">
            <w:pPr>
              <w:widowControl/>
              <w:spacing w:line="360" w:lineRule="exact"/>
              <w:ind w:firstLine="0" w:firstLineChars="0"/>
              <w:jc w:val="center"/>
              <w:rPr>
                <w:rFonts w:cs="Times New Roman"/>
                <w:b/>
                <w:color w:val="auto"/>
                <w:kern w:val="0"/>
                <w:szCs w:val="21"/>
                <w:highlight w:val="none"/>
              </w:rPr>
            </w:pPr>
            <w:r>
              <w:rPr>
                <w:rFonts w:cs="Times New Roman"/>
                <w:b/>
                <w:color w:val="auto"/>
                <w:kern w:val="0"/>
                <w:szCs w:val="21"/>
                <w:highlight w:val="none"/>
              </w:rPr>
              <w:t>核定排放总量t/a</w:t>
            </w:r>
          </w:p>
        </w:tc>
      </w:tr>
      <w:tr w14:paraId="4F7DD94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411" w:hRule="atLeast"/>
          <w:jc w:val="center"/>
        </w:trPr>
        <w:tc>
          <w:tcPr>
            <w:tcW w:w="2172" w:type="dxa"/>
            <w:vMerge w:val="restart"/>
            <w:tcBorders>
              <w:tl2br w:val="nil"/>
              <w:tr2bl w:val="nil"/>
            </w:tcBorders>
            <w:vAlign w:val="center"/>
          </w:tcPr>
          <w:p w14:paraId="50205943">
            <w:pPr>
              <w:widowControl/>
              <w:spacing w:line="360" w:lineRule="exact"/>
              <w:ind w:firstLine="0" w:firstLineChars="0"/>
              <w:jc w:val="center"/>
              <w:rPr>
                <w:rFonts w:cs="Times New Roman"/>
                <w:color w:val="auto"/>
                <w:kern w:val="0"/>
                <w:szCs w:val="21"/>
                <w:highlight w:val="none"/>
              </w:rPr>
            </w:pPr>
            <w:r>
              <w:rPr>
                <w:rFonts w:cs="Times New Roman"/>
                <w:color w:val="auto"/>
                <w:kern w:val="0"/>
                <w:szCs w:val="21"/>
                <w:highlight w:val="none"/>
              </w:rPr>
              <w:t>水污染物</w:t>
            </w:r>
          </w:p>
        </w:tc>
        <w:tc>
          <w:tcPr>
            <w:tcW w:w="2174" w:type="dxa"/>
            <w:tcBorders>
              <w:tl2br w:val="nil"/>
              <w:tr2bl w:val="nil"/>
            </w:tcBorders>
            <w:vAlign w:val="center"/>
          </w:tcPr>
          <w:p w14:paraId="4C14110A">
            <w:pPr>
              <w:widowControl/>
              <w:spacing w:line="360" w:lineRule="exact"/>
              <w:ind w:firstLine="0" w:firstLineChars="0"/>
              <w:jc w:val="center"/>
              <w:rPr>
                <w:rFonts w:cs="Times New Roman"/>
                <w:color w:val="auto"/>
                <w:kern w:val="0"/>
                <w:szCs w:val="21"/>
                <w:highlight w:val="none"/>
              </w:rPr>
            </w:pPr>
            <w:r>
              <w:rPr>
                <w:rFonts w:cs="Times New Roman"/>
                <w:color w:val="auto"/>
                <w:kern w:val="0"/>
                <w:szCs w:val="21"/>
                <w:highlight w:val="none"/>
              </w:rPr>
              <w:t>COD</w:t>
            </w:r>
          </w:p>
        </w:tc>
        <w:tc>
          <w:tcPr>
            <w:tcW w:w="1957" w:type="dxa"/>
            <w:tcBorders>
              <w:tl2br w:val="nil"/>
              <w:tr2bl w:val="nil"/>
            </w:tcBorders>
            <w:vAlign w:val="center"/>
          </w:tcPr>
          <w:p w14:paraId="65AA2C02">
            <w:pPr>
              <w:widowControl/>
              <w:spacing w:line="360" w:lineRule="exact"/>
              <w:ind w:firstLine="0" w:firstLineChars="0"/>
              <w:jc w:val="center"/>
              <w:rPr>
                <w:rFonts w:cs="Times New Roman"/>
                <w:color w:val="auto"/>
                <w:kern w:val="0"/>
                <w:szCs w:val="21"/>
                <w:highlight w:val="none"/>
              </w:rPr>
            </w:pPr>
            <w:r>
              <w:rPr>
                <w:rFonts w:cs="Times New Roman"/>
                <w:color w:val="auto"/>
                <w:kern w:val="0"/>
                <w:szCs w:val="21"/>
                <w:highlight w:val="none"/>
              </w:rPr>
              <w:t>（</w:t>
            </w:r>
            <w:r>
              <w:rPr>
                <w:rFonts w:hint="eastAsia" w:cs="Times New Roman"/>
                <w:color w:val="auto"/>
                <w:kern w:val="0"/>
                <w:szCs w:val="21"/>
                <w:highlight w:val="none"/>
                <w:lang w:val="en-US" w:eastAsia="zh-CN"/>
              </w:rPr>
              <w:t>18.38</w:t>
            </w:r>
            <w:r>
              <w:rPr>
                <w:rFonts w:cs="Times New Roman"/>
                <w:color w:val="auto"/>
                <w:kern w:val="0"/>
                <w:szCs w:val="21"/>
                <w:highlight w:val="none"/>
              </w:rPr>
              <w:t>）</w:t>
            </w:r>
          </w:p>
        </w:tc>
        <w:tc>
          <w:tcPr>
            <w:tcW w:w="2176" w:type="dxa"/>
            <w:tcBorders>
              <w:tl2br w:val="nil"/>
              <w:tr2bl w:val="nil"/>
            </w:tcBorders>
            <w:vAlign w:val="center"/>
          </w:tcPr>
          <w:p w14:paraId="3DB4520E">
            <w:pPr>
              <w:widowControl/>
              <w:spacing w:line="360" w:lineRule="exact"/>
              <w:ind w:firstLine="0" w:firstLineChars="0"/>
              <w:jc w:val="center"/>
              <w:rPr>
                <w:rFonts w:cs="Times New Roman"/>
                <w:color w:val="auto"/>
                <w:kern w:val="0"/>
                <w:szCs w:val="21"/>
                <w:highlight w:val="none"/>
              </w:rPr>
            </w:pPr>
            <w:r>
              <w:rPr>
                <w:rFonts w:cs="Times New Roman"/>
                <w:color w:val="auto"/>
                <w:kern w:val="0"/>
                <w:szCs w:val="21"/>
                <w:highlight w:val="none"/>
              </w:rPr>
              <w:t>（</w:t>
            </w:r>
            <w:r>
              <w:rPr>
                <w:rFonts w:hint="eastAsia" w:cs="Times New Roman"/>
                <w:color w:val="auto"/>
                <w:kern w:val="0"/>
                <w:szCs w:val="21"/>
                <w:highlight w:val="none"/>
                <w:lang w:val="en-US" w:eastAsia="zh-CN"/>
              </w:rPr>
              <w:t>43.66</w:t>
            </w:r>
            <w:r>
              <w:rPr>
                <w:rFonts w:cs="Times New Roman"/>
                <w:color w:val="auto"/>
                <w:kern w:val="0"/>
                <w:szCs w:val="21"/>
                <w:highlight w:val="none"/>
              </w:rPr>
              <w:t>）</w:t>
            </w:r>
          </w:p>
        </w:tc>
      </w:tr>
      <w:tr w14:paraId="44BFA2B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430" w:hRule="atLeast"/>
          <w:jc w:val="center"/>
        </w:trPr>
        <w:tc>
          <w:tcPr>
            <w:tcW w:w="2172" w:type="dxa"/>
            <w:vMerge w:val="continue"/>
            <w:tcBorders>
              <w:tl2br w:val="nil"/>
              <w:tr2bl w:val="nil"/>
            </w:tcBorders>
            <w:vAlign w:val="center"/>
          </w:tcPr>
          <w:p w14:paraId="0B857F14">
            <w:pPr>
              <w:widowControl/>
              <w:spacing w:line="360" w:lineRule="exact"/>
              <w:ind w:firstLine="0" w:firstLineChars="0"/>
              <w:jc w:val="center"/>
              <w:rPr>
                <w:rFonts w:cs="Times New Roman"/>
                <w:color w:val="auto"/>
                <w:kern w:val="0"/>
                <w:szCs w:val="21"/>
                <w:highlight w:val="none"/>
              </w:rPr>
            </w:pPr>
          </w:p>
        </w:tc>
        <w:tc>
          <w:tcPr>
            <w:tcW w:w="2174" w:type="dxa"/>
            <w:tcBorders>
              <w:tl2br w:val="nil"/>
              <w:tr2bl w:val="nil"/>
            </w:tcBorders>
            <w:vAlign w:val="center"/>
          </w:tcPr>
          <w:p w14:paraId="3FD95D14">
            <w:pPr>
              <w:widowControl/>
              <w:spacing w:line="360" w:lineRule="exact"/>
              <w:ind w:firstLine="0" w:firstLineChars="0"/>
              <w:jc w:val="center"/>
              <w:rPr>
                <w:rFonts w:cs="Times New Roman"/>
                <w:color w:val="auto"/>
                <w:kern w:val="0"/>
                <w:szCs w:val="21"/>
                <w:highlight w:val="none"/>
              </w:rPr>
            </w:pPr>
            <w:r>
              <w:rPr>
                <w:rFonts w:cs="Times New Roman"/>
                <w:color w:val="auto"/>
                <w:kern w:val="0"/>
                <w:szCs w:val="21"/>
                <w:highlight w:val="none"/>
              </w:rPr>
              <w:t>氨氮</w:t>
            </w:r>
          </w:p>
        </w:tc>
        <w:tc>
          <w:tcPr>
            <w:tcW w:w="1957" w:type="dxa"/>
            <w:tcBorders>
              <w:tl2br w:val="nil"/>
              <w:tr2bl w:val="nil"/>
            </w:tcBorders>
            <w:vAlign w:val="center"/>
          </w:tcPr>
          <w:p w14:paraId="28A5B895">
            <w:pPr>
              <w:widowControl/>
              <w:spacing w:line="360" w:lineRule="exact"/>
              <w:ind w:firstLine="0" w:firstLineChars="0"/>
              <w:jc w:val="center"/>
              <w:rPr>
                <w:rFonts w:cs="Times New Roman"/>
                <w:color w:val="auto"/>
                <w:kern w:val="0"/>
                <w:szCs w:val="21"/>
                <w:highlight w:val="none"/>
              </w:rPr>
            </w:pPr>
            <w:r>
              <w:rPr>
                <w:rFonts w:cs="Times New Roman"/>
                <w:color w:val="auto"/>
                <w:kern w:val="0"/>
                <w:szCs w:val="21"/>
                <w:highlight w:val="none"/>
              </w:rPr>
              <w:t>（</w:t>
            </w:r>
            <w:r>
              <w:rPr>
                <w:rFonts w:hint="eastAsia" w:cs="Times New Roman"/>
                <w:color w:val="auto"/>
                <w:kern w:val="0"/>
                <w:szCs w:val="21"/>
                <w:highlight w:val="none"/>
                <w:lang w:val="en-US" w:eastAsia="zh-CN"/>
              </w:rPr>
              <w:t>2.35</w:t>
            </w:r>
            <w:r>
              <w:rPr>
                <w:rFonts w:cs="Times New Roman"/>
                <w:color w:val="auto"/>
                <w:kern w:val="0"/>
                <w:szCs w:val="21"/>
                <w:highlight w:val="none"/>
              </w:rPr>
              <w:t>）</w:t>
            </w:r>
          </w:p>
        </w:tc>
        <w:tc>
          <w:tcPr>
            <w:tcW w:w="2176" w:type="dxa"/>
            <w:tcBorders>
              <w:tl2br w:val="nil"/>
              <w:tr2bl w:val="nil"/>
            </w:tcBorders>
            <w:vAlign w:val="center"/>
          </w:tcPr>
          <w:p w14:paraId="55D05BEC">
            <w:pPr>
              <w:widowControl/>
              <w:spacing w:line="360" w:lineRule="exact"/>
              <w:ind w:firstLine="0" w:firstLineChars="0"/>
              <w:jc w:val="center"/>
              <w:rPr>
                <w:rFonts w:cs="Times New Roman"/>
                <w:color w:val="auto"/>
                <w:kern w:val="0"/>
                <w:szCs w:val="21"/>
                <w:highlight w:val="none"/>
              </w:rPr>
            </w:pPr>
            <w:r>
              <w:rPr>
                <w:rFonts w:cs="Times New Roman"/>
                <w:color w:val="auto"/>
                <w:kern w:val="0"/>
                <w:szCs w:val="21"/>
                <w:highlight w:val="none"/>
              </w:rPr>
              <w:t>（</w:t>
            </w:r>
            <w:r>
              <w:rPr>
                <w:rFonts w:hint="eastAsia" w:cs="Times New Roman"/>
                <w:color w:val="auto"/>
                <w:kern w:val="0"/>
                <w:szCs w:val="21"/>
                <w:highlight w:val="none"/>
                <w:lang w:val="en-US" w:eastAsia="zh-CN"/>
              </w:rPr>
              <w:t>3.92</w:t>
            </w:r>
            <w:r>
              <w:rPr>
                <w:rFonts w:cs="Times New Roman"/>
                <w:color w:val="auto"/>
                <w:kern w:val="0"/>
                <w:szCs w:val="21"/>
                <w:highlight w:val="none"/>
              </w:rPr>
              <w:t>）</w:t>
            </w:r>
          </w:p>
        </w:tc>
      </w:tr>
    </w:tbl>
    <w:p w14:paraId="1A6EEDEE">
      <w:pPr>
        <w:rPr>
          <w:rFonts w:cs="Times New Roman"/>
          <w:color w:val="auto"/>
          <w:szCs w:val="24"/>
          <w:highlight w:val="none"/>
        </w:rPr>
      </w:pPr>
      <w:r>
        <w:rPr>
          <w:rFonts w:cs="Times New Roman"/>
          <w:color w:val="auto"/>
          <w:szCs w:val="24"/>
          <w:highlight w:val="none"/>
        </w:rPr>
        <w:t>注：（）内的为分担量</w:t>
      </w:r>
    </w:p>
    <w:p w14:paraId="3333232D">
      <w:pPr>
        <w:keepNext/>
        <w:keepLines/>
        <w:ind w:firstLine="0" w:firstLineChars="0"/>
        <w:jc w:val="left"/>
        <w:outlineLvl w:val="1"/>
        <w:rPr>
          <w:rFonts w:eastAsia="黑体" w:cs="Times New Roman"/>
          <w:bCs/>
          <w:snapToGrid w:val="0"/>
          <w:color w:val="auto"/>
          <w:kern w:val="0"/>
          <w:sz w:val="28"/>
          <w:szCs w:val="32"/>
          <w:highlight w:val="none"/>
        </w:rPr>
      </w:pPr>
      <w:bookmarkStart w:id="435" w:name="_Toc10654"/>
      <w:r>
        <w:rPr>
          <w:rFonts w:eastAsia="黑体" w:cs="Times New Roman"/>
          <w:bCs/>
          <w:snapToGrid w:val="0"/>
          <w:color w:val="auto"/>
          <w:kern w:val="0"/>
          <w:sz w:val="28"/>
          <w:szCs w:val="32"/>
          <w:highlight w:val="none"/>
        </w:rPr>
        <w:t>8.5 排污许可证制度衔接</w:t>
      </w:r>
      <w:bookmarkEnd w:id="434"/>
      <w:bookmarkEnd w:id="435"/>
    </w:p>
    <w:p w14:paraId="493CAF1D">
      <w:pPr>
        <w:rPr>
          <w:rFonts w:cs="Times New Roman"/>
          <w:snapToGrid w:val="0"/>
          <w:color w:val="auto"/>
          <w:kern w:val="0"/>
          <w:highlight w:val="none"/>
        </w:rPr>
      </w:pPr>
      <w:r>
        <w:rPr>
          <w:rFonts w:cs="Times New Roman"/>
          <w:snapToGrid w:val="0"/>
          <w:color w:val="auto"/>
          <w:kern w:val="0"/>
          <w:highlight w:val="none"/>
        </w:rPr>
        <w:t>目前我国正在推进排污许可制度改革工作。环保部也大力推进排污许可证制度，并作为“十三五”国家固定源环境管理的核心，《国务院办公厅关于印发控制污染物排放许可制实施方案的通知》（国办发[2016]81号）明确将排污许可制建设成为固定污染源环境管理的核心制度，作为企业守法、部门执法、社会监督的依据，为提高环境管理效能和改善环境质量</w:t>
      </w:r>
      <w:r>
        <w:rPr>
          <w:rFonts w:hint="eastAsia" w:cs="Times New Roman"/>
          <w:snapToGrid w:val="0"/>
          <w:color w:val="auto"/>
          <w:kern w:val="0"/>
          <w:highlight w:val="none"/>
          <w:lang w:val="en-US" w:eastAsia="zh-CN"/>
        </w:rPr>
        <w:t>奠定</w:t>
      </w:r>
      <w:r>
        <w:rPr>
          <w:rFonts w:cs="Times New Roman"/>
          <w:snapToGrid w:val="0"/>
          <w:color w:val="auto"/>
          <w:kern w:val="0"/>
          <w:highlight w:val="none"/>
        </w:rPr>
        <w:t>坚实基础。</w:t>
      </w:r>
    </w:p>
    <w:p w14:paraId="58A6DB1C">
      <w:pPr>
        <w:rPr>
          <w:rFonts w:cs="Times New Roman"/>
          <w:snapToGrid w:val="0"/>
          <w:color w:val="auto"/>
          <w:kern w:val="0"/>
          <w:highlight w:val="none"/>
        </w:rPr>
      </w:pPr>
      <w:r>
        <w:rPr>
          <w:rFonts w:cs="Times New Roman"/>
          <w:snapToGrid w:val="0"/>
          <w:color w:val="auto"/>
          <w:kern w:val="0"/>
          <w:highlight w:val="none"/>
        </w:rPr>
        <w:t>根据《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具体内容详见报告书各章节。企业在设计，建设和运营过程中，需按照许可证管理要求进行监测和申报，自证守法；许可证内容发生变更应进行申报，重大变更应重新环评和申请许可证变更。环保管理部门对许可证内容进行定期和不定期的监督核查。</w:t>
      </w:r>
    </w:p>
    <w:bookmarkEnd w:id="403"/>
    <w:bookmarkEnd w:id="404"/>
    <w:bookmarkEnd w:id="405"/>
    <w:bookmarkEnd w:id="406"/>
    <w:bookmarkEnd w:id="407"/>
    <w:bookmarkEnd w:id="424"/>
    <w:bookmarkEnd w:id="425"/>
    <w:bookmarkEnd w:id="426"/>
    <w:p w14:paraId="52A68747">
      <w:pPr>
        <w:adjustRightInd/>
        <w:snapToGrid/>
        <w:spacing w:line="500" w:lineRule="exact"/>
        <w:rPr>
          <w:rFonts w:cs="Times New Roman"/>
          <w:snapToGrid w:val="0"/>
          <w:color w:val="auto"/>
          <w:kern w:val="0"/>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177CB118">
      <w:pPr>
        <w:ind w:firstLine="0" w:firstLineChars="0"/>
        <w:jc w:val="left"/>
        <w:outlineLvl w:val="0"/>
        <w:rPr>
          <w:rFonts w:eastAsia="黑体" w:cs="Times New Roman"/>
          <w:snapToGrid w:val="0"/>
          <w:color w:val="auto"/>
          <w:kern w:val="0"/>
          <w:sz w:val="32"/>
          <w:highlight w:val="none"/>
        </w:rPr>
      </w:pPr>
      <w:bookmarkStart w:id="436" w:name="_Toc277178465"/>
      <w:bookmarkStart w:id="437" w:name="_Toc480447686"/>
      <w:bookmarkStart w:id="438" w:name="_Toc255202340"/>
      <w:bookmarkStart w:id="439" w:name="_Toc23980"/>
      <w:bookmarkStart w:id="440" w:name="_Toc415146736"/>
      <w:bookmarkStart w:id="441" w:name="_Toc480447687"/>
      <w:bookmarkStart w:id="442" w:name="_Toc255202323"/>
      <w:bookmarkStart w:id="443" w:name="_Toc346267817"/>
      <w:bookmarkStart w:id="444" w:name="_Toc277178450"/>
      <w:bookmarkStart w:id="445" w:name="_Toc456590420"/>
      <w:r>
        <w:rPr>
          <w:rFonts w:eastAsia="黑体" w:cs="Times New Roman"/>
          <w:snapToGrid w:val="0"/>
          <w:color w:val="auto"/>
          <w:kern w:val="0"/>
          <w:sz w:val="32"/>
          <w:highlight w:val="none"/>
        </w:rPr>
        <w:t>9结论与建议</w:t>
      </w:r>
      <w:bookmarkEnd w:id="436"/>
      <w:bookmarkEnd w:id="437"/>
      <w:bookmarkEnd w:id="438"/>
      <w:bookmarkEnd w:id="439"/>
    </w:p>
    <w:p w14:paraId="768E8299">
      <w:pPr>
        <w:pStyle w:val="3"/>
        <w:spacing w:before="163" w:after="163"/>
        <w:rPr>
          <w:rFonts w:cs="Times New Roman"/>
          <w:color w:val="auto"/>
          <w:highlight w:val="none"/>
        </w:rPr>
      </w:pPr>
      <w:bookmarkStart w:id="446" w:name="_Toc6259"/>
      <w:r>
        <w:rPr>
          <w:rFonts w:cs="Times New Roman"/>
          <w:color w:val="auto"/>
          <w:highlight w:val="none"/>
        </w:rPr>
        <w:t>9.1</w:t>
      </w:r>
      <w:bookmarkEnd w:id="440"/>
      <w:bookmarkEnd w:id="441"/>
      <w:r>
        <w:rPr>
          <w:rFonts w:cs="Times New Roman"/>
          <w:color w:val="auto"/>
          <w:highlight w:val="none"/>
        </w:rPr>
        <w:t>项目概况</w:t>
      </w:r>
      <w:bookmarkEnd w:id="446"/>
    </w:p>
    <w:p w14:paraId="11B63E42">
      <w:pPr>
        <w:rPr>
          <w:rFonts w:cs="Times New Roman"/>
          <w:snapToGrid w:val="0"/>
          <w:color w:val="auto"/>
          <w:kern w:val="0"/>
          <w:highlight w:val="none"/>
        </w:rPr>
      </w:pPr>
      <w:r>
        <w:rPr>
          <w:rFonts w:cs="Times New Roman"/>
          <w:snapToGrid w:val="0"/>
          <w:color w:val="auto"/>
          <w:kern w:val="0"/>
          <w:highlight w:val="none"/>
        </w:rPr>
        <w:t>本项目位于</w:t>
      </w:r>
      <w:r>
        <w:rPr>
          <w:rFonts w:hint="eastAsia" w:ascii="Times New Roman" w:hAnsi="Times New Roman" w:cs="Times New Roman"/>
          <w:snapToGrid w:val="0"/>
          <w:color w:val="auto"/>
          <w:kern w:val="0"/>
          <w:szCs w:val="24"/>
          <w:highlight w:val="none"/>
          <w:lang w:val="en-US" w:eastAsia="zh-CN"/>
        </w:rPr>
        <w:t>黑龙江省双鸭山市岭东区长胜乡东兴村</w:t>
      </w:r>
      <w:r>
        <w:rPr>
          <w:rFonts w:cs="Times New Roman"/>
          <w:color w:val="auto"/>
          <w:szCs w:val="24"/>
          <w:highlight w:val="none"/>
        </w:rPr>
        <w:t>，中心地理坐标经度为</w:t>
      </w:r>
      <w:r>
        <w:rPr>
          <w:rFonts w:hint="eastAsia" w:cs="Times New Roman"/>
          <w:color w:val="auto"/>
          <w:highlight w:val="none"/>
          <w:lang w:val="en-US" w:eastAsia="zh-CN"/>
        </w:rPr>
        <w:t>131.14963963°</w:t>
      </w:r>
      <w:r>
        <w:rPr>
          <w:rFonts w:cs="Times New Roman"/>
          <w:color w:val="auto"/>
          <w:szCs w:val="24"/>
          <w:highlight w:val="none"/>
        </w:rPr>
        <w:t>，纬度为</w:t>
      </w:r>
      <w:r>
        <w:rPr>
          <w:rFonts w:hint="eastAsia" w:cs="Times New Roman"/>
          <w:color w:val="auto"/>
          <w:highlight w:val="none"/>
        </w:rPr>
        <w:t>46.55711658</w:t>
      </w:r>
      <w:r>
        <w:rPr>
          <w:rFonts w:hint="eastAsia" w:cs="Times New Roman"/>
          <w:color w:val="auto"/>
          <w:highlight w:val="none"/>
          <w:lang w:val="en-US" w:eastAsia="zh-CN"/>
        </w:rPr>
        <w:t>°</w:t>
      </w:r>
      <w:r>
        <w:rPr>
          <w:rFonts w:cs="Times New Roman"/>
          <w:color w:val="auto"/>
          <w:szCs w:val="24"/>
          <w:highlight w:val="none"/>
        </w:rPr>
        <w:t>。</w:t>
      </w:r>
      <w:r>
        <w:rPr>
          <w:rFonts w:ascii="Times New Roman" w:hAnsi="Times New Roman" w:cs="Times New Roman"/>
          <w:snapToGrid w:val="0"/>
          <w:color w:val="auto"/>
          <w:kern w:val="0"/>
          <w:szCs w:val="24"/>
          <w:highlight w:val="none"/>
        </w:rPr>
        <w:t>项目东</w:t>
      </w:r>
      <w:r>
        <w:rPr>
          <w:rFonts w:hint="eastAsia" w:ascii="Times New Roman" w:hAnsi="Times New Roman" w:cs="Times New Roman"/>
          <w:snapToGrid w:val="0"/>
          <w:color w:val="auto"/>
          <w:kern w:val="0"/>
          <w:szCs w:val="24"/>
          <w:highlight w:val="none"/>
          <w:lang w:val="en-US" w:eastAsia="zh-CN"/>
        </w:rPr>
        <w:t>侧、南侧均为空地，北侧隔路为废弃平房</w:t>
      </w:r>
      <w:r>
        <w:rPr>
          <w:rFonts w:ascii="Times New Roman" w:hAnsi="Times New Roman" w:cs="Times New Roman"/>
          <w:snapToGrid w:val="0"/>
          <w:color w:val="auto"/>
          <w:kern w:val="0"/>
          <w:szCs w:val="24"/>
          <w:highlight w:val="none"/>
        </w:rPr>
        <w:t>，西侧</w:t>
      </w:r>
      <w:r>
        <w:rPr>
          <w:rFonts w:hint="eastAsia" w:ascii="Times New Roman" w:hAnsi="Times New Roman" w:cs="Times New Roman"/>
          <w:snapToGrid w:val="0"/>
          <w:color w:val="auto"/>
          <w:kern w:val="0"/>
          <w:szCs w:val="24"/>
          <w:highlight w:val="none"/>
          <w:lang w:val="en-US" w:eastAsia="zh-CN"/>
        </w:rPr>
        <w:t>隔路为金诺恒业机械制造有限公司以及居民</w:t>
      </w:r>
      <w:r>
        <w:rPr>
          <w:rFonts w:ascii="Times New Roman" w:hAnsi="Times New Roman" w:cs="Times New Roman"/>
          <w:snapToGrid w:val="0"/>
          <w:color w:val="auto"/>
          <w:kern w:val="0"/>
          <w:szCs w:val="24"/>
          <w:highlight w:val="none"/>
        </w:rPr>
        <w:t>。占地面积为</w:t>
      </w:r>
      <w:r>
        <w:rPr>
          <w:rFonts w:hint="eastAsia" w:ascii="Times New Roman" w:hAnsi="Times New Roman" w:cs="Times New Roman"/>
          <w:snapToGrid w:val="0"/>
          <w:color w:val="auto"/>
          <w:kern w:val="0"/>
          <w:szCs w:val="24"/>
          <w:highlight w:val="none"/>
          <w:lang w:val="en-US" w:eastAsia="zh-CN"/>
        </w:rPr>
        <w:t>36031</w:t>
      </w:r>
      <w:r>
        <w:rPr>
          <w:rFonts w:ascii="Times New Roman" w:hAnsi="Times New Roman" w:cs="Times New Roman"/>
          <w:snapToGrid w:val="0"/>
          <w:color w:val="auto"/>
          <w:kern w:val="0"/>
          <w:szCs w:val="24"/>
          <w:highlight w:val="none"/>
        </w:rPr>
        <w:t>m</w:t>
      </w:r>
      <w:r>
        <w:rPr>
          <w:rFonts w:ascii="Times New Roman" w:hAnsi="Times New Roman" w:cs="Times New Roman"/>
          <w:snapToGrid w:val="0"/>
          <w:color w:val="auto"/>
          <w:kern w:val="0"/>
          <w:szCs w:val="24"/>
          <w:highlight w:val="none"/>
          <w:vertAlign w:val="superscript"/>
        </w:rPr>
        <w:t>2</w:t>
      </w:r>
      <w:r>
        <w:rPr>
          <w:rFonts w:ascii="Times New Roman" w:hAnsi="Times New Roman" w:cs="Times New Roman"/>
          <w:snapToGrid w:val="0"/>
          <w:color w:val="auto"/>
          <w:kern w:val="0"/>
          <w:szCs w:val="24"/>
          <w:highlight w:val="none"/>
        </w:rPr>
        <w:t>，</w:t>
      </w:r>
      <w:r>
        <w:rPr>
          <w:rFonts w:cs="Times New Roman"/>
          <w:snapToGrid w:val="0"/>
          <w:color w:val="auto"/>
          <w:kern w:val="0"/>
          <w:highlight w:val="none"/>
        </w:rPr>
        <w:t>总建筑面积为</w:t>
      </w:r>
      <w:r>
        <w:rPr>
          <w:rFonts w:hint="eastAsia" w:cs="Times New Roman"/>
          <w:snapToGrid w:val="0"/>
          <w:color w:val="auto"/>
          <w:kern w:val="0"/>
          <w:highlight w:val="none"/>
          <w:lang w:val="en-US" w:eastAsia="zh-CN"/>
        </w:rPr>
        <w:t>5789</w:t>
      </w:r>
      <w:r>
        <w:rPr>
          <w:rFonts w:cs="Times New Roman"/>
          <w:snapToGrid w:val="0"/>
          <w:color w:val="auto"/>
          <w:kern w:val="0"/>
          <w:highlight w:val="none"/>
        </w:rPr>
        <w:t>m</w:t>
      </w:r>
      <w:r>
        <w:rPr>
          <w:rFonts w:cs="Times New Roman"/>
          <w:snapToGrid w:val="0"/>
          <w:color w:val="auto"/>
          <w:kern w:val="0"/>
          <w:highlight w:val="none"/>
          <w:vertAlign w:val="superscript"/>
        </w:rPr>
        <w:t>2</w:t>
      </w:r>
      <w:r>
        <w:rPr>
          <w:rFonts w:cs="Times New Roman"/>
          <w:snapToGrid w:val="0"/>
          <w:color w:val="auto"/>
          <w:kern w:val="0"/>
          <w:highlight w:val="none"/>
        </w:rPr>
        <w:t>。</w:t>
      </w:r>
      <w:r>
        <w:rPr>
          <w:rFonts w:ascii="Times New Roman" w:hAnsi="Times New Roman" w:cs="Times New Roman"/>
          <w:snapToGrid w:val="0"/>
          <w:color w:val="auto"/>
          <w:kern w:val="0"/>
          <w:szCs w:val="24"/>
          <w:highlight w:val="none"/>
        </w:rPr>
        <w:t>拟建设</w:t>
      </w:r>
      <w:r>
        <w:rPr>
          <w:rFonts w:hint="eastAsia" w:cs="Times New Roman"/>
          <w:snapToGrid w:val="0"/>
          <w:color w:val="auto"/>
          <w:kern w:val="0"/>
          <w:szCs w:val="24"/>
          <w:highlight w:val="none"/>
          <w:lang w:val="en-US" w:eastAsia="zh-CN"/>
        </w:rPr>
        <w:t>待宰圈</w:t>
      </w:r>
      <w:r>
        <w:rPr>
          <w:rFonts w:hint="eastAsia" w:ascii="Times New Roman" w:hAnsi="Times New Roman" w:cs="Times New Roman"/>
          <w:snapToGrid w:val="0"/>
          <w:color w:val="auto"/>
          <w:kern w:val="0"/>
          <w:szCs w:val="24"/>
          <w:highlight w:val="none"/>
          <w:lang w:val="en-US" w:eastAsia="zh-CN"/>
        </w:rPr>
        <w:t>、屠宰车间、急宰间、污水处理设施、检疫检验室、冷库等</w:t>
      </w:r>
      <w:r>
        <w:rPr>
          <w:rFonts w:ascii="Times New Roman" w:hAnsi="Times New Roman" w:cs="Times New Roman"/>
          <w:snapToGrid w:val="0"/>
          <w:color w:val="auto"/>
          <w:kern w:val="0"/>
          <w:szCs w:val="24"/>
          <w:highlight w:val="none"/>
        </w:rPr>
        <w:t>。运营期主要是进行牛、羊的屠宰，</w:t>
      </w:r>
      <w:r>
        <w:rPr>
          <w:rFonts w:hint="eastAsia" w:ascii="Times New Roman" w:hAnsi="Times New Roman" w:cs="Times New Roman"/>
          <w:snapToGrid w:val="0"/>
          <w:color w:val="auto"/>
          <w:kern w:val="0"/>
          <w:szCs w:val="24"/>
          <w:highlight w:val="none"/>
        </w:rPr>
        <w:t>屠宰量为肉牛</w:t>
      </w:r>
      <w:r>
        <w:rPr>
          <w:rFonts w:hint="eastAsia" w:ascii="Times New Roman" w:hAnsi="Times New Roman" w:cs="Times New Roman"/>
          <w:snapToGrid w:val="0"/>
          <w:color w:val="auto"/>
          <w:kern w:val="0"/>
          <w:szCs w:val="24"/>
          <w:highlight w:val="none"/>
          <w:lang w:val="en-US" w:eastAsia="zh-CN"/>
        </w:rPr>
        <w:t>10</w:t>
      </w:r>
      <w:r>
        <w:rPr>
          <w:rFonts w:hint="eastAsia" w:ascii="Times New Roman" w:hAnsi="Times New Roman" w:cs="Times New Roman"/>
          <w:snapToGrid w:val="0"/>
          <w:color w:val="auto"/>
          <w:kern w:val="0"/>
          <w:szCs w:val="24"/>
          <w:highlight w:val="none"/>
        </w:rPr>
        <w:t>0头/d，肉羊</w:t>
      </w:r>
      <w:r>
        <w:rPr>
          <w:rFonts w:hint="eastAsia" w:ascii="Times New Roman" w:hAnsi="Times New Roman" w:cs="Times New Roman"/>
          <w:snapToGrid w:val="0"/>
          <w:color w:val="auto"/>
          <w:kern w:val="0"/>
          <w:szCs w:val="24"/>
          <w:highlight w:val="none"/>
          <w:lang w:val="en-US" w:eastAsia="zh-CN"/>
        </w:rPr>
        <w:t>500</w:t>
      </w:r>
      <w:r>
        <w:rPr>
          <w:rFonts w:hint="eastAsia" w:ascii="Times New Roman" w:hAnsi="Times New Roman" w:cs="Times New Roman"/>
          <w:snapToGrid w:val="0"/>
          <w:color w:val="auto"/>
          <w:kern w:val="0"/>
          <w:szCs w:val="24"/>
          <w:highlight w:val="none"/>
        </w:rPr>
        <w:t>只/d</w:t>
      </w:r>
      <w:r>
        <w:rPr>
          <w:rFonts w:hint="eastAsia" w:cs="Times New Roman"/>
          <w:snapToGrid w:val="0"/>
          <w:color w:val="auto"/>
          <w:kern w:val="0"/>
          <w:szCs w:val="24"/>
          <w:highlight w:val="none"/>
          <w:lang w:eastAsia="zh-CN"/>
        </w:rPr>
        <w:t>，</w:t>
      </w:r>
      <w:r>
        <w:rPr>
          <w:rFonts w:hint="eastAsia" w:cs="Times New Roman"/>
          <w:color w:val="auto"/>
          <w:highlight w:val="none"/>
        </w:rPr>
        <w:t>按设计3</w:t>
      </w:r>
      <w:r>
        <w:rPr>
          <w:rFonts w:hint="eastAsia" w:cs="Times New Roman"/>
          <w:color w:val="auto"/>
          <w:highlight w:val="none"/>
          <w:lang w:val="en-US" w:eastAsia="zh-CN"/>
        </w:rPr>
        <w:t>00</w:t>
      </w:r>
      <w:r>
        <w:rPr>
          <w:rFonts w:hint="eastAsia" w:cs="Times New Roman"/>
          <w:color w:val="auto"/>
          <w:highlight w:val="none"/>
        </w:rPr>
        <w:t>天工作计算，</w:t>
      </w:r>
      <w:r>
        <w:rPr>
          <w:rFonts w:hint="eastAsia" w:cs="Times New Roman"/>
          <w:color w:val="auto"/>
          <w:highlight w:val="none"/>
          <w:lang w:eastAsia="zh-CN"/>
        </w:rPr>
        <w:t>年屠宰肉牛</w:t>
      </w:r>
      <w:r>
        <w:rPr>
          <w:rFonts w:hint="eastAsia" w:cs="Times New Roman"/>
          <w:color w:val="auto"/>
          <w:highlight w:val="none"/>
          <w:lang w:val="en-US" w:eastAsia="zh-CN"/>
        </w:rPr>
        <w:t>30000</w:t>
      </w:r>
      <w:r>
        <w:rPr>
          <w:rFonts w:hint="eastAsia" w:cs="Times New Roman"/>
          <w:color w:val="auto"/>
          <w:highlight w:val="none"/>
          <w:lang w:eastAsia="zh-CN"/>
        </w:rPr>
        <w:t>头、肉羊</w:t>
      </w:r>
      <w:r>
        <w:rPr>
          <w:rFonts w:hint="eastAsia" w:cs="Times New Roman"/>
          <w:color w:val="auto"/>
          <w:highlight w:val="none"/>
          <w:lang w:val="en-US" w:eastAsia="zh-CN"/>
        </w:rPr>
        <w:t>150000</w:t>
      </w:r>
      <w:r>
        <w:rPr>
          <w:rFonts w:hint="eastAsia" w:cs="Times New Roman"/>
          <w:color w:val="auto"/>
          <w:highlight w:val="none"/>
          <w:lang w:eastAsia="zh-CN"/>
        </w:rPr>
        <w:t>只。</w:t>
      </w:r>
      <w:r>
        <w:rPr>
          <w:rFonts w:cs="Times New Roman"/>
          <w:snapToGrid w:val="0"/>
          <w:color w:val="auto"/>
          <w:kern w:val="0"/>
          <w:highlight w:val="none"/>
        </w:rPr>
        <w:t>项目总投资</w:t>
      </w:r>
      <w:r>
        <w:rPr>
          <w:rFonts w:hint="eastAsia" w:cs="Times New Roman"/>
          <w:snapToGrid w:val="0"/>
          <w:color w:val="auto"/>
          <w:kern w:val="0"/>
          <w:highlight w:val="none"/>
          <w:lang w:val="en-US" w:eastAsia="zh-CN"/>
        </w:rPr>
        <w:t>2600</w:t>
      </w:r>
      <w:r>
        <w:rPr>
          <w:rFonts w:cs="Times New Roman"/>
          <w:snapToGrid w:val="0"/>
          <w:color w:val="auto"/>
          <w:kern w:val="0"/>
          <w:highlight w:val="none"/>
        </w:rPr>
        <w:t>万元。</w:t>
      </w:r>
    </w:p>
    <w:p w14:paraId="4BBA1084">
      <w:pPr>
        <w:pStyle w:val="3"/>
        <w:spacing w:before="163" w:after="163"/>
        <w:rPr>
          <w:rFonts w:cs="Times New Roman"/>
          <w:color w:val="auto"/>
          <w:highlight w:val="none"/>
        </w:rPr>
      </w:pPr>
      <w:bookmarkStart w:id="447" w:name="_Toc17782"/>
      <w:r>
        <w:rPr>
          <w:rFonts w:cs="Times New Roman"/>
          <w:color w:val="auto"/>
          <w:highlight w:val="none"/>
        </w:rPr>
        <w:t>9.2建设项目与相关产业政策相符性</w:t>
      </w:r>
      <w:bookmarkEnd w:id="447"/>
    </w:p>
    <w:p w14:paraId="0BB150E2">
      <w:pPr>
        <w:rPr>
          <w:rFonts w:cs="Times New Roman"/>
          <w:snapToGrid w:val="0"/>
          <w:color w:val="auto"/>
          <w:kern w:val="0"/>
          <w:highlight w:val="none"/>
        </w:rPr>
      </w:pPr>
      <w:r>
        <w:rPr>
          <w:rFonts w:cs="Times New Roman"/>
          <w:snapToGrid w:val="0"/>
          <w:color w:val="auto"/>
          <w:kern w:val="0"/>
          <w:highlight w:val="none"/>
        </w:rPr>
        <w:t>根据《国民经济行业分类》（GB/T4754-2017），本项目所属产业为C1351 牲畜屠宰，根据中华人民共和国国家发展和改革委员会发布的</w:t>
      </w:r>
      <w:r>
        <w:rPr>
          <w:rFonts w:hint="eastAsia" w:cs="Times New Roman"/>
          <w:snapToGrid w:val="0"/>
          <w:color w:val="auto"/>
          <w:kern w:val="0"/>
          <w:highlight w:val="none"/>
          <w:lang w:eastAsia="zh-CN"/>
        </w:rPr>
        <w:t>《产业结构调整指导目录（2019年本）》</w:t>
      </w:r>
      <w:r>
        <w:rPr>
          <w:rFonts w:cs="Times New Roman"/>
          <w:snapToGrid w:val="0"/>
          <w:color w:val="auto"/>
          <w:kern w:val="0"/>
          <w:highlight w:val="none"/>
        </w:rPr>
        <w:t>，本项目不属于“限制类”和“淘汰类”项目，根据国务院《促进产业结构调整暂行规定》（国发［2005］40号），项目的建设符合国家相关法律和政策，属允许类建设项目，符合国家产业政策。</w:t>
      </w:r>
    </w:p>
    <w:p w14:paraId="1C8D8D71">
      <w:pPr>
        <w:pStyle w:val="3"/>
        <w:spacing w:before="163" w:after="163"/>
        <w:rPr>
          <w:rFonts w:cs="Times New Roman"/>
          <w:color w:val="auto"/>
          <w:highlight w:val="none"/>
        </w:rPr>
      </w:pPr>
      <w:bookmarkStart w:id="448" w:name="_Toc16342"/>
      <w:r>
        <w:rPr>
          <w:rFonts w:cs="Times New Roman"/>
          <w:color w:val="auto"/>
          <w:highlight w:val="none"/>
        </w:rPr>
        <w:t>9.</w:t>
      </w:r>
      <w:r>
        <w:rPr>
          <w:rFonts w:cs="Times New Roman"/>
          <w:color w:val="auto"/>
          <w:highlight w:val="none"/>
        </w:rPr>
        <w:t>3环境质量现状评价结论</w:t>
      </w:r>
      <w:bookmarkEnd w:id="448"/>
    </w:p>
    <w:p w14:paraId="3621F646">
      <w:pPr>
        <w:spacing w:line="500" w:lineRule="exact"/>
        <w:ind w:firstLine="482"/>
        <w:rPr>
          <w:rFonts w:cs="Times New Roman"/>
          <w:b/>
          <w:bCs/>
          <w:snapToGrid w:val="0"/>
          <w:color w:val="auto"/>
          <w:kern w:val="0"/>
          <w:szCs w:val="24"/>
          <w:highlight w:val="none"/>
        </w:rPr>
      </w:pPr>
      <w:r>
        <w:rPr>
          <w:rFonts w:cs="Times New Roman"/>
          <w:b/>
          <w:bCs/>
          <w:color w:val="auto"/>
          <w:szCs w:val="24"/>
          <w:highlight w:val="none"/>
        </w:rPr>
        <w:t>1、环境空气质量现状</w:t>
      </w:r>
    </w:p>
    <w:p w14:paraId="032905B4">
      <w:pPr>
        <w:adjustRightInd/>
        <w:snapToGrid/>
        <w:spacing w:line="500" w:lineRule="exact"/>
        <w:rPr>
          <w:rFonts w:eastAsia="黑体" w:cs="Times New Roman"/>
          <w:color w:val="auto"/>
          <w:highlight w:val="none"/>
        </w:rPr>
      </w:pPr>
      <w:r>
        <w:rPr>
          <w:rFonts w:hint="default" w:ascii="Times New Roman" w:hAnsi="Times New Roman" w:cs="Times New Roman"/>
          <w:color w:val="auto"/>
          <w:highlight w:val="none"/>
        </w:rPr>
        <w:t>根</w:t>
      </w:r>
      <w:r>
        <w:rPr>
          <w:rFonts w:hint="default" w:ascii="Times New Roman" w:hAnsi="Times New Roman" w:cs="Times New Roman"/>
          <w:snapToGrid w:val="0"/>
          <w:color w:val="auto"/>
          <w:kern w:val="0"/>
          <w:szCs w:val="24"/>
          <w:highlight w:val="none"/>
          <w:lang w:val="en-US" w:eastAsia="zh-CN"/>
        </w:rPr>
        <w:t>据《2024年双鸭山市环境空气质量状况》</w:t>
      </w:r>
      <w:r>
        <w:rPr>
          <w:rFonts w:cs="Times New Roman"/>
          <w:color w:val="auto"/>
          <w:szCs w:val="24"/>
          <w:highlight w:val="none"/>
        </w:rPr>
        <w:t>中</w:t>
      </w:r>
      <w:r>
        <w:rPr>
          <w:rFonts w:hint="default" w:ascii="Times New Roman" w:hAnsi="Times New Roman" w:cs="Times New Roman"/>
          <w:snapToGrid w:val="0"/>
          <w:color w:val="auto"/>
          <w:kern w:val="0"/>
          <w:szCs w:val="24"/>
          <w:highlight w:val="none"/>
          <w:lang w:val="en-US" w:eastAsia="zh-CN"/>
        </w:rPr>
        <w:t>其中PM</w:t>
      </w:r>
      <w:r>
        <w:rPr>
          <w:rFonts w:hint="default" w:ascii="Times New Roman" w:hAnsi="Times New Roman" w:cs="Times New Roman"/>
          <w:snapToGrid w:val="0"/>
          <w:color w:val="auto"/>
          <w:kern w:val="0"/>
          <w:szCs w:val="24"/>
          <w:highlight w:val="none"/>
          <w:vertAlign w:val="subscript"/>
          <w:lang w:val="en-US" w:eastAsia="zh-CN"/>
        </w:rPr>
        <w:t>2.5</w:t>
      </w:r>
      <w:r>
        <w:rPr>
          <w:rFonts w:hint="default" w:ascii="Times New Roman" w:hAnsi="Times New Roman" w:cs="Times New Roman"/>
          <w:snapToGrid w:val="0"/>
          <w:color w:val="auto"/>
          <w:kern w:val="0"/>
          <w:szCs w:val="24"/>
          <w:highlight w:val="none"/>
          <w:lang w:val="en-US" w:eastAsia="zh-CN"/>
        </w:rPr>
        <w:t>年平均浓度值为27μg/m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、PM</w:t>
      </w:r>
      <w:r>
        <w:rPr>
          <w:rFonts w:hint="default" w:ascii="Times New Roman" w:hAnsi="Times New Roman" w:cs="Times New Roman"/>
          <w:snapToGrid w:val="0"/>
          <w:color w:val="auto"/>
          <w:kern w:val="0"/>
          <w:szCs w:val="24"/>
          <w:highlight w:val="none"/>
          <w:vertAlign w:val="subscript"/>
          <w:lang w:val="en-US" w:eastAsia="zh-CN"/>
        </w:rPr>
        <w:t>10</w:t>
      </w:r>
      <w:r>
        <w:rPr>
          <w:rFonts w:hint="default" w:ascii="Times New Roman" w:hAnsi="Times New Roman" w:cs="Times New Roman"/>
          <w:snapToGrid w:val="0"/>
          <w:color w:val="auto"/>
          <w:kern w:val="0"/>
          <w:szCs w:val="24"/>
          <w:highlight w:val="none"/>
          <w:lang w:val="en-US" w:eastAsia="zh-CN"/>
        </w:rPr>
        <w:t>年平均浓度值为43μg/m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、SO</w:t>
      </w:r>
      <w:r>
        <w:rPr>
          <w:rFonts w:hint="default" w:ascii="Times New Roman" w:hAnsi="Times New Roman" w:cs="Times New Roman"/>
          <w:snapToGrid w:val="0"/>
          <w:color w:val="auto"/>
          <w:kern w:val="0"/>
          <w:szCs w:val="24"/>
          <w:highlight w:val="none"/>
          <w:vertAlign w:val="subscript"/>
          <w:lang w:val="en-US" w:eastAsia="zh-CN"/>
        </w:rPr>
        <w:t>2</w:t>
      </w:r>
      <w:r>
        <w:rPr>
          <w:rFonts w:hint="default" w:ascii="Times New Roman" w:hAnsi="Times New Roman" w:cs="Times New Roman"/>
          <w:snapToGrid w:val="0"/>
          <w:color w:val="auto"/>
          <w:kern w:val="0"/>
          <w:szCs w:val="24"/>
          <w:highlight w:val="none"/>
          <w:lang w:val="en-US" w:eastAsia="zh-CN"/>
        </w:rPr>
        <w:t>年平均浓度值为11μg/m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、NO</w:t>
      </w:r>
      <w:r>
        <w:rPr>
          <w:rFonts w:hint="default" w:ascii="Times New Roman" w:hAnsi="Times New Roman" w:cs="Times New Roman"/>
          <w:snapToGrid w:val="0"/>
          <w:color w:val="auto"/>
          <w:kern w:val="0"/>
          <w:szCs w:val="24"/>
          <w:highlight w:val="none"/>
          <w:vertAlign w:val="subscript"/>
          <w:lang w:val="en-US" w:eastAsia="zh-CN"/>
        </w:rPr>
        <w:t>2</w:t>
      </w:r>
      <w:r>
        <w:rPr>
          <w:rFonts w:hint="default" w:ascii="Times New Roman" w:hAnsi="Times New Roman" w:cs="Times New Roman"/>
          <w:snapToGrid w:val="0"/>
          <w:color w:val="auto"/>
          <w:kern w:val="0"/>
          <w:szCs w:val="24"/>
          <w:highlight w:val="none"/>
          <w:lang w:val="en-US" w:eastAsia="zh-CN"/>
        </w:rPr>
        <w:t>年平均浓度值为15μg/m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、CO</w:t>
      </w:r>
      <w:r>
        <w:rPr>
          <w:rFonts w:hint="default" w:ascii="Times New Roman" w:hAnsi="Times New Roman" w:cs="Times New Roman"/>
          <w:snapToGrid w:val="0"/>
          <w:color w:val="auto"/>
          <w:kern w:val="0"/>
          <w:szCs w:val="24"/>
          <w:highlight w:val="none"/>
          <w:vertAlign w:val="subscript"/>
          <w:lang w:val="en-US" w:eastAsia="zh-CN"/>
        </w:rPr>
        <w:t>24</w:t>
      </w:r>
      <w:r>
        <w:rPr>
          <w:rFonts w:hint="default" w:ascii="Times New Roman" w:hAnsi="Times New Roman" w:cs="Times New Roman"/>
          <w:snapToGrid w:val="0"/>
          <w:color w:val="auto"/>
          <w:kern w:val="0"/>
          <w:szCs w:val="24"/>
          <w:highlight w:val="none"/>
          <w:lang w:val="en-US" w:eastAsia="zh-CN"/>
        </w:rPr>
        <w:t>小时月平均浓度值为0.48mg/m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，平均浓度第95百分位数为0.9mg/m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、O</w:t>
      </w:r>
      <w:r>
        <w:rPr>
          <w:rFonts w:hint="default" w:ascii="Times New Roman" w:hAnsi="Times New Roman" w:cs="Times New Roman"/>
          <w:snapToGrid w:val="0"/>
          <w:color w:val="auto"/>
          <w:kern w:val="0"/>
          <w:szCs w:val="24"/>
          <w:highlight w:val="none"/>
          <w:vertAlign w:val="subscript"/>
          <w:lang w:val="en-US" w:eastAsia="zh-CN"/>
        </w:rPr>
        <w:t>3</w:t>
      </w:r>
      <w:r>
        <w:rPr>
          <w:rFonts w:hint="default" w:ascii="Times New Roman" w:hAnsi="Times New Roman" w:cs="Times New Roman"/>
          <w:snapToGrid w:val="0"/>
          <w:color w:val="auto"/>
          <w:kern w:val="0"/>
          <w:szCs w:val="24"/>
          <w:highlight w:val="none"/>
          <w:vertAlign w:val="baseline"/>
          <w:lang w:val="en-US" w:eastAsia="zh-CN"/>
        </w:rPr>
        <w:t>－8h</w:t>
      </w:r>
      <w:r>
        <w:rPr>
          <w:rFonts w:hint="default" w:ascii="Times New Roman" w:hAnsi="Times New Roman" w:cs="Times New Roman"/>
          <w:snapToGrid w:val="0"/>
          <w:color w:val="auto"/>
          <w:kern w:val="0"/>
          <w:szCs w:val="24"/>
          <w:highlight w:val="none"/>
          <w:lang w:val="en-US" w:eastAsia="zh-CN"/>
        </w:rPr>
        <w:t>月平均浓度值为74.87μg/m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，平均浓度第90百分位数为105μg/m</w:t>
      </w:r>
      <w:r>
        <w:rPr>
          <w:rFonts w:hint="default" w:ascii="Times New Roman" w:hAnsi="Times New Roman" w:cs="Times New Roman"/>
          <w:snapToGrid w:val="0"/>
          <w:color w:val="auto"/>
          <w:kern w:val="0"/>
          <w:szCs w:val="24"/>
          <w:highlight w:val="none"/>
          <w:vertAlign w:val="superscript"/>
          <w:lang w:val="en-US" w:eastAsia="zh-CN"/>
        </w:rPr>
        <w:t>3</w:t>
      </w:r>
      <w:r>
        <w:rPr>
          <w:rFonts w:hint="default" w:ascii="Times New Roman" w:hAnsi="Times New Roman" w:cs="Times New Roman"/>
          <w:snapToGrid w:val="0"/>
          <w:color w:val="auto"/>
          <w:kern w:val="0"/>
          <w:szCs w:val="24"/>
          <w:highlight w:val="none"/>
          <w:lang w:val="en-US" w:eastAsia="zh-CN"/>
        </w:rPr>
        <w:t>。</w:t>
      </w:r>
      <w:r>
        <w:rPr>
          <w:rFonts w:cs="Times New Roman"/>
          <w:color w:val="auto"/>
          <w:highlight w:val="none"/>
        </w:rPr>
        <w:t>202</w:t>
      </w:r>
      <w:r>
        <w:rPr>
          <w:rFonts w:hint="eastAsia" w:cs="Times New Roman"/>
          <w:color w:val="auto"/>
          <w:highlight w:val="none"/>
          <w:lang w:val="en-US" w:eastAsia="zh-CN"/>
        </w:rPr>
        <w:t>4</w:t>
      </w:r>
      <w:r>
        <w:rPr>
          <w:rFonts w:cs="Times New Roman"/>
          <w:color w:val="auto"/>
          <w:highlight w:val="none"/>
        </w:rPr>
        <w:t>年</w:t>
      </w:r>
      <w:r>
        <w:rPr>
          <w:rFonts w:hint="eastAsia" w:cs="Times New Roman"/>
          <w:color w:val="auto"/>
          <w:highlight w:val="none"/>
          <w:lang w:val="en-US" w:eastAsia="zh-CN"/>
        </w:rPr>
        <w:t>双鸭山</w:t>
      </w:r>
      <w:r>
        <w:rPr>
          <w:rFonts w:cs="Times New Roman"/>
          <w:color w:val="auto"/>
          <w:highlight w:val="none"/>
        </w:rPr>
        <w:t>市为环境空气质量达标区。</w:t>
      </w:r>
    </w:p>
    <w:p w14:paraId="1314FEF3">
      <w:pPr>
        <w:spacing w:line="500" w:lineRule="exact"/>
        <w:rPr>
          <w:rFonts w:cs="Times New Roman"/>
          <w:snapToGrid w:val="0"/>
          <w:color w:val="auto"/>
          <w:kern w:val="0"/>
          <w:szCs w:val="24"/>
          <w:highlight w:val="none"/>
        </w:rPr>
      </w:pPr>
      <w:r>
        <w:rPr>
          <w:rFonts w:cs="Times New Roman"/>
          <w:color w:val="auto"/>
          <w:szCs w:val="24"/>
          <w:highlight w:val="none"/>
        </w:rPr>
        <w:t>其他污染物采用监测数据，两个监测点位的</w:t>
      </w:r>
      <w:r>
        <w:rPr>
          <w:rFonts w:cs="Times New Roman"/>
          <w:color w:val="auto"/>
          <w:highlight w:val="none"/>
        </w:rPr>
        <w:t>氨、硫化氢满足《环境影响评价技术导则 大气环境》（HJ2.2-2018）附录D中标准限值要求</w:t>
      </w:r>
      <w:r>
        <w:rPr>
          <w:rFonts w:hint="eastAsia" w:cs="Times New Roman"/>
          <w:color w:val="auto"/>
          <w:highlight w:val="none"/>
          <w:lang w:eastAsia="zh-CN"/>
        </w:rPr>
        <w:t>，</w:t>
      </w:r>
      <w:r>
        <w:rPr>
          <w:rFonts w:hint="eastAsia" w:cs="Times New Roman"/>
          <w:color w:val="auto"/>
          <w:highlight w:val="none"/>
          <w:lang w:val="en-US" w:eastAsia="zh-CN"/>
        </w:rPr>
        <w:t>TSP24h均值满足</w:t>
      </w:r>
      <w:r>
        <w:rPr>
          <w:rFonts w:cs="Times New Roman"/>
          <w:color w:val="auto"/>
          <w:highlight w:val="none"/>
        </w:rPr>
        <w:t>《环境空气质量标准》（GB3095-2012）</w:t>
      </w:r>
      <w:r>
        <w:rPr>
          <w:rFonts w:hint="eastAsia" w:cs="Times New Roman"/>
          <w:color w:val="auto"/>
          <w:highlight w:val="none"/>
          <w:lang w:val="en-US" w:eastAsia="zh-CN"/>
        </w:rPr>
        <w:t>表2中二级标准浓度限值要求，臭气浓度未检出</w:t>
      </w:r>
      <w:r>
        <w:rPr>
          <w:rFonts w:cs="Times New Roman"/>
          <w:color w:val="auto"/>
          <w:highlight w:val="none"/>
        </w:rPr>
        <w:t>。</w:t>
      </w:r>
    </w:p>
    <w:p w14:paraId="292E929F">
      <w:pPr>
        <w:spacing w:line="500" w:lineRule="exact"/>
        <w:ind w:firstLine="482"/>
        <w:rPr>
          <w:rFonts w:cs="Times New Roman"/>
          <w:b/>
          <w:bCs/>
          <w:color w:val="auto"/>
          <w:szCs w:val="24"/>
          <w:highlight w:val="none"/>
        </w:rPr>
      </w:pPr>
      <w:r>
        <w:rPr>
          <w:rFonts w:cs="Times New Roman"/>
          <w:b/>
          <w:bCs/>
          <w:color w:val="auto"/>
          <w:szCs w:val="24"/>
          <w:highlight w:val="none"/>
        </w:rPr>
        <w:t>2、地表水环境质量现状</w:t>
      </w:r>
    </w:p>
    <w:p w14:paraId="60B91191">
      <w:pPr>
        <w:pStyle w:val="117"/>
        <w:spacing w:line="360" w:lineRule="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根据《202</w:t>
      </w:r>
      <w:r>
        <w:rPr>
          <w:rFonts w:hint="eastAsia" w:cs="Times New Roman"/>
          <w:color w:val="auto"/>
          <w:highlight w:val="none"/>
          <w:lang w:val="en-US" w:eastAsia="zh-CN"/>
        </w:rPr>
        <w:t>4</w:t>
      </w:r>
      <w:r>
        <w:rPr>
          <w:rFonts w:hint="eastAsia" w:ascii="Times New Roman" w:hAnsi="Times New Roman" w:eastAsia="宋体" w:cs="Times New Roman"/>
          <w:color w:val="auto"/>
          <w:highlight w:val="none"/>
        </w:rPr>
        <w:t>年黑龙江省生态环境质量状况》中的数据，</w:t>
      </w:r>
      <w:r>
        <w:rPr>
          <w:rFonts w:hint="eastAsia" w:cs="Times New Roman"/>
          <w:color w:val="auto"/>
          <w:highlight w:val="none"/>
          <w:lang w:val="en-US" w:eastAsia="zh-CN"/>
        </w:rPr>
        <w:t>安邦河段本项目位置</w:t>
      </w:r>
      <w:r>
        <w:rPr>
          <w:rFonts w:hint="eastAsia" w:ascii="Times New Roman" w:hAnsi="Times New Roman" w:eastAsia="宋体" w:cs="Times New Roman"/>
          <w:color w:val="auto"/>
          <w:highlight w:val="none"/>
        </w:rPr>
        <w:t>水质满足《地表水环境质量标准》（GB3838-2002）中Ⅲ类标准，可达到水体功能区规划目标。</w:t>
      </w:r>
    </w:p>
    <w:p w14:paraId="77C5355F">
      <w:pPr>
        <w:spacing w:line="500" w:lineRule="exact"/>
        <w:ind w:firstLine="482"/>
        <w:rPr>
          <w:rFonts w:cs="Times New Roman"/>
          <w:b/>
          <w:bCs/>
          <w:snapToGrid w:val="0"/>
          <w:color w:val="auto"/>
          <w:kern w:val="0"/>
          <w:szCs w:val="24"/>
          <w:highlight w:val="none"/>
        </w:rPr>
      </w:pPr>
      <w:r>
        <w:rPr>
          <w:rFonts w:cs="Times New Roman"/>
          <w:b/>
          <w:bCs/>
          <w:color w:val="auto"/>
          <w:szCs w:val="24"/>
          <w:highlight w:val="none"/>
        </w:rPr>
        <w:t>3、地下水环境质量现状</w:t>
      </w:r>
    </w:p>
    <w:p w14:paraId="30D0998C">
      <w:pPr>
        <w:spacing w:line="500" w:lineRule="exact"/>
        <w:rPr>
          <w:rFonts w:cs="Times New Roman"/>
          <w:color w:val="auto"/>
          <w:szCs w:val="24"/>
          <w:highlight w:val="none"/>
        </w:rPr>
      </w:pPr>
      <w:r>
        <w:rPr>
          <w:rFonts w:cs="Times New Roman"/>
          <w:color w:val="auto"/>
          <w:szCs w:val="24"/>
          <w:highlight w:val="none"/>
        </w:rPr>
        <w:t>由检测结果可知，</w:t>
      </w:r>
      <w:r>
        <w:rPr>
          <w:rFonts w:cs="Times New Roman"/>
          <w:color w:val="auto"/>
          <w:highlight w:val="none"/>
        </w:rPr>
        <w:t>项目所在区域地下水监测指标均符合《地下水质量标准》（GB/T14848-2017）中III类水质标准浓度限值要求。</w:t>
      </w:r>
    </w:p>
    <w:p w14:paraId="5AB41A9B">
      <w:pPr>
        <w:spacing w:line="500" w:lineRule="exact"/>
        <w:ind w:firstLine="482"/>
        <w:rPr>
          <w:rFonts w:cs="Times New Roman"/>
          <w:b/>
          <w:bCs/>
          <w:color w:val="auto"/>
          <w:szCs w:val="24"/>
          <w:highlight w:val="none"/>
        </w:rPr>
      </w:pPr>
      <w:r>
        <w:rPr>
          <w:rFonts w:cs="Times New Roman"/>
          <w:b/>
          <w:bCs/>
          <w:color w:val="auto"/>
          <w:szCs w:val="24"/>
          <w:highlight w:val="none"/>
        </w:rPr>
        <w:t>4、声环境质量现状</w:t>
      </w:r>
    </w:p>
    <w:p w14:paraId="076F0475">
      <w:pPr>
        <w:spacing w:line="500" w:lineRule="exact"/>
        <w:rPr>
          <w:rFonts w:cs="Times New Roman"/>
          <w:color w:val="auto"/>
          <w:szCs w:val="24"/>
          <w:highlight w:val="none"/>
        </w:rPr>
      </w:pPr>
      <w:r>
        <w:rPr>
          <w:rFonts w:cs="Times New Roman"/>
          <w:color w:val="auto"/>
          <w:szCs w:val="24"/>
          <w:highlight w:val="none"/>
        </w:rPr>
        <w:t>由检测结果可知，</w:t>
      </w:r>
      <w:r>
        <w:rPr>
          <w:rFonts w:cs="Times New Roman"/>
          <w:bCs/>
          <w:color w:val="auto"/>
          <w:szCs w:val="24"/>
          <w:highlight w:val="none"/>
        </w:rPr>
        <w:t>本项目厂界四周声环境质量均符合</w:t>
      </w:r>
      <w:r>
        <w:rPr>
          <w:rFonts w:cs="Times New Roman"/>
          <w:color w:val="auto"/>
          <w:szCs w:val="24"/>
          <w:highlight w:val="none"/>
        </w:rPr>
        <w:t>《声环境质量标准》（GB3096-2008）中的</w:t>
      </w:r>
      <w:r>
        <w:rPr>
          <w:rFonts w:hint="eastAsia" w:cs="Times New Roman"/>
          <w:color w:val="auto"/>
          <w:szCs w:val="24"/>
          <w:highlight w:val="none"/>
          <w:lang w:val="en-US" w:eastAsia="zh-CN"/>
        </w:rPr>
        <w:t>2</w:t>
      </w:r>
      <w:r>
        <w:rPr>
          <w:rFonts w:cs="Times New Roman"/>
          <w:color w:val="auto"/>
          <w:szCs w:val="24"/>
          <w:highlight w:val="none"/>
        </w:rPr>
        <w:t>类标准限值要求，因此，项目所在区域声环境质量良好。</w:t>
      </w:r>
    </w:p>
    <w:p w14:paraId="64F4786C">
      <w:pPr>
        <w:pStyle w:val="3"/>
        <w:spacing w:before="163" w:after="163"/>
        <w:rPr>
          <w:rFonts w:cs="Times New Roman"/>
          <w:color w:val="auto"/>
          <w:highlight w:val="none"/>
        </w:rPr>
      </w:pPr>
      <w:bookmarkStart w:id="449" w:name="_Toc16427"/>
      <w:bookmarkStart w:id="450" w:name="_Toc61529228"/>
      <w:r>
        <w:rPr>
          <w:rFonts w:cs="Times New Roman"/>
          <w:color w:val="auto"/>
          <w:highlight w:val="none"/>
        </w:rPr>
        <w:t>9.4</w:t>
      </w:r>
      <w:bookmarkStart w:id="451" w:name="_Toc56168653"/>
      <w:r>
        <w:rPr>
          <w:rFonts w:cs="Times New Roman"/>
          <w:color w:val="auto"/>
          <w:highlight w:val="none"/>
        </w:rPr>
        <w:t>环境影响评价结论</w:t>
      </w:r>
      <w:bookmarkEnd w:id="449"/>
      <w:bookmarkEnd w:id="450"/>
      <w:bookmarkEnd w:id="451"/>
    </w:p>
    <w:p w14:paraId="0E447645">
      <w:pPr>
        <w:ind w:firstLine="482"/>
        <w:rPr>
          <w:rFonts w:cs="Times New Roman"/>
          <w:b/>
          <w:bCs/>
          <w:color w:val="auto"/>
          <w:szCs w:val="24"/>
          <w:highlight w:val="none"/>
        </w:rPr>
      </w:pPr>
      <w:r>
        <w:rPr>
          <w:rFonts w:cs="Times New Roman"/>
          <w:b/>
          <w:bCs/>
          <w:color w:val="auto"/>
          <w:szCs w:val="24"/>
          <w:highlight w:val="none"/>
        </w:rPr>
        <w:t>1、大气环境影响评价结论</w:t>
      </w:r>
    </w:p>
    <w:p w14:paraId="02D2DFC8">
      <w:pPr>
        <w:rPr>
          <w:rFonts w:cs="Times New Roman"/>
          <w:snapToGrid w:val="0"/>
          <w:color w:val="auto"/>
          <w:kern w:val="0"/>
          <w:highlight w:val="none"/>
          <w:lang w:val="zh-CN"/>
        </w:rPr>
      </w:pPr>
      <w:r>
        <w:rPr>
          <w:rFonts w:ascii="Times New Roman" w:hAnsi="Times New Roman" w:eastAsia="宋体" w:cs="Times New Roman"/>
          <w:snapToGrid w:val="0"/>
          <w:color w:val="auto"/>
          <w:kern w:val="0"/>
          <w:highlight w:val="none"/>
          <w:lang w:val="zh-CN"/>
        </w:rPr>
        <w:t>本项目运营期产生的废气主要包括</w:t>
      </w:r>
      <w:r>
        <w:rPr>
          <w:rFonts w:hint="eastAsia" w:cs="Times New Roman"/>
          <w:snapToGrid w:val="0"/>
          <w:color w:val="auto"/>
          <w:highlight w:val="none"/>
          <w:lang w:val="zh-CN"/>
        </w:rPr>
        <w:t>待宰圈</w:t>
      </w:r>
      <w:r>
        <w:rPr>
          <w:rFonts w:cs="Times New Roman"/>
          <w:snapToGrid w:val="0"/>
          <w:color w:val="auto"/>
          <w:highlight w:val="none"/>
          <w:lang w:val="zh-CN"/>
        </w:rPr>
        <w:t>、</w:t>
      </w:r>
      <w:r>
        <w:rPr>
          <w:rFonts w:hint="eastAsia" w:cs="Times New Roman"/>
          <w:snapToGrid w:val="0"/>
          <w:color w:val="auto"/>
          <w:highlight w:val="none"/>
          <w:lang w:val="en-US" w:eastAsia="zh-CN"/>
        </w:rPr>
        <w:t>急宰间、</w:t>
      </w:r>
      <w:r>
        <w:rPr>
          <w:rFonts w:cs="Times New Roman"/>
          <w:snapToGrid w:val="0"/>
          <w:color w:val="auto"/>
          <w:highlight w:val="none"/>
          <w:lang w:val="zh-CN"/>
        </w:rPr>
        <w:t>屠宰车间</w:t>
      </w:r>
      <w:r>
        <w:rPr>
          <w:rFonts w:hint="eastAsia" w:cs="Times New Roman"/>
          <w:snapToGrid w:val="0"/>
          <w:color w:val="auto"/>
          <w:highlight w:val="none"/>
          <w:lang w:val="en-US" w:eastAsia="zh-CN"/>
        </w:rPr>
        <w:t>、</w:t>
      </w:r>
      <w:r>
        <w:rPr>
          <w:rFonts w:cs="Times New Roman"/>
          <w:snapToGrid w:val="0"/>
          <w:color w:val="auto"/>
          <w:highlight w:val="none"/>
          <w:lang w:val="zh-CN"/>
        </w:rPr>
        <w:t>污水处理站</w:t>
      </w:r>
      <w:r>
        <w:rPr>
          <w:rFonts w:cs="Times New Roman"/>
          <w:color w:val="auto"/>
          <w:spacing w:val="12"/>
          <w:szCs w:val="24"/>
          <w:highlight w:val="none"/>
        </w:rPr>
        <w:t>、隔离</w:t>
      </w:r>
      <w:r>
        <w:rPr>
          <w:rFonts w:hint="eastAsia" w:cs="Times New Roman"/>
          <w:color w:val="auto"/>
          <w:spacing w:val="12"/>
          <w:szCs w:val="24"/>
          <w:highlight w:val="none"/>
          <w:lang w:val="en-US" w:eastAsia="zh-CN"/>
        </w:rPr>
        <w:t>间</w:t>
      </w:r>
      <w:r>
        <w:rPr>
          <w:rFonts w:cs="Times New Roman"/>
          <w:color w:val="auto"/>
          <w:spacing w:val="12"/>
          <w:szCs w:val="24"/>
          <w:highlight w:val="none"/>
        </w:rPr>
        <w:t>及</w:t>
      </w:r>
      <w:r>
        <w:rPr>
          <w:rFonts w:hint="eastAsia" w:cs="Times New Roman"/>
          <w:color w:val="auto"/>
          <w:spacing w:val="12"/>
          <w:szCs w:val="24"/>
          <w:highlight w:val="none"/>
          <w:lang w:val="en-US" w:eastAsia="zh-CN"/>
        </w:rPr>
        <w:t>固体废物</w:t>
      </w:r>
      <w:r>
        <w:rPr>
          <w:rFonts w:cs="Times New Roman"/>
          <w:snapToGrid w:val="0"/>
          <w:color w:val="auto"/>
          <w:highlight w:val="none"/>
        </w:rPr>
        <w:t>暂存间</w:t>
      </w:r>
      <w:r>
        <w:rPr>
          <w:rFonts w:cs="Times New Roman"/>
          <w:snapToGrid w:val="0"/>
          <w:color w:val="auto"/>
          <w:highlight w:val="none"/>
          <w:lang w:val="zh-CN"/>
        </w:rPr>
        <w:t>产生的恶臭废气</w:t>
      </w:r>
      <w:r>
        <w:rPr>
          <w:rFonts w:ascii="Times New Roman" w:hAnsi="Times New Roman" w:eastAsia="宋体" w:cs="Times New Roman"/>
          <w:snapToGrid w:val="0"/>
          <w:color w:val="auto"/>
          <w:kern w:val="0"/>
          <w:highlight w:val="none"/>
          <w:lang w:val="zh-CN"/>
        </w:rPr>
        <w:t>。</w:t>
      </w:r>
    </w:p>
    <w:p w14:paraId="6E8B7F89">
      <w:pPr>
        <w:pStyle w:val="117"/>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ascii="Times New Roman" w:hAnsi="Times New Roman" w:eastAsia="宋体" w:cs="Times New Roman"/>
          <w:snapToGrid w:val="0"/>
          <w:color w:val="auto"/>
          <w:kern w:val="0"/>
          <w:highlight w:val="none"/>
          <w:lang w:val="zh-CN"/>
        </w:rPr>
      </w:pPr>
      <w:r>
        <w:rPr>
          <w:rFonts w:hint="eastAsia" w:cs="Times New Roman"/>
          <w:color w:val="auto"/>
          <w:highlight w:val="none"/>
          <w:lang w:val="en-US" w:eastAsia="zh-CN"/>
        </w:rPr>
        <w:t>急宰间、隔离间及固体废物暂存间</w:t>
      </w:r>
      <w:r>
        <w:rPr>
          <w:rFonts w:ascii="Times New Roman" w:hAnsi="Times New Roman" w:eastAsia="宋体" w:cs="Times New Roman"/>
          <w:snapToGrid w:val="0"/>
          <w:color w:val="auto"/>
          <w:kern w:val="0"/>
          <w:highlight w:val="none"/>
          <w:lang w:val="zh-CN"/>
        </w:rPr>
        <w:t>产生的恶臭</w:t>
      </w:r>
      <w:r>
        <w:rPr>
          <w:rFonts w:hint="eastAsia" w:cs="Times New Roman"/>
          <w:snapToGrid w:val="0"/>
          <w:color w:val="auto"/>
          <w:kern w:val="0"/>
          <w:highlight w:val="none"/>
          <w:lang w:val="zh-CN"/>
        </w:rPr>
        <w:t>采用微负压集中收集后</w:t>
      </w:r>
      <w:r>
        <w:rPr>
          <w:rFonts w:ascii="Times New Roman" w:hAnsi="Times New Roman" w:eastAsia="宋体" w:cs="Times New Roman"/>
          <w:snapToGrid w:val="0"/>
          <w:color w:val="auto"/>
          <w:kern w:val="0"/>
          <w:highlight w:val="none"/>
          <w:lang w:val="zh-CN"/>
        </w:rPr>
        <w:t>（收集率约90%左右），通过活性炭净化装置（</w:t>
      </w:r>
      <w:r>
        <w:rPr>
          <w:rFonts w:hint="eastAsia" w:cs="Times New Roman"/>
          <w:snapToGrid w:val="0"/>
          <w:color w:val="auto"/>
          <w:kern w:val="0"/>
          <w:highlight w:val="none"/>
          <w:lang w:val="zh-CN"/>
        </w:rPr>
        <w:t>净化效率80%</w:t>
      </w:r>
      <w:r>
        <w:rPr>
          <w:rFonts w:ascii="Times New Roman" w:hAnsi="Times New Roman" w:eastAsia="宋体" w:cs="Times New Roman"/>
          <w:snapToGrid w:val="0"/>
          <w:color w:val="auto"/>
          <w:kern w:val="0"/>
          <w:highlight w:val="none"/>
          <w:lang w:val="zh-CN"/>
        </w:rPr>
        <w:t>）处理，处理后经15m高的排气筒DA00</w:t>
      </w:r>
      <w:r>
        <w:rPr>
          <w:rFonts w:hint="eastAsia" w:ascii="Times New Roman" w:hAnsi="Times New Roman" w:eastAsia="宋体" w:cs="Times New Roman"/>
          <w:snapToGrid w:val="0"/>
          <w:color w:val="auto"/>
          <w:kern w:val="0"/>
          <w:highlight w:val="none"/>
          <w:lang w:val="zh-CN"/>
        </w:rPr>
        <w:t>1</w:t>
      </w:r>
      <w:r>
        <w:rPr>
          <w:rFonts w:ascii="Times New Roman" w:hAnsi="Times New Roman" w:eastAsia="宋体" w:cs="Times New Roman"/>
          <w:snapToGrid w:val="0"/>
          <w:color w:val="auto"/>
          <w:kern w:val="0"/>
          <w:highlight w:val="none"/>
          <w:lang w:val="zh-CN"/>
        </w:rPr>
        <w:t>排放，排放速率及浓度均可满足《恶臭污染物排放标准》（GB14554-93）表2中排放标准限值。</w:t>
      </w:r>
    </w:p>
    <w:p w14:paraId="2FC4371D">
      <w:pPr>
        <w:pStyle w:val="117"/>
        <w:pageBreakBefore w:val="0"/>
        <w:widowControl w:val="0"/>
        <w:kinsoku/>
        <w:wordWrap/>
        <w:overflowPunct/>
        <w:topLinePunct w:val="0"/>
        <w:autoSpaceDE/>
        <w:autoSpaceDN/>
        <w:bidi w:val="0"/>
        <w:adjustRightInd w:val="0"/>
        <w:snapToGrid w:val="0"/>
        <w:spacing w:line="500" w:lineRule="exact"/>
        <w:textAlignment w:val="auto"/>
        <w:rPr>
          <w:color w:val="auto"/>
          <w:highlight w:val="none"/>
          <w:lang w:val="zh-CN"/>
        </w:rPr>
      </w:pPr>
      <w:r>
        <w:rPr>
          <w:rFonts w:cs="Times New Roman"/>
          <w:snapToGrid w:val="0"/>
          <w:color w:val="auto"/>
          <w:highlight w:val="none"/>
        </w:rPr>
        <w:t>屠宰车间产生的恶臭</w:t>
      </w:r>
      <w:r>
        <w:rPr>
          <w:rFonts w:hint="eastAsia" w:cs="Times New Roman"/>
          <w:snapToGrid w:val="0"/>
          <w:color w:val="auto"/>
          <w:highlight w:val="none"/>
          <w:lang w:eastAsia="zh-CN"/>
        </w:rPr>
        <w:t>采用微负压集中收集后</w:t>
      </w:r>
      <w:r>
        <w:rPr>
          <w:rFonts w:cs="Times New Roman"/>
          <w:color w:val="auto"/>
          <w:highlight w:val="none"/>
        </w:rPr>
        <w:t>（收集率约90%左右）</w:t>
      </w:r>
      <w:r>
        <w:rPr>
          <w:rFonts w:cs="Times New Roman"/>
          <w:snapToGrid w:val="0"/>
          <w:color w:val="auto"/>
          <w:highlight w:val="none"/>
        </w:rPr>
        <w:t>，通过活性炭净化装置</w:t>
      </w:r>
      <w:r>
        <w:rPr>
          <w:rFonts w:cs="Times New Roman"/>
          <w:color w:val="auto"/>
          <w:highlight w:val="none"/>
        </w:rPr>
        <w:t>（</w:t>
      </w:r>
      <w:r>
        <w:rPr>
          <w:rFonts w:hint="eastAsia" w:cs="Times New Roman"/>
          <w:color w:val="auto"/>
          <w:highlight w:val="none"/>
          <w:lang w:eastAsia="zh-CN"/>
        </w:rPr>
        <w:t>净化效率80%</w:t>
      </w:r>
      <w:r>
        <w:rPr>
          <w:rFonts w:cs="Times New Roman"/>
          <w:color w:val="auto"/>
          <w:highlight w:val="none"/>
        </w:rPr>
        <w:t>）</w:t>
      </w:r>
      <w:r>
        <w:rPr>
          <w:rFonts w:cs="Times New Roman"/>
          <w:snapToGrid w:val="0"/>
          <w:color w:val="auto"/>
          <w:highlight w:val="none"/>
        </w:rPr>
        <w:t>处理，处理后经15m高的排气筒DA00</w:t>
      </w:r>
      <w:r>
        <w:rPr>
          <w:rFonts w:hint="eastAsia" w:cs="Times New Roman"/>
          <w:snapToGrid w:val="0"/>
          <w:color w:val="auto"/>
          <w:highlight w:val="none"/>
          <w:lang w:val="en-US" w:eastAsia="zh-CN"/>
        </w:rPr>
        <w:t>1</w:t>
      </w:r>
      <w:r>
        <w:rPr>
          <w:rFonts w:cs="Times New Roman"/>
          <w:snapToGrid w:val="0"/>
          <w:color w:val="auto"/>
          <w:highlight w:val="none"/>
        </w:rPr>
        <w:t>排放，排放速率及浓度均可满足《恶臭污染物排放标准》（GB14554-93）表2中排放标准限值</w:t>
      </w:r>
      <w:r>
        <w:rPr>
          <w:rFonts w:hint="eastAsia" w:cs="Times New Roman"/>
          <w:snapToGrid w:val="0"/>
          <w:color w:val="auto"/>
          <w:highlight w:val="none"/>
        </w:rPr>
        <w:t>。</w:t>
      </w:r>
    </w:p>
    <w:p w14:paraId="6E3247BD">
      <w:pPr>
        <w:widowControl/>
        <w:rPr>
          <w:rFonts w:cs="Times New Roman"/>
          <w:color w:val="auto"/>
          <w:szCs w:val="24"/>
          <w:highlight w:val="none"/>
        </w:rPr>
      </w:pPr>
      <w:r>
        <w:rPr>
          <w:rFonts w:cs="Times New Roman"/>
          <w:snapToGrid w:val="0"/>
          <w:color w:val="auto"/>
          <w:highlight w:val="none"/>
        </w:rPr>
        <w:t>污水处理站产生的恶臭</w:t>
      </w:r>
      <w:r>
        <w:rPr>
          <w:rFonts w:hint="eastAsia" w:cs="Times New Roman"/>
          <w:snapToGrid w:val="0"/>
          <w:color w:val="auto"/>
          <w:highlight w:val="none"/>
          <w:lang w:eastAsia="zh-CN"/>
        </w:rPr>
        <w:t>采用微负压集中收集后</w:t>
      </w:r>
      <w:r>
        <w:rPr>
          <w:rFonts w:cs="Times New Roman"/>
          <w:color w:val="auto"/>
          <w:highlight w:val="none"/>
        </w:rPr>
        <w:t>（收集率约90%左右）</w:t>
      </w:r>
      <w:r>
        <w:rPr>
          <w:rFonts w:cs="Times New Roman"/>
          <w:snapToGrid w:val="0"/>
          <w:color w:val="auto"/>
          <w:highlight w:val="none"/>
        </w:rPr>
        <w:t>，通过活性炭净化装置</w:t>
      </w:r>
      <w:r>
        <w:rPr>
          <w:rFonts w:cs="Times New Roman"/>
          <w:color w:val="auto"/>
          <w:highlight w:val="none"/>
        </w:rPr>
        <w:t>（</w:t>
      </w:r>
      <w:r>
        <w:rPr>
          <w:rFonts w:hint="eastAsia" w:cs="Times New Roman"/>
          <w:color w:val="auto"/>
          <w:highlight w:val="none"/>
          <w:lang w:eastAsia="zh-CN"/>
        </w:rPr>
        <w:t>净化效率80%</w:t>
      </w:r>
      <w:r>
        <w:rPr>
          <w:rFonts w:cs="Times New Roman"/>
          <w:color w:val="auto"/>
          <w:highlight w:val="none"/>
        </w:rPr>
        <w:t>）</w:t>
      </w:r>
      <w:r>
        <w:rPr>
          <w:rFonts w:cs="Times New Roman"/>
          <w:snapToGrid w:val="0"/>
          <w:color w:val="auto"/>
          <w:highlight w:val="none"/>
        </w:rPr>
        <w:t>处理，处理后经15m高的排气筒DA00</w:t>
      </w:r>
      <w:r>
        <w:rPr>
          <w:rFonts w:hint="eastAsia" w:cs="Times New Roman"/>
          <w:snapToGrid w:val="0"/>
          <w:color w:val="auto"/>
          <w:highlight w:val="none"/>
          <w:lang w:val="en-US" w:eastAsia="zh-CN"/>
        </w:rPr>
        <w:t>2</w:t>
      </w:r>
      <w:r>
        <w:rPr>
          <w:rFonts w:cs="Times New Roman"/>
          <w:snapToGrid w:val="0"/>
          <w:color w:val="auto"/>
          <w:highlight w:val="none"/>
        </w:rPr>
        <w:t>排放，排放速率及浓度均可满足《恶臭污染物排放标准》（GB14554-93）表2中排放标准限值。</w:t>
      </w:r>
    </w:p>
    <w:p w14:paraId="6F611E00">
      <w:pPr>
        <w:rPr>
          <w:rFonts w:cs="Times New Roman"/>
          <w:color w:val="auto"/>
          <w:szCs w:val="24"/>
          <w:highlight w:val="none"/>
        </w:rPr>
      </w:pPr>
      <w:r>
        <w:rPr>
          <w:rFonts w:hint="eastAsia" w:cs="Times New Roman"/>
          <w:snapToGrid w:val="0"/>
          <w:color w:val="auto"/>
          <w:highlight w:val="none"/>
          <w:lang w:val="zh-CN"/>
        </w:rPr>
        <w:t>待宰圈</w:t>
      </w:r>
      <w:r>
        <w:rPr>
          <w:rFonts w:cs="Times New Roman"/>
          <w:snapToGrid w:val="0"/>
          <w:color w:val="auto"/>
          <w:highlight w:val="none"/>
          <w:lang w:val="zh-CN"/>
        </w:rPr>
        <w:t>设置专人管理，及时清理地面上的粪便及尿液，</w:t>
      </w:r>
      <w:r>
        <w:rPr>
          <w:rFonts w:hint="eastAsia" w:cs="Times New Roman"/>
          <w:snapToGrid w:val="0"/>
          <w:color w:val="auto"/>
          <w:highlight w:val="none"/>
          <w:lang w:val="zh-CN"/>
        </w:rPr>
        <w:t>定期冲洗待地面</w:t>
      </w:r>
      <w:r>
        <w:rPr>
          <w:rFonts w:cs="Times New Roman"/>
          <w:snapToGrid w:val="0"/>
          <w:color w:val="auto"/>
          <w:highlight w:val="none"/>
          <w:lang w:val="zh-CN"/>
        </w:rPr>
        <w:t>，同时定期喷洒除臭剂，减少恶臭源的散发；</w:t>
      </w:r>
      <w:r>
        <w:rPr>
          <w:rFonts w:cs="Times New Roman"/>
          <w:color w:val="auto"/>
          <w:highlight w:val="none"/>
        </w:rPr>
        <w:t>屠宰车间及时清洗清运，定期喷洒除臭剂</w:t>
      </w:r>
      <w:r>
        <w:rPr>
          <w:rFonts w:cs="Times New Roman"/>
          <w:snapToGrid w:val="0"/>
          <w:color w:val="auto"/>
          <w:highlight w:val="none"/>
          <w:lang w:val="zh-CN"/>
        </w:rPr>
        <w:t>；对于污水处理站产生恶臭区域加盖、喷洒除臭剂，来降低污水处理站恶臭对厂区内外的影响；</w:t>
      </w:r>
      <w:r>
        <w:rPr>
          <w:rFonts w:cs="Times New Roman"/>
          <w:snapToGrid w:val="0"/>
          <w:color w:val="auto"/>
          <w:highlight w:val="none"/>
        </w:rPr>
        <w:t>固废暂存间内废物暂存于加盖的储池内，正常情况下为密封，仅输送生产废物时，将抽送泵与储存池连接，将储存池内废物输送至运输车上，</w:t>
      </w:r>
      <w:r>
        <w:rPr>
          <w:rFonts w:hint="eastAsia" w:cs="Times New Roman"/>
          <w:snapToGrid w:val="0"/>
          <w:color w:val="auto"/>
          <w:highlight w:val="none"/>
          <w:lang w:val="en-US" w:eastAsia="zh-CN"/>
        </w:rPr>
        <w:t>并定期喷洒除臭剂，</w:t>
      </w:r>
      <w:r>
        <w:rPr>
          <w:rFonts w:hint="eastAsia" w:cs="Times New Roman"/>
          <w:snapToGrid w:val="0"/>
          <w:color w:val="auto"/>
          <w:highlight w:val="none"/>
          <w:lang w:val="en-US"/>
        </w:rPr>
        <w:t>减少恶臭的释放</w:t>
      </w:r>
      <w:r>
        <w:rPr>
          <w:rFonts w:cs="Times New Roman"/>
          <w:snapToGrid w:val="0"/>
          <w:color w:val="auto"/>
          <w:highlight w:val="none"/>
          <w:lang w:val="zh-CN"/>
        </w:rPr>
        <w:t>。</w:t>
      </w:r>
      <w:r>
        <w:rPr>
          <w:rFonts w:cs="Times New Roman"/>
          <w:color w:val="auto"/>
          <w:highlight w:val="none"/>
        </w:rPr>
        <w:t>采取以上措施后</w:t>
      </w:r>
      <w:r>
        <w:rPr>
          <w:rFonts w:hint="eastAsia" w:cs="Times New Roman"/>
          <w:color w:val="auto"/>
          <w:highlight w:val="none"/>
          <w:lang w:eastAsia="zh-CN"/>
        </w:rPr>
        <w:t>，</w:t>
      </w:r>
      <w:r>
        <w:rPr>
          <w:rFonts w:hint="eastAsia" w:cs="Times New Roman"/>
          <w:color w:val="auto"/>
          <w:highlight w:val="none"/>
          <w:lang w:val="en-US" w:eastAsia="zh-CN"/>
        </w:rPr>
        <w:t>厂界</w:t>
      </w:r>
      <w:r>
        <w:rPr>
          <w:rFonts w:cs="Times New Roman"/>
          <w:color w:val="auto"/>
          <w:highlight w:val="none"/>
        </w:rPr>
        <w:t>可满足《恶臭污染物排放标准》（GB14554-93）表1中二级标准要求。</w:t>
      </w:r>
      <w:r>
        <w:rPr>
          <w:rFonts w:cs="Times New Roman"/>
          <w:color w:val="auto"/>
          <w:spacing w:val="-3"/>
          <w:szCs w:val="24"/>
          <w:highlight w:val="none"/>
        </w:rPr>
        <w:t>对周围大气环境影响较小。</w:t>
      </w:r>
    </w:p>
    <w:p w14:paraId="51ECB1BF">
      <w:pPr>
        <w:ind w:firstLine="482"/>
        <w:rPr>
          <w:rFonts w:cs="Times New Roman"/>
          <w:b/>
          <w:bCs/>
          <w:color w:val="auto"/>
          <w:szCs w:val="24"/>
          <w:highlight w:val="none"/>
        </w:rPr>
      </w:pPr>
      <w:r>
        <w:rPr>
          <w:rFonts w:cs="Times New Roman"/>
          <w:b/>
          <w:bCs/>
          <w:color w:val="auto"/>
          <w:szCs w:val="24"/>
          <w:highlight w:val="none"/>
        </w:rPr>
        <w:t>2、地表水环境影响评价结论</w:t>
      </w:r>
    </w:p>
    <w:p w14:paraId="0474F8A4">
      <w:pPr>
        <w:rPr>
          <w:rFonts w:cs="Times New Roman"/>
          <w:snapToGrid w:val="0"/>
          <w:color w:val="auto"/>
          <w:highlight w:val="none"/>
        </w:rPr>
      </w:pPr>
      <w:r>
        <w:rPr>
          <w:rFonts w:cs="Times New Roman"/>
          <w:color w:val="auto"/>
          <w:highlight w:val="none"/>
        </w:rPr>
        <w:t>本项目运营期产生的废水包括生产废水和生活污水。</w:t>
      </w:r>
      <w:r>
        <w:rPr>
          <w:rFonts w:cs="Times New Roman"/>
          <w:snapToGrid w:val="0"/>
          <w:color w:val="auto"/>
          <w:highlight w:val="none"/>
          <w:lang w:val="zh-CN"/>
        </w:rPr>
        <w:t>其中，生产废水</w:t>
      </w:r>
      <w:r>
        <w:rPr>
          <w:rFonts w:hint="eastAsia" w:cs="Times New Roman"/>
          <w:snapToGrid w:val="0"/>
          <w:color w:val="auto"/>
          <w:highlight w:val="none"/>
          <w:lang w:val="zh-CN"/>
        </w:rPr>
        <w:t>包括</w:t>
      </w:r>
      <w:r>
        <w:rPr>
          <w:rFonts w:cs="Times New Roman"/>
          <w:snapToGrid w:val="0"/>
          <w:color w:val="auto"/>
          <w:highlight w:val="none"/>
          <w:lang w:val="zh-CN"/>
        </w:rPr>
        <w:t>屠宰废水</w:t>
      </w:r>
      <w:r>
        <w:rPr>
          <w:rFonts w:hint="eastAsia" w:cs="Times New Roman"/>
          <w:snapToGrid w:val="0"/>
          <w:color w:val="auto"/>
          <w:highlight w:val="none"/>
          <w:lang w:val="en-US" w:eastAsia="zh-CN"/>
        </w:rPr>
        <w:t>车辆冲洗水及冷库排酸废水</w:t>
      </w:r>
      <w:r>
        <w:rPr>
          <w:rFonts w:cs="Times New Roman"/>
          <w:snapToGrid w:val="0"/>
          <w:color w:val="auto"/>
          <w:highlight w:val="none"/>
          <w:lang w:val="zh-CN"/>
        </w:rPr>
        <w:t>，</w:t>
      </w:r>
      <w:r>
        <w:rPr>
          <w:rFonts w:cs="Times New Roman"/>
          <w:color w:val="auto"/>
          <w:highlight w:val="none"/>
        </w:rPr>
        <w:t>生活污水为</w:t>
      </w:r>
      <w:r>
        <w:rPr>
          <w:rFonts w:cs="Times New Roman"/>
          <w:bCs/>
          <w:color w:val="auto"/>
          <w:szCs w:val="24"/>
          <w:highlight w:val="none"/>
        </w:rPr>
        <w:t>员工日常生活污水。屠宰废水经厂区自建的污水处理站进行处理，污水处理站采用“</w:t>
      </w:r>
      <w:r>
        <w:rPr>
          <w:rFonts w:hint="eastAsia" w:cs="Times New Roman"/>
          <w:bCs/>
          <w:color w:val="auto"/>
          <w:szCs w:val="24"/>
          <w:highlight w:val="none"/>
          <w:lang w:eastAsia="zh-CN"/>
        </w:rPr>
        <w:t>格栅+</w:t>
      </w:r>
      <w:r>
        <w:rPr>
          <w:rFonts w:hint="eastAsia" w:cs="Times New Roman"/>
          <w:bCs/>
          <w:color w:val="auto"/>
          <w:szCs w:val="24"/>
          <w:highlight w:val="none"/>
          <w:lang w:val="en-US" w:eastAsia="zh-CN"/>
        </w:rPr>
        <w:t>隔油池+调节池</w:t>
      </w:r>
      <w:r>
        <w:rPr>
          <w:rFonts w:hint="eastAsia" w:cs="Times New Roman"/>
          <w:bCs/>
          <w:color w:val="auto"/>
          <w:szCs w:val="24"/>
          <w:highlight w:val="none"/>
          <w:lang w:eastAsia="zh-CN"/>
        </w:rPr>
        <w:t>+气浮+水解酸化+</w:t>
      </w:r>
      <w:r>
        <w:rPr>
          <w:rFonts w:hint="eastAsia" w:cs="Times New Roman"/>
          <w:bCs/>
          <w:color w:val="auto"/>
          <w:szCs w:val="24"/>
          <w:highlight w:val="none"/>
          <w:lang w:val="en-US" w:eastAsia="zh-CN"/>
        </w:rPr>
        <w:t>反硝化缺氧+好氧</w:t>
      </w:r>
      <w:r>
        <w:rPr>
          <w:rFonts w:hint="eastAsia" w:cs="Times New Roman"/>
          <w:bCs/>
          <w:color w:val="auto"/>
          <w:szCs w:val="24"/>
          <w:highlight w:val="none"/>
          <w:lang w:eastAsia="zh-CN"/>
        </w:rPr>
        <w:t>+沉淀+消毒（</w:t>
      </w:r>
      <w:r>
        <w:rPr>
          <w:rFonts w:hint="eastAsia" w:cs="Times New Roman"/>
          <w:bCs/>
          <w:color w:val="auto"/>
          <w:szCs w:val="24"/>
          <w:highlight w:val="none"/>
          <w:lang w:val="en-US" w:eastAsia="zh-CN"/>
        </w:rPr>
        <w:t>次氯酸钠）</w:t>
      </w:r>
      <w:r>
        <w:rPr>
          <w:rFonts w:cs="Times New Roman"/>
          <w:bCs/>
          <w:color w:val="auto"/>
          <w:szCs w:val="24"/>
          <w:highlight w:val="none"/>
        </w:rPr>
        <w:t>”工艺，处理后满足《肉类加工工业水污染物排放标准》（GB13457-92）表3标准限值及</w:t>
      </w:r>
      <w:r>
        <w:rPr>
          <w:rFonts w:hint="eastAsia" w:cs="Times New Roman"/>
          <w:bCs/>
          <w:color w:val="auto"/>
          <w:szCs w:val="24"/>
          <w:highlight w:val="none"/>
          <w:lang w:eastAsia="zh-CN"/>
        </w:rPr>
        <w:t>双鸭山市畅源排水有限公司</w:t>
      </w:r>
      <w:r>
        <w:rPr>
          <w:rFonts w:cs="Times New Roman"/>
          <w:bCs/>
          <w:color w:val="auto"/>
          <w:szCs w:val="24"/>
          <w:highlight w:val="none"/>
        </w:rPr>
        <w:t>进水水质要求后，</w:t>
      </w:r>
      <w:r>
        <w:rPr>
          <w:rFonts w:cs="Times New Roman"/>
          <w:snapToGrid w:val="0"/>
          <w:color w:val="auto"/>
          <w:highlight w:val="none"/>
        </w:rPr>
        <w:t>同生活污水</w:t>
      </w:r>
      <w:r>
        <w:rPr>
          <w:rFonts w:cs="Times New Roman"/>
          <w:snapToGrid w:val="0"/>
          <w:color w:val="auto"/>
          <w:highlight w:val="none"/>
          <w:lang w:val="en-GB"/>
        </w:rPr>
        <w:t>经污水管网排入</w:t>
      </w:r>
      <w:r>
        <w:rPr>
          <w:rFonts w:hint="eastAsia" w:cs="Times New Roman"/>
          <w:snapToGrid w:val="0"/>
          <w:color w:val="auto"/>
          <w:highlight w:val="none"/>
          <w:lang w:eastAsia="zh-CN"/>
        </w:rPr>
        <w:t>双鸭山市畅源排水有限公司</w:t>
      </w:r>
      <w:r>
        <w:rPr>
          <w:rFonts w:cs="Times New Roman"/>
          <w:snapToGrid w:val="0"/>
          <w:color w:val="auto"/>
          <w:highlight w:val="none"/>
        </w:rPr>
        <w:t>处理，处理</w:t>
      </w:r>
      <w:r>
        <w:rPr>
          <w:rFonts w:cs="Times New Roman"/>
          <w:snapToGrid w:val="0"/>
          <w:color w:val="auto"/>
          <w:highlight w:val="none"/>
          <w:lang w:val="en-GB"/>
        </w:rPr>
        <w:t>达标后排入</w:t>
      </w:r>
      <w:r>
        <w:rPr>
          <w:rFonts w:hint="eastAsia" w:cs="Times New Roman"/>
          <w:snapToGrid w:val="0"/>
          <w:color w:val="auto"/>
          <w:highlight w:val="none"/>
          <w:lang w:val="en-GB" w:eastAsia="zh-CN"/>
        </w:rPr>
        <w:t>安邦河</w:t>
      </w:r>
      <w:r>
        <w:rPr>
          <w:rFonts w:cs="Times New Roman"/>
          <w:snapToGrid w:val="0"/>
          <w:color w:val="auto"/>
          <w:highlight w:val="none"/>
          <w:lang w:val="en-GB"/>
        </w:rPr>
        <w:t>。</w:t>
      </w:r>
    </w:p>
    <w:p w14:paraId="65137EA4">
      <w:pPr>
        <w:ind w:firstLine="482"/>
        <w:rPr>
          <w:rFonts w:cs="Times New Roman"/>
          <w:b/>
          <w:bCs/>
          <w:color w:val="auto"/>
          <w:szCs w:val="24"/>
          <w:highlight w:val="none"/>
        </w:rPr>
      </w:pPr>
      <w:r>
        <w:rPr>
          <w:rFonts w:cs="Times New Roman"/>
          <w:b/>
          <w:bCs/>
          <w:color w:val="auto"/>
          <w:szCs w:val="24"/>
          <w:highlight w:val="none"/>
        </w:rPr>
        <w:t>2、地下水环境影响评价结论</w:t>
      </w:r>
    </w:p>
    <w:p w14:paraId="74B57646">
      <w:pPr>
        <w:widowControl/>
        <w:jc w:val="left"/>
        <w:rPr>
          <w:rFonts w:cs="Times New Roman"/>
          <w:color w:val="auto"/>
          <w:highlight w:val="none"/>
        </w:rPr>
      </w:pPr>
      <w:r>
        <w:rPr>
          <w:rFonts w:cs="Times New Roman"/>
          <w:color w:val="auto"/>
          <w:szCs w:val="24"/>
          <w:highlight w:val="none"/>
        </w:rPr>
        <w:t>项目在工程上采取分区防渗措施，在正常工况下，一般不会发生废水的泄漏，不会对地下水环境造成污染影响。在事故工况下，调节池破损泄漏未能及时采取措施，则会对场地局部区域的地下水含水层造成污染影响。通过预测分析可知，区域地下水流动比较缓慢，如污染物渗入地下水，污染物随地下水迁移速度较慢，本项目发生持续泄漏的情况下，100天时，COD预测超标距离为17m，影响距离为</w:t>
      </w:r>
      <w:r>
        <w:rPr>
          <w:rFonts w:hint="eastAsia" w:cs="Times New Roman"/>
          <w:color w:val="auto"/>
          <w:szCs w:val="24"/>
          <w:highlight w:val="none"/>
          <w:lang w:val="en-US" w:eastAsia="zh-CN"/>
        </w:rPr>
        <w:t>21</w:t>
      </w:r>
      <w:r>
        <w:rPr>
          <w:rFonts w:cs="Times New Roman"/>
          <w:color w:val="auto"/>
          <w:szCs w:val="24"/>
          <w:highlight w:val="none"/>
        </w:rPr>
        <w:t>m；氨氮预测超标距离为</w:t>
      </w:r>
      <w:r>
        <w:rPr>
          <w:rFonts w:hint="eastAsia" w:cs="Times New Roman"/>
          <w:color w:val="auto"/>
          <w:szCs w:val="24"/>
          <w:highlight w:val="none"/>
          <w:lang w:val="en-US" w:eastAsia="zh-CN"/>
        </w:rPr>
        <w:t>15</w:t>
      </w:r>
      <w:r>
        <w:rPr>
          <w:rFonts w:cs="Times New Roman"/>
          <w:color w:val="auto"/>
          <w:szCs w:val="24"/>
          <w:highlight w:val="none"/>
        </w:rPr>
        <w:t>m，影响距离为</w:t>
      </w:r>
      <w:r>
        <w:rPr>
          <w:rFonts w:hint="eastAsia" w:cs="Times New Roman"/>
          <w:color w:val="auto"/>
          <w:szCs w:val="24"/>
          <w:highlight w:val="none"/>
          <w:lang w:val="en-US" w:eastAsia="zh-CN"/>
        </w:rPr>
        <w:t>17</w:t>
      </w:r>
      <w:r>
        <w:rPr>
          <w:rFonts w:cs="Times New Roman"/>
          <w:color w:val="auto"/>
          <w:szCs w:val="24"/>
          <w:highlight w:val="none"/>
        </w:rPr>
        <w:t>m；1000天时，COD预测超标距离为</w:t>
      </w:r>
      <w:r>
        <w:rPr>
          <w:rFonts w:hint="eastAsia" w:cs="Times New Roman"/>
          <w:color w:val="auto"/>
          <w:szCs w:val="24"/>
          <w:highlight w:val="none"/>
          <w:lang w:val="en-US" w:eastAsia="zh-CN"/>
        </w:rPr>
        <w:t>79</w:t>
      </w:r>
      <w:r>
        <w:rPr>
          <w:rFonts w:cs="Times New Roman"/>
          <w:color w:val="auto"/>
          <w:szCs w:val="24"/>
          <w:highlight w:val="none"/>
        </w:rPr>
        <w:t>m，影响距离为</w:t>
      </w:r>
      <w:r>
        <w:rPr>
          <w:rFonts w:hint="eastAsia" w:cs="Times New Roman"/>
          <w:color w:val="auto"/>
          <w:szCs w:val="24"/>
          <w:highlight w:val="none"/>
          <w:lang w:val="en-US" w:eastAsia="zh-CN"/>
        </w:rPr>
        <w:t>91</w:t>
      </w:r>
      <w:r>
        <w:rPr>
          <w:rFonts w:cs="Times New Roman"/>
          <w:color w:val="auto"/>
          <w:szCs w:val="24"/>
          <w:highlight w:val="none"/>
        </w:rPr>
        <w:t>m；氨氮预测超标距离为</w:t>
      </w:r>
      <w:r>
        <w:rPr>
          <w:rFonts w:hint="eastAsia" w:cs="Times New Roman"/>
          <w:color w:val="auto"/>
          <w:szCs w:val="24"/>
          <w:highlight w:val="none"/>
          <w:lang w:val="en-US" w:eastAsia="zh-CN"/>
        </w:rPr>
        <w:t>72</w:t>
      </w:r>
      <w:r>
        <w:rPr>
          <w:rFonts w:cs="Times New Roman"/>
          <w:color w:val="auto"/>
          <w:szCs w:val="24"/>
          <w:highlight w:val="none"/>
        </w:rPr>
        <w:t>m，影响距离为</w:t>
      </w:r>
      <w:r>
        <w:rPr>
          <w:rFonts w:hint="eastAsia" w:cs="Times New Roman"/>
          <w:color w:val="auto"/>
          <w:szCs w:val="24"/>
          <w:highlight w:val="none"/>
          <w:lang w:val="en-US" w:eastAsia="zh-CN"/>
        </w:rPr>
        <w:t>79</w:t>
      </w:r>
      <w:r>
        <w:rPr>
          <w:rFonts w:cs="Times New Roman"/>
          <w:color w:val="auto"/>
          <w:szCs w:val="24"/>
          <w:highlight w:val="none"/>
        </w:rPr>
        <w:t>m，地下水超标范围内无地下水敏感目标，因此项目建设对区域地下水环境影响较小。</w:t>
      </w:r>
    </w:p>
    <w:p w14:paraId="0AD8412C">
      <w:pPr>
        <w:ind w:firstLine="482"/>
        <w:rPr>
          <w:rFonts w:cs="Times New Roman"/>
          <w:b/>
          <w:bCs/>
          <w:color w:val="auto"/>
          <w:szCs w:val="24"/>
          <w:highlight w:val="none"/>
        </w:rPr>
      </w:pPr>
      <w:r>
        <w:rPr>
          <w:rFonts w:cs="Times New Roman"/>
          <w:b/>
          <w:bCs/>
          <w:color w:val="auto"/>
          <w:szCs w:val="24"/>
          <w:highlight w:val="none"/>
        </w:rPr>
        <w:t>4、噪声环境影响评价结论</w:t>
      </w:r>
    </w:p>
    <w:p w14:paraId="4FA990D3">
      <w:pPr>
        <w:widowControl/>
        <w:jc w:val="left"/>
        <w:rPr>
          <w:rFonts w:cs="Times New Roman"/>
          <w:color w:val="auto"/>
          <w:highlight w:val="none"/>
        </w:rPr>
      </w:pPr>
      <w:r>
        <w:rPr>
          <w:rFonts w:cs="Times New Roman"/>
          <w:color w:val="auto"/>
          <w:kern w:val="0"/>
          <w:szCs w:val="24"/>
          <w:highlight w:val="none"/>
          <w:lang w:bidi="ar"/>
        </w:rPr>
        <w:t>经采取选用低噪声设备、减振、隔声等措施后，噪声可满足《工业企业厂界环境噪声排放标准》（GB12348-2008）中</w:t>
      </w:r>
      <w:r>
        <w:rPr>
          <w:rFonts w:hint="eastAsia" w:cs="Times New Roman"/>
          <w:color w:val="auto"/>
          <w:kern w:val="0"/>
          <w:szCs w:val="24"/>
          <w:highlight w:val="none"/>
          <w:lang w:val="en-US" w:eastAsia="zh-CN" w:bidi="ar"/>
        </w:rPr>
        <w:t>2</w:t>
      </w:r>
      <w:r>
        <w:rPr>
          <w:rFonts w:cs="Times New Roman"/>
          <w:color w:val="auto"/>
          <w:kern w:val="0"/>
          <w:szCs w:val="24"/>
          <w:highlight w:val="none"/>
          <w:lang w:bidi="ar"/>
        </w:rPr>
        <w:t>类标准要求，</w:t>
      </w:r>
      <w:r>
        <w:rPr>
          <w:rFonts w:cs="Times New Roman"/>
          <w:color w:val="auto"/>
          <w:szCs w:val="24"/>
          <w:highlight w:val="none"/>
        </w:rPr>
        <w:t>实现厂界达标</w:t>
      </w:r>
      <w:r>
        <w:rPr>
          <w:rFonts w:cs="Times New Roman"/>
          <w:color w:val="auto"/>
          <w:kern w:val="0"/>
          <w:szCs w:val="24"/>
          <w:highlight w:val="none"/>
          <w:lang w:bidi="ar"/>
        </w:rPr>
        <w:t>，</w:t>
      </w:r>
      <w:r>
        <w:rPr>
          <w:rFonts w:hint="eastAsia" w:cs="Times New Roman"/>
          <w:color w:val="auto"/>
          <w:szCs w:val="24"/>
          <w:highlight w:val="none"/>
          <w:lang w:val="en-US" w:eastAsia="zh-CN"/>
        </w:rPr>
        <w:t>厂区西侧敏感点噪声满足《声环境质量标准》（GB3096-2008）中2类标准。</w:t>
      </w:r>
      <w:r>
        <w:rPr>
          <w:rFonts w:cs="Times New Roman"/>
          <w:color w:val="auto"/>
          <w:kern w:val="0"/>
          <w:szCs w:val="24"/>
          <w:highlight w:val="none"/>
          <w:lang w:bidi="ar"/>
        </w:rPr>
        <w:t>因此本项目运营期对周围声环境质量影响较小。</w:t>
      </w:r>
    </w:p>
    <w:p w14:paraId="672C6028">
      <w:pPr>
        <w:widowControl/>
        <w:ind w:firstLine="482"/>
        <w:jc w:val="left"/>
        <w:rPr>
          <w:rFonts w:cs="Times New Roman"/>
          <w:b/>
          <w:bCs/>
          <w:color w:val="auto"/>
          <w:kern w:val="0"/>
          <w:szCs w:val="24"/>
          <w:highlight w:val="none"/>
          <w:lang w:bidi="ar"/>
        </w:rPr>
      </w:pPr>
      <w:r>
        <w:rPr>
          <w:rFonts w:cs="Times New Roman"/>
          <w:b/>
          <w:bCs/>
          <w:color w:val="auto"/>
          <w:kern w:val="0"/>
          <w:szCs w:val="24"/>
          <w:highlight w:val="none"/>
          <w:lang w:bidi="ar"/>
        </w:rPr>
        <w:t>5、固体废物环境影响评价结论</w:t>
      </w:r>
    </w:p>
    <w:p w14:paraId="7FA04BA3">
      <w:pPr>
        <w:widowControl/>
        <w:jc w:val="left"/>
        <w:rPr>
          <w:rFonts w:cs="Times New Roman"/>
          <w:color w:val="auto"/>
          <w:kern w:val="0"/>
          <w:szCs w:val="24"/>
          <w:highlight w:val="none"/>
          <w:lang w:bidi="ar"/>
        </w:rPr>
      </w:pPr>
      <w:r>
        <w:rPr>
          <w:rFonts w:cs="Times New Roman"/>
          <w:color w:val="auto"/>
          <w:kern w:val="0"/>
          <w:szCs w:val="24"/>
          <w:highlight w:val="none"/>
          <w:lang w:bidi="ar"/>
        </w:rPr>
        <w:t>本项目运营期产生的固体废物为一般固体废物及危险废物，一般固体废物主要包括检疫不合格品、病死牛羊、粪便、边角料、</w:t>
      </w:r>
      <w:r>
        <w:rPr>
          <w:rFonts w:hint="eastAsia" w:cs="Times New Roman"/>
          <w:color w:val="auto"/>
          <w:kern w:val="0"/>
          <w:szCs w:val="24"/>
          <w:highlight w:val="none"/>
          <w:lang w:val="en-US" w:eastAsia="zh-CN" w:bidi="ar"/>
        </w:rPr>
        <w:t>隔油池废油脂、</w:t>
      </w:r>
      <w:r>
        <w:rPr>
          <w:rFonts w:cs="Times New Roman"/>
          <w:color w:val="auto"/>
          <w:kern w:val="0"/>
          <w:szCs w:val="24"/>
          <w:highlight w:val="none"/>
          <w:lang w:bidi="ar"/>
        </w:rPr>
        <w:t>胃容物及肠内物、污泥（含栅渣）、废包装以及生活垃圾；危险废物包括废活性炭、</w:t>
      </w:r>
      <w:r>
        <w:rPr>
          <w:rFonts w:hint="eastAsia" w:cs="Times New Roman"/>
          <w:snapToGrid w:val="0"/>
          <w:color w:val="auto"/>
          <w:kern w:val="0"/>
          <w:szCs w:val="24"/>
          <w:highlight w:val="none"/>
          <w:lang w:eastAsia="zh-CN"/>
        </w:rPr>
        <w:t>检疫废物、废润滑油及含油抹布、劳保手套</w:t>
      </w:r>
      <w:r>
        <w:rPr>
          <w:rFonts w:cs="Times New Roman"/>
          <w:color w:val="auto"/>
          <w:kern w:val="0"/>
          <w:szCs w:val="24"/>
          <w:highlight w:val="none"/>
          <w:lang w:bidi="ar"/>
        </w:rPr>
        <w:t>。</w:t>
      </w:r>
    </w:p>
    <w:p w14:paraId="3C902D34">
      <w:pPr>
        <w:widowControl/>
        <w:jc w:val="left"/>
        <w:rPr>
          <w:rFonts w:cs="Times New Roman"/>
          <w:color w:val="auto"/>
          <w:kern w:val="0"/>
          <w:szCs w:val="24"/>
          <w:highlight w:val="none"/>
          <w:lang w:bidi="ar"/>
        </w:rPr>
      </w:pPr>
      <w:r>
        <w:rPr>
          <w:rFonts w:cs="Times New Roman"/>
          <w:color w:val="auto"/>
          <w:kern w:val="0"/>
          <w:szCs w:val="24"/>
          <w:highlight w:val="none"/>
          <w:lang w:bidi="ar"/>
        </w:rPr>
        <w:t>本项目固体废物100%处置，本项目运营期产生的固体废物对周围环境影响较小。</w:t>
      </w:r>
    </w:p>
    <w:p w14:paraId="772C9C85">
      <w:pPr>
        <w:widowControl/>
        <w:ind w:firstLine="482"/>
        <w:jc w:val="left"/>
        <w:rPr>
          <w:rFonts w:cs="Times New Roman"/>
          <w:b/>
          <w:bCs/>
          <w:color w:val="auto"/>
          <w:kern w:val="0"/>
          <w:szCs w:val="24"/>
          <w:highlight w:val="none"/>
          <w:lang w:bidi="ar"/>
        </w:rPr>
      </w:pPr>
      <w:r>
        <w:rPr>
          <w:rFonts w:cs="Times New Roman"/>
          <w:b/>
          <w:bCs/>
          <w:color w:val="auto"/>
          <w:kern w:val="0"/>
          <w:szCs w:val="24"/>
          <w:highlight w:val="none"/>
          <w:lang w:bidi="ar"/>
        </w:rPr>
        <w:t>6、环境风险影响评价结论</w:t>
      </w:r>
    </w:p>
    <w:p w14:paraId="57FFDA21">
      <w:pPr>
        <w:widowControl/>
        <w:jc w:val="left"/>
        <w:rPr>
          <w:rFonts w:cs="Times New Roman"/>
          <w:color w:val="auto"/>
          <w:kern w:val="0"/>
          <w:szCs w:val="24"/>
          <w:highlight w:val="none"/>
          <w:lang w:bidi="ar"/>
        </w:rPr>
      </w:pPr>
      <w:r>
        <w:rPr>
          <w:rFonts w:cs="Times New Roman"/>
          <w:color w:val="auto"/>
          <w:kern w:val="0"/>
          <w:szCs w:val="24"/>
          <w:highlight w:val="none"/>
          <w:lang w:bidi="ar"/>
        </w:rPr>
        <w:t>本项目环境风险主要为危险物质</w:t>
      </w:r>
      <w:r>
        <w:rPr>
          <w:rFonts w:hint="eastAsia" w:cs="Times New Roman"/>
          <w:color w:val="auto"/>
          <w:kern w:val="0"/>
          <w:szCs w:val="24"/>
          <w:highlight w:val="none"/>
          <w:lang w:val="en-US" w:eastAsia="zh-CN" w:bidi="ar"/>
        </w:rPr>
        <w:t>次氯酸钠</w:t>
      </w:r>
      <w:r>
        <w:rPr>
          <w:rFonts w:cs="Times New Roman"/>
          <w:color w:val="auto"/>
          <w:kern w:val="0"/>
          <w:szCs w:val="24"/>
          <w:highlight w:val="none"/>
          <w:lang w:bidi="ar"/>
        </w:rPr>
        <w:t>发生泄漏、火灾、爆炸事故，建设单位运营过程中应从多方面积极采取防护措施，企业建立健全环境应急预案体系，加强环境应急预案演练、评估与修订。本项目设有事故池，能够有效防止事故过程中产生的可能严重污染水体的生产废水、废液直接排入水体。一旦突发环境风险事故，立即按应急预案提到的紧急处理、救援、监测方案等进行紧急救援，项目可以有效的防范风险事故发生或对事故的发生进行有效处置，防止环境污染事故发生。</w:t>
      </w:r>
    </w:p>
    <w:p w14:paraId="44EC4B17">
      <w:pPr>
        <w:pStyle w:val="3"/>
        <w:spacing w:before="163" w:after="163"/>
        <w:rPr>
          <w:rFonts w:cs="Times New Roman"/>
          <w:color w:val="auto"/>
          <w:highlight w:val="none"/>
        </w:rPr>
      </w:pPr>
      <w:bookmarkStart w:id="452" w:name="_Toc21952"/>
      <w:bookmarkStart w:id="453" w:name="_Toc61529229"/>
      <w:r>
        <w:rPr>
          <w:rFonts w:cs="Times New Roman"/>
          <w:color w:val="auto"/>
          <w:highlight w:val="none"/>
        </w:rPr>
        <w:t>9.5 环境保护措施及其可行性</w:t>
      </w:r>
      <w:bookmarkEnd w:id="452"/>
      <w:bookmarkEnd w:id="453"/>
    </w:p>
    <w:p w14:paraId="52AB671E">
      <w:pPr>
        <w:rPr>
          <w:rFonts w:cs="Times New Roman"/>
          <w:snapToGrid w:val="0"/>
          <w:color w:val="auto"/>
          <w:kern w:val="0"/>
          <w:szCs w:val="24"/>
          <w:highlight w:val="none"/>
        </w:rPr>
      </w:pPr>
      <w:r>
        <w:rPr>
          <w:rFonts w:cs="Times New Roman"/>
          <w:color w:val="auto"/>
          <w:highlight w:val="none"/>
        </w:rPr>
        <w:t>在综合分析本项目建设期与运营期各项污染物的产生环节与产生源强基础上，本评价综合考虑经济可行性与技术可行性，针对每项污染物均提出了切实可行的治理技术，在建设单位严格按照环评要求落实各项目措施的基础上，可以保证项目在运营期所产生的各项污染物均可以达标排放，确保建设项目可为环境所接受。</w:t>
      </w:r>
    </w:p>
    <w:p w14:paraId="64EF377C">
      <w:pPr>
        <w:pStyle w:val="3"/>
        <w:spacing w:before="163" w:after="163"/>
        <w:rPr>
          <w:rFonts w:cs="Times New Roman"/>
          <w:color w:val="auto"/>
          <w:highlight w:val="none"/>
        </w:rPr>
      </w:pPr>
      <w:bookmarkStart w:id="454" w:name="_Toc61529230"/>
      <w:bookmarkStart w:id="455" w:name="_Toc25209"/>
      <w:r>
        <w:rPr>
          <w:rFonts w:cs="Times New Roman"/>
          <w:color w:val="auto"/>
          <w:highlight w:val="none"/>
        </w:rPr>
        <w:t>9.6 污染物排放总量控制</w:t>
      </w:r>
      <w:bookmarkEnd w:id="454"/>
      <w:bookmarkEnd w:id="455"/>
    </w:p>
    <w:p w14:paraId="3FF12B76">
      <w:pPr>
        <w:rPr>
          <w:rFonts w:cs="Times New Roman"/>
          <w:color w:val="auto"/>
          <w:highlight w:val="none"/>
        </w:rPr>
      </w:pPr>
      <w:r>
        <w:rPr>
          <w:rFonts w:cs="Times New Roman"/>
          <w:color w:val="auto"/>
          <w:szCs w:val="24"/>
          <w:highlight w:val="none"/>
        </w:rPr>
        <w:t>根据国家环境保护总局对实施污染物排放总量控制的要求，综合该项目排污特点、所在区域环境质量现状及环境主管部门的要求，该项目确定实行总量控制并结合项目排污特点，确定</w:t>
      </w:r>
      <w:r>
        <w:rPr>
          <w:rFonts w:cs="Times New Roman"/>
          <w:color w:val="auto"/>
          <w:szCs w:val="24"/>
          <w:highlight w:val="none"/>
        </w:rPr>
        <w:t>本项目总量控制指标为COD：</w:t>
      </w:r>
      <w:r>
        <w:rPr>
          <w:rFonts w:hint="eastAsia" w:cs="Times New Roman"/>
          <w:color w:val="auto"/>
          <w:szCs w:val="24"/>
          <w:highlight w:val="none"/>
          <w:lang w:val="en-US" w:eastAsia="zh-CN"/>
        </w:rPr>
        <w:t>18.38</w:t>
      </w:r>
      <w:r>
        <w:rPr>
          <w:rFonts w:cs="Times New Roman"/>
          <w:color w:val="auto"/>
          <w:szCs w:val="24"/>
          <w:highlight w:val="none"/>
        </w:rPr>
        <w:t>t/a</w:t>
      </w:r>
      <w:r>
        <w:rPr>
          <w:rFonts w:hint="eastAsia" w:cs="Times New Roman"/>
          <w:color w:val="auto"/>
          <w:szCs w:val="24"/>
          <w:highlight w:val="none"/>
          <w:lang w:eastAsia="zh-CN"/>
        </w:rPr>
        <w:t>；</w:t>
      </w:r>
      <w:r>
        <w:rPr>
          <w:rFonts w:cs="Times New Roman"/>
          <w:color w:val="auto"/>
          <w:szCs w:val="24"/>
          <w:highlight w:val="none"/>
        </w:rPr>
        <w:t>NH</w:t>
      </w:r>
      <w:r>
        <w:rPr>
          <w:rFonts w:cs="Times New Roman"/>
          <w:color w:val="auto"/>
          <w:szCs w:val="24"/>
          <w:highlight w:val="none"/>
          <w:vertAlign w:val="subscript"/>
        </w:rPr>
        <w:t>3</w:t>
      </w:r>
      <w:r>
        <w:rPr>
          <w:rFonts w:cs="Times New Roman"/>
          <w:color w:val="auto"/>
          <w:szCs w:val="24"/>
          <w:highlight w:val="none"/>
        </w:rPr>
        <w:t>-N：</w:t>
      </w:r>
      <w:r>
        <w:rPr>
          <w:rFonts w:hint="eastAsia" w:cs="Times New Roman"/>
          <w:color w:val="auto"/>
          <w:szCs w:val="24"/>
          <w:highlight w:val="none"/>
          <w:lang w:val="en-US" w:eastAsia="zh-CN"/>
        </w:rPr>
        <w:t>2.35</w:t>
      </w:r>
      <w:r>
        <w:rPr>
          <w:rFonts w:cs="Times New Roman"/>
          <w:color w:val="auto"/>
          <w:szCs w:val="24"/>
          <w:highlight w:val="none"/>
        </w:rPr>
        <w:t>t/a</w:t>
      </w:r>
      <w:r>
        <w:rPr>
          <w:rFonts w:cs="Times New Roman"/>
          <w:color w:val="auto"/>
          <w:highlight w:val="none"/>
        </w:rPr>
        <w:t>。</w:t>
      </w:r>
    </w:p>
    <w:p w14:paraId="3997F789">
      <w:pPr>
        <w:pStyle w:val="3"/>
        <w:spacing w:before="163" w:after="163"/>
        <w:rPr>
          <w:rFonts w:cs="Times New Roman"/>
          <w:color w:val="auto"/>
          <w:highlight w:val="none"/>
        </w:rPr>
      </w:pPr>
      <w:bookmarkStart w:id="456" w:name="_Toc24659"/>
      <w:bookmarkStart w:id="457" w:name="_Toc61529231"/>
      <w:r>
        <w:rPr>
          <w:rFonts w:cs="Times New Roman"/>
          <w:color w:val="auto"/>
          <w:highlight w:val="none"/>
        </w:rPr>
        <w:t>9.7 环境经济损益分析结论</w:t>
      </w:r>
      <w:bookmarkEnd w:id="456"/>
      <w:bookmarkEnd w:id="457"/>
    </w:p>
    <w:p w14:paraId="5F5E9294">
      <w:pPr>
        <w:rPr>
          <w:rFonts w:cs="Times New Roman"/>
          <w:snapToGrid w:val="0"/>
          <w:color w:val="auto"/>
          <w:kern w:val="0"/>
          <w:szCs w:val="24"/>
          <w:highlight w:val="none"/>
        </w:rPr>
      </w:pPr>
      <w:r>
        <w:rPr>
          <w:rFonts w:cs="Times New Roman"/>
          <w:color w:val="auto"/>
          <w:szCs w:val="24"/>
          <w:highlight w:val="none"/>
        </w:rPr>
        <w:t>通过对本项目的经济、社会和环境效益分析可知，在落实本评价提出的各项污染防治措施的前提下，本项目的建设能够达到经济效益、社会效益和环境效益的统一，既为地方经济发展做出贡献，又使污染物排放量在环境容量容许的范围内降低到最低。因此本项目的建设从环境经济损益的角度分析是可行的。</w:t>
      </w:r>
    </w:p>
    <w:p w14:paraId="236EEF82">
      <w:pPr>
        <w:pStyle w:val="3"/>
        <w:spacing w:before="163" w:after="163"/>
        <w:rPr>
          <w:rFonts w:cs="Times New Roman"/>
          <w:color w:val="auto"/>
          <w:highlight w:val="none"/>
        </w:rPr>
      </w:pPr>
      <w:bookmarkStart w:id="458" w:name="_Toc61529232"/>
      <w:bookmarkStart w:id="459" w:name="_Toc5472"/>
      <w:r>
        <w:rPr>
          <w:rFonts w:cs="Times New Roman"/>
          <w:color w:val="auto"/>
          <w:highlight w:val="none"/>
        </w:rPr>
        <w:t>9.8</w:t>
      </w:r>
      <w:bookmarkEnd w:id="458"/>
      <w:bookmarkEnd w:id="459"/>
      <w:r>
        <w:rPr>
          <w:rFonts w:cs="Times New Roman"/>
          <w:color w:val="auto"/>
          <w:highlight w:val="none"/>
        </w:rPr>
        <w:t>公众参与采纳情况</w:t>
      </w:r>
    </w:p>
    <w:p w14:paraId="7D977328">
      <w:pPr>
        <w:widowControl/>
        <w:jc w:val="left"/>
        <w:rPr>
          <w:rFonts w:cs="Times New Roman"/>
          <w:color w:val="auto"/>
          <w:highlight w:val="none"/>
        </w:rPr>
      </w:pPr>
      <w:r>
        <w:rPr>
          <w:rFonts w:cs="Times New Roman"/>
          <w:color w:val="auto"/>
          <w:kern w:val="0"/>
          <w:szCs w:val="24"/>
          <w:highlight w:val="none"/>
          <w:lang w:bidi="ar"/>
        </w:rPr>
        <w:t>在本报告书编制过程中，建设单位按照《环境影响评价公众参与办法》（生态环境部部令第4号）的有关规定组织开展了公众参与工作，采用网络公示、报纸公示相结合的方式，广泛听取各界对工程建设及环境保护方面的意见和要求。</w:t>
      </w:r>
    </w:p>
    <w:p w14:paraId="69885A0E">
      <w:pPr>
        <w:widowControl/>
        <w:jc w:val="left"/>
        <w:rPr>
          <w:rFonts w:cs="Times New Roman"/>
          <w:color w:val="auto"/>
          <w:highlight w:val="none"/>
        </w:rPr>
      </w:pPr>
      <w:r>
        <w:rPr>
          <w:rFonts w:cs="Times New Roman"/>
          <w:color w:val="auto"/>
          <w:kern w:val="0"/>
          <w:szCs w:val="24"/>
          <w:highlight w:val="none"/>
          <w:lang w:bidi="ar"/>
        </w:rPr>
        <w:t>在公示期间建设单位及环评单位未收到相关反馈意见。公司承诺一定会加强企业环境管理，强化诚信意识，恪守环保信用，将项目建设得更好，项目运行中主动公开环保信息，接受公众监督。</w:t>
      </w:r>
    </w:p>
    <w:p w14:paraId="6153FC6F">
      <w:pPr>
        <w:rPr>
          <w:rFonts w:cs="Times New Roman"/>
          <w:color w:val="auto"/>
          <w:highlight w:val="none"/>
        </w:rPr>
      </w:pPr>
      <w:bookmarkStart w:id="460" w:name="_Toc23128"/>
      <w:bookmarkStart w:id="461" w:name="_Toc61529233"/>
      <w:r>
        <w:rPr>
          <w:rFonts w:cs="Times New Roman"/>
          <w:color w:val="auto"/>
          <w:highlight w:val="none"/>
        </w:rPr>
        <w:t>本项目公示期间未接到有效反馈意见。</w:t>
      </w:r>
    </w:p>
    <w:p w14:paraId="729D9FE9">
      <w:pPr>
        <w:pStyle w:val="3"/>
        <w:spacing w:before="163" w:after="163"/>
        <w:rPr>
          <w:rFonts w:cs="Times New Roman"/>
          <w:color w:val="auto"/>
          <w:highlight w:val="none"/>
        </w:rPr>
      </w:pPr>
      <w:r>
        <w:rPr>
          <w:rFonts w:cs="Times New Roman"/>
          <w:color w:val="auto"/>
          <w:highlight w:val="none"/>
        </w:rPr>
        <w:t>9.9环境影响评价综合结论</w:t>
      </w:r>
      <w:bookmarkEnd w:id="460"/>
      <w:bookmarkEnd w:id="461"/>
    </w:p>
    <w:p w14:paraId="762F0571">
      <w:pPr>
        <w:widowControl/>
        <w:jc w:val="left"/>
        <w:rPr>
          <w:rFonts w:cs="Times New Roman"/>
          <w:color w:val="auto"/>
          <w:highlight w:val="none"/>
        </w:rPr>
      </w:pPr>
      <w:r>
        <w:rPr>
          <w:rFonts w:cs="Times New Roman"/>
          <w:color w:val="auto"/>
          <w:kern w:val="0"/>
          <w:szCs w:val="24"/>
          <w:highlight w:val="none"/>
          <w:lang w:bidi="ar"/>
        </w:rPr>
        <w:t>综合对建设项目的建设概况、环境质量现状、污染物排放情况、主要环境影响、公众意见采纳情况、环境保护措施、环境影响经济损益分析、环境管理与监测计划等结论，在确保污染防治措施全面实施并正常运行的前提下，本工程的建设可被周围环境所接受。因此，该工程建设从环境保护角度分析是可行的。</w:t>
      </w:r>
    </w:p>
    <w:p w14:paraId="1506105A">
      <w:pPr>
        <w:pStyle w:val="82"/>
        <w:ind w:firstLine="0" w:firstLineChars="0"/>
        <w:rPr>
          <w:rFonts w:ascii="Times New Roman" w:hAnsi="Times New Roman" w:cs="Times New Roman"/>
          <w:snapToGrid w:val="0"/>
          <w:color w:val="auto"/>
          <w:kern w:val="0"/>
          <w:sz w:val="24"/>
          <w:szCs w:val="24"/>
          <w:highlight w:val="none"/>
        </w:rPr>
      </w:pPr>
    </w:p>
    <w:bookmarkEnd w:id="442"/>
    <w:bookmarkEnd w:id="443"/>
    <w:bookmarkEnd w:id="444"/>
    <w:bookmarkEnd w:id="445"/>
    <w:p w14:paraId="23F97827">
      <w:pPr>
        <w:adjustRightInd/>
        <w:snapToGrid/>
        <w:spacing w:line="500" w:lineRule="exact"/>
        <w:rPr>
          <w:rFonts w:cs="Times New Roman"/>
          <w:snapToGrid w:val="0"/>
          <w:color w:val="auto"/>
          <w:kern w:val="0"/>
          <w:szCs w:val="24"/>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A01D81E">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color w:val="auto"/>
          <w:highlight w:val="none"/>
        </w:rPr>
      </w:pPr>
      <w:bookmarkStart w:id="462" w:name="_Toc7013"/>
      <w:bookmarkStart w:id="463" w:name="_Toc20295"/>
      <w:bookmarkStart w:id="464" w:name="_Toc26550"/>
      <w:bookmarkStart w:id="465" w:name="_Toc7814"/>
      <w:r>
        <w:rPr>
          <w:color w:val="auto"/>
          <w:highlight w:val="none"/>
        </w:rPr>
        <w:drawing>
          <wp:anchor distT="0" distB="0" distL="114300" distR="114300" simplePos="0" relativeHeight="251694080" behindDoc="0" locked="0" layoutInCell="1" allowOverlap="1">
            <wp:simplePos x="0" y="0"/>
            <wp:positionH relativeFrom="column">
              <wp:posOffset>7818755</wp:posOffset>
            </wp:positionH>
            <wp:positionV relativeFrom="paragraph">
              <wp:posOffset>17780</wp:posOffset>
            </wp:positionV>
            <wp:extent cx="577850" cy="584835"/>
            <wp:effectExtent l="0" t="0" r="12700" b="5715"/>
            <wp:wrapNone/>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22"/>
                    <a:stretch>
                      <a:fillRect/>
                    </a:stretch>
                  </pic:blipFill>
                  <pic:spPr>
                    <a:xfrm>
                      <a:off x="0" y="0"/>
                      <a:ext cx="577850" cy="584835"/>
                    </a:xfrm>
                    <a:prstGeom prst="rect">
                      <a:avLst/>
                    </a:prstGeom>
                    <a:noFill/>
                    <a:ln>
                      <a:noFill/>
                    </a:ln>
                  </pic:spPr>
                </pic:pic>
              </a:graphicData>
            </a:graphic>
          </wp:anchor>
        </w:drawing>
      </w:r>
      <w:r>
        <w:rPr>
          <w:color w:val="auto"/>
          <w:sz w:val="24"/>
          <w:highlight w:val="none"/>
        </w:rPr>
        <mc:AlternateContent>
          <mc:Choice Requires="wpg">
            <w:drawing>
              <wp:anchor distT="0" distB="0" distL="114300" distR="114300" simplePos="0" relativeHeight="251695104" behindDoc="0" locked="0" layoutInCell="1" allowOverlap="1">
                <wp:simplePos x="0" y="0"/>
                <wp:positionH relativeFrom="column">
                  <wp:posOffset>3665220</wp:posOffset>
                </wp:positionH>
                <wp:positionV relativeFrom="paragraph">
                  <wp:posOffset>1845945</wp:posOffset>
                </wp:positionV>
                <wp:extent cx="1070610" cy="855980"/>
                <wp:effectExtent l="12700" t="12700" r="21590" b="26670"/>
                <wp:wrapNone/>
                <wp:docPr id="34" name="组合 34"/>
                <wp:cNvGraphicFramePr/>
                <a:graphic xmlns:a="http://schemas.openxmlformats.org/drawingml/2006/main">
                  <a:graphicData uri="http://schemas.microsoft.com/office/word/2010/wordprocessingGroup">
                    <wpg:wgp>
                      <wpg:cNvGrpSpPr/>
                      <wpg:grpSpPr>
                        <a:xfrm>
                          <a:off x="0" y="0"/>
                          <a:ext cx="1070610" cy="855980"/>
                          <a:chOff x="6792" y="5555"/>
                          <a:chExt cx="1686" cy="1348"/>
                        </a:xfrm>
                      </wpg:grpSpPr>
                      <wps:wsp>
                        <wps:cNvPr id="51" name="五角星 8"/>
                        <wps:cNvSpPr/>
                        <wps:spPr>
                          <a:xfrm>
                            <a:off x="6792" y="6569"/>
                            <a:ext cx="292" cy="334"/>
                          </a:xfrm>
                          <a:prstGeom prst="star5">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A3B1C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7" name="矩形标注 9"/>
                        <wps:cNvSpPr/>
                        <wps:spPr>
                          <a:xfrm>
                            <a:off x="6976" y="5555"/>
                            <a:ext cx="1502" cy="747"/>
                          </a:xfrm>
                          <a:prstGeom prst="wedgeRectCallout">
                            <a:avLst>
                              <a:gd name="adj1" fmla="val -43522"/>
                              <a:gd name="adj2" fmla="val 10149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ED4A52">
                              <w:pPr>
                                <w:ind w:left="0" w:leftChars="0" w:firstLine="0" w:firstLineChars="0"/>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88.6pt;margin-top:145.35pt;height:67.4pt;width:84.3pt;z-index:251695104;mso-width-relative:page;mso-height-relative:page;" coordorigin="6792,5555" coordsize="1686,1348" o:gfxdata="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">
                <o:lock v:ext="edit" aspectratio="f"/>
                <v:shape id="五角星 8" o:spid="_x0000_s1026" style="position:absolute;left:6792;top:6569;height:334;width:292;v-text-anchor:middle;" fillcolor="#C00000" filled="t" stroked="t" coordsize="292,334" o:gfxdata="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49MIvQAA&#10;ANsAAAAPAAAAAAAAAAEAIAAAACIAAABkcnMvZG93bnJldi54bWxQSwECFAAUAAAACACHTuJAMy8F&#10;njsAAAA5AAAAEAAAAAAAAAABACAAAAAMAQAAZHJzL3NoYXBleG1sLnhtbFBLBQYAAAAABgAGAFsB&#10;AAC2AwAAAAA=&#10;" path="m0,127l111,127,146,0,180,127,291,127,201,206,236,333,146,255,55,333,90,206xe">
                  <v:path textboxrect="0,0,292,334" o:connectlocs="146,0;0,127;55,333;236,333;291,127" o:connectangles="247,164,82,82,0"/>
                  <v:fill on="t" focussize="0,0"/>
                  <v:stroke weight="2pt" color="#000000 [3213]" joinstyle="round"/>
                  <v:imagedata o:title=""/>
                  <o:lock v:ext="edit" aspectratio="f"/>
                  <v:textbox>
                    <w:txbxContent>
                      <w:p w14:paraId="47A3B1C3">
                        <w:pPr>
                          <w:jc w:val="center"/>
                        </w:pPr>
                      </w:p>
                    </w:txbxContent>
                  </v:textbox>
                </v:shape>
                <v:shape id="矩形标注 9" o:spid="_x0000_s1026" o:spt="61" type="#_x0000_t61" style="position:absolute;left:6976;top:5555;height:747;width:1502;v-text-anchor:middle;" filled="f" stroked="t" coordsize="21600,21600" o:gfxdata="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Ygaqi8AAAA&#10;3AAAAA8AAAAAAAAAAQAgAAAAIgAAAGRycy9kb3ducmV2LnhtbFBLAQIUABQAAAAIAIdO4kAzLwWe&#10;OwAAADkAAAAQAAAAAAAAAAEAIAAAAAsBAABkcnMvc2hhcGV4bWwueG1sUEsFBgAAAAAGAAYAWwEA&#10;ALUDAAAAAA==&#10;" adj="1399,32722">
                  <v:fill on="f" focussize="0,0"/>
                  <v:stroke weight="2pt" color="#000000 [3213]" joinstyle="round"/>
                  <v:imagedata o:title=""/>
                  <o:lock v:ext="edit" aspectratio="f"/>
                  <v:textbox>
                    <w:txbxContent>
                      <w:p w14:paraId="4AED4A52">
                        <w:pPr>
                          <w:ind w:left="0" w:leftChars="0" w:firstLine="0" w:firstLineChars="0"/>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本项目</w:t>
                        </w:r>
                      </w:p>
                    </w:txbxContent>
                  </v:textbox>
                </v:shape>
              </v:group>
            </w:pict>
          </mc:Fallback>
        </mc:AlternateContent>
      </w:r>
      <w:r>
        <w:rPr>
          <w:color w:val="auto"/>
          <w:highlight w:val="none"/>
        </w:rPr>
        <w:drawing>
          <wp:inline distT="0" distB="0" distL="114300" distR="114300">
            <wp:extent cx="8403590" cy="4395470"/>
            <wp:effectExtent l="0" t="0" r="16510" b="508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60"/>
                    <a:stretch>
                      <a:fillRect/>
                    </a:stretch>
                  </pic:blipFill>
                  <pic:spPr>
                    <a:xfrm>
                      <a:off x="0" y="0"/>
                      <a:ext cx="8403590" cy="4395470"/>
                    </a:xfrm>
                    <a:prstGeom prst="rect">
                      <a:avLst/>
                    </a:prstGeom>
                    <a:noFill/>
                    <a:ln>
                      <a:noFill/>
                    </a:ln>
                  </pic:spPr>
                </pic:pic>
              </a:graphicData>
            </a:graphic>
          </wp:inline>
        </w:drawing>
      </w:r>
    </w:p>
    <w:p w14:paraId="1B1C03C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附图1  项目地理位置图</w:t>
      </w:r>
      <w:bookmarkEnd w:id="462"/>
      <w:bookmarkEnd w:id="463"/>
      <w:bookmarkEnd w:id="464"/>
      <w:bookmarkStart w:id="466" w:name="_Toc8481"/>
      <w:bookmarkStart w:id="467" w:name="_Toc5226"/>
      <w:bookmarkStart w:id="468" w:name="_Toc13539"/>
    </w:p>
    <w:p w14:paraId="2CC6D38A">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color w:val="auto"/>
          <w:sz w:val="24"/>
          <w:szCs w:val="24"/>
          <w:highlight w:val="none"/>
        </w:rPr>
      </w:pPr>
    </w:p>
    <w:bookmarkEnd w:id="466"/>
    <w:bookmarkEnd w:id="467"/>
    <w:bookmarkEnd w:id="468"/>
    <w:tbl>
      <w:tblPr>
        <w:tblStyle w:val="48"/>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620"/>
        <w:gridCol w:w="6620"/>
      </w:tblGrid>
      <w:tr w14:paraId="7D5B7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8" w:hRule="atLeast"/>
          <w:jc w:val="center"/>
        </w:trPr>
        <w:tc>
          <w:tcPr>
            <w:tcW w:w="6620" w:type="dxa"/>
            <w:tcBorders>
              <w:tl2br w:val="nil"/>
              <w:tr2bl w:val="nil"/>
            </w:tcBorders>
            <w:vAlign w:val="center"/>
          </w:tcPr>
          <w:p w14:paraId="1DCE46BE">
            <w:pPr>
              <w:pStyle w:val="36"/>
              <w:jc w:val="center"/>
              <w:rPr>
                <w:rFonts w:hint="eastAsia" w:eastAsia="宋体"/>
                <w:color w:val="auto"/>
                <w:highlight w:val="none"/>
                <w:vertAlign w:val="baseline"/>
                <w:lang w:eastAsia="zh-CN"/>
              </w:rPr>
            </w:pPr>
            <w:bookmarkStart w:id="469" w:name="_Toc19166"/>
            <w:r>
              <w:rPr>
                <w:rFonts w:hint="eastAsia" w:eastAsia="宋体"/>
                <w:color w:val="auto"/>
                <w:highlight w:val="none"/>
                <w:vertAlign w:val="baseline"/>
                <w:lang w:eastAsia="zh-CN"/>
              </w:rPr>
              <w:drawing>
                <wp:inline distT="0" distB="0" distL="114300" distR="114300">
                  <wp:extent cx="2357120" cy="3143250"/>
                  <wp:effectExtent l="0" t="0" r="0" b="5080"/>
                  <wp:docPr id="26" name="图片 26" descr="东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东侧"/>
                          <pic:cNvPicPr>
                            <a:picLocks noChangeAspect="1"/>
                          </pic:cNvPicPr>
                        </pic:nvPicPr>
                        <pic:blipFill>
                          <a:blip r:embed="rId61"/>
                          <a:stretch>
                            <a:fillRect/>
                          </a:stretch>
                        </pic:blipFill>
                        <pic:spPr>
                          <a:xfrm rot="16200000">
                            <a:off x="0" y="0"/>
                            <a:ext cx="2357120" cy="3143250"/>
                          </a:xfrm>
                          <a:prstGeom prst="rect">
                            <a:avLst/>
                          </a:prstGeom>
                        </pic:spPr>
                      </pic:pic>
                    </a:graphicData>
                  </a:graphic>
                </wp:inline>
              </w:drawing>
            </w:r>
          </w:p>
        </w:tc>
        <w:tc>
          <w:tcPr>
            <w:tcW w:w="6620" w:type="dxa"/>
            <w:tcBorders>
              <w:tl2br w:val="nil"/>
              <w:tr2bl w:val="nil"/>
            </w:tcBorders>
            <w:vAlign w:val="center"/>
          </w:tcPr>
          <w:p w14:paraId="49461EAE">
            <w:pPr>
              <w:pStyle w:val="36"/>
              <w:jc w:val="center"/>
              <w:rPr>
                <w:rFonts w:hint="eastAsia" w:eastAsia="宋体"/>
                <w:color w:val="auto"/>
                <w:highlight w:val="none"/>
                <w:vertAlign w:val="baseline"/>
                <w:lang w:eastAsia="zh-CN"/>
              </w:rPr>
            </w:pPr>
            <w:r>
              <w:rPr>
                <w:rFonts w:hint="eastAsia" w:eastAsia="宋体"/>
                <w:color w:val="auto"/>
                <w:highlight w:val="none"/>
                <w:vertAlign w:val="baseline"/>
                <w:lang w:eastAsia="zh-CN"/>
              </w:rPr>
              <w:drawing>
                <wp:inline distT="0" distB="0" distL="114300" distR="114300">
                  <wp:extent cx="3075940" cy="2307590"/>
                  <wp:effectExtent l="0" t="0" r="10160" b="16510"/>
                  <wp:docPr id="29" name="图片 29"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西"/>
                          <pic:cNvPicPr>
                            <a:picLocks noChangeAspect="1"/>
                          </pic:cNvPicPr>
                        </pic:nvPicPr>
                        <pic:blipFill>
                          <a:blip r:embed="rId62"/>
                          <a:stretch>
                            <a:fillRect/>
                          </a:stretch>
                        </pic:blipFill>
                        <pic:spPr>
                          <a:xfrm>
                            <a:off x="0" y="0"/>
                            <a:ext cx="3075940" cy="2307590"/>
                          </a:xfrm>
                          <a:prstGeom prst="rect">
                            <a:avLst/>
                          </a:prstGeom>
                        </pic:spPr>
                      </pic:pic>
                    </a:graphicData>
                  </a:graphic>
                </wp:inline>
              </w:drawing>
            </w:r>
          </w:p>
        </w:tc>
      </w:tr>
      <w:tr w14:paraId="45201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8" w:hRule="atLeast"/>
          <w:jc w:val="center"/>
        </w:trPr>
        <w:tc>
          <w:tcPr>
            <w:tcW w:w="6620" w:type="dxa"/>
            <w:tcBorders>
              <w:tl2br w:val="nil"/>
              <w:tr2bl w:val="nil"/>
            </w:tcBorders>
            <w:vAlign w:val="center"/>
          </w:tcPr>
          <w:p w14:paraId="02A22A73">
            <w:pPr>
              <w:pStyle w:val="36"/>
              <w:ind w:left="0" w:leftChars="0" w:firstLine="0" w:firstLineChars="0"/>
              <w:jc w:val="center"/>
              <w:rPr>
                <w:rFonts w:hint="default" w:eastAsia="宋体"/>
                <w:color w:val="auto"/>
                <w:highlight w:val="none"/>
                <w:vertAlign w:val="baseline"/>
                <w:lang w:val="en-US" w:eastAsia="zh-CN"/>
              </w:rPr>
            </w:pPr>
            <w:r>
              <w:rPr>
                <w:rFonts w:hint="eastAsia"/>
                <w:color w:val="auto"/>
                <w:highlight w:val="none"/>
                <w:vertAlign w:val="baseline"/>
                <w:lang w:val="en-US" w:eastAsia="zh-CN"/>
              </w:rPr>
              <w:t>项目东侧</w:t>
            </w:r>
          </w:p>
        </w:tc>
        <w:tc>
          <w:tcPr>
            <w:tcW w:w="6620" w:type="dxa"/>
            <w:tcBorders>
              <w:tl2br w:val="nil"/>
              <w:tr2bl w:val="nil"/>
            </w:tcBorders>
            <w:vAlign w:val="center"/>
          </w:tcPr>
          <w:p w14:paraId="29A02A3D">
            <w:pPr>
              <w:pStyle w:val="36"/>
              <w:ind w:left="0" w:leftChars="0" w:firstLine="0" w:firstLineChars="0"/>
              <w:jc w:val="center"/>
              <w:rPr>
                <w:rFonts w:hint="default" w:eastAsia="宋体"/>
                <w:color w:val="auto"/>
                <w:highlight w:val="none"/>
                <w:vertAlign w:val="baseline"/>
                <w:lang w:val="en-US" w:eastAsia="zh-CN"/>
              </w:rPr>
            </w:pPr>
            <w:r>
              <w:rPr>
                <w:rFonts w:hint="eastAsia"/>
                <w:color w:val="auto"/>
                <w:highlight w:val="none"/>
                <w:vertAlign w:val="baseline"/>
                <w:lang w:val="en-US" w:eastAsia="zh-CN"/>
              </w:rPr>
              <w:t>项目西侧</w:t>
            </w:r>
          </w:p>
        </w:tc>
      </w:tr>
      <w:tr w14:paraId="7D0299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8" w:hRule="atLeast"/>
          <w:jc w:val="center"/>
        </w:trPr>
        <w:tc>
          <w:tcPr>
            <w:tcW w:w="6620" w:type="dxa"/>
            <w:tcBorders>
              <w:tl2br w:val="nil"/>
              <w:tr2bl w:val="nil"/>
            </w:tcBorders>
            <w:vAlign w:val="center"/>
          </w:tcPr>
          <w:p w14:paraId="41764E19">
            <w:pPr>
              <w:pStyle w:val="36"/>
              <w:jc w:val="center"/>
              <w:rPr>
                <w:rFonts w:hint="eastAsia" w:eastAsia="宋体"/>
                <w:color w:val="auto"/>
                <w:highlight w:val="none"/>
                <w:vertAlign w:val="baseline"/>
                <w:lang w:eastAsia="zh-CN"/>
              </w:rPr>
            </w:pPr>
            <w:r>
              <w:rPr>
                <w:rFonts w:hint="eastAsia" w:eastAsia="宋体"/>
                <w:color w:val="auto"/>
                <w:highlight w:val="none"/>
                <w:vertAlign w:val="baseline"/>
                <w:lang w:eastAsia="zh-CN"/>
              </w:rPr>
              <w:drawing>
                <wp:inline distT="0" distB="0" distL="114300" distR="114300">
                  <wp:extent cx="3196590" cy="2396490"/>
                  <wp:effectExtent l="0" t="0" r="3810" b="3810"/>
                  <wp:docPr id="32" name="图片 32" descr="厂区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厂区南侧"/>
                          <pic:cNvPicPr>
                            <a:picLocks noChangeAspect="1"/>
                          </pic:cNvPicPr>
                        </pic:nvPicPr>
                        <pic:blipFill>
                          <a:blip r:embed="rId63"/>
                          <a:stretch>
                            <a:fillRect/>
                          </a:stretch>
                        </pic:blipFill>
                        <pic:spPr>
                          <a:xfrm>
                            <a:off x="0" y="0"/>
                            <a:ext cx="3196590" cy="2396490"/>
                          </a:xfrm>
                          <a:prstGeom prst="rect">
                            <a:avLst/>
                          </a:prstGeom>
                        </pic:spPr>
                      </pic:pic>
                    </a:graphicData>
                  </a:graphic>
                </wp:inline>
              </w:drawing>
            </w:r>
          </w:p>
        </w:tc>
        <w:tc>
          <w:tcPr>
            <w:tcW w:w="6620" w:type="dxa"/>
            <w:tcBorders>
              <w:tl2br w:val="nil"/>
              <w:tr2bl w:val="nil"/>
            </w:tcBorders>
            <w:vAlign w:val="center"/>
          </w:tcPr>
          <w:p w14:paraId="27C7A1F9">
            <w:pPr>
              <w:pStyle w:val="36"/>
              <w:jc w:val="center"/>
              <w:rPr>
                <w:rFonts w:hint="eastAsia" w:eastAsia="宋体"/>
                <w:color w:val="auto"/>
                <w:highlight w:val="none"/>
                <w:vertAlign w:val="baseline"/>
                <w:lang w:eastAsia="zh-CN"/>
              </w:rPr>
            </w:pPr>
            <w:r>
              <w:rPr>
                <w:rFonts w:hint="eastAsia" w:eastAsia="宋体"/>
                <w:color w:val="auto"/>
                <w:highlight w:val="none"/>
                <w:vertAlign w:val="baseline"/>
                <w:lang w:eastAsia="zh-CN"/>
              </w:rPr>
              <w:drawing>
                <wp:inline distT="0" distB="0" distL="114300" distR="114300">
                  <wp:extent cx="3162935" cy="2371725"/>
                  <wp:effectExtent l="0" t="0" r="18415" b="9525"/>
                  <wp:docPr id="35" name="图片 35" descr="北侧废弃平房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北侧废弃平房3"/>
                          <pic:cNvPicPr>
                            <a:picLocks noChangeAspect="1"/>
                          </pic:cNvPicPr>
                        </pic:nvPicPr>
                        <pic:blipFill>
                          <a:blip r:embed="rId64"/>
                          <a:stretch>
                            <a:fillRect/>
                          </a:stretch>
                        </pic:blipFill>
                        <pic:spPr>
                          <a:xfrm>
                            <a:off x="0" y="0"/>
                            <a:ext cx="3162935" cy="2371725"/>
                          </a:xfrm>
                          <a:prstGeom prst="rect">
                            <a:avLst/>
                          </a:prstGeom>
                        </pic:spPr>
                      </pic:pic>
                    </a:graphicData>
                  </a:graphic>
                </wp:inline>
              </w:drawing>
            </w:r>
          </w:p>
        </w:tc>
      </w:tr>
      <w:tr w14:paraId="2C91A3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jc w:val="center"/>
        </w:trPr>
        <w:tc>
          <w:tcPr>
            <w:tcW w:w="6620" w:type="dxa"/>
            <w:tcBorders>
              <w:tl2br w:val="nil"/>
              <w:tr2bl w:val="nil"/>
            </w:tcBorders>
            <w:vAlign w:val="center"/>
          </w:tcPr>
          <w:p w14:paraId="344B69A5">
            <w:pPr>
              <w:pStyle w:val="36"/>
              <w:ind w:left="0" w:leftChars="0" w:firstLine="0" w:firstLineChars="0"/>
              <w:jc w:val="center"/>
              <w:rPr>
                <w:rFonts w:hint="default" w:eastAsia="宋体"/>
                <w:color w:val="auto"/>
                <w:highlight w:val="none"/>
                <w:vertAlign w:val="baseline"/>
                <w:lang w:val="en-US" w:eastAsia="zh-CN"/>
              </w:rPr>
            </w:pPr>
            <w:r>
              <w:rPr>
                <w:rFonts w:hint="eastAsia"/>
                <w:color w:val="auto"/>
                <w:highlight w:val="none"/>
                <w:vertAlign w:val="baseline"/>
                <w:lang w:val="en-US" w:eastAsia="zh-CN"/>
              </w:rPr>
              <w:t>项目南侧</w:t>
            </w:r>
          </w:p>
        </w:tc>
        <w:tc>
          <w:tcPr>
            <w:tcW w:w="6620" w:type="dxa"/>
            <w:tcBorders>
              <w:tl2br w:val="nil"/>
              <w:tr2bl w:val="nil"/>
            </w:tcBorders>
            <w:vAlign w:val="center"/>
          </w:tcPr>
          <w:p w14:paraId="40ECA2D2">
            <w:pPr>
              <w:pStyle w:val="36"/>
              <w:ind w:left="0" w:leftChars="0" w:firstLine="0" w:firstLineChars="0"/>
              <w:jc w:val="center"/>
              <w:rPr>
                <w:rFonts w:hint="default" w:eastAsia="宋体"/>
                <w:color w:val="auto"/>
                <w:highlight w:val="none"/>
                <w:vertAlign w:val="baseline"/>
                <w:lang w:val="en-US" w:eastAsia="zh-CN"/>
              </w:rPr>
            </w:pPr>
            <w:r>
              <w:rPr>
                <w:rFonts w:hint="eastAsia"/>
                <w:color w:val="auto"/>
                <w:highlight w:val="none"/>
                <w:vertAlign w:val="baseline"/>
                <w:lang w:val="en-US" w:eastAsia="zh-CN"/>
              </w:rPr>
              <w:t>项目北侧</w:t>
            </w:r>
          </w:p>
        </w:tc>
      </w:tr>
    </w:tbl>
    <w:p w14:paraId="663F93D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eastAsia="宋体" w:cs="Times New Roman"/>
          <w:b/>
          <w:bCs/>
          <w:color w:val="auto"/>
          <w:sz w:val="24"/>
          <w:szCs w:val="24"/>
          <w:highlight w:val="none"/>
          <w:lang w:val="en-US" w:eastAsia="zh-CN"/>
        </w:rPr>
        <w:t>附图</w:t>
      </w:r>
      <w:r>
        <w:rPr>
          <w:rFonts w:hint="eastAsia" w:cs="Times New Roman"/>
          <w:b/>
          <w:bCs/>
          <w:color w:val="auto"/>
          <w:sz w:val="24"/>
          <w:szCs w:val="24"/>
          <w:highlight w:val="none"/>
          <w:lang w:val="en-US" w:eastAsia="zh-CN"/>
        </w:rPr>
        <w:t>2：现场照片</w:t>
      </w:r>
    </w:p>
    <w:bookmarkEnd w:id="469"/>
    <w:p w14:paraId="31CF1B46">
      <w:pPr>
        <w:pStyle w:val="36"/>
        <w:ind w:left="0" w:leftChars="0" w:firstLine="0" w:firstLineChars="0"/>
        <w:jc w:val="center"/>
        <w:rPr>
          <w:color w:val="auto"/>
          <w:highlight w:val="none"/>
        </w:rPr>
      </w:pPr>
      <w:bookmarkStart w:id="470" w:name="_Toc19674"/>
      <w:bookmarkStart w:id="471" w:name="_Toc217"/>
      <w:bookmarkStart w:id="472" w:name="_Toc29720"/>
      <w:r>
        <w:rPr>
          <w:color w:val="auto"/>
          <w:highlight w:val="none"/>
        </w:rPr>
        <w:drawing>
          <wp:anchor distT="0" distB="0" distL="114300" distR="114300" simplePos="0" relativeHeight="251696128" behindDoc="0" locked="0" layoutInCell="1" allowOverlap="1">
            <wp:simplePos x="0" y="0"/>
            <wp:positionH relativeFrom="column">
              <wp:posOffset>7190740</wp:posOffset>
            </wp:positionH>
            <wp:positionV relativeFrom="paragraph">
              <wp:posOffset>73025</wp:posOffset>
            </wp:positionV>
            <wp:extent cx="708660" cy="883920"/>
            <wp:effectExtent l="0" t="0" r="15240" b="11430"/>
            <wp:wrapNone/>
            <wp:docPr id="1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
                    <pic:cNvPicPr>
                      <a:picLocks noChangeAspect="1"/>
                    </pic:cNvPicPr>
                  </pic:nvPicPr>
                  <pic:blipFill>
                    <a:blip r:embed="rId65"/>
                    <a:stretch>
                      <a:fillRect/>
                    </a:stretch>
                  </pic:blipFill>
                  <pic:spPr>
                    <a:xfrm>
                      <a:off x="0" y="0"/>
                      <a:ext cx="708660" cy="883920"/>
                    </a:xfrm>
                    <a:prstGeom prst="rect">
                      <a:avLst/>
                    </a:prstGeom>
                    <a:noFill/>
                    <a:ln>
                      <a:noFill/>
                    </a:ln>
                  </pic:spPr>
                </pic:pic>
              </a:graphicData>
            </a:graphic>
          </wp:anchor>
        </w:drawing>
      </w:r>
      <w:r>
        <w:rPr>
          <w:color w:val="auto"/>
          <w:highlight w:val="none"/>
        </w:rPr>
        <w:drawing>
          <wp:inline distT="0" distB="0" distL="114300" distR="114300">
            <wp:extent cx="7390765" cy="5223510"/>
            <wp:effectExtent l="0" t="0" r="635" b="15240"/>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66"/>
                    <a:stretch>
                      <a:fillRect/>
                    </a:stretch>
                  </pic:blipFill>
                  <pic:spPr>
                    <a:xfrm>
                      <a:off x="0" y="0"/>
                      <a:ext cx="7390765" cy="5223510"/>
                    </a:xfrm>
                    <a:prstGeom prst="rect">
                      <a:avLst/>
                    </a:prstGeom>
                    <a:noFill/>
                    <a:ln>
                      <a:noFill/>
                    </a:ln>
                  </pic:spPr>
                </pic:pic>
              </a:graphicData>
            </a:graphic>
          </wp:inline>
        </w:drawing>
      </w:r>
    </w:p>
    <w:p w14:paraId="3459371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附图</w:t>
      </w: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厂区平面布置图</w:t>
      </w:r>
    </w:p>
    <w:p w14:paraId="75B3E751">
      <w:pPr>
        <w:rPr>
          <w:rFonts w:hint="default"/>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bookmarkEnd w:id="470"/>
    <w:bookmarkEnd w:id="471"/>
    <w:bookmarkEnd w:id="472"/>
    <w:p w14:paraId="1351152B">
      <w:pPr>
        <w:pStyle w:val="36"/>
        <w:ind w:left="0" w:leftChars="0" w:firstLine="0" w:firstLineChars="0"/>
        <w:rPr>
          <w:rFonts w:hint="default" w:ascii="Times New Roman" w:hAnsi="Times New Roman" w:eastAsia="宋体" w:cs="Times New Roman"/>
          <w:color w:val="auto"/>
          <w:highlight w:val="none"/>
          <w:lang w:eastAsia="zh-CN"/>
        </w:rPr>
      </w:pPr>
      <w:r>
        <w:rPr>
          <w:color w:val="auto"/>
          <w:sz w:val="20"/>
          <w:highlight w:val="none"/>
        </w:rPr>
        <mc:AlternateContent>
          <mc:Choice Requires="wps">
            <w:drawing>
              <wp:anchor distT="0" distB="0" distL="114300" distR="114300" simplePos="0" relativeHeight="251760640" behindDoc="0" locked="0" layoutInCell="1" allowOverlap="1">
                <wp:simplePos x="0" y="0"/>
                <wp:positionH relativeFrom="column">
                  <wp:posOffset>125730</wp:posOffset>
                </wp:positionH>
                <wp:positionV relativeFrom="paragraph">
                  <wp:posOffset>4238625</wp:posOffset>
                </wp:positionV>
                <wp:extent cx="199390" cy="181610"/>
                <wp:effectExtent l="4445" t="4445" r="5715" b="23495"/>
                <wp:wrapNone/>
                <wp:docPr id="143" name="五角星 143"/>
                <wp:cNvGraphicFramePr/>
                <a:graphic xmlns:a="http://schemas.openxmlformats.org/drawingml/2006/main">
                  <a:graphicData uri="http://schemas.microsoft.com/office/word/2010/wordprocessingShape">
                    <wps:wsp>
                      <wps:cNvSpPr/>
                      <wps:spPr>
                        <a:xfrm>
                          <a:off x="0" y="0"/>
                          <a:ext cx="199390" cy="181610"/>
                        </a:xfrm>
                        <a:prstGeom prst="star5">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9.9pt;margin-top:333.75pt;height:14.3pt;width:15.7pt;z-index:251760640;v-text-anchor:middle;mso-width-relative:page;mso-height-relative:page;" fillcolor="#FF0000" filled="t" stroked="t" coordsize="199390,181610" o:gfxdata="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cTxSq1gAAAAkBAAAPAAAAAAAAAAEAIAAAACIAAABkcnMvZG93bnJldi54&#10;bWxQSwECFAAUAAAACACHTuJA/QFl824CAADjBAAADgAAAAAAAAABACAAAAAlAQAAZHJzL2Uyb0Rv&#10;Yy54bWxQSwUGAAAAAAYABgBZAQAABQYAAAAA&#10;" path="m0,69368l76160,69369,99695,0,123229,69369,199389,69368,137774,112240,161309,181609,99695,138736,38080,181609,61615,112240xe">
                <v:path o:connectlocs="99695,0;0,69368;38080,181609;161309,181609;199389,69368" o:connectangles="247,164,82,82,0"/>
                <v:fill on="t" focussize="0,0"/>
                <v:stroke weight="0.25pt" color="#000000 [3213]" joinstyle="round"/>
                <v:imagedata o:title=""/>
                <o:lock v:ext="edit" aspectratio="f"/>
              </v:shape>
            </w:pict>
          </mc:Fallback>
        </mc:AlternateContent>
      </w:r>
      <w:r>
        <w:rPr>
          <w:color w:val="auto"/>
          <w:sz w:val="20"/>
          <w:highlight w:val="none"/>
        </w:rPr>
        <mc:AlternateContent>
          <mc:Choice Requires="wps">
            <w:drawing>
              <wp:anchor distT="0" distB="0" distL="114300" distR="114300" simplePos="0" relativeHeight="251759616" behindDoc="0" locked="0" layoutInCell="1" allowOverlap="1">
                <wp:simplePos x="0" y="0"/>
                <wp:positionH relativeFrom="column">
                  <wp:posOffset>145415</wp:posOffset>
                </wp:positionH>
                <wp:positionV relativeFrom="paragraph">
                  <wp:posOffset>4048760</wp:posOffset>
                </wp:positionV>
                <wp:extent cx="164465" cy="164465"/>
                <wp:effectExtent l="4445" t="4445" r="21590" b="21590"/>
                <wp:wrapNone/>
                <wp:docPr id="138" name="同心圆 138"/>
                <wp:cNvGraphicFramePr/>
                <a:graphic xmlns:a="http://schemas.openxmlformats.org/drawingml/2006/main">
                  <a:graphicData uri="http://schemas.microsoft.com/office/word/2010/wordprocessingShape">
                    <wps:wsp>
                      <wps:cNvSpPr/>
                      <wps:spPr>
                        <a:xfrm>
                          <a:off x="0" y="0"/>
                          <a:ext cx="164465" cy="164465"/>
                        </a:xfrm>
                        <a:prstGeom prst="donut">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1.45pt;margin-top:318.8pt;height:12.95pt;width:12.95pt;z-index:251759616;v-text-anchor:middle;mso-width-relative:page;mso-height-relative:page;" fillcolor="#FF0000" filled="t" stroked="t" coordsize="21600,21600" o:gfxdata="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vdqOw1gAAAAkBAAAPAAAAAAAAAAEAIAAAACIAAABkcnMvZG93bnJldi54bWxQSwEC&#10;FAAUAAAACACHTuJAg7HWxmgCAADjBAAADgAAAAAAAAABACAAAAAlAQAAZHJzL2Uyb0RvYy54bWxQ&#10;SwUGAAAAAAYABgBZAQAA/wUAAAAA&#10;" adj="5400">
                <v:fill on="t" focussize="0,0"/>
                <v:stroke weight="0.25pt" color="#000000 [3213]" joinstyle="round"/>
                <v:imagedata o:title=""/>
                <o:lock v:ext="edit" aspectratio="f"/>
              </v:shape>
            </w:pict>
          </mc:Fallback>
        </mc:AlternateContent>
      </w:r>
      <w:r>
        <w:rPr>
          <w:color w:val="auto"/>
          <w:sz w:val="20"/>
          <w:highlight w:val="none"/>
        </w:rPr>
        <mc:AlternateContent>
          <mc:Choice Requires="wps">
            <w:drawing>
              <wp:anchor distT="0" distB="0" distL="114300" distR="114300" simplePos="0" relativeHeight="251758592" behindDoc="0" locked="0" layoutInCell="1" allowOverlap="1">
                <wp:simplePos x="0" y="0"/>
                <wp:positionH relativeFrom="column">
                  <wp:posOffset>17780</wp:posOffset>
                </wp:positionH>
                <wp:positionV relativeFrom="paragraph">
                  <wp:posOffset>3790315</wp:posOffset>
                </wp:positionV>
                <wp:extent cx="1374775" cy="756285"/>
                <wp:effectExtent l="4445" t="4445" r="11430" b="20320"/>
                <wp:wrapNone/>
                <wp:docPr id="137" name="文本框 137"/>
                <wp:cNvGraphicFramePr/>
                <a:graphic xmlns:a="http://schemas.openxmlformats.org/drawingml/2006/main">
                  <a:graphicData uri="http://schemas.microsoft.com/office/word/2010/wordprocessingShape">
                    <wps:wsp>
                      <wps:cNvSpPr txBox="1"/>
                      <wps:spPr>
                        <a:xfrm>
                          <a:off x="1160780" y="3950335"/>
                          <a:ext cx="1374775" cy="7562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089DA33">
                            <w:pPr>
                              <w:spacing w:line="240" w:lineRule="auto"/>
                              <w:ind w:left="0" w:leftChars="0" w:firstLine="0" w:firstLineChars="0"/>
                              <w:jc w:val="center"/>
                              <w:rPr>
                                <w:rFonts w:hint="eastAsia"/>
                                <w:lang w:val="en-US" w:eastAsia="zh-CN"/>
                              </w:rPr>
                            </w:pPr>
                            <w:r>
                              <w:rPr>
                                <w:rFonts w:hint="eastAsia"/>
                                <w:lang w:val="en-US" w:eastAsia="zh-CN"/>
                              </w:rPr>
                              <w:t>图例</w:t>
                            </w:r>
                          </w:p>
                          <w:p w14:paraId="46E0641D">
                            <w:pPr>
                              <w:spacing w:line="240" w:lineRule="auto"/>
                              <w:rPr>
                                <w:rFonts w:hint="eastAsia"/>
                                <w:lang w:val="en-US" w:eastAsia="zh-CN"/>
                              </w:rPr>
                            </w:pPr>
                            <w:r>
                              <w:rPr>
                                <w:rFonts w:hint="eastAsia"/>
                                <w:lang w:val="en-US" w:eastAsia="zh-CN"/>
                              </w:rPr>
                              <w:t>：排气筒</w:t>
                            </w:r>
                          </w:p>
                          <w:p w14:paraId="0138B971">
                            <w:pPr>
                              <w:spacing w:line="240" w:lineRule="auto"/>
                              <w:rPr>
                                <w:rFonts w:hint="default"/>
                                <w:lang w:val="en-US" w:eastAsia="zh-CN"/>
                              </w:rPr>
                            </w:pPr>
                            <w:r>
                              <w:rPr>
                                <w:rFonts w:hint="eastAsia"/>
                                <w:lang w:val="en-US" w:eastAsia="zh-CN"/>
                              </w:rPr>
                              <w:t>：废水排放口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pt;margin-top:298.45pt;height:59.55pt;width:108.25pt;z-index:251758592;mso-width-relative:page;mso-height-relative:page;" fillcolor="#FFFFFF [3201]" filled="t" stroked="t" coordsize="21600,21600" o:gfxdata="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RJl6/WAAAACQEAAA8AAAAAAAAAAQAgAAAAIgAAAGRycy9kb3ducmV2LnhtbFBLAQIU&#10;ABQAAAAIAIdO4kDuPvADZwIAAMcEAAAOAAAAAAAAAAEAIAAAACUBAABkcnMvZTJvRG9jLnhtbFBL&#10;BQYAAAAABgAGAFkBAAD+BQAAAAA=&#10;">
                <v:fill on="t" focussize="0,0"/>
                <v:stroke weight="0.5pt" color="#000000 [3204]" joinstyle="round"/>
                <v:imagedata o:title=""/>
                <o:lock v:ext="edit" aspectratio="f"/>
                <v:textbox>
                  <w:txbxContent>
                    <w:p w14:paraId="3089DA33">
                      <w:pPr>
                        <w:spacing w:line="240" w:lineRule="auto"/>
                        <w:ind w:left="0" w:leftChars="0" w:firstLine="0" w:firstLineChars="0"/>
                        <w:jc w:val="center"/>
                        <w:rPr>
                          <w:rFonts w:hint="eastAsia"/>
                          <w:lang w:val="en-US" w:eastAsia="zh-CN"/>
                        </w:rPr>
                      </w:pPr>
                      <w:r>
                        <w:rPr>
                          <w:rFonts w:hint="eastAsia"/>
                          <w:lang w:val="en-US" w:eastAsia="zh-CN"/>
                        </w:rPr>
                        <w:t>图例</w:t>
                      </w:r>
                    </w:p>
                    <w:p w14:paraId="46E0641D">
                      <w:pPr>
                        <w:spacing w:line="240" w:lineRule="auto"/>
                        <w:rPr>
                          <w:rFonts w:hint="eastAsia"/>
                          <w:lang w:val="en-US" w:eastAsia="zh-CN"/>
                        </w:rPr>
                      </w:pPr>
                      <w:r>
                        <w:rPr>
                          <w:rFonts w:hint="eastAsia"/>
                          <w:lang w:val="en-US" w:eastAsia="zh-CN"/>
                        </w:rPr>
                        <w:t>：排气筒</w:t>
                      </w:r>
                    </w:p>
                    <w:p w14:paraId="0138B971">
                      <w:pPr>
                        <w:spacing w:line="240" w:lineRule="auto"/>
                        <w:rPr>
                          <w:rFonts w:hint="default"/>
                          <w:lang w:val="en-US" w:eastAsia="zh-CN"/>
                        </w:rPr>
                      </w:pPr>
                      <w:r>
                        <w:rPr>
                          <w:rFonts w:hint="eastAsia"/>
                          <w:lang w:val="en-US" w:eastAsia="zh-CN"/>
                        </w:rPr>
                        <w:t>：废水排放口</w:t>
                      </w:r>
                    </w:p>
                  </w:txbxContent>
                </v:textbox>
              </v:shape>
            </w:pict>
          </mc:Fallback>
        </mc:AlternateContent>
      </w:r>
      <w:r>
        <w:rPr>
          <w:color w:val="auto"/>
          <w:sz w:val="20"/>
          <w:highlight w:val="none"/>
        </w:rPr>
        <mc:AlternateContent>
          <mc:Choice Requires="wps">
            <w:drawing>
              <wp:anchor distT="0" distB="0" distL="114300" distR="114300" simplePos="0" relativeHeight="251756544" behindDoc="0" locked="0" layoutInCell="1" allowOverlap="1">
                <wp:simplePos x="0" y="0"/>
                <wp:positionH relativeFrom="column">
                  <wp:posOffset>2005330</wp:posOffset>
                </wp:positionH>
                <wp:positionV relativeFrom="paragraph">
                  <wp:posOffset>3957955</wp:posOffset>
                </wp:positionV>
                <wp:extent cx="420370" cy="241935"/>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420370" cy="241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4742A4">
                            <w:pPr>
                              <w:spacing w:line="240" w:lineRule="auto"/>
                              <w:ind w:left="0" w:leftChars="0" w:firstLine="0" w:firstLineChars="0"/>
                              <w:rPr>
                                <w:rFonts w:hint="eastAsia" w:ascii="黑体" w:hAnsi="黑体" w:eastAsia="黑体" w:cs="黑体"/>
                                <w:b/>
                                <w:bCs/>
                                <w:sz w:val="8"/>
                                <w:szCs w:val="6"/>
                                <w:lang w:val="en-US" w:eastAsia="zh-CN"/>
                              </w:rPr>
                            </w:pPr>
                            <w:r>
                              <w:rPr>
                                <w:rFonts w:hint="eastAsia" w:ascii="黑体" w:hAnsi="黑体" w:eastAsia="黑体" w:cs="黑体"/>
                                <w:b/>
                                <w:bCs/>
                                <w:sz w:val="8"/>
                                <w:szCs w:val="6"/>
                                <w:lang w:val="en-US" w:eastAsia="zh-CN"/>
                              </w:rPr>
                              <w:t>一般固废暂存间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9pt;margin-top:311.65pt;height:19.05pt;width:33.1pt;z-index:251756544;mso-width-relative:page;mso-height-relative:page;" filled="f" stroked="f" coordsize="21600,21600" o:gfxdata="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6pcu9wAAAALAQAADwAAAAAAAAABACAAAAAiAAAA&#10;ZHJzL2Rvd25yZXYueG1sUEsBAhQAFAAAAAgAh07iQBmXa0k8AgAAaQQAAA4AAAAAAAAAAQAgAAAA&#10;KwEAAGRycy9lMm9Eb2MueG1sUEsFBgAAAAAGAAYAWQEAANkFAAAAAA==&#10;">
                <v:fill on="f" focussize="0,0"/>
                <v:stroke on="f" weight="0.5pt"/>
                <v:imagedata o:title=""/>
                <o:lock v:ext="edit" aspectratio="f"/>
                <v:textbox>
                  <w:txbxContent>
                    <w:p w14:paraId="734742A4">
                      <w:pPr>
                        <w:spacing w:line="240" w:lineRule="auto"/>
                        <w:ind w:left="0" w:leftChars="0" w:firstLine="0" w:firstLineChars="0"/>
                        <w:rPr>
                          <w:rFonts w:hint="eastAsia" w:ascii="黑体" w:hAnsi="黑体" w:eastAsia="黑体" w:cs="黑体"/>
                          <w:b/>
                          <w:bCs/>
                          <w:sz w:val="8"/>
                          <w:szCs w:val="6"/>
                          <w:lang w:val="en-US" w:eastAsia="zh-CN"/>
                        </w:rPr>
                      </w:pPr>
                      <w:r>
                        <w:rPr>
                          <w:rFonts w:hint="eastAsia" w:ascii="黑体" w:hAnsi="黑体" w:eastAsia="黑体" w:cs="黑体"/>
                          <w:b/>
                          <w:bCs/>
                          <w:sz w:val="8"/>
                          <w:szCs w:val="6"/>
                          <w:lang w:val="en-US" w:eastAsia="zh-CN"/>
                        </w:rPr>
                        <w:t>一般固废暂存间</w:t>
                      </w:r>
                    </w:p>
                  </w:txbxContent>
                </v:textbox>
              </v:shape>
            </w:pict>
          </mc:Fallback>
        </mc:AlternateContent>
      </w:r>
      <w:r>
        <w:rPr>
          <w:color w:val="auto"/>
          <w:sz w:val="20"/>
          <w:highlight w:val="none"/>
        </w:rPr>
        <mc:AlternateContent>
          <mc:Choice Requires="wps">
            <w:drawing>
              <wp:anchor distT="0" distB="0" distL="114300" distR="114300" simplePos="0" relativeHeight="251757568" behindDoc="0" locked="0" layoutInCell="1" allowOverlap="1">
                <wp:simplePos x="0" y="0"/>
                <wp:positionH relativeFrom="column">
                  <wp:posOffset>2013585</wp:posOffset>
                </wp:positionH>
                <wp:positionV relativeFrom="paragraph">
                  <wp:posOffset>4207510</wp:posOffset>
                </wp:positionV>
                <wp:extent cx="420370" cy="277495"/>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42037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9E3F6D">
                            <w:pPr>
                              <w:spacing w:line="240" w:lineRule="auto"/>
                              <w:ind w:left="0" w:leftChars="0" w:firstLine="0" w:firstLineChars="0"/>
                              <w:rPr>
                                <w:rFonts w:hint="default" w:ascii="黑体" w:hAnsi="黑体" w:eastAsia="黑体" w:cs="黑体"/>
                                <w:b/>
                                <w:bCs/>
                                <w:sz w:val="8"/>
                                <w:szCs w:val="6"/>
                                <w:lang w:val="en-US" w:eastAsia="zh-CN"/>
                              </w:rPr>
                            </w:pPr>
                            <w:r>
                              <w:rPr>
                                <w:rFonts w:hint="eastAsia" w:ascii="黑体" w:hAnsi="黑体" w:eastAsia="黑体" w:cs="黑体"/>
                                <w:b/>
                                <w:bCs/>
                                <w:sz w:val="8"/>
                                <w:szCs w:val="6"/>
                                <w:lang w:val="en-US" w:eastAsia="zh-CN"/>
                              </w:rPr>
                              <w:t>危险废物暂存点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55pt;margin-top:331.3pt;height:21.85pt;width:33.1pt;z-index:251757568;mso-width-relative:page;mso-height-relative:page;" filled="f" stroked="f" coordsize="21600,21600" o:gfxdata="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&#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LxAffcAAAACwEAAA8AAAAAAAAAAQAgAAAAIgAA&#10;AGRycy9kb3ducmV2LnhtbFBLAQIUABQAAAAIAIdO4kDwkfQSPQIAAGkEAAAOAAAAAAAAAAEAIAAA&#10;ACsBAABkcnMvZTJvRG9jLnhtbFBLBQYAAAAABgAGAFkBAADaBQAAAAA=&#10;">
                <v:fill on="f" focussize="0,0"/>
                <v:stroke on="f" weight="0.5pt"/>
                <v:imagedata o:title=""/>
                <o:lock v:ext="edit" aspectratio="f"/>
                <v:textbox>
                  <w:txbxContent>
                    <w:p w14:paraId="659E3F6D">
                      <w:pPr>
                        <w:spacing w:line="240" w:lineRule="auto"/>
                        <w:ind w:left="0" w:leftChars="0" w:firstLine="0" w:firstLineChars="0"/>
                        <w:rPr>
                          <w:rFonts w:hint="default" w:ascii="黑体" w:hAnsi="黑体" w:eastAsia="黑体" w:cs="黑体"/>
                          <w:b/>
                          <w:bCs/>
                          <w:sz w:val="8"/>
                          <w:szCs w:val="6"/>
                          <w:lang w:val="en-US" w:eastAsia="zh-CN"/>
                        </w:rPr>
                      </w:pPr>
                      <w:r>
                        <w:rPr>
                          <w:rFonts w:hint="eastAsia" w:ascii="黑体" w:hAnsi="黑体" w:eastAsia="黑体" w:cs="黑体"/>
                          <w:b/>
                          <w:bCs/>
                          <w:sz w:val="8"/>
                          <w:szCs w:val="6"/>
                          <w:lang w:val="en-US" w:eastAsia="zh-CN"/>
                        </w:rPr>
                        <w:t>危险废物暂存点</w:t>
                      </w:r>
                    </w:p>
                  </w:txbxContent>
                </v:textbox>
              </v:shape>
            </w:pict>
          </mc:Fallback>
        </mc:AlternateContent>
      </w:r>
      <w:r>
        <w:rPr>
          <w:color w:val="auto"/>
          <w:sz w:val="20"/>
          <w:highlight w:val="none"/>
        </w:rPr>
        <mc:AlternateContent>
          <mc:Choice Requires="wps">
            <w:drawing>
              <wp:anchor distT="0" distB="0" distL="114300" distR="114300" simplePos="0" relativeHeight="251755520" behindDoc="0" locked="0" layoutInCell="1" allowOverlap="1">
                <wp:simplePos x="0" y="0"/>
                <wp:positionH relativeFrom="column">
                  <wp:posOffset>2098675</wp:posOffset>
                </wp:positionH>
                <wp:positionV relativeFrom="paragraph">
                  <wp:posOffset>4175125</wp:posOffset>
                </wp:positionV>
                <wp:extent cx="229235" cy="224155"/>
                <wp:effectExtent l="0" t="0" r="18415" b="4445"/>
                <wp:wrapNone/>
                <wp:docPr id="134" name="文本框 134"/>
                <wp:cNvGraphicFramePr/>
                <a:graphic xmlns:a="http://schemas.openxmlformats.org/drawingml/2006/main">
                  <a:graphicData uri="http://schemas.microsoft.com/office/word/2010/wordprocessingShape">
                    <wps:wsp>
                      <wps:cNvSpPr txBox="1"/>
                      <wps:spPr>
                        <a:xfrm>
                          <a:off x="3241675" y="5104130"/>
                          <a:ext cx="229235" cy="2241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0D6B36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25pt;margin-top:328.75pt;height:17.65pt;width:18.05pt;z-index:251755520;mso-width-relative:page;mso-height-relative:page;" fillcolor="#FFFFFF [3201]" filled="t" stroked="f" coordsize="21600,21600" o:gfxdata="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PIXC7W&#10;AAAACwEAAA8AAAAAAAAAAQAgAAAAIgAAAGRycy9kb3ducmV2LnhtbFBLAQIUABQAAAAIAIdO4kBh&#10;GPTaWwIAAJ4EAAAOAAAAAAAAAAEAIAAAACUBAABkcnMvZTJvRG9jLnhtbFBLBQYAAAAABgAGAFkB&#10;AADyBQAAAAA=&#10;">
                <v:fill on="t" focussize="0,0"/>
                <v:stroke on="f" weight="0.5pt"/>
                <v:imagedata o:title=""/>
                <o:lock v:ext="edit" aspectratio="f"/>
                <v:textbox>
                  <w:txbxContent>
                    <w:p w14:paraId="40D6B36F"/>
                  </w:txbxContent>
                </v:textbox>
              </v:shape>
            </w:pict>
          </mc:Fallback>
        </mc:AlternateContent>
      </w:r>
      <w:r>
        <w:rPr>
          <w:color w:val="auto"/>
          <w:sz w:val="20"/>
          <w:highlight w:val="none"/>
        </w:rPr>
        <mc:AlternateContent>
          <mc:Choice Requires="wps">
            <w:drawing>
              <wp:anchor distT="0" distB="0" distL="114300" distR="114300" simplePos="0" relativeHeight="251754496" behindDoc="0" locked="0" layoutInCell="1" allowOverlap="1">
                <wp:simplePos x="0" y="0"/>
                <wp:positionH relativeFrom="column">
                  <wp:posOffset>2070100</wp:posOffset>
                </wp:positionH>
                <wp:positionV relativeFrom="paragraph">
                  <wp:posOffset>4167505</wp:posOffset>
                </wp:positionV>
                <wp:extent cx="284480" cy="1270"/>
                <wp:effectExtent l="0" t="0" r="0" b="0"/>
                <wp:wrapNone/>
                <wp:docPr id="133" name="直接连接符 133"/>
                <wp:cNvGraphicFramePr/>
                <a:graphic xmlns:a="http://schemas.openxmlformats.org/drawingml/2006/main">
                  <a:graphicData uri="http://schemas.microsoft.com/office/word/2010/wordprocessingShape">
                    <wps:wsp>
                      <wps:cNvCnPr/>
                      <wps:spPr>
                        <a:xfrm>
                          <a:off x="3215005" y="5083175"/>
                          <a:ext cx="284480" cy="1270"/>
                        </a:xfrm>
                        <a:prstGeom prst="line">
                          <a:avLst/>
                        </a:prstGeom>
                        <a:ln w="12700">
                          <a:solidFill>
                            <a:srgbClr val="72FFFF"/>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3pt;margin-top:328.15pt;height:0.1pt;width:22.4pt;z-index:251754496;mso-width-relative:page;mso-height-relative:page;" filled="f" stroked="t" coordsize="21600,21600" o:gfxdata="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s&#10;iaeb1wAAAAsBAAAPAAAAAAAAAAEAIAAAACIAAABkcnMvZG93bnJldi54bWxQSwECFAAUAAAACACH&#10;TuJAHeCHjuwBAACtAwAADgAAAAAAAAABACAAAAAmAQAAZHJzL2Uyb0RvYy54bWxQSwUGAAAAAAYA&#10;BgBZAQAAhAUAAAAA&#10;">
                <v:fill on="f" focussize="0,0"/>
                <v:stroke weight="1pt" color="#72FFFF [3204]" joinstyle="round"/>
                <v:imagedata o:title=""/>
                <o:lock v:ext="edit" aspectratio="f"/>
              </v:line>
            </w:pict>
          </mc:Fallback>
        </mc:AlternateContent>
      </w:r>
      <w:r>
        <w:rPr>
          <w:color w:val="auto"/>
          <w:sz w:val="20"/>
          <w:highlight w:val="none"/>
        </w:rPr>
        <mc:AlternateContent>
          <mc:Choice Requires="wps">
            <w:drawing>
              <wp:anchor distT="0" distB="0" distL="114300" distR="114300" simplePos="0" relativeHeight="251753472" behindDoc="0" locked="0" layoutInCell="1" allowOverlap="1">
                <wp:simplePos x="0" y="0"/>
                <wp:positionH relativeFrom="column">
                  <wp:posOffset>7978775</wp:posOffset>
                </wp:positionH>
                <wp:positionV relativeFrom="paragraph">
                  <wp:posOffset>2263775</wp:posOffset>
                </wp:positionV>
                <wp:extent cx="640080" cy="26035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640080"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B16FE5">
                            <w:pPr>
                              <w:spacing w:line="240" w:lineRule="auto"/>
                              <w:ind w:left="0" w:leftChars="0" w:firstLine="0" w:firstLineChars="0"/>
                              <w:rPr>
                                <w:rFonts w:hint="default" w:eastAsia="宋体"/>
                                <w:b/>
                                <w:bCs/>
                                <w:sz w:val="20"/>
                                <w:szCs w:val="18"/>
                                <w:lang w:val="en-US" w:eastAsia="zh-CN"/>
                              </w:rPr>
                            </w:pPr>
                            <w:r>
                              <w:rPr>
                                <w:rFonts w:hint="eastAsia"/>
                                <w:b/>
                                <w:bCs/>
                                <w:sz w:val="20"/>
                                <w:szCs w:val="18"/>
                                <w:lang w:val="en-US" w:eastAsia="zh-CN"/>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8.25pt;margin-top:178.25pt;height:20.5pt;width:50.4pt;z-index:251753472;mso-width-relative:page;mso-height-relative:page;" filled="f" stroked="f" coordsize="21600,21600" o:gfxdata="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FedG3AAAAA0BAAAPAAAAAAAAAAEAIAAAACIAAABkcnMv&#10;ZG93bnJldi54bWxQSwECFAAUAAAACACHTuJAd/ivNDgCAABpBAAADgAAAAAAAAABACAAAAArAQAA&#10;ZHJzL2Uyb0RvYy54bWxQSwUGAAAAAAYABgBZAQAA1QUAAAAA&#10;">
                <v:fill on="f" focussize="0,0"/>
                <v:stroke on="f" weight="0.5pt"/>
                <v:imagedata o:title=""/>
                <o:lock v:ext="edit" aspectratio="f"/>
                <v:textbox>
                  <w:txbxContent>
                    <w:p w14:paraId="3EB16FE5">
                      <w:pPr>
                        <w:spacing w:line="240" w:lineRule="auto"/>
                        <w:ind w:left="0" w:leftChars="0" w:firstLine="0" w:firstLineChars="0"/>
                        <w:rPr>
                          <w:rFonts w:hint="default" w:eastAsia="宋体"/>
                          <w:b/>
                          <w:bCs/>
                          <w:sz w:val="20"/>
                          <w:szCs w:val="18"/>
                          <w:lang w:val="en-US" w:eastAsia="zh-CN"/>
                        </w:rPr>
                      </w:pPr>
                      <w:r>
                        <w:rPr>
                          <w:rFonts w:hint="eastAsia"/>
                          <w:b/>
                          <w:bCs/>
                          <w:sz w:val="20"/>
                          <w:szCs w:val="18"/>
                          <w:lang w:val="en-US" w:eastAsia="zh-CN"/>
                        </w:rPr>
                        <w:t>DW001</w:t>
                      </w:r>
                    </w:p>
                  </w:txbxContent>
                </v:textbox>
              </v:shape>
            </w:pict>
          </mc:Fallback>
        </mc:AlternateContent>
      </w:r>
      <w:r>
        <w:rPr>
          <w:color w:val="auto"/>
          <w:sz w:val="20"/>
          <w:highlight w:val="none"/>
        </w:rPr>
        <mc:AlternateContent>
          <mc:Choice Requires="wps">
            <w:drawing>
              <wp:anchor distT="0" distB="0" distL="114300" distR="114300" simplePos="0" relativeHeight="251752448" behindDoc="0" locked="0" layoutInCell="1" allowOverlap="1">
                <wp:simplePos x="0" y="0"/>
                <wp:positionH relativeFrom="column">
                  <wp:posOffset>7838440</wp:posOffset>
                </wp:positionH>
                <wp:positionV relativeFrom="paragraph">
                  <wp:posOffset>2317115</wp:posOffset>
                </wp:positionV>
                <wp:extent cx="199390" cy="181610"/>
                <wp:effectExtent l="4445" t="4445" r="5715" b="23495"/>
                <wp:wrapNone/>
                <wp:docPr id="98" name="五角星 98"/>
                <wp:cNvGraphicFramePr/>
                <a:graphic xmlns:a="http://schemas.openxmlformats.org/drawingml/2006/main">
                  <a:graphicData uri="http://schemas.microsoft.com/office/word/2010/wordprocessingShape">
                    <wps:wsp>
                      <wps:cNvSpPr/>
                      <wps:spPr>
                        <a:xfrm>
                          <a:off x="8600440" y="3370580"/>
                          <a:ext cx="199390" cy="181610"/>
                        </a:xfrm>
                        <a:prstGeom prst="star5">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17.2pt;margin-top:182.45pt;height:14.3pt;width:15.7pt;z-index:251752448;v-text-anchor:middle;mso-width-relative:page;mso-height-relative:page;" fillcolor="#FF0000" filled="t" stroked="t" coordsize="199390,181610" o:gfxdata="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K1LxCzZAAAADQEAAA8AAAAAAAAAAQAgAAAAIgAA&#10;AGRycy9kb3ducmV2LnhtbFBLAQIUABQAAAAIAIdO4kCLwYLPeQIAAO0EAAAOAAAAAAAAAAEAIAAA&#10;ACgBAABkcnMvZTJvRG9jLnhtbFBLBQYAAAAABgAGAFkBAAATBgAAAAA=&#10;" path="m0,69368l76160,69369,99695,0,123229,69369,199389,69368,137774,112240,161309,181609,99695,138736,38080,181609,61615,112240xe">
                <v:path o:connectlocs="99695,0;0,69368;38080,181609;161309,181609;199389,69368" o:connectangles="247,164,82,82,0"/>
                <v:fill on="t" focussize="0,0"/>
                <v:stroke weight="0.25pt" color="#000000 [3213]" joinstyle="round"/>
                <v:imagedata o:title=""/>
                <o:lock v:ext="edit" aspectratio="f"/>
              </v:shape>
            </w:pict>
          </mc:Fallback>
        </mc:AlternateContent>
      </w:r>
      <w:r>
        <w:rPr>
          <w:color w:val="auto"/>
          <w:sz w:val="20"/>
          <w:highlight w:val="none"/>
        </w:rPr>
        <mc:AlternateContent>
          <mc:Choice Requires="wps">
            <w:drawing>
              <wp:anchor distT="0" distB="0" distL="114300" distR="114300" simplePos="0" relativeHeight="251751424" behindDoc="0" locked="0" layoutInCell="1" allowOverlap="1">
                <wp:simplePos x="0" y="0"/>
                <wp:positionH relativeFrom="column">
                  <wp:posOffset>7670800</wp:posOffset>
                </wp:positionH>
                <wp:positionV relativeFrom="paragraph">
                  <wp:posOffset>4258310</wp:posOffset>
                </wp:positionV>
                <wp:extent cx="640080" cy="26035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640080"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0C48FC">
                            <w:pPr>
                              <w:spacing w:line="240" w:lineRule="auto"/>
                              <w:ind w:left="0" w:leftChars="0" w:firstLine="0" w:firstLineChars="0"/>
                              <w:rPr>
                                <w:rFonts w:hint="default" w:eastAsia="宋体"/>
                                <w:b/>
                                <w:bCs/>
                                <w:sz w:val="20"/>
                                <w:szCs w:val="18"/>
                                <w:lang w:val="en-US" w:eastAsia="zh-CN"/>
                              </w:rPr>
                            </w:pPr>
                            <w:r>
                              <w:rPr>
                                <w:rFonts w:hint="eastAsia"/>
                                <w:b/>
                                <w:bCs/>
                                <w:sz w:val="20"/>
                                <w:szCs w:val="18"/>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4pt;margin-top:335.3pt;height:20.5pt;width:50.4pt;z-index:251751424;mso-width-relative:page;mso-height-relative:page;" filled="f" stroked="f" coordsize="21600,21600" o:gfxdata="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GoCL/cAAAADQEAAA8AAAAAAAAAAQAgAAAAIgAAAGRy&#10;cy9kb3ducmV2LnhtbFBLAQIUABQAAAAIAIdO4kBh3Cr1OgIAAGcEAAAOAAAAAAAAAAEAIAAAACsB&#10;AABkcnMvZTJvRG9jLnhtbFBLBQYAAAAABgAGAFkBAADXBQAAAAA=&#10;">
                <v:fill on="f" focussize="0,0"/>
                <v:stroke on="f" weight="0.5pt"/>
                <v:imagedata o:title=""/>
                <o:lock v:ext="edit" aspectratio="f"/>
                <v:textbox>
                  <w:txbxContent>
                    <w:p w14:paraId="3C0C48FC">
                      <w:pPr>
                        <w:spacing w:line="240" w:lineRule="auto"/>
                        <w:ind w:left="0" w:leftChars="0" w:firstLine="0" w:firstLineChars="0"/>
                        <w:rPr>
                          <w:rFonts w:hint="default" w:eastAsia="宋体"/>
                          <w:b/>
                          <w:bCs/>
                          <w:sz w:val="20"/>
                          <w:szCs w:val="18"/>
                          <w:lang w:val="en-US" w:eastAsia="zh-CN"/>
                        </w:rPr>
                      </w:pPr>
                      <w:r>
                        <w:rPr>
                          <w:rFonts w:hint="eastAsia"/>
                          <w:b/>
                          <w:bCs/>
                          <w:sz w:val="20"/>
                          <w:szCs w:val="18"/>
                          <w:lang w:val="en-US" w:eastAsia="zh-CN"/>
                        </w:rPr>
                        <w:t>DA002</w:t>
                      </w:r>
                    </w:p>
                  </w:txbxContent>
                </v:textbox>
              </v:shape>
            </w:pict>
          </mc:Fallback>
        </mc:AlternateContent>
      </w:r>
      <w:r>
        <w:rPr>
          <w:color w:val="auto"/>
          <w:sz w:val="20"/>
          <w:highlight w:val="none"/>
        </w:rPr>
        <mc:AlternateContent>
          <mc:Choice Requires="wps">
            <w:drawing>
              <wp:anchor distT="0" distB="0" distL="114300" distR="114300" simplePos="0" relativeHeight="251750400" behindDoc="0" locked="0" layoutInCell="1" allowOverlap="1">
                <wp:simplePos x="0" y="0"/>
                <wp:positionH relativeFrom="column">
                  <wp:posOffset>3032760</wp:posOffset>
                </wp:positionH>
                <wp:positionV relativeFrom="paragraph">
                  <wp:posOffset>3508375</wp:posOffset>
                </wp:positionV>
                <wp:extent cx="640080" cy="260350"/>
                <wp:effectExtent l="0" t="0" r="7620" b="6350"/>
                <wp:wrapNone/>
                <wp:docPr id="89" name="文本框 89"/>
                <wp:cNvGraphicFramePr/>
                <a:graphic xmlns:a="http://schemas.openxmlformats.org/drawingml/2006/main">
                  <a:graphicData uri="http://schemas.microsoft.com/office/word/2010/wordprocessingShape">
                    <wps:wsp>
                      <wps:cNvSpPr txBox="1"/>
                      <wps:spPr>
                        <a:xfrm>
                          <a:off x="4340225" y="4457700"/>
                          <a:ext cx="640080"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244958">
                            <w:pPr>
                              <w:spacing w:line="240" w:lineRule="auto"/>
                              <w:ind w:left="0" w:leftChars="0" w:firstLine="0" w:firstLineChars="0"/>
                              <w:rPr>
                                <w:rFonts w:hint="default" w:eastAsia="宋体"/>
                                <w:b/>
                                <w:bCs/>
                                <w:sz w:val="20"/>
                                <w:szCs w:val="18"/>
                                <w:lang w:val="en-US" w:eastAsia="zh-CN"/>
                              </w:rPr>
                            </w:pPr>
                            <w:r>
                              <w:rPr>
                                <w:rFonts w:hint="eastAsia"/>
                                <w:b/>
                                <w:bCs/>
                                <w:sz w:val="20"/>
                                <w:szCs w:val="18"/>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8pt;margin-top:276.25pt;height:20.5pt;width:50.4pt;z-index:251750400;mso-width-relative:page;mso-height-relative:page;" filled="f" stroked="f" coordsize="21600,21600" o:gfxdata="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jA1z4dwAAAALAQAADwAAAAAAAAAB&#10;ACAAAAAiAAAAZHJzL2Rvd25yZXYueG1sUEsBAhQAFAAAAAgAh07iQNAch65FAgAAcwQAAA4AAAAA&#10;AAAAAQAgAAAAKwEAAGRycy9lMm9Eb2MueG1sUEsFBgAAAAAGAAYAWQEAAOIFAAAAAA==&#10;">
                <v:fill on="f" focussize="0,0"/>
                <v:stroke on="f" weight="0.5pt"/>
                <v:imagedata o:title=""/>
                <o:lock v:ext="edit" aspectratio="f"/>
                <v:textbox>
                  <w:txbxContent>
                    <w:p w14:paraId="07244958">
                      <w:pPr>
                        <w:spacing w:line="240" w:lineRule="auto"/>
                        <w:ind w:left="0" w:leftChars="0" w:firstLine="0" w:firstLineChars="0"/>
                        <w:rPr>
                          <w:rFonts w:hint="default" w:eastAsia="宋体"/>
                          <w:b/>
                          <w:bCs/>
                          <w:sz w:val="20"/>
                          <w:szCs w:val="18"/>
                          <w:lang w:val="en-US" w:eastAsia="zh-CN"/>
                        </w:rPr>
                      </w:pPr>
                      <w:r>
                        <w:rPr>
                          <w:rFonts w:hint="eastAsia"/>
                          <w:b/>
                          <w:bCs/>
                          <w:sz w:val="20"/>
                          <w:szCs w:val="18"/>
                          <w:lang w:val="en-US" w:eastAsia="zh-CN"/>
                        </w:rPr>
                        <w:t>DA001</w:t>
                      </w:r>
                    </w:p>
                  </w:txbxContent>
                </v:textbox>
              </v:shape>
            </w:pict>
          </mc:Fallback>
        </mc:AlternateContent>
      </w:r>
      <w:r>
        <w:rPr>
          <w:color w:val="auto"/>
          <w:sz w:val="20"/>
          <w:highlight w:val="none"/>
        </w:rPr>
        <mc:AlternateContent>
          <mc:Choice Requires="wps">
            <w:drawing>
              <wp:anchor distT="0" distB="0" distL="114300" distR="114300" simplePos="0" relativeHeight="251749376" behindDoc="0" locked="0" layoutInCell="1" allowOverlap="1">
                <wp:simplePos x="0" y="0"/>
                <wp:positionH relativeFrom="column">
                  <wp:posOffset>7540625</wp:posOffset>
                </wp:positionH>
                <wp:positionV relativeFrom="paragraph">
                  <wp:posOffset>4283710</wp:posOffset>
                </wp:positionV>
                <wp:extent cx="164465" cy="164465"/>
                <wp:effectExtent l="4445" t="4445" r="21590" b="21590"/>
                <wp:wrapNone/>
                <wp:docPr id="56" name="同心圆 56"/>
                <wp:cNvGraphicFramePr/>
                <a:graphic xmlns:a="http://schemas.openxmlformats.org/drawingml/2006/main">
                  <a:graphicData uri="http://schemas.microsoft.com/office/word/2010/wordprocessingShape">
                    <wps:wsp>
                      <wps:cNvSpPr/>
                      <wps:spPr>
                        <a:xfrm>
                          <a:off x="0" y="0"/>
                          <a:ext cx="164465" cy="164465"/>
                        </a:xfrm>
                        <a:prstGeom prst="donut">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593.75pt;margin-top:337.3pt;height:12.95pt;width:12.95pt;z-index:251749376;v-text-anchor:middle;mso-width-relative:page;mso-height-relative:page;" fillcolor="#FF0000" filled="t" stroked="t" coordsize="21600,21600" o:gfxdata="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L20rc2QAAAA0BAAAPAAAAAAAAAAEAIAAAACIAAABkcnMvZG93bnJldi54bWxQ&#10;SwECFAAUAAAACACHTuJAGHgmlGgCAADhBAAADgAAAAAAAAABACAAAAAoAQAAZHJzL2Uyb0RvYy54&#10;bWxQSwUGAAAAAAYABgBZAQAAAgYAAAAA&#10;" adj="5400">
                <v:fill on="t" focussize="0,0"/>
                <v:stroke weight="0.25pt" color="#000000 [3213]" joinstyle="round"/>
                <v:imagedata o:title=""/>
                <o:lock v:ext="edit" aspectratio="f"/>
              </v:shape>
            </w:pict>
          </mc:Fallback>
        </mc:AlternateContent>
      </w:r>
      <w:r>
        <w:rPr>
          <w:color w:val="auto"/>
          <w:sz w:val="20"/>
          <w:highlight w:val="none"/>
        </w:rPr>
        <mc:AlternateContent>
          <mc:Choice Requires="wps">
            <w:drawing>
              <wp:anchor distT="0" distB="0" distL="114300" distR="114300" simplePos="0" relativeHeight="251748352" behindDoc="0" locked="0" layoutInCell="1" allowOverlap="1">
                <wp:simplePos x="0" y="0"/>
                <wp:positionH relativeFrom="column">
                  <wp:posOffset>2972435</wp:posOffset>
                </wp:positionH>
                <wp:positionV relativeFrom="paragraph">
                  <wp:posOffset>3447415</wp:posOffset>
                </wp:positionV>
                <wp:extent cx="164465" cy="164465"/>
                <wp:effectExtent l="4445" t="4445" r="21590" b="21590"/>
                <wp:wrapNone/>
                <wp:docPr id="46" name="同心圆 46"/>
                <wp:cNvGraphicFramePr/>
                <a:graphic xmlns:a="http://schemas.openxmlformats.org/drawingml/2006/main">
                  <a:graphicData uri="http://schemas.microsoft.com/office/word/2010/wordprocessingShape">
                    <wps:wsp>
                      <wps:cNvSpPr/>
                      <wps:spPr>
                        <a:xfrm>
                          <a:off x="4756150" y="4933315"/>
                          <a:ext cx="164465" cy="164465"/>
                        </a:xfrm>
                        <a:prstGeom prst="donut">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34.05pt;margin-top:271.45pt;height:12.95pt;width:12.95pt;z-index:251748352;v-text-anchor:middle;mso-width-relative:page;mso-height-relative:page;" fillcolor="#FF0000" filled="t" stroked="t" coordsize="21600,21600" o:gfxdata="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Eb1dDYAAAACwEAAA8AAAAAAAAAAQAgAAAAIgAAAGRycy9k&#10;b3ducmV2LnhtbFBLAQIUABQAAAAIAIdO4kDjolSadAIAAO0EAAAOAAAAAAAAAAEAIAAAACcBAABk&#10;cnMvZTJvRG9jLnhtbFBLBQYAAAAABgAGAFkBAAANBgAAAAA=&#10;" adj="5400">
                <v:fill on="t" focussize="0,0"/>
                <v:stroke weight="0.25pt" color="#000000 [3213]" joinstyle="round"/>
                <v:imagedata o:title=""/>
                <o:lock v:ext="edit" aspectratio="f"/>
              </v:shape>
            </w:pict>
          </mc:Fallback>
        </mc:AlternateContent>
      </w:r>
      <w:r>
        <w:rPr>
          <w:color w:val="auto"/>
          <w:highlight w:val="none"/>
        </w:rPr>
        <w:drawing>
          <wp:anchor distT="0" distB="0" distL="114300" distR="114300" simplePos="0" relativeHeight="251720704" behindDoc="0" locked="0" layoutInCell="1" allowOverlap="1">
            <wp:simplePos x="0" y="0"/>
            <wp:positionH relativeFrom="column">
              <wp:posOffset>7706995</wp:posOffset>
            </wp:positionH>
            <wp:positionV relativeFrom="paragraph">
              <wp:posOffset>1270</wp:posOffset>
            </wp:positionV>
            <wp:extent cx="708660" cy="883920"/>
            <wp:effectExtent l="0" t="0" r="15240" b="11430"/>
            <wp:wrapNone/>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65"/>
                    <a:stretch>
                      <a:fillRect/>
                    </a:stretch>
                  </pic:blipFill>
                  <pic:spPr>
                    <a:xfrm>
                      <a:off x="0" y="0"/>
                      <a:ext cx="708660" cy="883920"/>
                    </a:xfrm>
                    <a:prstGeom prst="rect">
                      <a:avLst/>
                    </a:prstGeom>
                    <a:noFill/>
                    <a:ln>
                      <a:noFill/>
                    </a:ln>
                  </pic:spPr>
                </pic:pic>
              </a:graphicData>
            </a:graphic>
          </wp:anchor>
        </w:drawing>
      </w:r>
      <w:r>
        <w:rPr>
          <w:color w:val="auto"/>
          <w:highlight w:val="none"/>
        </w:rPr>
        <w:drawing>
          <wp:inline distT="0" distB="0" distL="114300" distR="114300">
            <wp:extent cx="8404860" cy="4530090"/>
            <wp:effectExtent l="0" t="0" r="15240" b="381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67"/>
                    <a:stretch>
                      <a:fillRect/>
                    </a:stretch>
                  </pic:blipFill>
                  <pic:spPr>
                    <a:xfrm>
                      <a:off x="0" y="0"/>
                      <a:ext cx="8404860" cy="4530090"/>
                    </a:xfrm>
                    <a:prstGeom prst="rect">
                      <a:avLst/>
                    </a:prstGeom>
                    <a:noFill/>
                    <a:ln>
                      <a:noFill/>
                    </a:ln>
                  </pic:spPr>
                </pic:pic>
              </a:graphicData>
            </a:graphic>
          </wp:inline>
        </w:drawing>
      </w:r>
    </w:p>
    <w:p w14:paraId="125ECF62">
      <w:pPr>
        <w:jc w:val="center"/>
        <w:rPr>
          <w:rFonts w:hint="default" w:ascii="Times New Roman" w:hAnsi="Times New Roman" w:eastAsia="宋体" w:cs="Times New Roman"/>
          <w:b/>
          <w:bCs/>
          <w:color w:val="auto"/>
          <w:sz w:val="24"/>
          <w:szCs w:val="24"/>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473" w:name="_Toc17391"/>
      <w:bookmarkStart w:id="474" w:name="_Toc21012"/>
      <w:bookmarkStart w:id="475" w:name="_Toc6621"/>
      <w:r>
        <w:rPr>
          <w:rFonts w:hint="default" w:ascii="Times New Roman" w:hAnsi="Times New Roman" w:eastAsia="宋体" w:cs="Times New Roman"/>
          <w:b/>
          <w:bCs/>
          <w:color w:val="auto"/>
          <w:sz w:val="24"/>
          <w:szCs w:val="24"/>
          <w:highlight w:val="none"/>
        </w:rPr>
        <w:t>附图</w:t>
      </w: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 xml:space="preserve">  </w:t>
      </w:r>
      <w:r>
        <w:rPr>
          <w:rFonts w:hint="eastAsia" w:cs="Times New Roman"/>
          <w:b/>
          <w:bCs/>
          <w:color w:val="auto"/>
          <w:sz w:val="24"/>
          <w:szCs w:val="24"/>
          <w:highlight w:val="none"/>
          <w:lang w:val="en-US" w:eastAsia="zh-CN"/>
        </w:rPr>
        <w:t>生产车间</w:t>
      </w:r>
      <w:r>
        <w:rPr>
          <w:rFonts w:hint="default" w:ascii="Times New Roman" w:hAnsi="Times New Roman" w:eastAsia="宋体" w:cs="Times New Roman"/>
          <w:b/>
          <w:bCs/>
          <w:color w:val="auto"/>
          <w:sz w:val="24"/>
          <w:szCs w:val="24"/>
          <w:highlight w:val="none"/>
        </w:rPr>
        <w:t>布置图</w:t>
      </w:r>
      <w:bookmarkEnd w:id="473"/>
      <w:bookmarkEnd w:id="474"/>
      <w:bookmarkEnd w:id="475"/>
    </w:p>
    <w:p w14:paraId="6BF3BB15">
      <w:pPr>
        <w:pStyle w:val="36"/>
        <w:ind w:left="0" w:leftChars="0" w:firstLine="0" w:firstLineChars="0"/>
        <w:rPr>
          <w:color w:val="auto"/>
          <w:highlight w:val="none"/>
        </w:rPr>
      </w:pPr>
    </w:p>
    <w:p w14:paraId="2586BF7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271135" cy="7449185"/>
            <wp:effectExtent l="0" t="0" r="5715" b="18415"/>
            <wp:docPr id="48" name="图片 48" descr="土地利用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土地利用现状图"/>
                    <pic:cNvPicPr>
                      <a:picLocks noChangeAspect="1"/>
                    </pic:cNvPicPr>
                  </pic:nvPicPr>
                  <pic:blipFill>
                    <a:blip r:embed="rId68"/>
                    <a:stretch>
                      <a:fillRect/>
                    </a:stretch>
                  </pic:blipFill>
                  <pic:spPr>
                    <a:xfrm>
                      <a:off x="0" y="0"/>
                      <a:ext cx="5271135" cy="7449185"/>
                    </a:xfrm>
                    <a:prstGeom prst="rect">
                      <a:avLst/>
                    </a:prstGeom>
                  </pic:spPr>
                </pic:pic>
              </a:graphicData>
            </a:graphic>
          </wp:inline>
        </w:drawing>
      </w:r>
    </w:p>
    <w:p w14:paraId="1988733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附图</w:t>
      </w:r>
      <w:r>
        <w:rPr>
          <w:rFonts w:hint="eastAsia" w:cs="Times New Roman"/>
          <w:b/>
          <w:bCs/>
          <w:color w:val="auto"/>
          <w:sz w:val="24"/>
          <w:szCs w:val="24"/>
          <w:highlight w:val="none"/>
          <w:lang w:val="en-US" w:eastAsia="zh-CN"/>
        </w:rPr>
        <w:t>5：土地利用现状图</w:t>
      </w:r>
    </w:p>
    <w:p w14:paraId="69151C8F">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cs="Times New Roman"/>
          <w:color w:val="auto"/>
          <w:sz w:val="24"/>
          <w:szCs w:val="24"/>
          <w:highlight w:val="none"/>
        </w:rPr>
        <w:sectPr>
          <w:footerReference r:id="rId11"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36143D3">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黑体" w:cs="Times New Roman"/>
          <w:color w:val="auto"/>
          <w:sz w:val="24"/>
          <w:szCs w:val="24"/>
          <w:highlight w:val="none"/>
          <w:lang w:val="en-US" w:eastAsia="zh-CN"/>
        </w:rPr>
      </w:pPr>
      <w:r>
        <w:rPr>
          <w:rFonts w:cs="Times New Roman"/>
          <w:color w:val="auto"/>
          <w:sz w:val="24"/>
          <w:szCs w:val="24"/>
          <w:highlight w:val="none"/>
        </w:rPr>
        <w:t>附件1</w:t>
      </w:r>
      <w:bookmarkEnd w:id="465"/>
      <w:r>
        <w:rPr>
          <w:rFonts w:cs="Times New Roman"/>
          <w:color w:val="auto"/>
          <w:sz w:val="24"/>
          <w:szCs w:val="24"/>
          <w:highlight w:val="none"/>
        </w:rPr>
        <w:t>：</w:t>
      </w:r>
      <w:r>
        <w:rPr>
          <w:rFonts w:hint="eastAsia" w:cs="Times New Roman"/>
          <w:color w:val="auto"/>
          <w:sz w:val="24"/>
          <w:szCs w:val="24"/>
          <w:highlight w:val="none"/>
          <w:lang w:val="en-US" w:eastAsia="zh-CN"/>
        </w:rPr>
        <w:t>企业投资项目备案承诺书</w:t>
      </w:r>
    </w:p>
    <w:p w14:paraId="55A072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cs="Times New Roman"/>
          <w:color w:val="auto"/>
          <w:highlight w:val="none"/>
        </w:rPr>
      </w:pPr>
    </w:p>
    <w:p w14:paraId="7DB1020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cs="Times New Roman"/>
          <w:color w:val="auto"/>
          <w:highlight w:val="none"/>
        </w:rPr>
      </w:pPr>
      <w:r>
        <w:rPr>
          <w:color w:val="auto"/>
          <w:highlight w:val="none"/>
        </w:rPr>
        <w:drawing>
          <wp:inline distT="0" distB="0" distL="114300" distR="114300">
            <wp:extent cx="4962525" cy="6991350"/>
            <wp:effectExtent l="0" t="0" r="9525" b="0"/>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69"/>
                    <a:stretch>
                      <a:fillRect/>
                    </a:stretch>
                  </pic:blipFill>
                  <pic:spPr>
                    <a:xfrm>
                      <a:off x="0" y="0"/>
                      <a:ext cx="4962525" cy="6991350"/>
                    </a:xfrm>
                    <a:prstGeom prst="rect">
                      <a:avLst/>
                    </a:prstGeom>
                    <a:noFill/>
                    <a:ln>
                      <a:noFill/>
                    </a:ln>
                  </pic:spPr>
                </pic:pic>
              </a:graphicData>
            </a:graphic>
          </wp:inline>
        </w:drawing>
      </w:r>
    </w:p>
    <w:p w14:paraId="6BBB7D0A">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cs="Times New Roman"/>
          <w:color w:val="auto"/>
          <w:highlight w:val="none"/>
        </w:rPr>
      </w:pPr>
    </w:p>
    <w:p w14:paraId="63032A1C">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bookmarkStart w:id="476" w:name="_Toc18573"/>
    </w:p>
    <w:p w14:paraId="5AED5D8A">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黑体" w:cs="Times New Roman"/>
          <w:color w:val="auto"/>
          <w:sz w:val="24"/>
          <w:szCs w:val="24"/>
          <w:highlight w:val="none"/>
          <w:lang w:val="en-US" w:eastAsia="zh-CN"/>
        </w:rPr>
      </w:pPr>
      <w:r>
        <w:rPr>
          <w:rFonts w:cs="Times New Roman"/>
          <w:color w:val="auto"/>
          <w:sz w:val="24"/>
          <w:szCs w:val="24"/>
          <w:highlight w:val="none"/>
        </w:rPr>
        <w:t>附件2：</w:t>
      </w:r>
      <w:r>
        <w:rPr>
          <w:rFonts w:hint="eastAsia" w:cs="Times New Roman"/>
          <w:color w:val="auto"/>
          <w:sz w:val="24"/>
          <w:szCs w:val="24"/>
          <w:highlight w:val="none"/>
          <w:lang w:val="en-US" w:eastAsia="zh-CN"/>
        </w:rPr>
        <w:t>选址报告</w:t>
      </w:r>
    </w:p>
    <w:p w14:paraId="3F90BA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color w:val="auto"/>
          <w:highlight w:val="none"/>
        </w:rPr>
        <w:drawing>
          <wp:inline distT="0" distB="0" distL="114300" distR="114300">
            <wp:extent cx="5029200" cy="7124700"/>
            <wp:effectExtent l="0" t="0" r="0" b="0"/>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70"/>
                    <a:stretch>
                      <a:fillRect/>
                    </a:stretch>
                  </pic:blipFill>
                  <pic:spPr>
                    <a:xfrm>
                      <a:off x="0" y="0"/>
                      <a:ext cx="5029200" cy="7124700"/>
                    </a:xfrm>
                    <a:prstGeom prst="rect">
                      <a:avLst/>
                    </a:prstGeom>
                    <a:noFill/>
                    <a:ln>
                      <a:noFill/>
                    </a:ln>
                  </pic:spPr>
                </pic:pic>
              </a:graphicData>
            </a:graphic>
          </wp:inline>
        </w:drawing>
      </w:r>
    </w:p>
    <w:p w14:paraId="6967CA2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eastAsia="宋体"/>
          <w:color w:val="auto"/>
          <w:highlight w:val="none"/>
          <w:lang w:eastAsia="zh-CN"/>
        </w:rPr>
      </w:pPr>
    </w:p>
    <w:p w14:paraId="2FDCF099">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附件</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用水情况说明</w:t>
      </w:r>
    </w:p>
    <w:p w14:paraId="465E0CA8">
      <w:pPr>
        <w:bidi w:val="0"/>
        <w:rPr>
          <w:color w:val="auto"/>
          <w:highlight w:val="none"/>
        </w:rPr>
      </w:pPr>
      <w:r>
        <w:rPr>
          <w:color w:val="auto"/>
          <w:highlight w:val="none"/>
        </w:rPr>
        <w:drawing>
          <wp:anchor distT="0" distB="0" distL="114300" distR="114300" simplePos="0" relativeHeight="251697152" behindDoc="0" locked="0" layoutInCell="1" allowOverlap="1">
            <wp:simplePos x="0" y="0"/>
            <wp:positionH relativeFrom="column">
              <wp:posOffset>150495</wp:posOffset>
            </wp:positionH>
            <wp:positionV relativeFrom="paragraph">
              <wp:posOffset>154305</wp:posOffset>
            </wp:positionV>
            <wp:extent cx="5029200" cy="7115175"/>
            <wp:effectExtent l="0" t="0" r="0" b="9525"/>
            <wp:wrapNone/>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71"/>
                    <a:stretch>
                      <a:fillRect/>
                    </a:stretch>
                  </pic:blipFill>
                  <pic:spPr>
                    <a:xfrm>
                      <a:off x="0" y="0"/>
                      <a:ext cx="5029200" cy="7115175"/>
                    </a:xfrm>
                    <a:prstGeom prst="rect">
                      <a:avLst/>
                    </a:prstGeom>
                    <a:noFill/>
                    <a:ln>
                      <a:noFill/>
                    </a:ln>
                  </pic:spPr>
                </pic:pic>
              </a:graphicData>
            </a:graphic>
          </wp:anchor>
        </w:drawing>
      </w:r>
    </w:p>
    <w:p w14:paraId="77AE6322">
      <w:pPr>
        <w:bidi w:val="0"/>
        <w:rPr>
          <w:color w:val="auto"/>
          <w:highlight w:val="none"/>
        </w:rPr>
      </w:pPr>
    </w:p>
    <w:p w14:paraId="25493772">
      <w:pPr>
        <w:bidi w:val="0"/>
        <w:rPr>
          <w:color w:val="auto"/>
          <w:highlight w:val="none"/>
        </w:rPr>
      </w:pPr>
    </w:p>
    <w:p w14:paraId="4AB4FB1B">
      <w:pPr>
        <w:bidi w:val="0"/>
        <w:rPr>
          <w:color w:val="auto"/>
          <w:highlight w:val="none"/>
        </w:rPr>
      </w:pPr>
    </w:p>
    <w:p w14:paraId="16929F52">
      <w:pPr>
        <w:bidi w:val="0"/>
        <w:rPr>
          <w:color w:val="auto"/>
          <w:highlight w:val="none"/>
        </w:rPr>
      </w:pPr>
    </w:p>
    <w:p w14:paraId="3F236765">
      <w:pPr>
        <w:bidi w:val="0"/>
        <w:rPr>
          <w:color w:val="auto"/>
          <w:highlight w:val="none"/>
        </w:rPr>
      </w:pPr>
    </w:p>
    <w:p w14:paraId="4348CE45">
      <w:pPr>
        <w:bidi w:val="0"/>
        <w:rPr>
          <w:color w:val="auto"/>
          <w:highlight w:val="none"/>
        </w:rPr>
      </w:pPr>
    </w:p>
    <w:p w14:paraId="0FF40BCF">
      <w:pPr>
        <w:bidi w:val="0"/>
        <w:rPr>
          <w:color w:val="auto"/>
          <w:highlight w:val="none"/>
        </w:rPr>
      </w:pPr>
    </w:p>
    <w:p w14:paraId="44CBD2DC">
      <w:pPr>
        <w:bidi w:val="0"/>
        <w:rPr>
          <w:color w:val="auto"/>
          <w:highlight w:val="none"/>
        </w:rPr>
      </w:pPr>
    </w:p>
    <w:p w14:paraId="7B8F3D9F">
      <w:pPr>
        <w:bidi w:val="0"/>
        <w:rPr>
          <w:color w:val="auto"/>
          <w:highlight w:val="none"/>
        </w:rPr>
      </w:pPr>
    </w:p>
    <w:p w14:paraId="5427C97A">
      <w:pPr>
        <w:bidi w:val="0"/>
        <w:rPr>
          <w:color w:val="auto"/>
          <w:highlight w:val="none"/>
        </w:rPr>
      </w:pPr>
    </w:p>
    <w:p w14:paraId="65A3D532">
      <w:pPr>
        <w:bidi w:val="0"/>
        <w:rPr>
          <w:color w:val="auto"/>
          <w:highlight w:val="none"/>
        </w:rPr>
      </w:pPr>
    </w:p>
    <w:p w14:paraId="41EF3275">
      <w:pPr>
        <w:bidi w:val="0"/>
        <w:rPr>
          <w:color w:val="auto"/>
          <w:highlight w:val="none"/>
        </w:rPr>
      </w:pPr>
    </w:p>
    <w:p w14:paraId="0F8F0A0E">
      <w:pPr>
        <w:bidi w:val="0"/>
        <w:rPr>
          <w:color w:val="auto"/>
          <w:highlight w:val="none"/>
        </w:rPr>
      </w:pPr>
    </w:p>
    <w:p w14:paraId="605F85AD">
      <w:pPr>
        <w:bidi w:val="0"/>
        <w:rPr>
          <w:color w:val="auto"/>
          <w:highlight w:val="none"/>
        </w:rPr>
      </w:pPr>
    </w:p>
    <w:p w14:paraId="3AA16F76">
      <w:pPr>
        <w:bidi w:val="0"/>
        <w:rPr>
          <w:color w:val="auto"/>
          <w:highlight w:val="none"/>
        </w:rPr>
      </w:pPr>
    </w:p>
    <w:p w14:paraId="7DF3560B">
      <w:pPr>
        <w:bidi w:val="0"/>
        <w:rPr>
          <w:color w:val="auto"/>
          <w:highlight w:val="none"/>
        </w:rPr>
      </w:pPr>
    </w:p>
    <w:p w14:paraId="7440DA9B">
      <w:pPr>
        <w:bidi w:val="0"/>
        <w:rPr>
          <w:color w:val="auto"/>
          <w:highlight w:val="none"/>
        </w:rPr>
      </w:pPr>
    </w:p>
    <w:p w14:paraId="3C933200">
      <w:pPr>
        <w:bidi w:val="0"/>
        <w:rPr>
          <w:color w:val="auto"/>
          <w:highlight w:val="none"/>
        </w:rPr>
      </w:pPr>
    </w:p>
    <w:p w14:paraId="1207A349">
      <w:pPr>
        <w:bidi w:val="0"/>
        <w:rPr>
          <w:color w:val="auto"/>
          <w:highlight w:val="none"/>
        </w:rPr>
      </w:pPr>
    </w:p>
    <w:p w14:paraId="14202B5C">
      <w:pPr>
        <w:bidi w:val="0"/>
        <w:rPr>
          <w:color w:val="auto"/>
          <w:highlight w:val="none"/>
        </w:rPr>
      </w:pPr>
    </w:p>
    <w:p w14:paraId="3B3F9231">
      <w:pPr>
        <w:bidi w:val="0"/>
        <w:rPr>
          <w:color w:val="auto"/>
          <w:highlight w:val="none"/>
        </w:rPr>
      </w:pPr>
    </w:p>
    <w:p w14:paraId="3DA51A11">
      <w:pPr>
        <w:bidi w:val="0"/>
        <w:rPr>
          <w:color w:val="auto"/>
          <w:highlight w:val="none"/>
        </w:rPr>
      </w:pPr>
    </w:p>
    <w:p w14:paraId="7A767C2C">
      <w:pPr>
        <w:bidi w:val="0"/>
        <w:rPr>
          <w:color w:val="auto"/>
          <w:highlight w:val="none"/>
        </w:rPr>
      </w:pPr>
    </w:p>
    <w:p w14:paraId="644CDFFD">
      <w:pPr>
        <w:bidi w:val="0"/>
        <w:rPr>
          <w:color w:val="auto"/>
          <w:highlight w:val="none"/>
        </w:rPr>
      </w:pPr>
    </w:p>
    <w:p w14:paraId="221991DA">
      <w:pPr>
        <w:bidi w:val="0"/>
        <w:rPr>
          <w:color w:val="auto"/>
          <w:highlight w:val="none"/>
        </w:rPr>
      </w:pPr>
    </w:p>
    <w:p w14:paraId="76615472">
      <w:pPr>
        <w:bidi w:val="0"/>
        <w:rPr>
          <w:color w:val="auto"/>
          <w:highlight w:val="none"/>
        </w:rPr>
      </w:pPr>
    </w:p>
    <w:p w14:paraId="62E2A3B8">
      <w:pPr>
        <w:bidi w:val="0"/>
        <w:rPr>
          <w:color w:val="auto"/>
          <w:highlight w:val="none"/>
        </w:rPr>
      </w:pPr>
      <w:r>
        <w:rPr>
          <w:color w:val="auto"/>
          <w:highlight w:val="none"/>
        </w:rPr>
        <w:drawing>
          <wp:anchor distT="0" distB="0" distL="114300" distR="114300" simplePos="0" relativeHeight="251698176" behindDoc="0" locked="0" layoutInCell="1" allowOverlap="1">
            <wp:simplePos x="0" y="0"/>
            <wp:positionH relativeFrom="column">
              <wp:posOffset>137795</wp:posOffset>
            </wp:positionH>
            <wp:positionV relativeFrom="paragraph">
              <wp:posOffset>189230</wp:posOffset>
            </wp:positionV>
            <wp:extent cx="5048250" cy="7115175"/>
            <wp:effectExtent l="0" t="0" r="0" b="9525"/>
            <wp:wrapNone/>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72"/>
                    <a:stretch>
                      <a:fillRect/>
                    </a:stretch>
                  </pic:blipFill>
                  <pic:spPr>
                    <a:xfrm>
                      <a:off x="0" y="0"/>
                      <a:ext cx="5048250" cy="7115175"/>
                    </a:xfrm>
                    <a:prstGeom prst="rect">
                      <a:avLst/>
                    </a:prstGeom>
                    <a:noFill/>
                    <a:ln>
                      <a:noFill/>
                    </a:ln>
                  </pic:spPr>
                </pic:pic>
              </a:graphicData>
            </a:graphic>
          </wp:anchor>
        </w:drawing>
      </w:r>
    </w:p>
    <w:p w14:paraId="081172F4">
      <w:pPr>
        <w:bidi w:val="0"/>
        <w:rPr>
          <w:color w:val="auto"/>
          <w:highlight w:val="none"/>
        </w:rPr>
      </w:pPr>
    </w:p>
    <w:p w14:paraId="17DCDB13">
      <w:pPr>
        <w:bidi w:val="0"/>
        <w:rPr>
          <w:color w:val="auto"/>
          <w:highlight w:val="none"/>
        </w:rPr>
      </w:pPr>
    </w:p>
    <w:p w14:paraId="62B508C0">
      <w:pPr>
        <w:bidi w:val="0"/>
        <w:rPr>
          <w:color w:val="auto"/>
          <w:highlight w:val="none"/>
        </w:rPr>
      </w:pPr>
    </w:p>
    <w:p w14:paraId="20518EF0">
      <w:pPr>
        <w:bidi w:val="0"/>
        <w:rPr>
          <w:color w:val="auto"/>
          <w:highlight w:val="none"/>
        </w:rPr>
      </w:pPr>
    </w:p>
    <w:p w14:paraId="63AD48AA">
      <w:pPr>
        <w:bidi w:val="0"/>
        <w:rPr>
          <w:color w:val="auto"/>
          <w:highlight w:val="none"/>
        </w:rPr>
      </w:pPr>
    </w:p>
    <w:p w14:paraId="626396D1">
      <w:pPr>
        <w:bidi w:val="0"/>
        <w:rPr>
          <w:color w:val="auto"/>
          <w:highlight w:val="none"/>
        </w:rPr>
      </w:pPr>
    </w:p>
    <w:p w14:paraId="2C7445A7">
      <w:pPr>
        <w:bidi w:val="0"/>
        <w:rPr>
          <w:color w:val="auto"/>
          <w:highlight w:val="none"/>
        </w:rPr>
      </w:pPr>
    </w:p>
    <w:p w14:paraId="7359F39F">
      <w:pPr>
        <w:bidi w:val="0"/>
        <w:rPr>
          <w:color w:val="auto"/>
          <w:highlight w:val="none"/>
        </w:rPr>
      </w:pPr>
    </w:p>
    <w:p w14:paraId="69C9F53B">
      <w:pPr>
        <w:bidi w:val="0"/>
        <w:rPr>
          <w:color w:val="auto"/>
          <w:highlight w:val="none"/>
        </w:rPr>
      </w:pPr>
    </w:p>
    <w:p w14:paraId="708ABC65">
      <w:pPr>
        <w:bidi w:val="0"/>
        <w:rPr>
          <w:color w:val="auto"/>
          <w:highlight w:val="none"/>
        </w:rPr>
      </w:pPr>
    </w:p>
    <w:p w14:paraId="1B693456">
      <w:pPr>
        <w:bidi w:val="0"/>
        <w:rPr>
          <w:color w:val="auto"/>
          <w:highlight w:val="none"/>
        </w:rPr>
      </w:pPr>
    </w:p>
    <w:p w14:paraId="551F01B2">
      <w:pPr>
        <w:bidi w:val="0"/>
        <w:rPr>
          <w:color w:val="auto"/>
          <w:highlight w:val="none"/>
        </w:rPr>
      </w:pPr>
    </w:p>
    <w:p w14:paraId="6CC218A0">
      <w:pPr>
        <w:bidi w:val="0"/>
        <w:rPr>
          <w:color w:val="auto"/>
          <w:highlight w:val="none"/>
        </w:rPr>
      </w:pPr>
    </w:p>
    <w:p w14:paraId="00074093">
      <w:pPr>
        <w:bidi w:val="0"/>
        <w:rPr>
          <w:color w:val="auto"/>
          <w:highlight w:val="none"/>
        </w:rPr>
      </w:pPr>
    </w:p>
    <w:p w14:paraId="5C8335B0">
      <w:pPr>
        <w:bidi w:val="0"/>
        <w:rPr>
          <w:color w:val="auto"/>
          <w:highlight w:val="none"/>
        </w:rPr>
      </w:pPr>
    </w:p>
    <w:p w14:paraId="25915A79">
      <w:pPr>
        <w:bidi w:val="0"/>
        <w:rPr>
          <w:color w:val="auto"/>
          <w:highlight w:val="none"/>
        </w:rPr>
      </w:pPr>
    </w:p>
    <w:p w14:paraId="6EC3E7D1">
      <w:pPr>
        <w:bidi w:val="0"/>
        <w:rPr>
          <w:color w:val="auto"/>
          <w:highlight w:val="none"/>
        </w:rPr>
      </w:pPr>
    </w:p>
    <w:p w14:paraId="02633546">
      <w:pPr>
        <w:bidi w:val="0"/>
        <w:rPr>
          <w:color w:val="auto"/>
          <w:highlight w:val="none"/>
        </w:rPr>
      </w:pPr>
      <w:r>
        <w:rPr>
          <w:color w:val="auto"/>
          <w:highlight w:val="none"/>
        </w:rPr>
        <w:t xml:space="preserve">  </w:t>
      </w:r>
      <w:bookmarkEnd w:id="476"/>
    </w:p>
    <w:p w14:paraId="0D64BEBA">
      <w:pPr>
        <w:bidi w:val="0"/>
        <w:rPr>
          <w:color w:val="auto"/>
          <w:highlight w:val="none"/>
        </w:rPr>
      </w:pPr>
    </w:p>
    <w:p w14:paraId="09105F19">
      <w:pPr>
        <w:bidi w:val="0"/>
        <w:rPr>
          <w:color w:val="auto"/>
          <w:highlight w:val="none"/>
        </w:rPr>
      </w:pPr>
      <w:bookmarkStart w:id="477" w:name="_Hlk15889861"/>
    </w:p>
    <w:p w14:paraId="4DCB3053">
      <w:pPr>
        <w:bidi w:val="0"/>
        <w:rPr>
          <w:color w:val="auto"/>
          <w:highlight w:val="none"/>
        </w:rPr>
      </w:pPr>
    </w:p>
    <w:p w14:paraId="02920E33">
      <w:pPr>
        <w:bidi w:val="0"/>
        <w:rPr>
          <w:color w:val="auto"/>
          <w:highlight w:val="none"/>
        </w:rPr>
      </w:pPr>
    </w:p>
    <w:p w14:paraId="271FA91A">
      <w:pPr>
        <w:bidi w:val="0"/>
        <w:rPr>
          <w:color w:val="auto"/>
          <w:highlight w:val="none"/>
        </w:rPr>
      </w:pPr>
    </w:p>
    <w:p w14:paraId="06F88DA3">
      <w:pPr>
        <w:bidi w:val="0"/>
        <w:rPr>
          <w:color w:val="auto"/>
          <w:highlight w:val="none"/>
        </w:rPr>
      </w:pPr>
    </w:p>
    <w:p w14:paraId="0EB5EE8B">
      <w:pPr>
        <w:pStyle w:val="46"/>
        <w:rPr>
          <w:color w:val="auto"/>
          <w:highlight w:val="none"/>
        </w:rPr>
      </w:pPr>
    </w:p>
    <w:p w14:paraId="6A02A716">
      <w:pPr>
        <w:pStyle w:val="45"/>
        <w:rPr>
          <w:color w:val="auto"/>
          <w:highlight w:val="none"/>
        </w:rPr>
      </w:pPr>
    </w:p>
    <w:p w14:paraId="3FFF27CC">
      <w:pPr>
        <w:rPr>
          <w:color w:val="auto"/>
          <w:highlight w:val="none"/>
        </w:rPr>
      </w:pPr>
    </w:p>
    <w:p w14:paraId="7A533350">
      <w:pPr>
        <w:pStyle w:val="46"/>
        <w:rPr>
          <w:color w:val="auto"/>
          <w:highlight w:val="none"/>
        </w:rPr>
      </w:pPr>
    </w:p>
    <w:p w14:paraId="19BCE035">
      <w:pPr>
        <w:pStyle w:val="45"/>
        <w:rPr>
          <w:color w:val="auto"/>
          <w:highlight w:val="none"/>
        </w:rPr>
      </w:pPr>
      <w:r>
        <w:rPr>
          <w:color w:val="auto"/>
          <w:highlight w:val="none"/>
        </w:rPr>
        <w:drawing>
          <wp:inline distT="0" distB="0" distL="114300" distR="114300">
            <wp:extent cx="5019675" cy="7067550"/>
            <wp:effectExtent l="0" t="0" r="9525" b="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73"/>
                    <a:stretch>
                      <a:fillRect/>
                    </a:stretch>
                  </pic:blipFill>
                  <pic:spPr>
                    <a:xfrm>
                      <a:off x="0" y="0"/>
                      <a:ext cx="5019675" cy="7067550"/>
                    </a:xfrm>
                    <a:prstGeom prst="rect">
                      <a:avLst/>
                    </a:prstGeom>
                    <a:noFill/>
                    <a:ln>
                      <a:noFill/>
                    </a:ln>
                  </pic:spPr>
                </pic:pic>
              </a:graphicData>
            </a:graphic>
          </wp:inline>
        </w:drawing>
      </w:r>
    </w:p>
    <w:p w14:paraId="0167AB11">
      <w:pPr>
        <w:rPr>
          <w:color w:val="auto"/>
          <w:highlight w:val="none"/>
        </w:rPr>
      </w:pPr>
    </w:p>
    <w:p w14:paraId="41BC5C4A">
      <w:pPr>
        <w:pStyle w:val="46"/>
        <w:rPr>
          <w:color w:val="auto"/>
          <w:highlight w:val="none"/>
        </w:rPr>
      </w:pPr>
    </w:p>
    <w:p w14:paraId="075C51B0">
      <w:pPr>
        <w:bidi w:val="0"/>
        <w:rPr>
          <w:color w:val="auto"/>
          <w:highlight w:val="none"/>
        </w:rPr>
      </w:pPr>
    </w:p>
    <w:p w14:paraId="444F5F56">
      <w:pPr>
        <w:bidi w:val="0"/>
        <w:ind w:left="0" w:leftChars="0" w:firstLine="0" w:firstLineChars="0"/>
        <w:rPr>
          <w:color w:val="auto"/>
          <w:highlight w:val="none"/>
        </w:rPr>
      </w:pPr>
      <w:bookmarkStart w:id="478" w:name="_Toc8259"/>
    </w:p>
    <w:p w14:paraId="0535DC00">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cs="Times New Roman"/>
          <w:color w:val="auto"/>
          <w:sz w:val="24"/>
          <w:szCs w:val="24"/>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color w:val="auto"/>
          <w:highlight w:val="none"/>
        </w:rPr>
        <w:drawing>
          <wp:inline distT="0" distB="0" distL="114300" distR="114300">
            <wp:extent cx="4991100" cy="7077075"/>
            <wp:effectExtent l="0" t="0" r="0" b="952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74"/>
                    <a:stretch>
                      <a:fillRect/>
                    </a:stretch>
                  </pic:blipFill>
                  <pic:spPr>
                    <a:xfrm>
                      <a:off x="0" y="0"/>
                      <a:ext cx="4991100" cy="7077075"/>
                    </a:xfrm>
                    <a:prstGeom prst="rect">
                      <a:avLst/>
                    </a:prstGeom>
                    <a:noFill/>
                    <a:ln>
                      <a:noFill/>
                    </a:ln>
                  </pic:spPr>
                </pic:pic>
              </a:graphicData>
            </a:graphic>
          </wp:inline>
        </w:drawing>
      </w:r>
      <w:r>
        <w:rPr>
          <w:color w:val="auto"/>
          <w:highlight w:val="none"/>
        </w:rPr>
        <w:drawing>
          <wp:inline distT="0" distB="0" distL="114300" distR="114300">
            <wp:extent cx="5019675" cy="7067550"/>
            <wp:effectExtent l="0" t="0" r="9525" b="0"/>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75"/>
                    <a:stretch>
                      <a:fillRect/>
                    </a:stretch>
                  </pic:blipFill>
                  <pic:spPr>
                    <a:xfrm>
                      <a:off x="0" y="0"/>
                      <a:ext cx="5019675" cy="7067550"/>
                    </a:xfrm>
                    <a:prstGeom prst="rect">
                      <a:avLst/>
                    </a:prstGeom>
                    <a:noFill/>
                    <a:ln>
                      <a:noFill/>
                    </a:ln>
                  </pic:spPr>
                </pic:pic>
              </a:graphicData>
            </a:graphic>
          </wp:inline>
        </w:drawing>
      </w:r>
      <w:r>
        <w:rPr>
          <w:color w:val="auto"/>
          <w:highlight w:val="none"/>
        </w:rPr>
        <w:drawing>
          <wp:inline distT="0" distB="0" distL="114300" distR="114300">
            <wp:extent cx="5019675" cy="7077075"/>
            <wp:effectExtent l="0" t="0" r="9525" b="952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76"/>
                    <a:stretch>
                      <a:fillRect/>
                    </a:stretch>
                  </pic:blipFill>
                  <pic:spPr>
                    <a:xfrm>
                      <a:off x="0" y="0"/>
                      <a:ext cx="5019675" cy="7077075"/>
                    </a:xfrm>
                    <a:prstGeom prst="rect">
                      <a:avLst/>
                    </a:prstGeom>
                    <a:noFill/>
                    <a:ln>
                      <a:noFill/>
                    </a:ln>
                  </pic:spPr>
                </pic:pic>
              </a:graphicData>
            </a:graphic>
          </wp:inline>
        </w:drawing>
      </w:r>
    </w:p>
    <w:p w14:paraId="540290CF">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cs="Times New Roman"/>
          <w:color w:val="auto"/>
          <w:sz w:val="24"/>
          <w:szCs w:val="24"/>
          <w:highlight w:val="none"/>
        </w:rPr>
        <w:t>附件</w:t>
      </w:r>
      <w:r>
        <w:rPr>
          <w:rFonts w:hint="eastAsia" w:cs="Times New Roman"/>
          <w:color w:val="auto"/>
          <w:sz w:val="24"/>
          <w:szCs w:val="24"/>
          <w:highlight w:val="none"/>
          <w:lang w:val="en-US" w:eastAsia="zh-CN"/>
        </w:rPr>
        <w:t>4</w:t>
      </w:r>
      <w:r>
        <w:rPr>
          <w:rFonts w:cs="Times New Roman"/>
          <w:color w:val="auto"/>
          <w:sz w:val="24"/>
          <w:szCs w:val="24"/>
          <w:highlight w:val="none"/>
        </w:rPr>
        <w:t>：监测报告</w:t>
      </w:r>
      <w:bookmarkEnd w:id="478"/>
    </w:p>
    <w:p w14:paraId="257C3AEF">
      <w:pPr>
        <w:pStyle w:val="45"/>
        <w:ind w:left="0" w:leftChars="0" w:firstLine="0" w:firstLineChars="0"/>
        <w:rPr>
          <w:i/>
          <w:iCs/>
          <w:color w:val="auto"/>
          <w:highlight w:val="none"/>
        </w:rPr>
      </w:pPr>
    </w:p>
    <w:p w14:paraId="099A811D">
      <w:pPr>
        <w:pStyle w:val="117"/>
        <w:adjustRightInd w:val="0"/>
        <w:snapToGrid w:val="0"/>
        <w:spacing w:line="360" w:lineRule="auto"/>
        <w:ind w:firstLine="0" w:firstLineChars="0"/>
        <w:rPr>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72DE6485">
      <w:pPr>
        <w:pStyle w:val="2"/>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附件</w:t>
      </w:r>
      <w:r>
        <w:rPr>
          <w:rFonts w:hint="eastAsia" w:cs="Times New Roman"/>
          <w:color w:val="auto"/>
          <w:sz w:val="24"/>
          <w:szCs w:val="24"/>
          <w:highlight w:val="none"/>
          <w:lang w:val="en-US" w:eastAsia="zh-CN"/>
        </w:rPr>
        <w:t>5</w:t>
      </w:r>
      <w:r>
        <w:rPr>
          <w:rFonts w:hint="eastAsia" w:ascii="Times New Roman" w:hAnsi="Times New Roman" w:cs="Times New Roman"/>
          <w:color w:val="auto"/>
          <w:sz w:val="24"/>
          <w:szCs w:val="24"/>
          <w:highlight w:val="none"/>
          <w:lang w:val="en-US" w:eastAsia="zh-CN"/>
        </w:rPr>
        <w:t>：无害化处理协议</w:t>
      </w:r>
    </w:p>
    <w:p w14:paraId="00B93A2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r>
        <w:rPr>
          <w:color w:val="auto"/>
          <w:highlight w:val="none"/>
        </w:rPr>
        <w:drawing>
          <wp:inline distT="0" distB="0" distL="114300" distR="114300">
            <wp:extent cx="5274310" cy="7094220"/>
            <wp:effectExtent l="0" t="0" r="2540" b="11430"/>
            <wp:docPr id="1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
                    <pic:cNvPicPr>
                      <a:picLocks noChangeAspect="1"/>
                    </pic:cNvPicPr>
                  </pic:nvPicPr>
                  <pic:blipFill>
                    <a:blip r:embed="rId77"/>
                    <a:stretch>
                      <a:fillRect/>
                    </a:stretch>
                  </pic:blipFill>
                  <pic:spPr>
                    <a:xfrm>
                      <a:off x="0" y="0"/>
                      <a:ext cx="5274310" cy="7094220"/>
                    </a:xfrm>
                    <a:prstGeom prst="rect">
                      <a:avLst/>
                    </a:prstGeom>
                    <a:noFill/>
                    <a:ln>
                      <a:noFill/>
                    </a:ln>
                  </pic:spPr>
                </pic:pic>
              </a:graphicData>
            </a:graphic>
          </wp:inline>
        </w:drawing>
      </w:r>
      <w:r>
        <w:rPr>
          <w:color w:val="auto"/>
          <w:highlight w:val="none"/>
        </w:rPr>
        <w:drawing>
          <wp:inline distT="0" distB="0" distL="114300" distR="114300">
            <wp:extent cx="5274310" cy="7117715"/>
            <wp:effectExtent l="0" t="0" r="2540" b="6985"/>
            <wp:docPr id="1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
                    <pic:cNvPicPr>
                      <a:picLocks noChangeAspect="1"/>
                    </pic:cNvPicPr>
                  </pic:nvPicPr>
                  <pic:blipFill>
                    <a:blip r:embed="rId78"/>
                    <a:stretch>
                      <a:fillRect/>
                    </a:stretch>
                  </pic:blipFill>
                  <pic:spPr>
                    <a:xfrm>
                      <a:off x="0" y="0"/>
                      <a:ext cx="5274310" cy="7117715"/>
                    </a:xfrm>
                    <a:prstGeom prst="rect">
                      <a:avLst/>
                    </a:prstGeom>
                    <a:noFill/>
                    <a:ln>
                      <a:noFill/>
                    </a:ln>
                  </pic:spPr>
                </pic:pic>
              </a:graphicData>
            </a:graphic>
          </wp:inline>
        </w:drawing>
      </w:r>
    </w:p>
    <w:p w14:paraId="73EEAA3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p>
    <w:p w14:paraId="0D8A124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p>
    <w:p w14:paraId="52FD442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p>
    <w:p w14:paraId="73B49B6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p>
    <w:p w14:paraId="0CD2F9B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p>
    <w:p w14:paraId="7E3B076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p>
    <w:p w14:paraId="190340A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p>
    <w:p w14:paraId="7D3CDD1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p>
    <w:p w14:paraId="4FD6922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p>
    <w:p w14:paraId="3B4AE091">
      <w:pPr>
        <w:pStyle w:val="2"/>
        <w:rPr>
          <w:rFonts w:hint="eastAsia" w:ascii="Times New Roman" w:hAnsi="Times New Roman" w:cs="Times New Roman"/>
          <w:color w:val="auto"/>
          <w:sz w:val="24"/>
          <w:szCs w:val="24"/>
          <w:highlight w:val="none"/>
          <w:lang w:val="en-US" w:eastAsia="zh-CN"/>
        </w:rPr>
      </w:pPr>
      <w:r>
        <w:rPr>
          <w:color w:val="auto"/>
          <w:highlight w:val="none"/>
        </w:rPr>
        <w:drawing>
          <wp:anchor distT="0" distB="0" distL="114300" distR="114300" simplePos="0" relativeHeight="251723776" behindDoc="0" locked="0" layoutInCell="1" allowOverlap="1">
            <wp:simplePos x="0" y="0"/>
            <wp:positionH relativeFrom="column">
              <wp:posOffset>-17145</wp:posOffset>
            </wp:positionH>
            <wp:positionV relativeFrom="paragraph">
              <wp:posOffset>370205</wp:posOffset>
            </wp:positionV>
            <wp:extent cx="5278120" cy="7435215"/>
            <wp:effectExtent l="0" t="0" r="17780" b="1333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9"/>
                    <a:stretch>
                      <a:fillRect/>
                    </a:stretch>
                  </pic:blipFill>
                  <pic:spPr>
                    <a:xfrm>
                      <a:off x="0" y="0"/>
                      <a:ext cx="5278120" cy="7435215"/>
                    </a:xfrm>
                    <a:prstGeom prst="rect">
                      <a:avLst/>
                    </a:prstGeom>
                    <a:noFill/>
                    <a:ln>
                      <a:noFill/>
                    </a:ln>
                  </pic:spPr>
                </pic:pic>
              </a:graphicData>
            </a:graphic>
          </wp:anchor>
        </w:drawing>
      </w:r>
      <w:r>
        <w:rPr>
          <w:rFonts w:hint="eastAsia" w:ascii="Times New Roman" w:hAnsi="Times New Roman" w:cs="Times New Roman"/>
          <w:color w:val="auto"/>
          <w:sz w:val="24"/>
          <w:szCs w:val="24"/>
          <w:highlight w:val="none"/>
          <w:lang w:val="en-US" w:eastAsia="zh-CN"/>
        </w:rPr>
        <w:t>附件6：用地情况说明</w:t>
      </w:r>
    </w:p>
    <w:p w14:paraId="21AA5473">
      <w:pPr>
        <w:bidi w:val="0"/>
        <w:rPr>
          <w:rFonts w:hint="default"/>
          <w:color w:val="auto"/>
          <w:highlight w:val="none"/>
          <w:lang w:val="en-US" w:eastAsia="zh-CN"/>
        </w:rPr>
      </w:pPr>
    </w:p>
    <w:p w14:paraId="5BC9C757">
      <w:pPr>
        <w:bidi w:val="0"/>
        <w:rPr>
          <w:rFonts w:hint="default"/>
          <w:color w:val="auto"/>
          <w:highlight w:val="none"/>
          <w:lang w:val="en-US" w:eastAsia="zh-CN"/>
        </w:rPr>
      </w:pPr>
    </w:p>
    <w:p w14:paraId="4811F0E1">
      <w:pPr>
        <w:bidi w:val="0"/>
        <w:rPr>
          <w:rFonts w:hint="default"/>
          <w:color w:val="auto"/>
          <w:highlight w:val="none"/>
          <w:lang w:val="en-US" w:eastAsia="zh-CN"/>
        </w:rPr>
      </w:pPr>
    </w:p>
    <w:p w14:paraId="412B8188">
      <w:pPr>
        <w:bidi w:val="0"/>
        <w:rPr>
          <w:rFonts w:hint="default"/>
          <w:color w:val="auto"/>
          <w:highlight w:val="none"/>
          <w:lang w:val="en-US" w:eastAsia="zh-CN"/>
        </w:rPr>
      </w:pPr>
    </w:p>
    <w:p w14:paraId="4A434CA4">
      <w:pPr>
        <w:bidi w:val="0"/>
        <w:rPr>
          <w:rFonts w:hint="default"/>
          <w:color w:val="auto"/>
          <w:highlight w:val="none"/>
          <w:lang w:val="en-US" w:eastAsia="zh-CN"/>
        </w:rPr>
      </w:pPr>
    </w:p>
    <w:p w14:paraId="67C2BC9F">
      <w:pPr>
        <w:bidi w:val="0"/>
        <w:rPr>
          <w:rFonts w:hint="default"/>
          <w:color w:val="auto"/>
          <w:highlight w:val="none"/>
          <w:lang w:val="en-US" w:eastAsia="zh-CN"/>
        </w:rPr>
      </w:pPr>
    </w:p>
    <w:p w14:paraId="4D17E2A0">
      <w:pPr>
        <w:bidi w:val="0"/>
        <w:rPr>
          <w:rFonts w:hint="default"/>
          <w:color w:val="auto"/>
          <w:highlight w:val="none"/>
          <w:lang w:val="en-US" w:eastAsia="zh-CN"/>
        </w:rPr>
      </w:pPr>
    </w:p>
    <w:p w14:paraId="0F99DDB6">
      <w:pPr>
        <w:bidi w:val="0"/>
        <w:rPr>
          <w:rFonts w:hint="default"/>
          <w:color w:val="auto"/>
          <w:highlight w:val="none"/>
          <w:lang w:val="en-US" w:eastAsia="zh-CN"/>
        </w:rPr>
      </w:pPr>
    </w:p>
    <w:p w14:paraId="1A575D35">
      <w:pPr>
        <w:bidi w:val="0"/>
        <w:rPr>
          <w:rFonts w:hint="default"/>
          <w:color w:val="auto"/>
          <w:highlight w:val="none"/>
          <w:lang w:val="en-US" w:eastAsia="zh-CN"/>
        </w:rPr>
      </w:pPr>
    </w:p>
    <w:p w14:paraId="6783718F">
      <w:pPr>
        <w:bidi w:val="0"/>
        <w:rPr>
          <w:rFonts w:hint="default"/>
          <w:color w:val="auto"/>
          <w:highlight w:val="none"/>
          <w:lang w:val="en-US" w:eastAsia="zh-CN"/>
        </w:rPr>
      </w:pPr>
    </w:p>
    <w:p w14:paraId="4D734E4D">
      <w:pPr>
        <w:bidi w:val="0"/>
        <w:rPr>
          <w:rFonts w:hint="default"/>
          <w:color w:val="auto"/>
          <w:highlight w:val="none"/>
          <w:lang w:val="en-US" w:eastAsia="zh-CN"/>
        </w:rPr>
      </w:pPr>
    </w:p>
    <w:p w14:paraId="2CB1AFBA">
      <w:pPr>
        <w:bidi w:val="0"/>
        <w:rPr>
          <w:rFonts w:hint="default"/>
          <w:color w:val="auto"/>
          <w:highlight w:val="none"/>
          <w:lang w:val="en-US" w:eastAsia="zh-CN"/>
        </w:rPr>
      </w:pPr>
    </w:p>
    <w:p w14:paraId="6E8EDE3D">
      <w:pPr>
        <w:bidi w:val="0"/>
        <w:rPr>
          <w:rFonts w:hint="default"/>
          <w:color w:val="auto"/>
          <w:highlight w:val="none"/>
          <w:lang w:val="en-US" w:eastAsia="zh-CN"/>
        </w:rPr>
      </w:pPr>
    </w:p>
    <w:p w14:paraId="59967798">
      <w:pPr>
        <w:bidi w:val="0"/>
        <w:rPr>
          <w:rFonts w:hint="default"/>
          <w:color w:val="auto"/>
          <w:highlight w:val="none"/>
          <w:lang w:val="en-US" w:eastAsia="zh-CN"/>
        </w:rPr>
      </w:pPr>
    </w:p>
    <w:p w14:paraId="50B89F02">
      <w:pPr>
        <w:bidi w:val="0"/>
        <w:rPr>
          <w:rFonts w:hint="default"/>
          <w:color w:val="auto"/>
          <w:highlight w:val="none"/>
          <w:lang w:val="en-US" w:eastAsia="zh-CN"/>
        </w:rPr>
      </w:pPr>
    </w:p>
    <w:p w14:paraId="072B9D94">
      <w:pPr>
        <w:bidi w:val="0"/>
        <w:rPr>
          <w:rFonts w:hint="default"/>
          <w:color w:val="auto"/>
          <w:highlight w:val="none"/>
          <w:lang w:val="en-US" w:eastAsia="zh-CN"/>
        </w:rPr>
      </w:pPr>
    </w:p>
    <w:p w14:paraId="5D258AC8">
      <w:pPr>
        <w:bidi w:val="0"/>
        <w:rPr>
          <w:rFonts w:hint="default"/>
          <w:color w:val="auto"/>
          <w:highlight w:val="none"/>
          <w:lang w:val="en-US" w:eastAsia="zh-CN"/>
        </w:rPr>
      </w:pPr>
    </w:p>
    <w:p w14:paraId="3188BCD1">
      <w:pPr>
        <w:bidi w:val="0"/>
        <w:rPr>
          <w:rFonts w:hint="default"/>
          <w:color w:val="auto"/>
          <w:highlight w:val="none"/>
          <w:lang w:val="en-US" w:eastAsia="zh-CN"/>
        </w:rPr>
      </w:pPr>
    </w:p>
    <w:p w14:paraId="1EA5A438">
      <w:pPr>
        <w:bidi w:val="0"/>
        <w:rPr>
          <w:rFonts w:hint="default"/>
          <w:color w:val="auto"/>
          <w:highlight w:val="none"/>
          <w:lang w:val="en-US" w:eastAsia="zh-CN"/>
        </w:rPr>
      </w:pPr>
    </w:p>
    <w:p w14:paraId="315D818A">
      <w:pPr>
        <w:bidi w:val="0"/>
        <w:rPr>
          <w:rFonts w:hint="default"/>
          <w:color w:val="auto"/>
          <w:highlight w:val="none"/>
          <w:lang w:val="en-US" w:eastAsia="zh-CN"/>
        </w:rPr>
      </w:pPr>
    </w:p>
    <w:p w14:paraId="2514F483">
      <w:pPr>
        <w:bidi w:val="0"/>
        <w:rPr>
          <w:rFonts w:hint="default"/>
          <w:color w:val="auto"/>
          <w:highlight w:val="none"/>
          <w:lang w:val="en-US" w:eastAsia="zh-CN"/>
        </w:rPr>
      </w:pPr>
    </w:p>
    <w:p w14:paraId="09347596">
      <w:pPr>
        <w:bidi w:val="0"/>
        <w:rPr>
          <w:rFonts w:hint="default"/>
          <w:color w:val="auto"/>
          <w:highlight w:val="none"/>
          <w:lang w:val="en-US" w:eastAsia="zh-CN"/>
        </w:rPr>
      </w:pPr>
    </w:p>
    <w:p w14:paraId="306774CA">
      <w:pPr>
        <w:bidi w:val="0"/>
        <w:rPr>
          <w:rFonts w:hint="default"/>
          <w:color w:val="auto"/>
          <w:highlight w:val="none"/>
          <w:lang w:val="en-US" w:eastAsia="zh-CN"/>
        </w:rPr>
      </w:pPr>
    </w:p>
    <w:p w14:paraId="442F0AAD">
      <w:pPr>
        <w:bidi w:val="0"/>
        <w:rPr>
          <w:rFonts w:hint="default"/>
          <w:color w:val="auto"/>
          <w:highlight w:val="none"/>
          <w:lang w:val="en-US" w:eastAsia="zh-CN"/>
        </w:rPr>
      </w:pPr>
    </w:p>
    <w:p w14:paraId="31EDA240">
      <w:pPr>
        <w:bidi w:val="0"/>
        <w:rPr>
          <w:rFonts w:hint="default"/>
          <w:color w:val="auto"/>
          <w:highlight w:val="none"/>
          <w:lang w:val="en-US" w:eastAsia="zh-CN"/>
        </w:rPr>
      </w:pPr>
    </w:p>
    <w:p w14:paraId="269FC193">
      <w:pPr>
        <w:bidi w:val="0"/>
        <w:rPr>
          <w:rFonts w:hint="default"/>
          <w:color w:val="auto"/>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37DFE549">
      <w:pPr>
        <w:bidi w:val="0"/>
        <w:rPr>
          <w:rFonts w:hint="default"/>
          <w:color w:val="auto"/>
          <w:highlight w:val="none"/>
          <w:lang w:val="en-US" w:eastAsia="zh-CN"/>
        </w:rPr>
      </w:pPr>
      <w:r>
        <w:rPr>
          <w:color w:val="auto"/>
          <w:highlight w:val="none"/>
        </w:rPr>
        <w:drawing>
          <wp:anchor distT="0" distB="0" distL="114300" distR="114300" simplePos="0" relativeHeight="251724800" behindDoc="0" locked="0" layoutInCell="1" allowOverlap="1">
            <wp:simplePos x="0" y="0"/>
            <wp:positionH relativeFrom="column">
              <wp:posOffset>521335</wp:posOffset>
            </wp:positionH>
            <wp:positionV relativeFrom="paragraph">
              <wp:posOffset>116205</wp:posOffset>
            </wp:positionV>
            <wp:extent cx="7249160" cy="4862830"/>
            <wp:effectExtent l="0" t="0" r="8890" b="13970"/>
            <wp:wrapNone/>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80"/>
                    <a:stretch>
                      <a:fillRect/>
                    </a:stretch>
                  </pic:blipFill>
                  <pic:spPr>
                    <a:xfrm>
                      <a:off x="0" y="0"/>
                      <a:ext cx="7249160" cy="4862830"/>
                    </a:xfrm>
                    <a:prstGeom prst="rect">
                      <a:avLst/>
                    </a:prstGeom>
                    <a:noFill/>
                    <a:ln>
                      <a:noFill/>
                    </a:ln>
                  </pic:spPr>
                </pic:pic>
              </a:graphicData>
            </a:graphic>
          </wp:anchor>
        </w:drawing>
      </w:r>
    </w:p>
    <w:p w14:paraId="54EEBF2D">
      <w:pPr>
        <w:tabs>
          <w:tab w:val="left" w:pos="604"/>
        </w:tabs>
        <w:bidi w:val="0"/>
        <w:jc w:val="left"/>
        <w:rPr>
          <w:rFonts w:hint="eastAsia"/>
          <w:color w:val="auto"/>
          <w:highlight w:val="none"/>
          <w:lang w:val="en-US" w:eastAsia="zh-CN"/>
        </w:rPr>
      </w:pPr>
      <w:r>
        <w:rPr>
          <w:rFonts w:hint="eastAsia"/>
          <w:color w:val="auto"/>
          <w:highlight w:val="none"/>
          <w:lang w:val="en-US" w:eastAsia="zh-CN"/>
        </w:rPr>
        <w:tab/>
      </w:r>
    </w:p>
    <w:p w14:paraId="38939FF9">
      <w:pPr>
        <w:bidi w:val="0"/>
        <w:rPr>
          <w:rFonts w:hint="default" w:ascii="Times New Roman" w:hAnsi="Times New Roman" w:eastAsia="宋体" w:cstheme="minorBidi"/>
          <w:color w:val="auto"/>
          <w:kern w:val="2"/>
          <w:sz w:val="24"/>
          <w:szCs w:val="22"/>
          <w:highlight w:val="none"/>
          <w:lang w:val="en-US" w:eastAsia="zh-CN" w:bidi="ar-SA"/>
        </w:rPr>
      </w:pPr>
    </w:p>
    <w:p w14:paraId="3D8D5A56">
      <w:pPr>
        <w:bidi w:val="0"/>
        <w:rPr>
          <w:rFonts w:hint="default"/>
          <w:color w:val="auto"/>
          <w:highlight w:val="none"/>
          <w:lang w:val="en-US" w:eastAsia="zh-CN"/>
        </w:rPr>
      </w:pPr>
    </w:p>
    <w:p w14:paraId="0CAD70D8">
      <w:pPr>
        <w:bidi w:val="0"/>
        <w:rPr>
          <w:rFonts w:hint="default"/>
          <w:color w:val="auto"/>
          <w:highlight w:val="none"/>
          <w:lang w:val="en-US" w:eastAsia="zh-CN"/>
        </w:rPr>
      </w:pPr>
    </w:p>
    <w:p w14:paraId="3F88812F">
      <w:pPr>
        <w:bidi w:val="0"/>
        <w:rPr>
          <w:rFonts w:hint="default"/>
          <w:color w:val="auto"/>
          <w:highlight w:val="none"/>
          <w:lang w:val="en-US" w:eastAsia="zh-CN"/>
        </w:rPr>
      </w:pPr>
    </w:p>
    <w:p w14:paraId="4A5D77DA">
      <w:pPr>
        <w:bidi w:val="0"/>
        <w:rPr>
          <w:rFonts w:hint="default"/>
          <w:color w:val="auto"/>
          <w:highlight w:val="none"/>
          <w:lang w:val="en-US" w:eastAsia="zh-CN"/>
        </w:rPr>
      </w:pPr>
    </w:p>
    <w:p w14:paraId="59C74462">
      <w:pPr>
        <w:bidi w:val="0"/>
        <w:rPr>
          <w:rFonts w:hint="default"/>
          <w:color w:val="auto"/>
          <w:highlight w:val="none"/>
          <w:lang w:val="en-US" w:eastAsia="zh-CN"/>
        </w:rPr>
      </w:pPr>
    </w:p>
    <w:p w14:paraId="2D8E23AA">
      <w:pPr>
        <w:bidi w:val="0"/>
        <w:rPr>
          <w:rFonts w:hint="default"/>
          <w:color w:val="auto"/>
          <w:highlight w:val="none"/>
          <w:lang w:val="en-US" w:eastAsia="zh-CN"/>
        </w:rPr>
      </w:pPr>
    </w:p>
    <w:p w14:paraId="27D4795F">
      <w:pPr>
        <w:bidi w:val="0"/>
        <w:rPr>
          <w:rFonts w:hint="default"/>
          <w:color w:val="auto"/>
          <w:highlight w:val="none"/>
          <w:lang w:val="en-US" w:eastAsia="zh-CN"/>
        </w:rPr>
      </w:pPr>
    </w:p>
    <w:p w14:paraId="1EC25D1A">
      <w:pPr>
        <w:bidi w:val="0"/>
        <w:rPr>
          <w:rFonts w:hint="default"/>
          <w:color w:val="auto"/>
          <w:highlight w:val="none"/>
          <w:lang w:val="en-US" w:eastAsia="zh-CN"/>
        </w:rPr>
      </w:pPr>
    </w:p>
    <w:p w14:paraId="69DA6122">
      <w:pPr>
        <w:bidi w:val="0"/>
        <w:rPr>
          <w:rFonts w:hint="default"/>
          <w:color w:val="auto"/>
          <w:highlight w:val="none"/>
          <w:lang w:val="en-US" w:eastAsia="zh-CN"/>
        </w:rPr>
      </w:pPr>
    </w:p>
    <w:p w14:paraId="7D628A24">
      <w:pPr>
        <w:bidi w:val="0"/>
        <w:rPr>
          <w:rFonts w:hint="default"/>
          <w:color w:val="auto"/>
          <w:highlight w:val="none"/>
          <w:lang w:val="en-US" w:eastAsia="zh-CN"/>
        </w:rPr>
      </w:pPr>
    </w:p>
    <w:p w14:paraId="0D10790A">
      <w:pPr>
        <w:bidi w:val="0"/>
        <w:rPr>
          <w:rFonts w:hint="default"/>
          <w:color w:val="auto"/>
          <w:highlight w:val="none"/>
          <w:lang w:val="en-US" w:eastAsia="zh-CN"/>
        </w:rPr>
      </w:pPr>
    </w:p>
    <w:p w14:paraId="4981A22F">
      <w:pPr>
        <w:bidi w:val="0"/>
        <w:rPr>
          <w:rFonts w:hint="default"/>
          <w:color w:val="auto"/>
          <w:highlight w:val="none"/>
          <w:lang w:val="en-US" w:eastAsia="zh-CN"/>
        </w:rPr>
      </w:pPr>
    </w:p>
    <w:p w14:paraId="22CAFFBD">
      <w:pPr>
        <w:bidi w:val="0"/>
        <w:rPr>
          <w:rFonts w:hint="default"/>
          <w:color w:val="auto"/>
          <w:highlight w:val="none"/>
          <w:lang w:val="en-US" w:eastAsia="zh-CN"/>
        </w:rPr>
      </w:pPr>
    </w:p>
    <w:p w14:paraId="61B27493">
      <w:pPr>
        <w:tabs>
          <w:tab w:val="left" w:pos="12686"/>
        </w:tabs>
        <w:bidi w:val="0"/>
        <w:jc w:val="left"/>
        <w:rPr>
          <w:rFonts w:hint="eastAsia"/>
          <w:color w:val="auto"/>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color w:val="auto"/>
          <w:highlight w:val="none"/>
        </w:rPr>
        <w:drawing>
          <wp:anchor distT="0" distB="0" distL="114300" distR="114300" simplePos="0" relativeHeight="251725824" behindDoc="0" locked="0" layoutInCell="1" allowOverlap="1">
            <wp:simplePos x="0" y="0"/>
            <wp:positionH relativeFrom="column">
              <wp:posOffset>467995</wp:posOffset>
            </wp:positionH>
            <wp:positionV relativeFrom="paragraph">
              <wp:posOffset>151130</wp:posOffset>
            </wp:positionV>
            <wp:extent cx="7421880" cy="5043805"/>
            <wp:effectExtent l="0" t="0" r="7620" b="4445"/>
            <wp:wrapNone/>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81"/>
                    <a:stretch>
                      <a:fillRect/>
                    </a:stretch>
                  </pic:blipFill>
                  <pic:spPr>
                    <a:xfrm>
                      <a:off x="0" y="0"/>
                      <a:ext cx="7421880" cy="5043805"/>
                    </a:xfrm>
                    <a:prstGeom prst="rect">
                      <a:avLst/>
                    </a:prstGeom>
                    <a:noFill/>
                    <a:ln>
                      <a:noFill/>
                    </a:ln>
                  </pic:spPr>
                </pic:pic>
              </a:graphicData>
            </a:graphic>
          </wp:anchor>
        </w:drawing>
      </w:r>
      <w:r>
        <w:rPr>
          <w:rFonts w:hint="eastAsia"/>
          <w:color w:val="auto"/>
          <w:highlight w:val="none"/>
          <w:lang w:val="en-US" w:eastAsia="zh-CN"/>
        </w:rPr>
        <w:tab/>
      </w:r>
    </w:p>
    <w:p w14:paraId="4620BDEA">
      <w:pPr>
        <w:tabs>
          <w:tab w:val="left" w:pos="12686"/>
        </w:tabs>
        <w:bidi w:val="0"/>
        <w:ind w:left="0" w:leftChars="0" w:firstLine="0" w:firstLineChars="0"/>
        <w:jc w:val="left"/>
        <w:rPr>
          <w:rFonts w:hint="eastAsia" w:ascii="黑体" w:hAnsi="黑体" w:eastAsia="黑体" w:cs="黑体"/>
          <w:color w:val="auto"/>
          <w:sz w:val="24"/>
          <w:szCs w:val="24"/>
          <w:highlight w:val="none"/>
          <w:lang w:val="en-US" w:eastAsia="zh-CN"/>
        </w:rPr>
      </w:pPr>
      <w:r>
        <w:rPr>
          <w:color w:val="auto"/>
          <w:highlight w:val="none"/>
        </w:rPr>
        <w:drawing>
          <wp:anchor distT="0" distB="0" distL="114300" distR="114300" simplePos="0" relativeHeight="251726848" behindDoc="0" locked="0" layoutInCell="1" allowOverlap="1">
            <wp:simplePos x="0" y="0"/>
            <wp:positionH relativeFrom="column">
              <wp:posOffset>0</wp:posOffset>
            </wp:positionH>
            <wp:positionV relativeFrom="paragraph">
              <wp:posOffset>491490</wp:posOffset>
            </wp:positionV>
            <wp:extent cx="5278120" cy="7431405"/>
            <wp:effectExtent l="0" t="0" r="17780" b="17145"/>
            <wp:wrapNone/>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82"/>
                    <a:stretch>
                      <a:fillRect/>
                    </a:stretch>
                  </pic:blipFill>
                  <pic:spPr>
                    <a:xfrm>
                      <a:off x="0" y="0"/>
                      <a:ext cx="5278120" cy="7431405"/>
                    </a:xfrm>
                    <a:prstGeom prst="rect">
                      <a:avLst/>
                    </a:prstGeom>
                    <a:noFill/>
                    <a:ln>
                      <a:noFill/>
                    </a:ln>
                  </pic:spPr>
                </pic:pic>
              </a:graphicData>
            </a:graphic>
          </wp:anchor>
        </w:drawing>
      </w:r>
      <w:r>
        <w:rPr>
          <w:rFonts w:hint="eastAsia" w:ascii="黑体" w:hAnsi="黑体" w:eastAsia="黑体" w:cs="黑体"/>
          <w:color w:val="auto"/>
          <w:sz w:val="24"/>
          <w:szCs w:val="24"/>
          <w:highlight w:val="none"/>
          <w:lang w:val="en-US" w:eastAsia="zh-CN"/>
        </w:rPr>
        <w:t>附件7：竞价确认书</w:t>
      </w:r>
    </w:p>
    <w:p w14:paraId="101CA1E4">
      <w:pPr>
        <w:bidi w:val="0"/>
        <w:rPr>
          <w:rFonts w:hint="eastAsia" w:ascii="Times New Roman" w:hAnsi="Times New Roman" w:eastAsia="宋体" w:cstheme="minorBidi"/>
          <w:color w:val="auto"/>
          <w:kern w:val="2"/>
          <w:sz w:val="24"/>
          <w:szCs w:val="22"/>
          <w:highlight w:val="none"/>
          <w:lang w:val="en-US" w:eastAsia="zh-CN" w:bidi="ar-SA"/>
        </w:rPr>
      </w:pPr>
    </w:p>
    <w:p w14:paraId="74D5BB52">
      <w:pPr>
        <w:bidi w:val="0"/>
        <w:rPr>
          <w:rFonts w:hint="eastAsia"/>
          <w:color w:val="auto"/>
          <w:highlight w:val="none"/>
          <w:lang w:val="en-US" w:eastAsia="zh-CN"/>
        </w:rPr>
      </w:pPr>
    </w:p>
    <w:p w14:paraId="48FE0758">
      <w:pPr>
        <w:bidi w:val="0"/>
        <w:rPr>
          <w:rFonts w:hint="eastAsia"/>
          <w:color w:val="auto"/>
          <w:highlight w:val="none"/>
          <w:lang w:val="en-US" w:eastAsia="zh-CN"/>
        </w:rPr>
      </w:pPr>
    </w:p>
    <w:p w14:paraId="096104E2">
      <w:pPr>
        <w:bidi w:val="0"/>
        <w:rPr>
          <w:rFonts w:hint="eastAsia"/>
          <w:color w:val="auto"/>
          <w:highlight w:val="none"/>
          <w:lang w:val="en-US" w:eastAsia="zh-CN"/>
        </w:rPr>
      </w:pPr>
    </w:p>
    <w:p w14:paraId="2E0134C8">
      <w:pPr>
        <w:bidi w:val="0"/>
        <w:rPr>
          <w:rFonts w:hint="eastAsia"/>
          <w:color w:val="auto"/>
          <w:highlight w:val="none"/>
          <w:lang w:val="en-US" w:eastAsia="zh-CN"/>
        </w:rPr>
      </w:pPr>
    </w:p>
    <w:p w14:paraId="06DF4231">
      <w:pPr>
        <w:bidi w:val="0"/>
        <w:rPr>
          <w:rFonts w:hint="eastAsia"/>
          <w:color w:val="auto"/>
          <w:highlight w:val="none"/>
          <w:lang w:val="en-US" w:eastAsia="zh-CN"/>
        </w:rPr>
      </w:pPr>
    </w:p>
    <w:p w14:paraId="0BE2B195">
      <w:pPr>
        <w:bidi w:val="0"/>
        <w:rPr>
          <w:rFonts w:hint="eastAsia"/>
          <w:color w:val="auto"/>
          <w:highlight w:val="none"/>
          <w:lang w:val="en-US" w:eastAsia="zh-CN"/>
        </w:rPr>
      </w:pPr>
    </w:p>
    <w:p w14:paraId="2A2C0635">
      <w:pPr>
        <w:bidi w:val="0"/>
        <w:rPr>
          <w:rFonts w:hint="eastAsia"/>
          <w:color w:val="auto"/>
          <w:highlight w:val="none"/>
          <w:lang w:val="en-US" w:eastAsia="zh-CN"/>
        </w:rPr>
      </w:pPr>
    </w:p>
    <w:p w14:paraId="6D65B377">
      <w:pPr>
        <w:bidi w:val="0"/>
        <w:rPr>
          <w:rFonts w:hint="eastAsia"/>
          <w:color w:val="auto"/>
          <w:highlight w:val="none"/>
          <w:lang w:val="en-US" w:eastAsia="zh-CN"/>
        </w:rPr>
      </w:pPr>
    </w:p>
    <w:p w14:paraId="3F8A03B2">
      <w:pPr>
        <w:bidi w:val="0"/>
        <w:rPr>
          <w:rFonts w:hint="eastAsia"/>
          <w:color w:val="auto"/>
          <w:highlight w:val="none"/>
          <w:lang w:val="en-US" w:eastAsia="zh-CN"/>
        </w:rPr>
      </w:pPr>
    </w:p>
    <w:p w14:paraId="1F5C3B25">
      <w:pPr>
        <w:bidi w:val="0"/>
        <w:rPr>
          <w:rFonts w:hint="eastAsia"/>
          <w:color w:val="auto"/>
          <w:highlight w:val="none"/>
          <w:lang w:val="en-US" w:eastAsia="zh-CN"/>
        </w:rPr>
      </w:pPr>
    </w:p>
    <w:p w14:paraId="47355446">
      <w:pPr>
        <w:bidi w:val="0"/>
        <w:rPr>
          <w:rFonts w:hint="eastAsia"/>
          <w:color w:val="auto"/>
          <w:highlight w:val="none"/>
          <w:lang w:val="en-US" w:eastAsia="zh-CN"/>
        </w:rPr>
      </w:pPr>
    </w:p>
    <w:p w14:paraId="5FE19D28">
      <w:pPr>
        <w:bidi w:val="0"/>
        <w:rPr>
          <w:rFonts w:hint="eastAsia"/>
          <w:color w:val="auto"/>
          <w:highlight w:val="none"/>
          <w:lang w:val="en-US" w:eastAsia="zh-CN"/>
        </w:rPr>
      </w:pPr>
    </w:p>
    <w:p w14:paraId="2D320C04">
      <w:pPr>
        <w:bidi w:val="0"/>
        <w:rPr>
          <w:rFonts w:hint="eastAsia"/>
          <w:color w:val="auto"/>
          <w:highlight w:val="none"/>
          <w:lang w:val="en-US" w:eastAsia="zh-CN"/>
        </w:rPr>
      </w:pPr>
    </w:p>
    <w:p w14:paraId="5BF0C6AA">
      <w:pPr>
        <w:bidi w:val="0"/>
        <w:rPr>
          <w:rFonts w:hint="eastAsia"/>
          <w:color w:val="auto"/>
          <w:highlight w:val="none"/>
          <w:lang w:val="en-US" w:eastAsia="zh-CN"/>
        </w:rPr>
      </w:pPr>
    </w:p>
    <w:p w14:paraId="5E5EFD04">
      <w:pPr>
        <w:bidi w:val="0"/>
        <w:rPr>
          <w:rFonts w:hint="eastAsia"/>
          <w:color w:val="auto"/>
          <w:highlight w:val="none"/>
          <w:lang w:val="en-US" w:eastAsia="zh-CN"/>
        </w:rPr>
      </w:pPr>
    </w:p>
    <w:p w14:paraId="37442A4A">
      <w:pPr>
        <w:bidi w:val="0"/>
        <w:rPr>
          <w:rFonts w:hint="eastAsia"/>
          <w:color w:val="auto"/>
          <w:highlight w:val="none"/>
          <w:lang w:val="en-US" w:eastAsia="zh-CN"/>
        </w:rPr>
      </w:pPr>
    </w:p>
    <w:p w14:paraId="2735553F">
      <w:pPr>
        <w:bidi w:val="0"/>
        <w:rPr>
          <w:rFonts w:hint="eastAsia"/>
          <w:color w:val="auto"/>
          <w:highlight w:val="none"/>
          <w:lang w:val="en-US" w:eastAsia="zh-CN"/>
        </w:rPr>
      </w:pPr>
    </w:p>
    <w:p w14:paraId="3F5FA43E">
      <w:pPr>
        <w:bidi w:val="0"/>
        <w:rPr>
          <w:rFonts w:hint="eastAsia"/>
          <w:color w:val="auto"/>
          <w:highlight w:val="none"/>
          <w:lang w:val="en-US" w:eastAsia="zh-CN"/>
        </w:rPr>
      </w:pPr>
    </w:p>
    <w:p w14:paraId="2ECDF62D">
      <w:pPr>
        <w:bidi w:val="0"/>
        <w:rPr>
          <w:rFonts w:hint="eastAsia"/>
          <w:color w:val="auto"/>
          <w:highlight w:val="none"/>
          <w:lang w:val="en-US" w:eastAsia="zh-CN"/>
        </w:rPr>
      </w:pPr>
    </w:p>
    <w:p w14:paraId="7C594795">
      <w:pPr>
        <w:bidi w:val="0"/>
        <w:rPr>
          <w:rFonts w:hint="eastAsia"/>
          <w:color w:val="auto"/>
          <w:highlight w:val="none"/>
          <w:lang w:val="en-US" w:eastAsia="zh-CN"/>
        </w:rPr>
      </w:pPr>
    </w:p>
    <w:p w14:paraId="105C447B">
      <w:pPr>
        <w:bidi w:val="0"/>
        <w:rPr>
          <w:rFonts w:hint="eastAsia"/>
          <w:color w:val="auto"/>
          <w:highlight w:val="none"/>
          <w:lang w:val="en-US" w:eastAsia="zh-CN"/>
        </w:rPr>
      </w:pPr>
    </w:p>
    <w:p w14:paraId="782AB58B">
      <w:pPr>
        <w:bidi w:val="0"/>
        <w:rPr>
          <w:rFonts w:hint="eastAsia"/>
          <w:color w:val="auto"/>
          <w:highlight w:val="none"/>
          <w:lang w:val="en-US" w:eastAsia="zh-CN"/>
        </w:rPr>
      </w:pPr>
    </w:p>
    <w:p w14:paraId="64C883F4">
      <w:pPr>
        <w:bidi w:val="0"/>
        <w:rPr>
          <w:rFonts w:hint="eastAsia"/>
          <w:color w:val="auto"/>
          <w:highlight w:val="none"/>
          <w:lang w:val="en-US" w:eastAsia="zh-CN"/>
        </w:rPr>
      </w:pPr>
    </w:p>
    <w:p w14:paraId="328B35D3">
      <w:pPr>
        <w:bidi w:val="0"/>
        <w:rPr>
          <w:rFonts w:hint="eastAsia"/>
          <w:color w:val="auto"/>
          <w:highlight w:val="none"/>
          <w:lang w:val="en-US" w:eastAsia="zh-CN"/>
        </w:rPr>
      </w:pPr>
    </w:p>
    <w:p w14:paraId="1BB7DE6D">
      <w:pPr>
        <w:bidi w:val="0"/>
        <w:rPr>
          <w:rFonts w:hint="eastAsia"/>
          <w:color w:val="auto"/>
          <w:highlight w:val="none"/>
          <w:lang w:val="en-US" w:eastAsia="zh-CN"/>
        </w:rPr>
      </w:pPr>
    </w:p>
    <w:p w14:paraId="2D018044">
      <w:pPr>
        <w:tabs>
          <w:tab w:val="left" w:pos="618"/>
        </w:tabs>
        <w:bidi w:val="0"/>
        <w:jc w:val="left"/>
        <w:rPr>
          <w:rFonts w:hint="eastAsia"/>
          <w:color w:val="auto"/>
          <w:highlight w:val="none"/>
          <w:lang w:val="en-US" w:eastAsia="zh-CN"/>
        </w:rPr>
      </w:pPr>
      <w:r>
        <w:rPr>
          <w:color w:val="auto"/>
          <w:highlight w:val="none"/>
        </w:rPr>
        <w:drawing>
          <wp:anchor distT="0" distB="0" distL="114300" distR="114300" simplePos="0" relativeHeight="251727872" behindDoc="0" locked="0" layoutInCell="1" allowOverlap="1">
            <wp:simplePos x="0" y="0"/>
            <wp:positionH relativeFrom="column">
              <wp:posOffset>1270</wp:posOffset>
            </wp:positionH>
            <wp:positionV relativeFrom="paragraph">
              <wp:posOffset>189230</wp:posOffset>
            </wp:positionV>
            <wp:extent cx="5276215" cy="7277100"/>
            <wp:effectExtent l="0" t="0" r="635" b="0"/>
            <wp:wrapNone/>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83"/>
                    <a:stretch>
                      <a:fillRect/>
                    </a:stretch>
                  </pic:blipFill>
                  <pic:spPr>
                    <a:xfrm>
                      <a:off x="0" y="0"/>
                      <a:ext cx="5276215" cy="7277100"/>
                    </a:xfrm>
                    <a:prstGeom prst="rect">
                      <a:avLst/>
                    </a:prstGeom>
                    <a:noFill/>
                    <a:ln>
                      <a:noFill/>
                    </a:ln>
                  </pic:spPr>
                </pic:pic>
              </a:graphicData>
            </a:graphic>
          </wp:anchor>
        </w:drawing>
      </w:r>
      <w:r>
        <w:rPr>
          <w:rFonts w:hint="eastAsia"/>
          <w:color w:val="auto"/>
          <w:highlight w:val="none"/>
          <w:lang w:val="en-US" w:eastAsia="zh-CN"/>
        </w:rPr>
        <w:tab/>
      </w:r>
    </w:p>
    <w:p w14:paraId="27B2FF15">
      <w:pPr>
        <w:bidi w:val="0"/>
        <w:rPr>
          <w:rFonts w:hint="eastAsia" w:ascii="Times New Roman" w:hAnsi="Times New Roman" w:eastAsia="宋体" w:cstheme="minorBidi"/>
          <w:color w:val="auto"/>
          <w:kern w:val="2"/>
          <w:sz w:val="24"/>
          <w:szCs w:val="22"/>
          <w:highlight w:val="none"/>
          <w:lang w:val="en-US" w:eastAsia="zh-CN" w:bidi="ar-SA"/>
        </w:rPr>
      </w:pPr>
    </w:p>
    <w:p w14:paraId="05DAC4C1">
      <w:pPr>
        <w:bidi w:val="0"/>
        <w:rPr>
          <w:rFonts w:hint="eastAsia"/>
          <w:color w:val="auto"/>
          <w:highlight w:val="none"/>
          <w:lang w:val="en-US" w:eastAsia="zh-CN"/>
        </w:rPr>
      </w:pPr>
    </w:p>
    <w:p w14:paraId="0DFBE757">
      <w:pPr>
        <w:bidi w:val="0"/>
        <w:rPr>
          <w:rFonts w:hint="eastAsia"/>
          <w:color w:val="auto"/>
          <w:highlight w:val="none"/>
          <w:lang w:val="en-US" w:eastAsia="zh-CN"/>
        </w:rPr>
      </w:pPr>
    </w:p>
    <w:p w14:paraId="5EFAE1CF">
      <w:pPr>
        <w:bidi w:val="0"/>
        <w:rPr>
          <w:rFonts w:hint="eastAsia"/>
          <w:color w:val="auto"/>
          <w:highlight w:val="none"/>
          <w:lang w:val="en-US" w:eastAsia="zh-CN"/>
        </w:rPr>
      </w:pPr>
    </w:p>
    <w:p w14:paraId="457204A1">
      <w:pPr>
        <w:bidi w:val="0"/>
        <w:rPr>
          <w:rFonts w:hint="eastAsia"/>
          <w:color w:val="auto"/>
          <w:highlight w:val="none"/>
          <w:lang w:val="en-US" w:eastAsia="zh-CN"/>
        </w:rPr>
      </w:pPr>
    </w:p>
    <w:p w14:paraId="15C37158">
      <w:pPr>
        <w:bidi w:val="0"/>
        <w:rPr>
          <w:rFonts w:hint="eastAsia"/>
          <w:color w:val="auto"/>
          <w:highlight w:val="none"/>
          <w:lang w:val="en-US" w:eastAsia="zh-CN"/>
        </w:rPr>
      </w:pPr>
    </w:p>
    <w:p w14:paraId="17ADE3CD">
      <w:pPr>
        <w:bidi w:val="0"/>
        <w:rPr>
          <w:rFonts w:hint="eastAsia"/>
          <w:color w:val="auto"/>
          <w:highlight w:val="none"/>
          <w:lang w:val="en-US" w:eastAsia="zh-CN"/>
        </w:rPr>
      </w:pPr>
    </w:p>
    <w:p w14:paraId="3FDC92ED">
      <w:pPr>
        <w:bidi w:val="0"/>
        <w:rPr>
          <w:rFonts w:hint="eastAsia"/>
          <w:color w:val="auto"/>
          <w:highlight w:val="none"/>
          <w:lang w:val="en-US" w:eastAsia="zh-CN"/>
        </w:rPr>
      </w:pPr>
    </w:p>
    <w:p w14:paraId="3682C3B1">
      <w:pPr>
        <w:bidi w:val="0"/>
        <w:rPr>
          <w:rFonts w:hint="eastAsia"/>
          <w:color w:val="auto"/>
          <w:highlight w:val="none"/>
          <w:lang w:val="en-US" w:eastAsia="zh-CN"/>
        </w:rPr>
      </w:pPr>
    </w:p>
    <w:p w14:paraId="69675A3A">
      <w:pPr>
        <w:bidi w:val="0"/>
        <w:rPr>
          <w:rFonts w:hint="eastAsia"/>
          <w:color w:val="auto"/>
          <w:highlight w:val="none"/>
          <w:lang w:val="en-US" w:eastAsia="zh-CN"/>
        </w:rPr>
      </w:pPr>
    </w:p>
    <w:p w14:paraId="390D9763">
      <w:pPr>
        <w:bidi w:val="0"/>
        <w:rPr>
          <w:rFonts w:hint="eastAsia"/>
          <w:color w:val="auto"/>
          <w:highlight w:val="none"/>
          <w:lang w:val="en-US" w:eastAsia="zh-CN"/>
        </w:rPr>
      </w:pPr>
    </w:p>
    <w:p w14:paraId="28924D05">
      <w:pPr>
        <w:bidi w:val="0"/>
        <w:rPr>
          <w:rFonts w:hint="eastAsia"/>
          <w:color w:val="auto"/>
          <w:highlight w:val="none"/>
          <w:lang w:val="en-US" w:eastAsia="zh-CN"/>
        </w:rPr>
      </w:pPr>
    </w:p>
    <w:p w14:paraId="3426797E">
      <w:pPr>
        <w:bidi w:val="0"/>
        <w:rPr>
          <w:rFonts w:hint="eastAsia"/>
          <w:color w:val="auto"/>
          <w:highlight w:val="none"/>
          <w:lang w:val="en-US" w:eastAsia="zh-CN"/>
        </w:rPr>
      </w:pPr>
    </w:p>
    <w:p w14:paraId="1A7928CF">
      <w:pPr>
        <w:bidi w:val="0"/>
        <w:rPr>
          <w:rFonts w:hint="eastAsia"/>
          <w:color w:val="auto"/>
          <w:highlight w:val="none"/>
          <w:lang w:val="en-US" w:eastAsia="zh-CN"/>
        </w:rPr>
      </w:pPr>
    </w:p>
    <w:p w14:paraId="74C3321B">
      <w:pPr>
        <w:bidi w:val="0"/>
        <w:rPr>
          <w:rFonts w:hint="eastAsia"/>
          <w:color w:val="auto"/>
          <w:highlight w:val="none"/>
          <w:lang w:val="en-US" w:eastAsia="zh-CN"/>
        </w:rPr>
      </w:pPr>
    </w:p>
    <w:p w14:paraId="3EADA0D5">
      <w:pPr>
        <w:bidi w:val="0"/>
        <w:rPr>
          <w:rFonts w:hint="eastAsia"/>
          <w:color w:val="auto"/>
          <w:highlight w:val="none"/>
          <w:lang w:val="en-US" w:eastAsia="zh-CN"/>
        </w:rPr>
      </w:pPr>
    </w:p>
    <w:p w14:paraId="6777359A">
      <w:pPr>
        <w:bidi w:val="0"/>
        <w:rPr>
          <w:rFonts w:hint="eastAsia"/>
          <w:color w:val="auto"/>
          <w:highlight w:val="none"/>
          <w:lang w:val="en-US" w:eastAsia="zh-CN"/>
        </w:rPr>
      </w:pPr>
    </w:p>
    <w:p w14:paraId="7A1C1B83">
      <w:pPr>
        <w:bidi w:val="0"/>
        <w:rPr>
          <w:rFonts w:hint="eastAsia"/>
          <w:color w:val="auto"/>
          <w:highlight w:val="none"/>
          <w:lang w:val="en-US" w:eastAsia="zh-CN"/>
        </w:rPr>
      </w:pPr>
    </w:p>
    <w:p w14:paraId="348B3810">
      <w:pPr>
        <w:bidi w:val="0"/>
        <w:rPr>
          <w:rFonts w:hint="eastAsia"/>
          <w:color w:val="auto"/>
          <w:highlight w:val="none"/>
          <w:lang w:val="en-US" w:eastAsia="zh-CN"/>
        </w:rPr>
      </w:pPr>
    </w:p>
    <w:p w14:paraId="7AB44935">
      <w:pPr>
        <w:bidi w:val="0"/>
        <w:rPr>
          <w:rFonts w:hint="eastAsia"/>
          <w:color w:val="auto"/>
          <w:highlight w:val="none"/>
          <w:lang w:val="en-US" w:eastAsia="zh-CN"/>
        </w:rPr>
      </w:pPr>
    </w:p>
    <w:p w14:paraId="5AFA0104">
      <w:pPr>
        <w:bidi w:val="0"/>
        <w:rPr>
          <w:rFonts w:hint="eastAsia"/>
          <w:color w:val="auto"/>
          <w:highlight w:val="none"/>
          <w:lang w:val="en-US" w:eastAsia="zh-CN"/>
        </w:rPr>
      </w:pPr>
    </w:p>
    <w:p w14:paraId="3FE465FA">
      <w:pPr>
        <w:bidi w:val="0"/>
        <w:rPr>
          <w:rFonts w:hint="eastAsia"/>
          <w:color w:val="auto"/>
          <w:highlight w:val="none"/>
          <w:lang w:val="en-US" w:eastAsia="zh-CN"/>
        </w:rPr>
      </w:pPr>
    </w:p>
    <w:p w14:paraId="73DAD101">
      <w:pPr>
        <w:bidi w:val="0"/>
        <w:rPr>
          <w:rFonts w:hint="eastAsia"/>
          <w:color w:val="auto"/>
          <w:highlight w:val="none"/>
          <w:lang w:val="en-US" w:eastAsia="zh-CN"/>
        </w:rPr>
      </w:pPr>
    </w:p>
    <w:p w14:paraId="4F51ABCE">
      <w:pPr>
        <w:bidi w:val="0"/>
        <w:rPr>
          <w:rFonts w:hint="eastAsia"/>
          <w:color w:val="auto"/>
          <w:highlight w:val="none"/>
          <w:lang w:val="en-US" w:eastAsia="zh-CN"/>
        </w:rPr>
      </w:pPr>
    </w:p>
    <w:p w14:paraId="23BAB1CB">
      <w:pPr>
        <w:bidi w:val="0"/>
        <w:rPr>
          <w:rFonts w:hint="eastAsia"/>
          <w:color w:val="auto"/>
          <w:highlight w:val="none"/>
          <w:lang w:val="en-US" w:eastAsia="zh-CN"/>
        </w:rPr>
      </w:pPr>
    </w:p>
    <w:p w14:paraId="00A46290">
      <w:pPr>
        <w:bidi w:val="0"/>
        <w:rPr>
          <w:rFonts w:hint="eastAsia"/>
          <w:color w:val="auto"/>
          <w:highlight w:val="none"/>
          <w:lang w:val="en-US" w:eastAsia="zh-CN"/>
        </w:rPr>
      </w:pPr>
    </w:p>
    <w:p w14:paraId="49A9BCC0">
      <w:pPr>
        <w:tabs>
          <w:tab w:val="left" w:pos="413"/>
        </w:tabs>
        <w:bidi w:val="0"/>
        <w:jc w:val="left"/>
        <w:rPr>
          <w:rFonts w:hint="eastAsia"/>
          <w:color w:val="auto"/>
          <w:highlight w:val="none"/>
          <w:lang w:val="en-US" w:eastAsia="zh-CN"/>
        </w:rPr>
      </w:pPr>
      <w:r>
        <w:rPr>
          <w:color w:val="auto"/>
          <w:highlight w:val="none"/>
        </w:rPr>
        <w:drawing>
          <wp:anchor distT="0" distB="0" distL="114300" distR="114300" simplePos="0" relativeHeight="251728896" behindDoc="0" locked="0" layoutInCell="1" allowOverlap="1">
            <wp:simplePos x="0" y="0"/>
            <wp:positionH relativeFrom="column">
              <wp:posOffset>-52070</wp:posOffset>
            </wp:positionH>
            <wp:positionV relativeFrom="paragraph">
              <wp:posOffset>165735</wp:posOffset>
            </wp:positionV>
            <wp:extent cx="5278120" cy="7310755"/>
            <wp:effectExtent l="0" t="0" r="17780" b="4445"/>
            <wp:wrapNone/>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84"/>
                    <a:stretch>
                      <a:fillRect/>
                    </a:stretch>
                  </pic:blipFill>
                  <pic:spPr>
                    <a:xfrm>
                      <a:off x="0" y="0"/>
                      <a:ext cx="5278120" cy="7310755"/>
                    </a:xfrm>
                    <a:prstGeom prst="rect">
                      <a:avLst/>
                    </a:prstGeom>
                    <a:noFill/>
                    <a:ln>
                      <a:noFill/>
                    </a:ln>
                  </pic:spPr>
                </pic:pic>
              </a:graphicData>
            </a:graphic>
          </wp:anchor>
        </w:drawing>
      </w:r>
      <w:r>
        <w:rPr>
          <w:rFonts w:hint="eastAsia"/>
          <w:color w:val="auto"/>
          <w:highlight w:val="none"/>
          <w:lang w:val="en-US" w:eastAsia="zh-CN"/>
        </w:rPr>
        <w:tab/>
      </w:r>
    </w:p>
    <w:p w14:paraId="2CD92FA6">
      <w:pPr>
        <w:bidi w:val="0"/>
        <w:rPr>
          <w:rFonts w:hint="eastAsia" w:ascii="Times New Roman" w:hAnsi="Times New Roman" w:eastAsia="宋体" w:cstheme="minorBidi"/>
          <w:color w:val="auto"/>
          <w:kern w:val="2"/>
          <w:sz w:val="24"/>
          <w:szCs w:val="22"/>
          <w:highlight w:val="none"/>
          <w:lang w:val="en-US" w:eastAsia="zh-CN" w:bidi="ar-SA"/>
        </w:rPr>
      </w:pPr>
    </w:p>
    <w:p w14:paraId="55E1C5A2">
      <w:pPr>
        <w:bidi w:val="0"/>
        <w:rPr>
          <w:rFonts w:hint="eastAsia"/>
          <w:color w:val="auto"/>
          <w:highlight w:val="none"/>
          <w:lang w:val="en-US" w:eastAsia="zh-CN"/>
        </w:rPr>
      </w:pPr>
    </w:p>
    <w:p w14:paraId="461841E6">
      <w:pPr>
        <w:bidi w:val="0"/>
        <w:rPr>
          <w:rFonts w:hint="eastAsia"/>
          <w:color w:val="auto"/>
          <w:highlight w:val="none"/>
          <w:lang w:val="en-US" w:eastAsia="zh-CN"/>
        </w:rPr>
      </w:pPr>
    </w:p>
    <w:p w14:paraId="42F0D5BB">
      <w:pPr>
        <w:bidi w:val="0"/>
        <w:rPr>
          <w:rFonts w:hint="eastAsia"/>
          <w:color w:val="auto"/>
          <w:highlight w:val="none"/>
          <w:lang w:val="en-US" w:eastAsia="zh-CN"/>
        </w:rPr>
      </w:pPr>
    </w:p>
    <w:p w14:paraId="64001A12">
      <w:pPr>
        <w:bidi w:val="0"/>
        <w:rPr>
          <w:rFonts w:hint="eastAsia"/>
          <w:color w:val="auto"/>
          <w:highlight w:val="none"/>
          <w:lang w:val="en-US" w:eastAsia="zh-CN"/>
        </w:rPr>
      </w:pPr>
    </w:p>
    <w:p w14:paraId="5C66C940">
      <w:pPr>
        <w:bidi w:val="0"/>
        <w:rPr>
          <w:rFonts w:hint="eastAsia"/>
          <w:color w:val="auto"/>
          <w:highlight w:val="none"/>
          <w:lang w:val="en-US" w:eastAsia="zh-CN"/>
        </w:rPr>
      </w:pPr>
    </w:p>
    <w:p w14:paraId="717741C5">
      <w:pPr>
        <w:bidi w:val="0"/>
        <w:rPr>
          <w:rFonts w:hint="eastAsia"/>
          <w:color w:val="auto"/>
          <w:highlight w:val="none"/>
          <w:lang w:val="en-US" w:eastAsia="zh-CN"/>
        </w:rPr>
      </w:pPr>
    </w:p>
    <w:p w14:paraId="3789F7DD">
      <w:pPr>
        <w:bidi w:val="0"/>
        <w:rPr>
          <w:rFonts w:hint="eastAsia"/>
          <w:color w:val="auto"/>
          <w:highlight w:val="none"/>
          <w:lang w:val="en-US" w:eastAsia="zh-CN"/>
        </w:rPr>
      </w:pPr>
    </w:p>
    <w:p w14:paraId="1A59E7DC">
      <w:pPr>
        <w:bidi w:val="0"/>
        <w:rPr>
          <w:rFonts w:hint="eastAsia"/>
          <w:color w:val="auto"/>
          <w:highlight w:val="none"/>
          <w:lang w:val="en-US" w:eastAsia="zh-CN"/>
        </w:rPr>
      </w:pPr>
    </w:p>
    <w:p w14:paraId="41922F11">
      <w:pPr>
        <w:bidi w:val="0"/>
        <w:rPr>
          <w:rFonts w:hint="eastAsia"/>
          <w:color w:val="auto"/>
          <w:highlight w:val="none"/>
          <w:lang w:val="en-US" w:eastAsia="zh-CN"/>
        </w:rPr>
      </w:pPr>
    </w:p>
    <w:p w14:paraId="39935F7C">
      <w:pPr>
        <w:bidi w:val="0"/>
        <w:rPr>
          <w:rFonts w:hint="eastAsia"/>
          <w:color w:val="auto"/>
          <w:highlight w:val="none"/>
          <w:lang w:val="en-US" w:eastAsia="zh-CN"/>
        </w:rPr>
      </w:pPr>
    </w:p>
    <w:p w14:paraId="71FE1A2F">
      <w:pPr>
        <w:bidi w:val="0"/>
        <w:rPr>
          <w:rFonts w:hint="eastAsia"/>
          <w:color w:val="auto"/>
          <w:highlight w:val="none"/>
          <w:lang w:val="en-US" w:eastAsia="zh-CN"/>
        </w:rPr>
      </w:pPr>
    </w:p>
    <w:p w14:paraId="03B7ED94">
      <w:pPr>
        <w:bidi w:val="0"/>
        <w:rPr>
          <w:rFonts w:hint="eastAsia"/>
          <w:color w:val="auto"/>
          <w:highlight w:val="none"/>
          <w:lang w:val="en-US" w:eastAsia="zh-CN"/>
        </w:rPr>
      </w:pPr>
    </w:p>
    <w:p w14:paraId="275A5C47">
      <w:pPr>
        <w:bidi w:val="0"/>
        <w:rPr>
          <w:rFonts w:hint="eastAsia"/>
          <w:color w:val="auto"/>
          <w:highlight w:val="none"/>
          <w:lang w:val="en-US" w:eastAsia="zh-CN"/>
        </w:rPr>
      </w:pPr>
    </w:p>
    <w:p w14:paraId="0ECCD5CD">
      <w:pPr>
        <w:bidi w:val="0"/>
        <w:rPr>
          <w:rFonts w:hint="eastAsia"/>
          <w:color w:val="auto"/>
          <w:highlight w:val="none"/>
          <w:lang w:val="en-US" w:eastAsia="zh-CN"/>
        </w:rPr>
      </w:pPr>
    </w:p>
    <w:p w14:paraId="18397111">
      <w:pPr>
        <w:bidi w:val="0"/>
        <w:rPr>
          <w:rFonts w:hint="eastAsia"/>
          <w:color w:val="auto"/>
          <w:highlight w:val="none"/>
          <w:lang w:val="en-US" w:eastAsia="zh-CN"/>
        </w:rPr>
      </w:pPr>
    </w:p>
    <w:p w14:paraId="5D56B812">
      <w:pPr>
        <w:bidi w:val="0"/>
        <w:rPr>
          <w:rFonts w:hint="eastAsia"/>
          <w:color w:val="auto"/>
          <w:highlight w:val="none"/>
          <w:lang w:val="en-US" w:eastAsia="zh-CN"/>
        </w:rPr>
      </w:pPr>
    </w:p>
    <w:p w14:paraId="0F8ECB16">
      <w:pPr>
        <w:bidi w:val="0"/>
        <w:rPr>
          <w:rFonts w:hint="eastAsia"/>
          <w:color w:val="auto"/>
          <w:highlight w:val="none"/>
          <w:lang w:val="en-US" w:eastAsia="zh-CN"/>
        </w:rPr>
      </w:pPr>
    </w:p>
    <w:p w14:paraId="6DAED8C5">
      <w:pPr>
        <w:bidi w:val="0"/>
        <w:rPr>
          <w:rFonts w:hint="eastAsia"/>
          <w:color w:val="auto"/>
          <w:highlight w:val="none"/>
          <w:lang w:val="en-US" w:eastAsia="zh-CN"/>
        </w:rPr>
      </w:pPr>
    </w:p>
    <w:p w14:paraId="37B3C1CD">
      <w:pPr>
        <w:bidi w:val="0"/>
        <w:rPr>
          <w:rFonts w:hint="eastAsia"/>
          <w:color w:val="auto"/>
          <w:highlight w:val="none"/>
          <w:lang w:val="en-US" w:eastAsia="zh-CN"/>
        </w:rPr>
      </w:pPr>
    </w:p>
    <w:p w14:paraId="4CD338FD">
      <w:pPr>
        <w:bidi w:val="0"/>
        <w:rPr>
          <w:rFonts w:hint="eastAsia"/>
          <w:color w:val="auto"/>
          <w:highlight w:val="none"/>
          <w:lang w:val="en-US" w:eastAsia="zh-CN"/>
        </w:rPr>
      </w:pPr>
    </w:p>
    <w:p w14:paraId="3F768BE8">
      <w:pPr>
        <w:bidi w:val="0"/>
        <w:rPr>
          <w:rFonts w:hint="eastAsia"/>
          <w:color w:val="auto"/>
          <w:highlight w:val="none"/>
          <w:lang w:val="en-US" w:eastAsia="zh-CN"/>
        </w:rPr>
      </w:pPr>
    </w:p>
    <w:p w14:paraId="0DC91555">
      <w:pPr>
        <w:bidi w:val="0"/>
        <w:rPr>
          <w:rFonts w:hint="eastAsia"/>
          <w:color w:val="auto"/>
          <w:highlight w:val="none"/>
          <w:lang w:val="en-US" w:eastAsia="zh-CN"/>
        </w:rPr>
      </w:pPr>
    </w:p>
    <w:p w14:paraId="31A9FEE5">
      <w:pPr>
        <w:bidi w:val="0"/>
        <w:rPr>
          <w:rFonts w:hint="eastAsia"/>
          <w:color w:val="auto"/>
          <w:highlight w:val="none"/>
          <w:lang w:val="en-US" w:eastAsia="zh-CN"/>
        </w:rPr>
      </w:pPr>
    </w:p>
    <w:p w14:paraId="2DFC6A4C">
      <w:pPr>
        <w:bidi w:val="0"/>
        <w:rPr>
          <w:rFonts w:hint="eastAsia"/>
          <w:color w:val="auto"/>
          <w:highlight w:val="none"/>
          <w:lang w:val="en-US" w:eastAsia="zh-CN"/>
        </w:rPr>
      </w:pPr>
    </w:p>
    <w:p w14:paraId="5C625E2A">
      <w:pPr>
        <w:bidi w:val="0"/>
        <w:rPr>
          <w:rFonts w:hint="eastAsia"/>
          <w:color w:val="auto"/>
          <w:highlight w:val="none"/>
          <w:lang w:val="en-US" w:eastAsia="zh-CN"/>
        </w:rPr>
      </w:pPr>
    </w:p>
    <w:p w14:paraId="0CF8E246">
      <w:pPr>
        <w:tabs>
          <w:tab w:val="left" w:pos="754"/>
        </w:tabs>
        <w:bidi w:val="0"/>
        <w:jc w:val="left"/>
        <w:rPr>
          <w:rFonts w:hint="eastAsia"/>
          <w:color w:val="auto"/>
          <w:highlight w:val="none"/>
          <w:lang w:val="en-US" w:eastAsia="zh-CN"/>
        </w:rPr>
      </w:pPr>
      <w:r>
        <w:rPr>
          <w:color w:val="auto"/>
          <w:highlight w:val="none"/>
        </w:rPr>
        <w:drawing>
          <wp:anchor distT="0" distB="0" distL="114300" distR="114300" simplePos="0" relativeHeight="251729920" behindDoc="0" locked="0" layoutInCell="1" allowOverlap="1">
            <wp:simplePos x="0" y="0"/>
            <wp:positionH relativeFrom="column">
              <wp:posOffset>0</wp:posOffset>
            </wp:positionH>
            <wp:positionV relativeFrom="paragraph">
              <wp:posOffset>153670</wp:posOffset>
            </wp:positionV>
            <wp:extent cx="5278120" cy="7531735"/>
            <wp:effectExtent l="0" t="0" r="17780" b="12065"/>
            <wp:wrapNone/>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85"/>
                    <a:stretch>
                      <a:fillRect/>
                    </a:stretch>
                  </pic:blipFill>
                  <pic:spPr>
                    <a:xfrm>
                      <a:off x="0" y="0"/>
                      <a:ext cx="5278120" cy="7531735"/>
                    </a:xfrm>
                    <a:prstGeom prst="rect">
                      <a:avLst/>
                    </a:prstGeom>
                    <a:noFill/>
                    <a:ln>
                      <a:noFill/>
                    </a:ln>
                  </pic:spPr>
                </pic:pic>
              </a:graphicData>
            </a:graphic>
          </wp:anchor>
        </w:drawing>
      </w:r>
      <w:r>
        <w:rPr>
          <w:rFonts w:hint="eastAsia"/>
          <w:color w:val="auto"/>
          <w:highlight w:val="none"/>
          <w:lang w:val="en-US" w:eastAsia="zh-CN"/>
        </w:rPr>
        <w:tab/>
      </w:r>
    </w:p>
    <w:p w14:paraId="4FC9F742">
      <w:pPr>
        <w:bidi w:val="0"/>
        <w:rPr>
          <w:rFonts w:hint="eastAsia" w:ascii="Times New Roman" w:hAnsi="Times New Roman" w:eastAsia="宋体" w:cstheme="minorBidi"/>
          <w:color w:val="auto"/>
          <w:kern w:val="2"/>
          <w:sz w:val="24"/>
          <w:szCs w:val="22"/>
          <w:highlight w:val="none"/>
          <w:lang w:val="en-US" w:eastAsia="zh-CN" w:bidi="ar-SA"/>
        </w:rPr>
      </w:pPr>
    </w:p>
    <w:p w14:paraId="5A0A8719">
      <w:pPr>
        <w:bidi w:val="0"/>
        <w:rPr>
          <w:rFonts w:hint="eastAsia"/>
          <w:color w:val="auto"/>
          <w:highlight w:val="none"/>
          <w:lang w:val="en-US" w:eastAsia="zh-CN"/>
        </w:rPr>
      </w:pPr>
    </w:p>
    <w:p w14:paraId="3A823BE2">
      <w:pPr>
        <w:bidi w:val="0"/>
        <w:rPr>
          <w:rFonts w:hint="eastAsia"/>
          <w:color w:val="auto"/>
          <w:highlight w:val="none"/>
          <w:lang w:val="en-US" w:eastAsia="zh-CN"/>
        </w:rPr>
      </w:pPr>
    </w:p>
    <w:p w14:paraId="1D81D9D9">
      <w:pPr>
        <w:bidi w:val="0"/>
        <w:rPr>
          <w:rFonts w:hint="eastAsia"/>
          <w:color w:val="auto"/>
          <w:highlight w:val="none"/>
          <w:lang w:val="en-US" w:eastAsia="zh-CN"/>
        </w:rPr>
      </w:pPr>
    </w:p>
    <w:p w14:paraId="5C024E82">
      <w:pPr>
        <w:bidi w:val="0"/>
        <w:rPr>
          <w:rFonts w:hint="eastAsia"/>
          <w:color w:val="auto"/>
          <w:highlight w:val="none"/>
          <w:lang w:val="en-US" w:eastAsia="zh-CN"/>
        </w:rPr>
      </w:pPr>
    </w:p>
    <w:p w14:paraId="5E90BB31">
      <w:pPr>
        <w:bidi w:val="0"/>
        <w:rPr>
          <w:rFonts w:hint="eastAsia"/>
          <w:color w:val="auto"/>
          <w:highlight w:val="none"/>
          <w:lang w:val="en-US" w:eastAsia="zh-CN"/>
        </w:rPr>
      </w:pPr>
    </w:p>
    <w:p w14:paraId="2D69A653">
      <w:pPr>
        <w:bidi w:val="0"/>
        <w:rPr>
          <w:rFonts w:hint="eastAsia"/>
          <w:color w:val="auto"/>
          <w:highlight w:val="none"/>
          <w:lang w:val="en-US" w:eastAsia="zh-CN"/>
        </w:rPr>
      </w:pPr>
    </w:p>
    <w:p w14:paraId="119C21A6">
      <w:pPr>
        <w:bidi w:val="0"/>
        <w:rPr>
          <w:rFonts w:hint="eastAsia"/>
          <w:color w:val="auto"/>
          <w:highlight w:val="none"/>
          <w:lang w:val="en-US" w:eastAsia="zh-CN"/>
        </w:rPr>
      </w:pPr>
    </w:p>
    <w:p w14:paraId="24B148A1">
      <w:pPr>
        <w:bidi w:val="0"/>
        <w:rPr>
          <w:rFonts w:hint="eastAsia"/>
          <w:color w:val="auto"/>
          <w:highlight w:val="none"/>
          <w:lang w:val="en-US" w:eastAsia="zh-CN"/>
        </w:rPr>
      </w:pPr>
    </w:p>
    <w:p w14:paraId="00018B03">
      <w:pPr>
        <w:bidi w:val="0"/>
        <w:rPr>
          <w:rFonts w:hint="eastAsia"/>
          <w:color w:val="auto"/>
          <w:highlight w:val="none"/>
          <w:lang w:val="en-US" w:eastAsia="zh-CN"/>
        </w:rPr>
      </w:pPr>
    </w:p>
    <w:p w14:paraId="2B680BC9">
      <w:pPr>
        <w:bidi w:val="0"/>
        <w:rPr>
          <w:rFonts w:hint="eastAsia"/>
          <w:color w:val="auto"/>
          <w:highlight w:val="none"/>
          <w:lang w:val="en-US" w:eastAsia="zh-CN"/>
        </w:rPr>
      </w:pPr>
    </w:p>
    <w:p w14:paraId="2209AFBE">
      <w:pPr>
        <w:bidi w:val="0"/>
        <w:rPr>
          <w:rFonts w:hint="eastAsia"/>
          <w:color w:val="auto"/>
          <w:highlight w:val="none"/>
          <w:lang w:val="en-US" w:eastAsia="zh-CN"/>
        </w:rPr>
      </w:pPr>
    </w:p>
    <w:p w14:paraId="058A57DB">
      <w:pPr>
        <w:bidi w:val="0"/>
        <w:rPr>
          <w:rFonts w:hint="eastAsia"/>
          <w:color w:val="auto"/>
          <w:highlight w:val="none"/>
          <w:lang w:val="en-US" w:eastAsia="zh-CN"/>
        </w:rPr>
      </w:pPr>
    </w:p>
    <w:p w14:paraId="00A9CD4B">
      <w:pPr>
        <w:bidi w:val="0"/>
        <w:rPr>
          <w:rFonts w:hint="eastAsia"/>
          <w:color w:val="auto"/>
          <w:highlight w:val="none"/>
          <w:lang w:val="en-US" w:eastAsia="zh-CN"/>
        </w:rPr>
      </w:pPr>
    </w:p>
    <w:p w14:paraId="12E9D1EF">
      <w:pPr>
        <w:bidi w:val="0"/>
        <w:rPr>
          <w:rFonts w:hint="eastAsia"/>
          <w:color w:val="auto"/>
          <w:highlight w:val="none"/>
          <w:lang w:val="en-US" w:eastAsia="zh-CN"/>
        </w:rPr>
      </w:pPr>
    </w:p>
    <w:p w14:paraId="5FA021D9">
      <w:pPr>
        <w:bidi w:val="0"/>
        <w:rPr>
          <w:rFonts w:hint="eastAsia"/>
          <w:color w:val="auto"/>
          <w:highlight w:val="none"/>
          <w:lang w:val="en-US" w:eastAsia="zh-CN"/>
        </w:rPr>
      </w:pPr>
    </w:p>
    <w:p w14:paraId="69ACF633">
      <w:pPr>
        <w:bidi w:val="0"/>
        <w:rPr>
          <w:rFonts w:hint="eastAsia"/>
          <w:color w:val="auto"/>
          <w:highlight w:val="none"/>
          <w:lang w:val="en-US" w:eastAsia="zh-CN"/>
        </w:rPr>
      </w:pPr>
    </w:p>
    <w:p w14:paraId="704EE6F5">
      <w:pPr>
        <w:bidi w:val="0"/>
        <w:rPr>
          <w:rFonts w:hint="eastAsia"/>
          <w:color w:val="auto"/>
          <w:highlight w:val="none"/>
          <w:lang w:val="en-US" w:eastAsia="zh-CN"/>
        </w:rPr>
      </w:pPr>
    </w:p>
    <w:p w14:paraId="1DD31CA9">
      <w:pPr>
        <w:bidi w:val="0"/>
        <w:rPr>
          <w:rFonts w:hint="eastAsia"/>
          <w:color w:val="auto"/>
          <w:highlight w:val="none"/>
          <w:lang w:val="en-US" w:eastAsia="zh-CN"/>
        </w:rPr>
      </w:pPr>
    </w:p>
    <w:p w14:paraId="0F0D7529">
      <w:pPr>
        <w:bidi w:val="0"/>
        <w:rPr>
          <w:rFonts w:hint="eastAsia"/>
          <w:color w:val="auto"/>
          <w:highlight w:val="none"/>
          <w:lang w:val="en-US" w:eastAsia="zh-CN"/>
        </w:rPr>
      </w:pPr>
    </w:p>
    <w:p w14:paraId="2D1AE0A0">
      <w:pPr>
        <w:bidi w:val="0"/>
        <w:rPr>
          <w:rFonts w:hint="eastAsia"/>
          <w:color w:val="auto"/>
          <w:highlight w:val="none"/>
          <w:lang w:val="en-US" w:eastAsia="zh-CN"/>
        </w:rPr>
      </w:pPr>
    </w:p>
    <w:p w14:paraId="62908800">
      <w:pPr>
        <w:bidi w:val="0"/>
        <w:rPr>
          <w:rFonts w:hint="eastAsia"/>
          <w:color w:val="auto"/>
          <w:highlight w:val="none"/>
          <w:lang w:val="en-US" w:eastAsia="zh-CN"/>
        </w:rPr>
      </w:pPr>
    </w:p>
    <w:p w14:paraId="086DED5C">
      <w:pPr>
        <w:bidi w:val="0"/>
        <w:rPr>
          <w:rFonts w:hint="eastAsia"/>
          <w:color w:val="auto"/>
          <w:highlight w:val="none"/>
          <w:lang w:val="en-US" w:eastAsia="zh-CN"/>
        </w:rPr>
      </w:pPr>
    </w:p>
    <w:p w14:paraId="5DC17F8F">
      <w:pPr>
        <w:bidi w:val="0"/>
        <w:rPr>
          <w:rFonts w:hint="eastAsia"/>
          <w:color w:val="auto"/>
          <w:highlight w:val="none"/>
          <w:lang w:val="en-US" w:eastAsia="zh-CN"/>
        </w:rPr>
      </w:pPr>
    </w:p>
    <w:p w14:paraId="68A5748F">
      <w:pPr>
        <w:bidi w:val="0"/>
        <w:rPr>
          <w:rFonts w:hint="eastAsia"/>
          <w:color w:val="auto"/>
          <w:highlight w:val="none"/>
          <w:lang w:val="en-US" w:eastAsia="zh-CN"/>
        </w:rPr>
      </w:pPr>
    </w:p>
    <w:p w14:paraId="56C8C7E0">
      <w:pPr>
        <w:bidi w:val="0"/>
        <w:rPr>
          <w:rFonts w:hint="eastAsia"/>
          <w:color w:val="auto"/>
          <w:highlight w:val="none"/>
          <w:lang w:val="en-US" w:eastAsia="zh-CN"/>
        </w:rPr>
      </w:pPr>
    </w:p>
    <w:p w14:paraId="353BBB98">
      <w:pPr>
        <w:tabs>
          <w:tab w:val="left" w:pos="795"/>
        </w:tabs>
        <w:bidi w:val="0"/>
        <w:jc w:val="left"/>
        <w:rPr>
          <w:rFonts w:hint="eastAsia"/>
          <w:color w:val="auto"/>
          <w:highlight w:val="none"/>
          <w:lang w:val="en-US" w:eastAsia="zh-CN"/>
        </w:rPr>
      </w:pPr>
      <w:r>
        <w:rPr>
          <w:color w:val="auto"/>
          <w:highlight w:val="none"/>
        </w:rPr>
        <w:drawing>
          <wp:anchor distT="0" distB="0" distL="114300" distR="114300" simplePos="0" relativeHeight="251730944" behindDoc="0" locked="0" layoutInCell="1" allowOverlap="1">
            <wp:simplePos x="0" y="0"/>
            <wp:positionH relativeFrom="column">
              <wp:posOffset>-26035</wp:posOffset>
            </wp:positionH>
            <wp:positionV relativeFrom="paragraph">
              <wp:posOffset>189230</wp:posOffset>
            </wp:positionV>
            <wp:extent cx="5276215" cy="7443470"/>
            <wp:effectExtent l="0" t="0" r="635" b="5080"/>
            <wp:wrapNone/>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86"/>
                    <a:stretch>
                      <a:fillRect/>
                    </a:stretch>
                  </pic:blipFill>
                  <pic:spPr>
                    <a:xfrm>
                      <a:off x="0" y="0"/>
                      <a:ext cx="5276215" cy="7443470"/>
                    </a:xfrm>
                    <a:prstGeom prst="rect">
                      <a:avLst/>
                    </a:prstGeom>
                    <a:noFill/>
                    <a:ln>
                      <a:noFill/>
                    </a:ln>
                  </pic:spPr>
                </pic:pic>
              </a:graphicData>
            </a:graphic>
          </wp:anchor>
        </w:drawing>
      </w:r>
      <w:r>
        <w:rPr>
          <w:rFonts w:hint="eastAsia"/>
          <w:color w:val="auto"/>
          <w:highlight w:val="none"/>
          <w:lang w:val="en-US" w:eastAsia="zh-CN"/>
        </w:rPr>
        <w:tab/>
      </w:r>
    </w:p>
    <w:p w14:paraId="48918747">
      <w:pPr>
        <w:bidi w:val="0"/>
        <w:rPr>
          <w:rFonts w:hint="eastAsia" w:ascii="Times New Roman" w:hAnsi="Times New Roman" w:eastAsia="宋体" w:cstheme="minorBidi"/>
          <w:color w:val="auto"/>
          <w:kern w:val="2"/>
          <w:sz w:val="24"/>
          <w:szCs w:val="22"/>
          <w:highlight w:val="none"/>
          <w:lang w:val="en-US" w:eastAsia="zh-CN" w:bidi="ar-SA"/>
        </w:rPr>
      </w:pPr>
    </w:p>
    <w:p w14:paraId="29162B82">
      <w:pPr>
        <w:bidi w:val="0"/>
        <w:rPr>
          <w:rFonts w:hint="eastAsia"/>
          <w:color w:val="auto"/>
          <w:highlight w:val="none"/>
          <w:lang w:val="en-US" w:eastAsia="zh-CN"/>
        </w:rPr>
      </w:pPr>
    </w:p>
    <w:p w14:paraId="1DAE253A">
      <w:pPr>
        <w:bidi w:val="0"/>
        <w:rPr>
          <w:rFonts w:hint="eastAsia"/>
          <w:color w:val="auto"/>
          <w:highlight w:val="none"/>
          <w:lang w:val="en-US" w:eastAsia="zh-CN"/>
        </w:rPr>
      </w:pPr>
    </w:p>
    <w:p w14:paraId="21867FAA">
      <w:pPr>
        <w:bidi w:val="0"/>
        <w:rPr>
          <w:rFonts w:hint="eastAsia"/>
          <w:color w:val="auto"/>
          <w:highlight w:val="none"/>
          <w:lang w:val="en-US" w:eastAsia="zh-CN"/>
        </w:rPr>
      </w:pPr>
    </w:p>
    <w:p w14:paraId="67AFD445">
      <w:pPr>
        <w:bidi w:val="0"/>
        <w:rPr>
          <w:rFonts w:hint="eastAsia"/>
          <w:color w:val="auto"/>
          <w:highlight w:val="none"/>
          <w:lang w:val="en-US" w:eastAsia="zh-CN"/>
        </w:rPr>
      </w:pPr>
    </w:p>
    <w:p w14:paraId="223E90B0">
      <w:pPr>
        <w:bidi w:val="0"/>
        <w:rPr>
          <w:rFonts w:hint="eastAsia"/>
          <w:color w:val="auto"/>
          <w:highlight w:val="none"/>
          <w:lang w:val="en-US" w:eastAsia="zh-CN"/>
        </w:rPr>
      </w:pPr>
    </w:p>
    <w:p w14:paraId="26BC62C0">
      <w:pPr>
        <w:bidi w:val="0"/>
        <w:rPr>
          <w:rFonts w:hint="eastAsia"/>
          <w:color w:val="auto"/>
          <w:highlight w:val="none"/>
          <w:lang w:val="en-US" w:eastAsia="zh-CN"/>
        </w:rPr>
      </w:pPr>
    </w:p>
    <w:p w14:paraId="38CD71AC">
      <w:pPr>
        <w:bidi w:val="0"/>
        <w:rPr>
          <w:rFonts w:hint="eastAsia"/>
          <w:color w:val="auto"/>
          <w:highlight w:val="none"/>
          <w:lang w:val="en-US" w:eastAsia="zh-CN"/>
        </w:rPr>
      </w:pPr>
    </w:p>
    <w:p w14:paraId="7D6D3DBF">
      <w:pPr>
        <w:bidi w:val="0"/>
        <w:rPr>
          <w:rFonts w:hint="eastAsia"/>
          <w:color w:val="auto"/>
          <w:highlight w:val="none"/>
          <w:lang w:val="en-US" w:eastAsia="zh-CN"/>
        </w:rPr>
      </w:pPr>
    </w:p>
    <w:p w14:paraId="6283A164">
      <w:pPr>
        <w:bidi w:val="0"/>
        <w:rPr>
          <w:rFonts w:hint="eastAsia"/>
          <w:color w:val="auto"/>
          <w:highlight w:val="none"/>
          <w:lang w:val="en-US" w:eastAsia="zh-CN"/>
        </w:rPr>
      </w:pPr>
    </w:p>
    <w:p w14:paraId="38FF931B">
      <w:pPr>
        <w:bidi w:val="0"/>
        <w:rPr>
          <w:rFonts w:hint="eastAsia"/>
          <w:color w:val="auto"/>
          <w:highlight w:val="none"/>
          <w:lang w:val="en-US" w:eastAsia="zh-CN"/>
        </w:rPr>
      </w:pPr>
    </w:p>
    <w:p w14:paraId="3FDD95E7">
      <w:pPr>
        <w:bidi w:val="0"/>
        <w:rPr>
          <w:rFonts w:hint="eastAsia"/>
          <w:color w:val="auto"/>
          <w:highlight w:val="none"/>
          <w:lang w:val="en-US" w:eastAsia="zh-CN"/>
        </w:rPr>
      </w:pPr>
    </w:p>
    <w:p w14:paraId="107CFEF8">
      <w:pPr>
        <w:bidi w:val="0"/>
        <w:rPr>
          <w:rFonts w:hint="eastAsia"/>
          <w:color w:val="auto"/>
          <w:highlight w:val="none"/>
          <w:lang w:val="en-US" w:eastAsia="zh-CN"/>
        </w:rPr>
      </w:pPr>
    </w:p>
    <w:p w14:paraId="759331C5">
      <w:pPr>
        <w:bidi w:val="0"/>
        <w:rPr>
          <w:rFonts w:hint="eastAsia"/>
          <w:color w:val="auto"/>
          <w:highlight w:val="none"/>
          <w:lang w:val="en-US" w:eastAsia="zh-CN"/>
        </w:rPr>
      </w:pPr>
    </w:p>
    <w:p w14:paraId="489CC0AB">
      <w:pPr>
        <w:bidi w:val="0"/>
        <w:rPr>
          <w:rFonts w:hint="eastAsia"/>
          <w:color w:val="auto"/>
          <w:highlight w:val="none"/>
          <w:lang w:val="en-US" w:eastAsia="zh-CN"/>
        </w:rPr>
      </w:pPr>
    </w:p>
    <w:p w14:paraId="00842351">
      <w:pPr>
        <w:bidi w:val="0"/>
        <w:rPr>
          <w:rFonts w:hint="eastAsia"/>
          <w:color w:val="auto"/>
          <w:highlight w:val="none"/>
          <w:lang w:val="en-US" w:eastAsia="zh-CN"/>
        </w:rPr>
      </w:pPr>
    </w:p>
    <w:p w14:paraId="45AAA5A8">
      <w:pPr>
        <w:bidi w:val="0"/>
        <w:rPr>
          <w:rFonts w:hint="eastAsia"/>
          <w:color w:val="auto"/>
          <w:highlight w:val="none"/>
          <w:lang w:val="en-US" w:eastAsia="zh-CN"/>
        </w:rPr>
      </w:pPr>
    </w:p>
    <w:p w14:paraId="461885B5">
      <w:pPr>
        <w:bidi w:val="0"/>
        <w:rPr>
          <w:rFonts w:hint="eastAsia"/>
          <w:color w:val="auto"/>
          <w:highlight w:val="none"/>
          <w:lang w:val="en-US" w:eastAsia="zh-CN"/>
        </w:rPr>
      </w:pPr>
    </w:p>
    <w:p w14:paraId="2C92B78D">
      <w:pPr>
        <w:bidi w:val="0"/>
        <w:rPr>
          <w:rFonts w:hint="eastAsia"/>
          <w:color w:val="auto"/>
          <w:highlight w:val="none"/>
          <w:lang w:val="en-US" w:eastAsia="zh-CN"/>
        </w:rPr>
      </w:pPr>
    </w:p>
    <w:p w14:paraId="283F8B0E">
      <w:pPr>
        <w:bidi w:val="0"/>
        <w:rPr>
          <w:rFonts w:hint="eastAsia"/>
          <w:color w:val="auto"/>
          <w:highlight w:val="none"/>
          <w:lang w:val="en-US" w:eastAsia="zh-CN"/>
        </w:rPr>
      </w:pPr>
    </w:p>
    <w:p w14:paraId="38C249D3">
      <w:pPr>
        <w:bidi w:val="0"/>
        <w:rPr>
          <w:rFonts w:hint="eastAsia"/>
          <w:color w:val="auto"/>
          <w:highlight w:val="none"/>
          <w:lang w:val="en-US" w:eastAsia="zh-CN"/>
        </w:rPr>
      </w:pPr>
    </w:p>
    <w:p w14:paraId="48816A1B">
      <w:pPr>
        <w:bidi w:val="0"/>
        <w:rPr>
          <w:rFonts w:hint="eastAsia"/>
          <w:color w:val="auto"/>
          <w:highlight w:val="none"/>
          <w:lang w:val="en-US" w:eastAsia="zh-CN"/>
        </w:rPr>
      </w:pPr>
    </w:p>
    <w:p w14:paraId="778972C3">
      <w:pPr>
        <w:bidi w:val="0"/>
        <w:rPr>
          <w:rFonts w:hint="eastAsia"/>
          <w:color w:val="auto"/>
          <w:highlight w:val="none"/>
          <w:lang w:val="en-US" w:eastAsia="zh-CN"/>
        </w:rPr>
      </w:pPr>
    </w:p>
    <w:p w14:paraId="3602CFDC">
      <w:pPr>
        <w:bidi w:val="0"/>
        <w:rPr>
          <w:rFonts w:hint="eastAsia"/>
          <w:color w:val="auto"/>
          <w:highlight w:val="none"/>
          <w:lang w:val="en-US" w:eastAsia="zh-CN"/>
        </w:rPr>
      </w:pPr>
    </w:p>
    <w:p w14:paraId="18D215EC">
      <w:pPr>
        <w:bidi w:val="0"/>
        <w:rPr>
          <w:rFonts w:hint="eastAsia"/>
          <w:color w:val="auto"/>
          <w:highlight w:val="none"/>
          <w:lang w:val="en-US" w:eastAsia="zh-CN"/>
        </w:rPr>
      </w:pPr>
    </w:p>
    <w:p w14:paraId="0069395C">
      <w:pPr>
        <w:bidi w:val="0"/>
        <w:rPr>
          <w:rFonts w:hint="eastAsia"/>
          <w:color w:val="auto"/>
          <w:highlight w:val="none"/>
          <w:lang w:val="en-US" w:eastAsia="zh-CN"/>
        </w:rPr>
      </w:pPr>
    </w:p>
    <w:p w14:paraId="0CB5C8E8">
      <w:pPr>
        <w:tabs>
          <w:tab w:val="left" w:pos="1913"/>
        </w:tabs>
        <w:bidi w:val="0"/>
        <w:jc w:val="left"/>
        <w:rPr>
          <w:rFonts w:hint="eastAsia"/>
          <w:color w:val="auto"/>
          <w:highlight w:val="none"/>
          <w:lang w:val="en-US" w:eastAsia="zh-CN"/>
        </w:rPr>
      </w:pPr>
      <w:r>
        <w:rPr>
          <w:color w:val="auto"/>
          <w:highlight w:val="none"/>
        </w:rPr>
        <w:drawing>
          <wp:anchor distT="0" distB="0" distL="114300" distR="114300" simplePos="0" relativeHeight="251731968" behindDoc="0" locked="0" layoutInCell="1" allowOverlap="1">
            <wp:simplePos x="0" y="0"/>
            <wp:positionH relativeFrom="column">
              <wp:posOffset>-6350</wp:posOffset>
            </wp:positionH>
            <wp:positionV relativeFrom="paragraph">
              <wp:posOffset>198120</wp:posOffset>
            </wp:positionV>
            <wp:extent cx="5275580" cy="7266305"/>
            <wp:effectExtent l="0" t="0" r="1270" b="10795"/>
            <wp:wrapNone/>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87"/>
                    <a:stretch>
                      <a:fillRect/>
                    </a:stretch>
                  </pic:blipFill>
                  <pic:spPr>
                    <a:xfrm>
                      <a:off x="0" y="0"/>
                      <a:ext cx="5275580" cy="7266305"/>
                    </a:xfrm>
                    <a:prstGeom prst="rect">
                      <a:avLst/>
                    </a:prstGeom>
                    <a:noFill/>
                    <a:ln>
                      <a:noFill/>
                    </a:ln>
                  </pic:spPr>
                </pic:pic>
              </a:graphicData>
            </a:graphic>
          </wp:anchor>
        </w:drawing>
      </w:r>
      <w:r>
        <w:rPr>
          <w:rFonts w:hint="eastAsia"/>
          <w:color w:val="auto"/>
          <w:highlight w:val="none"/>
          <w:lang w:val="en-US" w:eastAsia="zh-CN"/>
        </w:rPr>
        <w:tab/>
      </w:r>
    </w:p>
    <w:p w14:paraId="6BCAD443">
      <w:pPr>
        <w:bidi w:val="0"/>
        <w:rPr>
          <w:rFonts w:hint="eastAsia" w:ascii="Times New Roman" w:hAnsi="Times New Roman" w:eastAsia="宋体" w:cstheme="minorBidi"/>
          <w:color w:val="auto"/>
          <w:kern w:val="2"/>
          <w:sz w:val="24"/>
          <w:szCs w:val="22"/>
          <w:highlight w:val="none"/>
          <w:lang w:val="en-US" w:eastAsia="zh-CN" w:bidi="ar-SA"/>
        </w:rPr>
      </w:pPr>
    </w:p>
    <w:p w14:paraId="3A6113C7">
      <w:pPr>
        <w:bidi w:val="0"/>
        <w:rPr>
          <w:rFonts w:hint="eastAsia"/>
          <w:color w:val="auto"/>
          <w:highlight w:val="none"/>
          <w:lang w:val="en-US" w:eastAsia="zh-CN"/>
        </w:rPr>
      </w:pPr>
    </w:p>
    <w:p w14:paraId="6EEBC3F5">
      <w:pPr>
        <w:bidi w:val="0"/>
        <w:rPr>
          <w:rFonts w:hint="eastAsia"/>
          <w:color w:val="auto"/>
          <w:highlight w:val="none"/>
          <w:lang w:val="en-US" w:eastAsia="zh-CN"/>
        </w:rPr>
      </w:pPr>
    </w:p>
    <w:p w14:paraId="7DFE98BA">
      <w:pPr>
        <w:bidi w:val="0"/>
        <w:rPr>
          <w:rFonts w:hint="eastAsia"/>
          <w:color w:val="auto"/>
          <w:highlight w:val="none"/>
          <w:lang w:val="en-US" w:eastAsia="zh-CN"/>
        </w:rPr>
      </w:pPr>
    </w:p>
    <w:p w14:paraId="4C767016">
      <w:pPr>
        <w:bidi w:val="0"/>
        <w:rPr>
          <w:rFonts w:hint="eastAsia"/>
          <w:color w:val="auto"/>
          <w:highlight w:val="none"/>
          <w:lang w:val="en-US" w:eastAsia="zh-CN"/>
        </w:rPr>
      </w:pPr>
    </w:p>
    <w:p w14:paraId="00FB797C">
      <w:pPr>
        <w:bidi w:val="0"/>
        <w:rPr>
          <w:rFonts w:hint="eastAsia"/>
          <w:color w:val="auto"/>
          <w:highlight w:val="none"/>
          <w:lang w:val="en-US" w:eastAsia="zh-CN"/>
        </w:rPr>
      </w:pPr>
    </w:p>
    <w:p w14:paraId="4DB41FAD">
      <w:pPr>
        <w:bidi w:val="0"/>
        <w:rPr>
          <w:rFonts w:hint="eastAsia"/>
          <w:color w:val="auto"/>
          <w:highlight w:val="none"/>
          <w:lang w:val="en-US" w:eastAsia="zh-CN"/>
        </w:rPr>
      </w:pPr>
    </w:p>
    <w:p w14:paraId="5D32510F">
      <w:pPr>
        <w:bidi w:val="0"/>
        <w:rPr>
          <w:rFonts w:hint="eastAsia"/>
          <w:color w:val="auto"/>
          <w:highlight w:val="none"/>
          <w:lang w:val="en-US" w:eastAsia="zh-CN"/>
        </w:rPr>
      </w:pPr>
    </w:p>
    <w:p w14:paraId="1B3A1570">
      <w:pPr>
        <w:bidi w:val="0"/>
        <w:rPr>
          <w:rFonts w:hint="eastAsia"/>
          <w:color w:val="auto"/>
          <w:highlight w:val="none"/>
          <w:lang w:val="en-US" w:eastAsia="zh-CN"/>
        </w:rPr>
      </w:pPr>
    </w:p>
    <w:p w14:paraId="7E744EAE">
      <w:pPr>
        <w:bidi w:val="0"/>
        <w:rPr>
          <w:rFonts w:hint="eastAsia"/>
          <w:color w:val="auto"/>
          <w:highlight w:val="none"/>
          <w:lang w:val="en-US" w:eastAsia="zh-CN"/>
        </w:rPr>
      </w:pPr>
    </w:p>
    <w:p w14:paraId="33EA0522">
      <w:pPr>
        <w:bidi w:val="0"/>
        <w:rPr>
          <w:rFonts w:hint="eastAsia"/>
          <w:color w:val="auto"/>
          <w:highlight w:val="none"/>
          <w:lang w:val="en-US" w:eastAsia="zh-CN"/>
        </w:rPr>
      </w:pPr>
    </w:p>
    <w:p w14:paraId="2D2450C0">
      <w:pPr>
        <w:bidi w:val="0"/>
        <w:rPr>
          <w:rFonts w:hint="eastAsia"/>
          <w:color w:val="auto"/>
          <w:highlight w:val="none"/>
          <w:lang w:val="en-US" w:eastAsia="zh-CN"/>
        </w:rPr>
      </w:pPr>
    </w:p>
    <w:p w14:paraId="4AB0A54D">
      <w:pPr>
        <w:bidi w:val="0"/>
        <w:rPr>
          <w:rFonts w:hint="eastAsia"/>
          <w:color w:val="auto"/>
          <w:highlight w:val="none"/>
          <w:lang w:val="en-US" w:eastAsia="zh-CN"/>
        </w:rPr>
      </w:pPr>
    </w:p>
    <w:p w14:paraId="1BC23036">
      <w:pPr>
        <w:bidi w:val="0"/>
        <w:rPr>
          <w:rFonts w:hint="eastAsia"/>
          <w:color w:val="auto"/>
          <w:highlight w:val="none"/>
          <w:lang w:val="en-US" w:eastAsia="zh-CN"/>
        </w:rPr>
      </w:pPr>
    </w:p>
    <w:p w14:paraId="4DDB84E3">
      <w:pPr>
        <w:bidi w:val="0"/>
        <w:rPr>
          <w:rFonts w:hint="eastAsia"/>
          <w:color w:val="auto"/>
          <w:highlight w:val="none"/>
          <w:lang w:val="en-US" w:eastAsia="zh-CN"/>
        </w:rPr>
      </w:pPr>
    </w:p>
    <w:p w14:paraId="4ED3F272">
      <w:pPr>
        <w:bidi w:val="0"/>
        <w:rPr>
          <w:rFonts w:hint="eastAsia"/>
          <w:color w:val="auto"/>
          <w:highlight w:val="none"/>
          <w:lang w:val="en-US" w:eastAsia="zh-CN"/>
        </w:rPr>
      </w:pPr>
    </w:p>
    <w:p w14:paraId="3CA530C2">
      <w:pPr>
        <w:bidi w:val="0"/>
        <w:rPr>
          <w:rFonts w:hint="eastAsia"/>
          <w:color w:val="auto"/>
          <w:highlight w:val="none"/>
          <w:lang w:val="en-US" w:eastAsia="zh-CN"/>
        </w:rPr>
      </w:pPr>
    </w:p>
    <w:p w14:paraId="2CFC88F9">
      <w:pPr>
        <w:bidi w:val="0"/>
        <w:rPr>
          <w:rFonts w:hint="eastAsia"/>
          <w:color w:val="auto"/>
          <w:highlight w:val="none"/>
          <w:lang w:val="en-US" w:eastAsia="zh-CN"/>
        </w:rPr>
      </w:pPr>
    </w:p>
    <w:p w14:paraId="0D1952F5">
      <w:pPr>
        <w:bidi w:val="0"/>
        <w:rPr>
          <w:rFonts w:hint="eastAsia"/>
          <w:color w:val="auto"/>
          <w:highlight w:val="none"/>
          <w:lang w:val="en-US" w:eastAsia="zh-CN"/>
        </w:rPr>
      </w:pPr>
    </w:p>
    <w:p w14:paraId="220E03BA">
      <w:pPr>
        <w:bidi w:val="0"/>
        <w:rPr>
          <w:rFonts w:hint="eastAsia"/>
          <w:color w:val="auto"/>
          <w:highlight w:val="none"/>
          <w:lang w:val="en-US" w:eastAsia="zh-CN"/>
        </w:rPr>
      </w:pPr>
    </w:p>
    <w:p w14:paraId="57D22231">
      <w:pPr>
        <w:bidi w:val="0"/>
        <w:rPr>
          <w:rFonts w:hint="eastAsia"/>
          <w:color w:val="auto"/>
          <w:highlight w:val="none"/>
          <w:lang w:val="en-US" w:eastAsia="zh-CN"/>
        </w:rPr>
      </w:pPr>
    </w:p>
    <w:p w14:paraId="13B7EEC3">
      <w:pPr>
        <w:bidi w:val="0"/>
        <w:rPr>
          <w:rFonts w:hint="eastAsia"/>
          <w:color w:val="auto"/>
          <w:highlight w:val="none"/>
          <w:lang w:val="en-US" w:eastAsia="zh-CN"/>
        </w:rPr>
      </w:pPr>
    </w:p>
    <w:p w14:paraId="2C11C9E6">
      <w:pPr>
        <w:bidi w:val="0"/>
        <w:rPr>
          <w:rFonts w:hint="eastAsia"/>
          <w:color w:val="auto"/>
          <w:highlight w:val="none"/>
          <w:lang w:val="en-US" w:eastAsia="zh-CN"/>
        </w:rPr>
      </w:pPr>
    </w:p>
    <w:p w14:paraId="4E871012">
      <w:pPr>
        <w:bidi w:val="0"/>
        <w:rPr>
          <w:rFonts w:hint="eastAsia"/>
          <w:color w:val="auto"/>
          <w:highlight w:val="none"/>
          <w:lang w:val="en-US" w:eastAsia="zh-CN"/>
        </w:rPr>
      </w:pPr>
    </w:p>
    <w:p w14:paraId="78EF516E">
      <w:pPr>
        <w:bidi w:val="0"/>
        <w:rPr>
          <w:rFonts w:hint="eastAsia"/>
          <w:color w:val="auto"/>
          <w:highlight w:val="none"/>
          <w:lang w:val="en-US" w:eastAsia="zh-CN"/>
        </w:rPr>
      </w:pPr>
    </w:p>
    <w:p w14:paraId="403FDFC6">
      <w:pPr>
        <w:bidi w:val="0"/>
        <w:rPr>
          <w:rFonts w:hint="eastAsia"/>
          <w:color w:val="auto"/>
          <w:highlight w:val="none"/>
          <w:lang w:val="en-US" w:eastAsia="zh-CN"/>
        </w:rPr>
      </w:pPr>
    </w:p>
    <w:p w14:paraId="73E7AECD">
      <w:pPr>
        <w:tabs>
          <w:tab w:val="left" w:pos="563"/>
        </w:tabs>
        <w:bidi w:val="0"/>
        <w:jc w:val="left"/>
        <w:rPr>
          <w:rFonts w:hint="eastAsia"/>
          <w:color w:val="auto"/>
          <w:highlight w:val="none"/>
          <w:lang w:val="en-US" w:eastAsia="zh-CN"/>
        </w:rPr>
      </w:pPr>
      <w:r>
        <w:rPr>
          <w:color w:val="auto"/>
          <w:highlight w:val="none"/>
        </w:rPr>
        <w:drawing>
          <wp:anchor distT="0" distB="0" distL="114300" distR="114300" simplePos="0" relativeHeight="251732992" behindDoc="0" locked="0" layoutInCell="1" allowOverlap="1">
            <wp:simplePos x="0" y="0"/>
            <wp:positionH relativeFrom="column">
              <wp:posOffset>26035</wp:posOffset>
            </wp:positionH>
            <wp:positionV relativeFrom="paragraph">
              <wp:posOffset>150495</wp:posOffset>
            </wp:positionV>
            <wp:extent cx="5273675" cy="7379970"/>
            <wp:effectExtent l="0" t="0" r="3175" b="11430"/>
            <wp:wrapNone/>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88"/>
                    <a:stretch>
                      <a:fillRect/>
                    </a:stretch>
                  </pic:blipFill>
                  <pic:spPr>
                    <a:xfrm>
                      <a:off x="0" y="0"/>
                      <a:ext cx="5273675" cy="7379970"/>
                    </a:xfrm>
                    <a:prstGeom prst="rect">
                      <a:avLst/>
                    </a:prstGeom>
                    <a:noFill/>
                    <a:ln>
                      <a:noFill/>
                    </a:ln>
                  </pic:spPr>
                </pic:pic>
              </a:graphicData>
            </a:graphic>
          </wp:anchor>
        </w:drawing>
      </w:r>
      <w:r>
        <w:rPr>
          <w:rFonts w:hint="eastAsia"/>
          <w:color w:val="auto"/>
          <w:highlight w:val="none"/>
          <w:lang w:val="en-US" w:eastAsia="zh-CN"/>
        </w:rPr>
        <w:tab/>
      </w:r>
    </w:p>
    <w:p w14:paraId="6E6470E9">
      <w:pPr>
        <w:bidi w:val="0"/>
        <w:rPr>
          <w:rFonts w:hint="eastAsia" w:ascii="Times New Roman" w:hAnsi="Times New Roman" w:eastAsia="宋体" w:cstheme="minorBidi"/>
          <w:color w:val="auto"/>
          <w:kern w:val="2"/>
          <w:sz w:val="24"/>
          <w:szCs w:val="22"/>
          <w:highlight w:val="none"/>
          <w:lang w:val="en-US" w:eastAsia="zh-CN" w:bidi="ar-SA"/>
        </w:rPr>
      </w:pPr>
    </w:p>
    <w:p w14:paraId="2A959D55">
      <w:pPr>
        <w:bidi w:val="0"/>
        <w:rPr>
          <w:rFonts w:hint="eastAsia"/>
          <w:color w:val="auto"/>
          <w:highlight w:val="none"/>
          <w:lang w:val="en-US" w:eastAsia="zh-CN"/>
        </w:rPr>
      </w:pPr>
    </w:p>
    <w:p w14:paraId="68469B4B">
      <w:pPr>
        <w:bidi w:val="0"/>
        <w:rPr>
          <w:rFonts w:hint="eastAsia"/>
          <w:color w:val="auto"/>
          <w:highlight w:val="none"/>
          <w:lang w:val="en-US" w:eastAsia="zh-CN"/>
        </w:rPr>
      </w:pPr>
    </w:p>
    <w:p w14:paraId="0413C7D4">
      <w:pPr>
        <w:bidi w:val="0"/>
        <w:rPr>
          <w:rFonts w:hint="eastAsia"/>
          <w:color w:val="auto"/>
          <w:highlight w:val="none"/>
          <w:lang w:val="en-US" w:eastAsia="zh-CN"/>
        </w:rPr>
      </w:pPr>
    </w:p>
    <w:p w14:paraId="2CA56370">
      <w:pPr>
        <w:bidi w:val="0"/>
        <w:rPr>
          <w:rFonts w:hint="eastAsia"/>
          <w:color w:val="auto"/>
          <w:highlight w:val="none"/>
          <w:lang w:val="en-US" w:eastAsia="zh-CN"/>
        </w:rPr>
      </w:pPr>
    </w:p>
    <w:p w14:paraId="20ED9002">
      <w:pPr>
        <w:bidi w:val="0"/>
        <w:rPr>
          <w:rFonts w:hint="eastAsia"/>
          <w:color w:val="auto"/>
          <w:highlight w:val="none"/>
          <w:lang w:val="en-US" w:eastAsia="zh-CN"/>
        </w:rPr>
      </w:pPr>
    </w:p>
    <w:p w14:paraId="7A9509FC">
      <w:pPr>
        <w:bidi w:val="0"/>
        <w:rPr>
          <w:rFonts w:hint="eastAsia"/>
          <w:color w:val="auto"/>
          <w:highlight w:val="none"/>
          <w:lang w:val="en-US" w:eastAsia="zh-CN"/>
        </w:rPr>
      </w:pPr>
    </w:p>
    <w:p w14:paraId="0CEC5D8B">
      <w:pPr>
        <w:bidi w:val="0"/>
        <w:rPr>
          <w:rFonts w:hint="eastAsia"/>
          <w:color w:val="auto"/>
          <w:highlight w:val="none"/>
          <w:lang w:val="en-US" w:eastAsia="zh-CN"/>
        </w:rPr>
      </w:pPr>
    </w:p>
    <w:p w14:paraId="5DECA6D0">
      <w:pPr>
        <w:bidi w:val="0"/>
        <w:rPr>
          <w:rFonts w:hint="eastAsia"/>
          <w:color w:val="auto"/>
          <w:highlight w:val="none"/>
          <w:lang w:val="en-US" w:eastAsia="zh-CN"/>
        </w:rPr>
      </w:pPr>
    </w:p>
    <w:p w14:paraId="7269B5B2">
      <w:pPr>
        <w:bidi w:val="0"/>
        <w:rPr>
          <w:rFonts w:hint="eastAsia"/>
          <w:color w:val="auto"/>
          <w:highlight w:val="none"/>
          <w:lang w:val="en-US" w:eastAsia="zh-CN"/>
        </w:rPr>
      </w:pPr>
    </w:p>
    <w:p w14:paraId="0F33C1A5">
      <w:pPr>
        <w:bidi w:val="0"/>
        <w:rPr>
          <w:rFonts w:hint="eastAsia"/>
          <w:color w:val="auto"/>
          <w:highlight w:val="none"/>
          <w:lang w:val="en-US" w:eastAsia="zh-CN"/>
        </w:rPr>
      </w:pPr>
    </w:p>
    <w:p w14:paraId="1F9CBEA2">
      <w:pPr>
        <w:bidi w:val="0"/>
        <w:rPr>
          <w:rFonts w:hint="eastAsia"/>
          <w:color w:val="auto"/>
          <w:highlight w:val="none"/>
          <w:lang w:val="en-US" w:eastAsia="zh-CN"/>
        </w:rPr>
      </w:pPr>
    </w:p>
    <w:p w14:paraId="06DCBE8D">
      <w:pPr>
        <w:bidi w:val="0"/>
        <w:rPr>
          <w:rFonts w:hint="eastAsia"/>
          <w:color w:val="auto"/>
          <w:highlight w:val="none"/>
          <w:lang w:val="en-US" w:eastAsia="zh-CN"/>
        </w:rPr>
      </w:pPr>
    </w:p>
    <w:p w14:paraId="6EA37927">
      <w:pPr>
        <w:bidi w:val="0"/>
        <w:rPr>
          <w:rFonts w:hint="eastAsia"/>
          <w:color w:val="auto"/>
          <w:highlight w:val="none"/>
          <w:lang w:val="en-US" w:eastAsia="zh-CN"/>
        </w:rPr>
      </w:pPr>
    </w:p>
    <w:p w14:paraId="1364BE5D">
      <w:pPr>
        <w:bidi w:val="0"/>
        <w:rPr>
          <w:rFonts w:hint="eastAsia"/>
          <w:color w:val="auto"/>
          <w:highlight w:val="none"/>
          <w:lang w:val="en-US" w:eastAsia="zh-CN"/>
        </w:rPr>
      </w:pPr>
    </w:p>
    <w:p w14:paraId="497B256A">
      <w:pPr>
        <w:bidi w:val="0"/>
        <w:rPr>
          <w:rFonts w:hint="eastAsia"/>
          <w:color w:val="auto"/>
          <w:highlight w:val="none"/>
          <w:lang w:val="en-US" w:eastAsia="zh-CN"/>
        </w:rPr>
      </w:pPr>
    </w:p>
    <w:p w14:paraId="1AEBC678">
      <w:pPr>
        <w:bidi w:val="0"/>
        <w:rPr>
          <w:rFonts w:hint="eastAsia"/>
          <w:color w:val="auto"/>
          <w:highlight w:val="none"/>
          <w:lang w:val="en-US" w:eastAsia="zh-CN"/>
        </w:rPr>
      </w:pPr>
    </w:p>
    <w:p w14:paraId="66F825E2">
      <w:pPr>
        <w:bidi w:val="0"/>
        <w:rPr>
          <w:rFonts w:hint="eastAsia"/>
          <w:color w:val="auto"/>
          <w:highlight w:val="none"/>
          <w:lang w:val="en-US" w:eastAsia="zh-CN"/>
        </w:rPr>
      </w:pPr>
    </w:p>
    <w:p w14:paraId="0E25D9F0">
      <w:pPr>
        <w:bidi w:val="0"/>
        <w:rPr>
          <w:rFonts w:hint="eastAsia"/>
          <w:color w:val="auto"/>
          <w:highlight w:val="none"/>
          <w:lang w:val="en-US" w:eastAsia="zh-CN"/>
        </w:rPr>
      </w:pPr>
    </w:p>
    <w:p w14:paraId="0D0DA2C2">
      <w:pPr>
        <w:bidi w:val="0"/>
        <w:rPr>
          <w:rFonts w:hint="eastAsia"/>
          <w:color w:val="auto"/>
          <w:highlight w:val="none"/>
          <w:lang w:val="en-US" w:eastAsia="zh-CN"/>
        </w:rPr>
      </w:pPr>
    </w:p>
    <w:p w14:paraId="5835BD3C">
      <w:pPr>
        <w:bidi w:val="0"/>
        <w:rPr>
          <w:rFonts w:hint="eastAsia"/>
          <w:color w:val="auto"/>
          <w:highlight w:val="none"/>
          <w:lang w:val="en-US" w:eastAsia="zh-CN"/>
        </w:rPr>
      </w:pPr>
    </w:p>
    <w:p w14:paraId="7335CA6B">
      <w:pPr>
        <w:bidi w:val="0"/>
        <w:rPr>
          <w:rFonts w:hint="eastAsia"/>
          <w:color w:val="auto"/>
          <w:highlight w:val="none"/>
          <w:lang w:val="en-US" w:eastAsia="zh-CN"/>
        </w:rPr>
      </w:pPr>
    </w:p>
    <w:p w14:paraId="488C03FE">
      <w:pPr>
        <w:bidi w:val="0"/>
        <w:rPr>
          <w:rFonts w:hint="eastAsia"/>
          <w:color w:val="auto"/>
          <w:highlight w:val="none"/>
          <w:lang w:val="en-US" w:eastAsia="zh-CN"/>
        </w:rPr>
      </w:pPr>
    </w:p>
    <w:p w14:paraId="1D002D06">
      <w:pPr>
        <w:bidi w:val="0"/>
        <w:rPr>
          <w:rFonts w:hint="eastAsia"/>
          <w:color w:val="auto"/>
          <w:highlight w:val="none"/>
          <w:lang w:val="en-US" w:eastAsia="zh-CN"/>
        </w:rPr>
      </w:pPr>
    </w:p>
    <w:p w14:paraId="3D3878A1">
      <w:pPr>
        <w:bidi w:val="0"/>
        <w:rPr>
          <w:rFonts w:hint="eastAsia"/>
          <w:color w:val="auto"/>
          <w:highlight w:val="none"/>
          <w:lang w:val="en-US" w:eastAsia="zh-CN"/>
        </w:rPr>
      </w:pPr>
    </w:p>
    <w:p w14:paraId="49EDC755">
      <w:pPr>
        <w:bidi w:val="0"/>
        <w:rPr>
          <w:rFonts w:hint="eastAsia"/>
          <w:color w:val="auto"/>
          <w:highlight w:val="none"/>
          <w:lang w:val="en-US" w:eastAsia="zh-CN"/>
        </w:rPr>
      </w:pPr>
    </w:p>
    <w:p w14:paraId="693E0B41">
      <w:pPr>
        <w:tabs>
          <w:tab w:val="left" w:pos="427"/>
        </w:tabs>
        <w:bidi w:val="0"/>
        <w:jc w:val="left"/>
        <w:rPr>
          <w:rFonts w:hint="eastAsia"/>
          <w:color w:val="auto"/>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color w:val="auto"/>
          <w:highlight w:val="none"/>
        </w:rPr>
        <w:drawing>
          <wp:anchor distT="0" distB="0" distL="114300" distR="114300" simplePos="0" relativeHeight="251734016" behindDoc="0" locked="0" layoutInCell="1" allowOverlap="1">
            <wp:simplePos x="0" y="0"/>
            <wp:positionH relativeFrom="column">
              <wp:posOffset>-26035</wp:posOffset>
            </wp:positionH>
            <wp:positionV relativeFrom="paragraph">
              <wp:posOffset>169545</wp:posOffset>
            </wp:positionV>
            <wp:extent cx="5278120" cy="7465695"/>
            <wp:effectExtent l="0" t="0" r="17780" b="1905"/>
            <wp:wrapNone/>
            <wp:docPr id="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5"/>
                    <pic:cNvPicPr>
                      <a:picLocks noChangeAspect="1"/>
                    </pic:cNvPicPr>
                  </pic:nvPicPr>
                  <pic:blipFill>
                    <a:blip r:embed="rId89"/>
                    <a:stretch>
                      <a:fillRect/>
                    </a:stretch>
                  </pic:blipFill>
                  <pic:spPr>
                    <a:xfrm>
                      <a:off x="0" y="0"/>
                      <a:ext cx="5278120" cy="7465695"/>
                    </a:xfrm>
                    <a:prstGeom prst="rect">
                      <a:avLst/>
                    </a:prstGeom>
                    <a:noFill/>
                    <a:ln>
                      <a:noFill/>
                    </a:ln>
                  </pic:spPr>
                </pic:pic>
              </a:graphicData>
            </a:graphic>
          </wp:anchor>
        </w:drawing>
      </w:r>
      <w:r>
        <w:rPr>
          <w:rFonts w:hint="eastAsia"/>
          <w:color w:val="auto"/>
          <w:highlight w:val="none"/>
          <w:lang w:val="en-US" w:eastAsia="zh-CN"/>
        </w:rPr>
        <w:tab/>
      </w:r>
    </w:p>
    <w:p w14:paraId="28C819E8">
      <w:pPr>
        <w:tabs>
          <w:tab w:val="left" w:pos="427"/>
        </w:tabs>
        <w:bidi w:val="0"/>
        <w:ind w:left="0" w:leftChars="0" w:firstLine="0" w:firstLineChars="0"/>
        <w:jc w:val="left"/>
        <w:rPr>
          <w:rFonts w:hint="eastAsia" w:ascii="黑体" w:hAnsi="黑体" w:eastAsia="黑体" w:cs="黑体"/>
          <w:color w:val="auto"/>
          <w:sz w:val="24"/>
          <w:szCs w:val="24"/>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color w:val="auto"/>
          <w:highlight w:val="none"/>
        </w:rPr>
        <w:drawing>
          <wp:anchor distT="0" distB="0" distL="114300" distR="114300" simplePos="0" relativeHeight="251735040" behindDoc="0" locked="0" layoutInCell="1" allowOverlap="1">
            <wp:simplePos x="0" y="0"/>
            <wp:positionH relativeFrom="column">
              <wp:posOffset>-43180</wp:posOffset>
            </wp:positionH>
            <wp:positionV relativeFrom="paragraph">
              <wp:posOffset>394335</wp:posOffset>
            </wp:positionV>
            <wp:extent cx="5273675" cy="7261860"/>
            <wp:effectExtent l="0" t="0" r="3175" b="15240"/>
            <wp:wrapNone/>
            <wp:docPr id="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pic:cNvPicPr>
                      <a:picLocks noChangeAspect="1"/>
                    </pic:cNvPicPr>
                  </pic:nvPicPr>
                  <pic:blipFill>
                    <a:blip r:embed="rId90"/>
                    <a:stretch>
                      <a:fillRect/>
                    </a:stretch>
                  </pic:blipFill>
                  <pic:spPr>
                    <a:xfrm>
                      <a:off x="0" y="0"/>
                      <a:ext cx="5273675" cy="7261860"/>
                    </a:xfrm>
                    <a:prstGeom prst="rect">
                      <a:avLst/>
                    </a:prstGeom>
                    <a:noFill/>
                    <a:ln>
                      <a:noFill/>
                    </a:ln>
                  </pic:spPr>
                </pic:pic>
              </a:graphicData>
            </a:graphic>
          </wp:anchor>
        </w:drawing>
      </w:r>
      <w:r>
        <w:rPr>
          <w:rFonts w:hint="eastAsia" w:ascii="黑体" w:hAnsi="黑体" w:eastAsia="黑体" w:cs="黑体"/>
          <w:color w:val="auto"/>
          <w:sz w:val="24"/>
          <w:szCs w:val="24"/>
          <w:highlight w:val="none"/>
          <w:lang w:val="en-US" w:eastAsia="zh-CN"/>
        </w:rPr>
        <w:t>附件8：分区管控情况说明</w:t>
      </w:r>
    </w:p>
    <w:p w14:paraId="4567D74D">
      <w:pPr>
        <w:tabs>
          <w:tab w:val="left" w:pos="427"/>
        </w:tabs>
        <w:bidi w:val="0"/>
        <w:jc w:val="left"/>
        <w:rPr>
          <w:rFonts w:hint="default" w:ascii="黑体" w:hAnsi="黑体" w:eastAsia="黑体" w:cs="黑体"/>
          <w:color w:val="auto"/>
          <w:sz w:val="24"/>
          <w:szCs w:val="24"/>
          <w:highlight w:val="none"/>
          <w:lang w:val="en-US" w:eastAsia="zh-CN"/>
        </w:rPr>
      </w:pPr>
      <w:r>
        <w:rPr>
          <w:color w:val="auto"/>
          <w:highlight w:val="none"/>
        </w:rPr>
        <w:drawing>
          <wp:anchor distT="0" distB="0" distL="114300" distR="114300" simplePos="0" relativeHeight="251736064" behindDoc="0" locked="0" layoutInCell="1" allowOverlap="1">
            <wp:simplePos x="0" y="0"/>
            <wp:positionH relativeFrom="column">
              <wp:posOffset>668655</wp:posOffset>
            </wp:positionH>
            <wp:positionV relativeFrom="paragraph">
              <wp:posOffset>35560</wp:posOffset>
            </wp:positionV>
            <wp:extent cx="7409180" cy="5274310"/>
            <wp:effectExtent l="0" t="0" r="1270" b="2540"/>
            <wp:wrapNone/>
            <wp:docPr id="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pic:cNvPicPr>
                      <a:picLocks noChangeAspect="1"/>
                    </pic:cNvPicPr>
                  </pic:nvPicPr>
                  <pic:blipFill>
                    <a:blip r:embed="rId91"/>
                    <a:stretch>
                      <a:fillRect/>
                    </a:stretch>
                  </pic:blipFill>
                  <pic:spPr>
                    <a:xfrm>
                      <a:off x="0" y="0"/>
                      <a:ext cx="7409180" cy="5274310"/>
                    </a:xfrm>
                    <a:prstGeom prst="rect">
                      <a:avLst/>
                    </a:prstGeom>
                    <a:noFill/>
                    <a:ln>
                      <a:noFill/>
                    </a:ln>
                  </pic:spPr>
                </pic:pic>
              </a:graphicData>
            </a:graphic>
          </wp:anchor>
        </w:drawing>
      </w:r>
    </w:p>
    <w:p w14:paraId="45EE8404">
      <w:pPr>
        <w:tabs>
          <w:tab w:val="left" w:pos="427"/>
        </w:tabs>
        <w:bidi w:val="0"/>
        <w:jc w:val="left"/>
        <w:rPr>
          <w:rFonts w:hint="default" w:ascii="黑体" w:hAnsi="黑体" w:eastAsia="黑体" w:cs="黑体"/>
          <w:color w:val="auto"/>
          <w:sz w:val="24"/>
          <w:szCs w:val="24"/>
          <w:highlight w:val="none"/>
          <w:lang w:val="en-US" w:eastAsia="zh-CN"/>
        </w:rPr>
      </w:pPr>
    </w:p>
    <w:p w14:paraId="1F5F1C8D">
      <w:pPr>
        <w:tabs>
          <w:tab w:val="left" w:pos="427"/>
        </w:tabs>
        <w:bidi w:val="0"/>
        <w:jc w:val="left"/>
        <w:rPr>
          <w:rFonts w:hint="default" w:ascii="黑体" w:hAnsi="黑体" w:eastAsia="黑体" w:cs="黑体"/>
          <w:color w:val="auto"/>
          <w:sz w:val="24"/>
          <w:szCs w:val="24"/>
          <w:highlight w:val="none"/>
          <w:lang w:val="en-US" w:eastAsia="zh-CN"/>
        </w:rPr>
      </w:pPr>
    </w:p>
    <w:p w14:paraId="0A0E9028">
      <w:pPr>
        <w:tabs>
          <w:tab w:val="left" w:pos="427"/>
        </w:tabs>
        <w:bidi w:val="0"/>
        <w:jc w:val="left"/>
        <w:rPr>
          <w:rFonts w:hint="default" w:ascii="黑体" w:hAnsi="黑体" w:eastAsia="黑体" w:cs="黑体"/>
          <w:color w:val="auto"/>
          <w:sz w:val="24"/>
          <w:szCs w:val="24"/>
          <w:highlight w:val="none"/>
          <w:lang w:val="en-US" w:eastAsia="zh-CN"/>
        </w:rPr>
      </w:pPr>
    </w:p>
    <w:p w14:paraId="75168320">
      <w:pPr>
        <w:tabs>
          <w:tab w:val="left" w:pos="427"/>
        </w:tabs>
        <w:bidi w:val="0"/>
        <w:jc w:val="left"/>
        <w:rPr>
          <w:rFonts w:hint="default" w:ascii="黑体" w:hAnsi="黑体" w:eastAsia="黑体" w:cs="黑体"/>
          <w:color w:val="auto"/>
          <w:sz w:val="24"/>
          <w:szCs w:val="24"/>
          <w:highlight w:val="none"/>
          <w:lang w:val="en-US" w:eastAsia="zh-CN"/>
        </w:rPr>
      </w:pPr>
    </w:p>
    <w:p w14:paraId="6C557BB6">
      <w:pPr>
        <w:tabs>
          <w:tab w:val="left" w:pos="427"/>
        </w:tabs>
        <w:bidi w:val="0"/>
        <w:jc w:val="left"/>
        <w:rPr>
          <w:rFonts w:hint="default" w:ascii="黑体" w:hAnsi="黑体" w:eastAsia="黑体" w:cs="黑体"/>
          <w:color w:val="auto"/>
          <w:sz w:val="24"/>
          <w:szCs w:val="24"/>
          <w:highlight w:val="none"/>
          <w:lang w:val="en-US" w:eastAsia="zh-CN"/>
        </w:rPr>
      </w:pPr>
    </w:p>
    <w:p w14:paraId="473E9D52">
      <w:pPr>
        <w:bidi w:val="0"/>
        <w:rPr>
          <w:rFonts w:hint="default" w:ascii="Times New Roman" w:hAnsi="Times New Roman" w:eastAsia="宋体" w:cstheme="minorBidi"/>
          <w:color w:val="auto"/>
          <w:kern w:val="2"/>
          <w:sz w:val="24"/>
          <w:szCs w:val="22"/>
          <w:highlight w:val="none"/>
          <w:lang w:val="en-US" w:eastAsia="zh-CN" w:bidi="ar-SA"/>
        </w:rPr>
      </w:pPr>
    </w:p>
    <w:p w14:paraId="05482160">
      <w:pPr>
        <w:bidi w:val="0"/>
        <w:rPr>
          <w:rFonts w:hint="default"/>
          <w:color w:val="auto"/>
          <w:highlight w:val="none"/>
          <w:lang w:val="en-US" w:eastAsia="zh-CN"/>
        </w:rPr>
      </w:pPr>
    </w:p>
    <w:p w14:paraId="7A44FF0B">
      <w:pPr>
        <w:bidi w:val="0"/>
        <w:rPr>
          <w:rFonts w:hint="default"/>
          <w:color w:val="auto"/>
          <w:highlight w:val="none"/>
          <w:lang w:val="en-US" w:eastAsia="zh-CN"/>
        </w:rPr>
      </w:pPr>
    </w:p>
    <w:p w14:paraId="7B4AFA9A">
      <w:pPr>
        <w:bidi w:val="0"/>
        <w:rPr>
          <w:rFonts w:hint="default"/>
          <w:color w:val="auto"/>
          <w:highlight w:val="none"/>
          <w:lang w:val="en-US" w:eastAsia="zh-CN"/>
        </w:rPr>
      </w:pPr>
    </w:p>
    <w:p w14:paraId="05DBE7F6">
      <w:pPr>
        <w:bidi w:val="0"/>
        <w:rPr>
          <w:rFonts w:hint="default"/>
          <w:color w:val="auto"/>
          <w:highlight w:val="none"/>
          <w:lang w:val="en-US" w:eastAsia="zh-CN"/>
        </w:rPr>
      </w:pPr>
    </w:p>
    <w:p w14:paraId="3AD121F2">
      <w:pPr>
        <w:bidi w:val="0"/>
        <w:rPr>
          <w:rFonts w:hint="default"/>
          <w:color w:val="auto"/>
          <w:highlight w:val="none"/>
          <w:lang w:val="en-US" w:eastAsia="zh-CN"/>
        </w:rPr>
      </w:pPr>
    </w:p>
    <w:p w14:paraId="029DC33F">
      <w:pPr>
        <w:bidi w:val="0"/>
        <w:rPr>
          <w:rFonts w:hint="default"/>
          <w:color w:val="auto"/>
          <w:highlight w:val="none"/>
          <w:lang w:val="en-US" w:eastAsia="zh-CN"/>
        </w:rPr>
      </w:pPr>
    </w:p>
    <w:p w14:paraId="7EA72A52">
      <w:pPr>
        <w:bidi w:val="0"/>
        <w:rPr>
          <w:rFonts w:hint="default"/>
          <w:color w:val="auto"/>
          <w:highlight w:val="none"/>
          <w:lang w:val="en-US" w:eastAsia="zh-CN"/>
        </w:rPr>
      </w:pPr>
    </w:p>
    <w:p w14:paraId="26F105EB">
      <w:pPr>
        <w:bidi w:val="0"/>
        <w:rPr>
          <w:rFonts w:hint="default"/>
          <w:color w:val="auto"/>
          <w:highlight w:val="none"/>
          <w:lang w:val="en-US" w:eastAsia="zh-CN"/>
        </w:rPr>
      </w:pPr>
    </w:p>
    <w:p w14:paraId="63B23E8D">
      <w:pPr>
        <w:bidi w:val="0"/>
        <w:rPr>
          <w:rFonts w:hint="default"/>
          <w:color w:val="auto"/>
          <w:highlight w:val="none"/>
          <w:lang w:val="en-US" w:eastAsia="zh-CN"/>
        </w:rPr>
      </w:pPr>
    </w:p>
    <w:p w14:paraId="173EB90A">
      <w:pPr>
        <w:tabs>
          <w:tab w:val="left" w:pos="754"/>
        </w:tabs>
        <w:bidi w:val="0"/>
        <w:jc w:val="left"/>
        <w:rPr>
          <w:rFonts w:hint="eastAsia"/>
          <w:color w:val="auto"/>
          <w:highlight w:val="none"/>
          <w:lang w:val="en-US" w:eastAsia="zh-CN"/>
        </w:rPr>
      </w:pPr>
      <w:r>
        <w:rPr>
          <w:color w:val="auto"/>
          <w:highlight w:val="none"/>
        </w:rPr>
        <w:drawing>
          <wp:anchor distT="0" distB="0" distL="114300" distR="114300" simplePos="0" relativeHeight="251737088" behindDoc="0" locked="0" layoutInCell="1" allowOverlap="1">
            <wp:simplePos x="0" y="0"/>
            <wp:positionH relativeFrom="column">
              <wp:posOffset>634365</wp:posOffset>
            </wp:positionH>
            <wp:positionV relativeFrom="paragraph">
              <wp:posOffset>54610</wp:posOffset>
            </wp:positionV>
            <wp:extent cx="7620000" cy="5229225"/>
            <wp:effectExtent l="0" t="0" r="0" b="9525"/>
            <wp:wrapNone/>
            <wp:docPr id="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pic:cNvPicPr>
                      <a:picLocks noChangeAspect="1"/>
                    </pic:cNvPicPr>
                  </pic:nvPicPr>
                  <pic:blipFill>
                    <a:blip r:embed="rId92"/>
                    <a:stretch>
                      <a:fillRect/>
                    </a:stretch>
                  </pic:blipFill>
                  <pic:spPr>
                    <a:xfrm>
                      <a:off x="0" y="0"/>
                      <a:ext cx="7620000" cy="5229225"/>
                    </a:xfrm>
                    <a:prstGeom prst="rect">
                      <a:avLst/>
                    </a:prstGeom>
                    <a:noFill/>
                    <a:ln>
                      <a:noFill/>
                    </a:ln>
                  </pic:spPr>
                </pic:pic>
              </a:graphicData>
            </a:graphic>
          </wp:anchor>
        </w:drawing>
      </w:r>
      <w:r>
        <w:rPr>
          <w:rFonts w:hint="eastAsia"/>
          <w:color w:val="auto"/>
          <w:highlight w:val="none"/>
          <w:lang w:val="en-US" w:eastAsia="zh-CN"/>
        </w:rPr>
        <w:tab/>
      </w:r>
    </w:p>
    <w:p w14:paraId="7D42A0ED">
      <w:pPr>
        <w:bidi w:val="0"/>
        <w:rPr>
          <w:rFonts w:hint="default" w:ascii="Times New Roman" w:hAnsi="Times New Roman" w:eastAsia="宋体" w:cstheme="minorBidi"/>
          <w:color w:val="auto"/>
          <w:kern w:val="2"/>
          <w:sz w:val="24"/>
          <w:szCs w:val="22"/>
          <w:highlight w:val="none"/>
          <w:lang w:val="en-US" w:eastAsia="zh-CN" w:bidi="ar-SA"/>
        </w:rPr>
      </w:pPr>
    </w:p>
    <w:p w14:paraId="702F49B0">
      <w:pPr>
        <w:bidi w:val="0"/>
        <w:rPr>
          <w:rFonts w:hint="default"/>
          <w:color w:val="auto"/>
          <w:highlight w:val="none"/>
          <w:lang w:val="en-US" w:eastAsia="zh-CN"/>
        </w:rPr>
      </w:pPr>
    </w:p>
    <w:p w14:paraId="1DB0E2AD">
      <w:pPr>
        <w:bidi w:val="0"/>
        <w:rPr>
          <w:rFonts w:hint="default"/>
          <w:color w:val="auto"/>
          <w:highlight w:val="none"/>
          <w:lang w:val="en-US" w:eastAsia="zh-CN"/>
        </w:rPr>
      </w:pPr>
    </w:p>
    <w:p w14:paraId="3C25C39C">
      <w:pPr>
        <w:bidi w:val="0"/>
        <w:rPr>
          <w:rFonts w:hint="default"/>
          <w:color w:val="auto"/>
          <w:highlight w:val="none"/>
          <w:lang w:val="en-US" w:eastAsia="zh-CN"/>
        </w:rPr>
      </w:pPr>
    </w:p>
    <w:p w14:paraId="7DB8FBF6">
      <w:pPr>
        <w:bidi w:val="0"/>
        <w:rPr>
          <w:rFonts w:hint="default"/>
          <w:color w:val="auto"/>
          <w:highlight w:val="none"/>
          <w:lang w:val="en-US" w:eastAsia="zh-CN"/>
        </w:rPr>
      </w:pPr>
    </w:p>
    <w:p w14:paraId="414F158A">
      <w:pPr>
        <w:bidi w:val="0"/>
        <w:rPr>
          <w:rFonts w:hint="default"/>
          <w:color w:val="auto"/>
          <w:highlight w:val="none"/>
          <w:lang w:val="en-US" w:eastAsia="zh-CN"/>
        </w:rPr>
      </w:pPr>
    </w:p>
    <w:p w14:paraId="65B72BF2">
      <w:pPr>
        <w:bidi w:val="0"/>
        <w:rPr>
          <w:rFonts w:hint="default"/>
          <w:color w:val="auto"/>
          <w:highlight w:val="none"/>
          <w:lang w:val="en-US" w:eastAsia="zh-CN"/>
        </w:rPr>
      </w:pPr>
    </w:p>
    <w:p w14:paraId="2771F0D7">
      <w:pPr>
        <w:bidi w:val="0"/>
        <w:rPr>
          <w:rFonts w:hint="default"/>
          <w:color w:val="auto"/>
          <w:highlight w:val="none"/>
          <w:lang w:val="en-US" w:eastAsia="zh-CN"/>
        </w:rPr>
      </w:pPr>
    </w:p>
    <w:p w14:paraId="5D8E6B12">
      <w:pPr>
        <w:bidi w:val="0"/>
        <w:rPr>
          <w:rFonts w:hint="default"/>
          <w:color w:val="auto"/>
          <w:highlight w:val="none"/>
          <w:lang w:val="en-US" w:eastAsia="zh-CN"/>
        </w:rPr>
      </w:pPr>
    </w:p>
    <w:p w14:paraId="439E9BC4">
      <w:pPr>
        <w:bidi w:val="0"/>
        <w:rPr>
          <w:rFonts w:hint="default"/>
          <w:color w:val="auto"/>
          <w:highlight w:val="none"/>
          <w:lang w:val="en-US" w:eastAsia="zh-CN"/>
        </w:rPr>
      </w:pPr>
    </w:p>
    <w:p w14:paraId="0960DF57">
      <w:pPr>
        <w:bidi w:val="0"/>
        <w:rPr>
          <w:rFonts w:hint="default"/>
          <w:color w:val="auto"/>
          <w:highlight w:val="none"/>
          <w:lang w:val="en-US" w:eastAsia="zh-CN"/>
        </w:rPr>
      </w:pPr>
    </w:p>
    <w:p w14:paraId="360F4EBB">
      <w:pPr>
        <w:bidi w:val="0"/>
        <w:rPr>
          <w:rFonts w:hint="default"/>
          <w:color w:val="auto"/>
          <w:highlight w:val="none"/>
          <w:lang w:val="en-US" w:eastAsia="zh-CN"/>
        </w:rPr>
      </w:pPr>
    </w:p>
    <w:p w14:paraId="77632347">
      <w:pPr>
        <w:bidi w:val="0"/>
        <w:rPr>
          <w:rFonts w:hint="default"/>
          <w:color w:val="auto"/>
          <w:highlight w:val="none"/>
          <w:lang w:val="en-US" w:eastAsia="zh-CN"/>
        </w:rPr>
      </w:pPr>
    </w:p>
    <w:p w14:paraId="21D3F823">
      <w:pPr>
        <w:bidi w:val="0"/>
        <w:rPr>
          <w:rFonts w:hint="default"/>
          <w:color w:val="auto"/>
          <w:highlight w:val="none"/>
          <w:lang w:val="en-US" w:eastAsia="zh-CN"/>
        </w:rPr>
      </w:pPr>
    </w:p>
    <w:p w14:paraId="6E459448">
      <w:pPr>
        <w:bidi w:val="0"/>
        <w:rPr>
          <w:rFonts w:hint="default"/>
          <w:color w:val="auto"/>
          <w:highlight w:val="none"/>
          <w:lang w:val="en-US" w:eastAsia="zh-CN"/>
        </w:rPr>
      </w:pPr>
    </w:p>
    <w:p w14:paraId="4B66B0D8">
      <w:pPr>
        <w:tabs>
          <w:tab w:val="left" w:pos="468"/>
        </w:tabs>
        <w:bidi w:val="0"/>
        <w:jc w:val="left"/>
        <w:rPr>
          <w:rFonts w:hint="eastAsia"/>
          <w:color w:val="auto"/>
          <w:highlight w:val="none"/>
          <w:lang w:val="en-US" w:eastAsia="zh-CN"/>
        </w:rPr>
      </w:pPr>
      <w:r>
        <w:rPr>
          <w:color w:val="auto"/>
          <w:highlight w:val="none"/>
        </w:rPr>
        <w:drawing>
          <wp:anchor distT="0" distB="0" distL="114300" distR="114300" simplePos="0" relativeHeight="251738112" behindDoc="1" locked="0" layoutInCell="1" allowOverlap="1">
            <wp:simplePos x="0" y="0"/>
            <wp:positionH relativeFrom="column">
              <wp:posOffset>633730</wp:posOffset>
            </wp:positionH>
            <wp:positionV relativeFrom="paragraph">
              <wp:posOffset>137795</wp:posOffset>
            </wp:positionV>
            <wp:extent cx="7553325" cy="5086350"/>
            <wp:effectExtent l="0" t="0" r="9525" b="0"/>
            <wp:wrapNone/>
            <wp:docPr id="1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9"/>
                    <pic:cNvPicPr>
                      <a:picLocks noChangeAspect="1"/>
                    </pic:cNvPicPr>
                  </pic:nvPicPr>
                  <pic:blipFill>
                    <a:blip r:embed="rId93"/>
                    <a:stretch>
                      <a:fillRect/>
                    </a:stretch>
                  </pic:blipFill>
                  <pic:spPr>
                    <a:xfrm>
                      <a:off x="0" y="0"/>
                      <a:ext cx="7553325" cy="5086350"/>
                    </a:xfrm>
                    <a:prstGeom prst="rect">
                      <a:avLst/>
                    </a:prstGeom>
                    <a:noFill/>
                    <a:ln>
                      <a:noFill/>
                    </a:ln>
                  </pic:spPr>
                </pic:pic>
              </a:graphicData>
            </a:graphic>
          </wp:anchor>
        </w:drawing>
      </w:r>
      <w:r>
        <w:rPr>
          <w:rFonts w:hint="eastAsia"/>
          <w:color w:val="auto"/>
          <w:highlight w:val="none"/>
          <w:lang w:val="en-US" w:eastAsia="zh-CN"/>
        </w:rPr>
        <w:tab/>
      </w:r>
    </w:p>
    <w:p w14:paraId="7B49F27A">
      <w:pPr>
        <w:bidi w:val="0"/>
        <w:rPr>
          <w:rFonts w:hint="default" w:ascii="Times New Roman" w:hAnsi="Times New Roman" w:eastAsia="宋体" w:cstheme="minorBidi"/>
          <w:color w:val="auto"/>
          <w:kern w:val="2"/>
          <w:sz w:val="24"/>
          <w:szCs w:val="22"/>
          <w:highlight w:val="none"/>
          <w:lang w:val="en-US" w:eastAsia="zh-CN" w:bidi="ar-SA"/>
        </w:rPr>
      </w:pPr>
    </w:p>
    <w:p w14:paraId="501DBA66">
      <w:pPr>
        <w:bidi w:val="0"/>
        <w:rPr>
          <w:rFonts w:hint="default"/>
          <w:color w:val="auto"/>
          <w:highlight w:val="none"/>
          <w:lang w:val="en-US" w:eastAsia="zh-CN"/>
        </w:rPr>
      </w:pPr>
    </w:p>
    <w:p w14:paraId="23DFD1D7">
      <w:pPr>
        <w:bidi w:val="0"/>
        <w:rPr>
          <w:rFonts w:hint="default"/>
          <w:color w:val="auto"/>
          <w:highlight w:val="none"/>
          <w:lang w:val="en-US" w:eastAsia="zh-CN"/>
        </w:rPr>
      </w:pPr>
    </w:p>
    <w:p w14:paraId="7307BF62">
      <w:pPr>
        <w:bidi w:val="0"/>
        <w:rPr>
          <w:rFonts w:hint="default"/>
          <w:color w:val="auto"/>
          <w:highlight w:val="none"/>
          <w:lang w:val="en-US" w:eastAsia="zh-CN"/>
        </w:rPr>
      </w:pPr>
    </w:p>
    <w:p w14:paraId="46EC5A72">
      <w:pPr>
        <w:bidi w:val="0"/>
        <w:rPr>
          <w:rFonts w:hint="default"/>
          <w:color w:val="auto"/>
          <w:highlight w:val="none"/>
          <w:lang w:val="en-US" w:eastAsia="zh-CN"/>
        </w:rPr>
      </w:pPr>
    </w:p>
    <w:p w14:paraId="7617CA9F">
      <w:pPr>
        <w:bidi w:val="0"/>
        <w:rPr>
          <w:rFonts w:hint="default"/>
          <w:color w:val="auto"/>
          <w:highlight w:val="none"/>
          <w:lang w:val="en-US" w:eastAsia="zh-CN"/>
        </w:rPr>
      </w:pPr>
    </w:p>
    <w:p w14:paraId="34121A93">
      <w:pPr>
        <w:bidi w:val="0"/>
        <w:rPr>
          <w:rFonts w:hint="default"/>
          <w:color w:val="auto"/>
          <w:highlight w:val="none"/>
          <w:lang w:val="en-US" w:eastAsia="zh-CN"/>
        </w:rPr>
      </w:pPr>
    </w:p>
    <w:p w14:paraId="174D2A95">
      <w:pPr>
        <w:bidi w:val="0"/>
        <w:rPr>
          <w:rFonts w:hint="default"/>
          <w:color w:val="auto"/>
          <w:highlight w:val="none"/>
          <w:lang w:val="en-US" w:eastAsia="zh-CN"/>
        </w:rPr>
      </w:pPr>
    </w:p>
    <w:p w14:paraId="5A6D3A50">
      <w:pPr>
        <w:bidi w:val="0"/>
        <w:rPr>
          <w:rFonts w:hint="default"/>
          <w:color w:val="auto"/>
          <w:highlight w:val="none"/>
          <w:lang w:val="en-US" w:eastAsia="zh-CN"/>
        </w:rPr>
      </w:pPr>
    </w:p>
    <w:p w14:paraId="432DE30F">
      <w:pPr>
        <w:bidi w:val="0"/>
        <w:rPr>
          <w:rFonts w:hint="default"/>
          <w:color w:val="auto"/>
          <w:highlight w:val="none"/>
          <w:lang w:val="en-US" w:eastAsia="zh-CN"/>
        </w:rPr>
      </w:pPr>
    </w:p>
    <w:p w14:paraId="6D498642">
      <w:pPr>
        <w:bidi w:val="0"/>
        <w:rPr>
          <w:rFonts w:hint="default"/>
          <w:color w:val="auto"/>
          <w:highlight w:val="none"/>
          <w:lang w:val="en-US" w:eastAsia="zh-CN"/>
        </w:rPr>
      </w:pPr>
    </w:p>
    <w:p w14:paraId="76A77245">
      <w:pPr>
        <w:bidi w:val="0"/>
        <w:rPr>
          <w:rFonts w:hint="default"/>
          <w:color w:val="auto"/>
          <w:highlight w:val="none"/>
          <w:lang w:val="en-US" w:eastAsia="zh-CN"/>
        </w:rPr>
      </w:pPr>
    </w:p>
    <w:p w14:paraId="5C46249B">
      <w:pPr>
        <w:bidi w:val="0"/>
        <w:rPr>
          <w:rFonts w:hint="default"/>
          <w:color w:val="auto"/>
          <w:highlight w:val="none"/>
          <w:lang w:val="en-US" w:eastAsia="zh-CN"/>
        </w:rPr>
      </w:pPr>
    </w:p>
    <w:p w14:paraId="2AEDF0FF">
      <w:pPr>
        <w:bidi w:val="0"/>
        <w:rPr>
          <w:rFonts w:hint="default"/>
          <w:color w:val="auto"/>
          <w:highlight w:val="none"/>
          <w:lang w:val="en-US" w:eastAsia="zh-CN"/>
        </w:rPr>
      </w:pPr>
    </w:p>
    <w:p w14:paraId="0ADAFF0D">
      <w:pPr>
        <w:bidi w:val="0"/>
        <w:rPr>
          <w:rFonts w:hint="default"/>
          <w:color w:val="auto"/>
          <w:highlight w:val="none"/>
          <w:lang w:val="en-US" w:eastAsia="zh-CN"/>
        </w:rPr>
      </w:pPr>
    </w:p>
    <w:p w14:paraId="3ECDEBDC">
      <w:pPr>
        <w:tabs>
          <w:tab w:val="right" w:pos="13478"/>
        </w:tabs>
        <w:bidi w:val="0"/>
        <w:jc w:val="left"/>
        <w:rPr>
          <w:rFonts w:hint="eastAsia"/>
          <w:color w:val="auto"/>
          <w:highlight w:val="none"/>
          <w:lang w:val="en-US" w:eastAsia="zh-CN"/>
        </w:rPr>
      </w:pPr>
      <w:r>
        <w:rPr>
          <w:color w:val="auto"/>
          <w:highlight w:val="none"/>
        </w:rPr>
        <w:drawing>
          <wp:anchor distT="0" distB="0" distL="114300" distR="114300" simplePos="0" relativeHeight="251738112" behindDoc="1" locked="0" layoutInCell="1" allowOverlap="1">
            <wp:simplePos x="0" y="0"/>
            <wp:positionH relativeFrom="column">
              <wp:posOffset>624840</wp:posOffset>
            </wp:positionH>
            <wp:positionV relativeFrom="paragraph">
              <wp:posOffset>191770</wp:posOffset>
            </wp:positionV>
            <wp:extent cx="7724775" cy="5257800"/>
            <wp:effectExtent l="0" t="0" r="9525" b="0"/>
            <wp:wrapNone/>
            <wp:docPr id="1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0"/>
                    <pic:cNvPicPr>
                      <a:picLocks noChangeAspect="1"/>
                    </pic:cNvPicPr>
                  </pic:nvPicPr>
                  <pic:blipFill>
                    <a:blip r:embed="rId94"/>
                    <a:stretch>
                      <a:fillRect/>
                    </a:stretch>
                  </pic:blipFill>
                  <pic:spPr>
                    <a:xfrm>
                      <a:off x="0" y="0"/>
                      <a:ext cx="7724775" cy="5257800"/>
                    </a:xfrm>
                    <a:prstGeom prst="rect">
                      <a:avLst/>
                    </a:prstGeom>
                    <a:noFill/>
                    <a:ln>
                      <a:noFill/>
                    </a:ln>
                  </pic:spPr>
                </pic:pic>
              </a:graphicData>
            </a:graphic>
          </wp:anchor>
        </w:drawing>
      </w:r>
      <w:r>
        <w:rPr>
          <w:rFonts w:hint="eastAsia"/>
          <w:color w:val="auto"/>
          <w:highlight w:val="none"/>
          <w:lang w:val="en-US" w:eastAsia="zh-CN"/>
        </w:rPr>
        <w:tab/>
      </w:r>
    </w:p>
    <w:p w14:paraId="1B339705">
      <w:pPr>
        <w:bidi w:val="0"/>
        <w:rPr>
          <w:rFonts w:hint="default" w:ascii="Times New Roman" w:hAnsi="Times New Roman" w:eastAsia="宋体" w:cstheme="minorBidi"/>
          <w:color w:val="auto"/>
          <w:kern w:val="2"/>
          <w:sz w:val="24"/>
          <w:szCs w:val="22"/>
          <w:highlight w:val="none"/>
          <w:lang w:val="en-US" w:eastAsia="zh-CN" w:bidi="ar-SA"/>
        </w:rPr>
      </w:pPr>
    </w:p>
    <w:p w14:paraId="32B5C4DC">
      <w:pPr>
        <w:bidi w:val="0"/>
        <w:rPr>
          <w:rFonts w:hint="default"/>
          <w:color w:val="auto"/>
          <w:highlight w:val="none"/>
          <w:lang w:val="en-US" w:eastAsia="zh-CN"/>
        </w:rPr>
      </w:pPr>
    </w:p>
    <w:p w14:paraId="647B69A8">
      <w:pPr>
        <w:bidi w:val="0"/>
        <w:rPr>
          <w:rFonts w:hint="default"/>
          <w:color w:val="auto"/>
          <w:highlight w:val="none"/>
          <w:lang w:val="en-US" w:eastAsia="zh-CN"/>
        </w:rPr>
      </w:pPr>
    </w:p>
    <w:p w14:paraId="04B07532">
      <w:pPr>
        <w:bidi w:val="0"/>
        <w:rPr>
          <w:rFonts w:hint="default"/>
          <w:color w:val="auto"/>
          <w:highlight w:val="none"/>
          <w:lang w:val="en-US" w:eastAsia="zh-CN"/>
        </w:rPr>
      </w:pPr>
    </w:p>
    <w:p w14:paraId="7BEAC181">
      <w:pPr>
        <w:bidi w:val="0"/>
        <w:rPr>
          <w:rFonts w:hint="default"/>
          <w:color w:val="auto"/>
          <w:highlight w:val="none"/>
          <w:lang w:val="en-US" w:eastAsia="zh-CN"/>
        </w:rPr>
      </w:pPr>
    </w:p>
    <w:p w14:paraId="03B95025">
      <w:pPr>
        <w:bidi w:val="0"/>
        <w:rPr>
          <w:rFonts w:hint="default"/>
          <w:color w:val="auto"/>
          <w:highlight w:val="none"/>
          <w:lang w:val="en-US" w:eastAsia="zh-CN"/>
        </w:rPr>
      </w:pPr>
    </w:p>
    <w:p w14:paraId="06E615AF">
      <w:pPr>
        <w:bidi w:val="0"/>
        <w:rPr>
          <w:rFonts w:hint="default"/>
          <w:color w:val="auto"/>
          <w:highlight w:val="none"/>
          <w:lang w:val="en-US" w:eastAsia="zh-CN"/>
        </w:rPr>
      </w:pPr>
    </w:p>
    <w:p w14:paraId="01DD9420">
      <w:pPr>
        <w:bidi w:val="0"/>
        <w:rPr>
          <w:rFonts w:hint="default"/>
          <w:color w:val="auto"/>
          <w:highlight w:val="none"/>
          <w:lang w:val="en-US" w:eastAsia="zh-CN"/>
        </w:rPr>
      </w:pPr>
    </w:p>
    <w:p w14:paraId="555B5FC9">
      <w:pPr>
        <w:bidi w:val="0"/>
        <w:rPr>
          <w:rFonts w:hint="default"/>
          <w:color w:val="auto"/>
          <w:highlight w:val="none"/>
          <w:lang w:val="en-US" w:eastAsia="zh-CN"/>
        </w:rPr>
      </w:pPr>
    </w:p>
    <w:p w14:paraId="2766D7AE">
      <w:pPr>
        <w:bidi w:val="0"/>
        <w:rPr>
          <w:rFonts w:hint="default"/>
          <w:color w:val="auto"/>
          <w:highlight w:val="none"/>
          <w:lang w:val="en-US" w:eastAsia="zh-CN"/>
        </w:rPr>
      </w:pPr>
    </w:p>
    <w:p w14:paraId="3370C15C">
      <w:pPr>
        <w:bidi w:val="0"/>
        <w:rPr>
          <w:rFonts w:hint="default"/>
          <w:color w:val="auto"/>
          <w:highlight w:val="none"/>
          <w:lang w:val="en-US" w:eastAsia="zh-CN"/>
        </w:rPr>
      </w:pPr>
    </w:p>
    <w:p w14:paraId="5C99EF13">
      <w:pPr>
        <w:bidi w:val="0"/>
        <w:rPr>
          <w:rFonts w:hint="default"/>
          <w:color w:val="auto"/>
          <w:highlight w:val="none"/>
          <w:lang w:val="en-US" w:eastAsia="zh-CN"/>
        </w:rPr>
      </w:pPr>
    </w:p>
    <w:p w14:paraId="0B965725">
      <w:pPr>
        <w:bidi w:val="0"/>
        <w:rPr>
          <w:rFonts w:hint="default"/>
          <w:color w:val="auto"/>
          <w:highlight w:val="none"/>
          <w:lang w:val="en-US" w:eastAsia="zh-CN"/>
        </w:rPr>
      </w:pPr>
    </w:p>
    <w:p w14:paraId="0E76AC60">
      <w:pPr>
        <w:bidi w:val="0"/>
        <w:rPr>
          <w:rFonts w:hint="default"/>
          <w:color w:val="auto"/>
          <w:highlight w:val="none"/>
          <w:lang w:val="en-US" w:eastAsia="zh-CN"/>
        </w:rPr>
      </w:pPr>
    </w:p>
    <w:p w14:paraId="3AA9C1C5">
      <w:pPr>
        <w:bidi w:val="0"/>
        <w:rPr>
          <w:rFonts w:hint="default"/>
          <w:color w:val="auto"/>
          <w:highlight w:val="none"/>
          <w:lang w:val="en-US" w:eastAsia="zh-CN"/>
        </w:rPr>
      </w:pPr>
    </w:p>
    <w:p w14:paraId="067B3EF4">
      <w:pPr>
        <w:tabs>
          <w:tab w:val="right" w:pos="13478"/>
        </w:tabs>
        <w:bidi w:val="0"/>
        <w:jc w:val="left"/>
        <w:rPr>
          <w:rFonts w:hint="eastAsia"/>
          <w:color w:val="auto"/>
          <w:highlight w:val="none"/>
          <w:lang w:val="en-US" w:eastAsia="zh-CN"/>
        </w:rPr>
      </w:pPr>
      <w:r>
        <w:rPr>
          <w:color w:val="auto"/>
          <w:highlight w:val="none"/>
        </w:rPr>
        <w:drawing>
          <wp:anchor distT="0" distB="0" distL="114300" distR="114300" simplePos="0" relativeHeight="251738112" behindDoc="0" locked="0" layoutInCell="1" allowOverlap="1">
            <wp:simplePos x="0" y="0"/>
            <wp:positionH relativeFrom="column">
              <wp:posOffset>655955</wp:posOffset>
            </wp:positionH>
            <wp:positionV relativeFrom="paragraph">
              <wp:posOffset>106680</wp:posOffset>
            </wp:positionV>
            <wp:extent cx="7677150" cy="5048250"/>
            <wp:effectExtent l="0" t="0" r="0" b="0"/>
            <wp:wrapNone/>
            <wp:docPr id="1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1"/>
                    <pic:cNvPicPr>
                      <a:picLocks noChangeAspect="1"/>
                    </pic:cNvPicPr>
                  </pic:nvPicPr>
                  <pic:blipFill>
                    <a:blip r:embed="rId95"/>
                    <a:stretch>
                      <a:fillRect/>
                    </a:stretch>
                  </pic:blipFill>
                  <pic:spPr>
                    <a:xfrm>
                      <a:off x="0" y="0"/>
                      <a:ext cx="7677150" cy="5048250"/>
                    </a:xfrm>
                    <a:prstGeom prst="rect">
                      <a:avLst/>
                    </a:prstGeom>
                    <a:noFill/>
                    <a:ln>
                      <a:noFill/>
                    </a:ln>
                  </pic:spPr>
                </pic:pic>
              </a:graphicData>
            </a:graphic>
          </wp:anchor>
        </w:drawing>
      </w:r>
      <w:r>
        <w:rPr>
          <w:rFonts w:hint="eastAsia"/>
          <w:color w:val="auto"/>
          <w:highlight w:val="none"/>
          <w:lang w:val="en-US" w:eastAsia="zh-CN"/>
        </w:rPr>
        <w:tab/>
      </w:r>
    </w:p>
    <w:p w14:paraId="118CB74C">
      <w:pPr>
        <w:bidi w:val="0"/>
        <w:rPr>
          <w:rFonts w:hint="default" w:ascii="Times New Roman" w:hAnsi="Times New Roman" w:eastAsia="宋体" w:cstheme="minorBidi"/>
          <w:color w:val="auto"/>
          <w:kern w:val="2"/>
          <w:sz w:val="24"/>
          <w:szCs w:val="22"/>
          <w:highlight w:val="none"/>
          <w:lang w:val="en-US" w:eastAsia="zh-CN" w:bidi="ar-SA"/>
        </w:rPr>
      </w:pPr>
    </w:p>
    <w:p w14:paraId="2B34DAEC">
      <w:pPr>
        <w:bidi w:val="0"/>
        <w:rPr>
          <w:rFonts w:hint="default"/>
          <w:color w:val="auto"/>
          <w:highlight w:val="none"/>
          <w:lang w:val="en-US" w:eastAsia="zh-CN"/>
        </w:rPr>
      </w:pPr>
    </w:p>
    <w:p w14:paraId="6109BBDD">
      <w:pPr>
        <w:bidi w:val="0"/>
        <w:rPr>
          <w:rFonts w:hint="default"/>
          <w:color w:val="auto"/>
          <w:highlight w:val="none"/>
          <w:lang w:val="en-US" w:eastAsia="zh-CN"/>
        </w:rPr>
      </w:pPr>
    </w:p>
    <w:p w14:paraId="72010FB7">
      <w:pPr>
        <w:bidi w:val="0"/>
        <w:rPr>
          <w:rFonts w:hint="default"/>
          <w:color w:val="auto"/>
          <w:highlight w:val="none"/>
          <w:lang w:val="en-US" w:eastAsia="zh-CN"/>
        </w:rPr>
      </w:pPr>
    </w:p>
    <w:p w14:paraId="57F396DF">
      <w:pPr>
        <w:bidi w:val="0"/>
        <w:rPr>
          <w:rFonts w:hint="default"/>
          <w:color w:val="auto"/>
          <w:highlight w:val="none"/>
          <w:lang w:val="en-US" w:eastAsia="zh-CN"/>
        </w:rPr>
      </w:pPr>
    </w:p>
    <w:p w14:paraId="1DA5FFB8">
      <w:pPr>
        <w:bidi w:val="0"/>
        <w:rPr>
          <w:rFonts w:hint="default"/>
          <w:color w:val="auto"/>
          <w:highlight w:val="none"/>
          <w:lang w:val="en-US" w:eastAsia="zh-CN"/>
        </w:rPr>
      </w:pPr>
    </w:p>
    <w:p w14:paraId="42C643B4">
      <w:pPr>
        <w:bidi w:val="0"/>
        <w:rPr>
          <w:rFonts w:hint="default"/>
          <w:color w:val="auto"/>
          <w:highlight w:val="none"/>
          <w:lang w:val="en-US" w:eastAsia="zh-CN"/>
        </w:rPr>
      </w:pPr>
    </w:p>
    <w:p w14:paraId="667D8206">
      <w:pPr>
        <w:bidi w:val="0"/>
        <w:rPr>
          <w:rFonts w:hint="default"/>
          <w:color w:val="auto"/>
          <w:highlight w:val="none"/>
          <w:lang w:val="en-US" w:eastAsia="zh-CN"/>
        </w:rPr>
      </w:pPr>
    </w:p>
    <w:p w14:paraId="507DE29D">
      <w:pPr>
        <w:bidi w:val="0"/>
        <w:rPr>
          <w:rFonts w:hint="default"/>
          <w:color w:val="auto"/>
          <w:highlight w:val="none"/>
          <w:lang w:val="en-US" w:eastAsia="zh-CN"/>
        </w:rPr>
      </w:pPr>
    </w:p>
    <w:p w14:paraId="2F7206DA">
      <w:pPr>
        <w:bidi w:val="0"/>
        <w:rPr>
          <w:rFonts w:hint="default"/>
          <w:color w:val="auto"/>
          <w:highlight w:val="none"/>
          <w:lang w:val="en-US" w:eastAsia="zh-CN"/>
        </w:rPr>
      </w:pPr>
    </w:p>
    <w:p w14:paraId="51C177F9">
      <w:pPr>
        <w:bidi w:val="0"/>
        <w:rPr>
          <w:rFonts w:hint="default"/>
          <w:color w:val="auto"/>
          <w:highlight w:val="none"/>
          <w:lang w:val="en-US" w:eastAsia="zh-CN"/>
        </w:rPr>
      </w:pPr>
    </w:p>
    <w:p w14:paraId="27364809">
      <w:pPr>
        <w:bidi w:val="0"/>
        <w:rPr>
          <w:rFonts w:hint="default"/>
          <w:color w:val="auto"/>
          <w:highlight w:val="none"/>
          <w:lang w:val="en-US" w:eastAsia="zh-CN"/>
        </w:rPr>
      </w:pPr>
    </w:p>
    <w:p w14:paraId="0DEECDBE">
      <w:pPr>
        <w:bidi w:val="0"/>
        <w:rPr>
          <w:rFonts w:hint="default"/>
          <w:color w:val="auto"/>
          <w:highlight w:val="none"/>
          <w:lang w:val="en-US" w:eastAsia="zh-CN"/>
        </w:rPr>
      </w:pPr>
    </w:p>
    <w:p w14:paraId="70E56010">
      <w:pPr>
        <w:bidi w:val="0"/>
        <w:rPr>
          <w:rFonts w:hint="default"/>
          <w:color w:val="auto"/>
          <w:highlight w:val="none"/>
          <w:lang w:val="en-US" w:eastAsia="zh-CN"/>
        </w:rPr>
      </w:pPr>
    </w:p>
    <w:p w14:paraId="6C536AC6">
      <w:pPr>
        <w:bidi w:val="0"/>
        <w:rPr>
          <w:rFonts w:hint="default"/>
          <w:color w:val="auto"/>
          <w:highlight w:val="none"/>
          <w:lang w:val="en-US" w:eastAsia="zh-CN"/>
        </w:rPr>
      </w:pPr>
    </w:p>
    <w:p w14:paraId="2C322C7D">
      <w:pPr>
        <w:tabs>
          <w:tab w:val="left" w:pos="536"/>
        </w:tabs>
        <w:bidi w:val="0"/>
        <w:jc w:val="left"/>
        <w:rPr>
          <w:rFonts w:hint="eastAsia"/>
          <w:color w:val="auto"/>
          <w:highlight w:val="none"/>
          <w:lang w:val="en-US" w:eastAsia="zh-CN"/>
        </w:rPr>
      </w:pPr>
      <w:r>
        <w:rPr>
          <w:color w:val="auto"/>
          <w:highlight w:val="none"/>
        </w:rPr>
        <w:drawing>
          <wp:anchor distT="0" distB="0" distL="114300" distR="114300" simplePos="0" relativeHeight="251739136" behindDoc="0" locked="0" layoutInCell="1" allowOverlap="1">
            <wp:simplePos x="0" y="0"/>
            <wp:positionH relativeFrom="column">
              <wp:posOffset>591185</wp:posOffset>
            </wp:positionH>
            <wp:positionV relativeFrom="paragraph">
              <wp:posOffset>232410</wp:posOffset>
            </wp:positionV>
            <wp:extent cx="7612380" cy="5273675"/>
            <wp:effectExtent l="0" t="0" r="7620" b="3175"/>
            <wp:wrapNone/>
            <wp:docPr id="1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2"/>
                    <pic:cNvPicPr>
                      <a:picLocks noChangeAspect="1"/>
                    </pic:cNvPicPr>
                  </pic:nvPicPr>
                  <pic:blipFill>
                    <a:blip r:embed="rId96"/>
                    <a:stretch>
                      <a:fillRect/>
                    </a:stretch>
                  </pic:blipFill>
                  <pic:spPr>
                    <a:xfrm>
                      <a:off x="0" y="0"/>
                      <a:ext cx="7612380" cy="5273675"/>
                    </a:xfrm>
                    <a:prstGeom prst="rect">
                      <a:avLst/>
                    </a:prstGeom>
                    <a:noFill/>
                    <a:ln>
                      <a:noFill/>
                    </a:ln>
                  </pic:spPr>
                </pic:pic>
              </a:graphicData>
            </a:graphic>
          </wp:anchor>
        </w:drawing>
      </w:r>
      <w:r>
        <w:rPr>
          <w:rFonts w:hint="eastAsia"/>
          <w:color w:val="auto"/>
          <w:highlight w:val="none"/>
          <w:lang w:val="en-US" w:eastAsia="zh-CN"/>
        </w:rPr>
        <w:tab/>
      </w:r>
    </w:p>
    <w:p w14:paraId="1178D9F1">
      <w:pPr>
        <w:bidi w:val="0"/>
        <w:rPr>
          <w:rFonts w:hint="default" w:ascii="Times New Roman" w:hAnsi="Times New Roman" w:eastAsia="宋体" w:cstheme="minorBidi"/>
          <w:color w:val="auto"/>
          <w:kern w:val="2"/>
          <w:sz w:val="24"/>
          <w:szCs w:val="22"/>
          <w:highlight w:val="none"/>
          <w:lang w:val="en-US" w:eastAsia="zh-CN" w:bidi="ar-SA"/>
        </w:rPr>
      </w:pPr>
    </w:p>
    <w:p w14:paraId="7C6E5B44">
      <w:pPr>
        <w:bidi w:val="0"/>
        <w:rPr>
          <w:rFonts w:hint="default"/>
          <w:color w:val="auto"/>
          <w:highlight w:val="none"/>
          <w:lang w:val="en-US" w:eastAsia="zh-CN"/>
        </w:rPr>
      </w:pPr>
    </w:p>
    <w:p w14:paraId="100CDF33">
      <w:pPr>
        <w:bidi w:val="0"/>
        <w:rPr>
          <w:rFonts w:hint="default"/>
          <w:color w:val="auto"/>
          <w:highlight w:val="none"/>
          <w:lang w:val="en-US" w:eastAsia="zh-CN"/>
        </w:rPr>
      </w:pPr>
    </w:p>
    <w:p w14:paraId="4E2DD5F1">
      <w:pPr>
        <w:bidi w:val="0"/>
        <w:rPr>
          <w:rFonts w:hint="default"/>
          <w:color w:val="auto"/>
          <w:highlight w:val="none"/>
          <w:lang w:val="en-US" w:eastAsia="zh-CN"/>
        </w:rPr>
      </w:pPr>
    </w:p>
    <w:p w14:paraId="50891255">
      <w:pPr>
        <w:bidi w:val="0"/>
        <w:rPr>
          <w:rFonts w:hint="default"/>
          <w:color w:val="auto"/>
          <w:highlight w:val="none"/>
          <w:lang w:val="en-US" w:eastAsia="zh-CN"/>
        </w:rPr>
      </w:pPr>
    </w:p>
    <w:p w14:paraId="51FDCDE8">
      <w:pPr>
        <w:bidi w:val="0"/>
        <w:rPr>
          <w:rFonts w:hint="default"/>
          <w:color w:val="auto"/>
          <w:highlight w:val="none"/>
          <w:lang w:val="en-US" w:eastAsia="zh-CN"/>
        </w:rPr>
      </w:pPr>
    </w:p>
    <w:p w14:paraId="6DE54B63">
      <w:pPr>
        <w:bidi w:val="0"/>
        <w:rPr>
          <w:rFonts w:hint="default"/>
          <w:color w:val="auto"/>
          <w:highlight w:val="none"/>
          <w:lang w:val="en-US" w:eastAsia="zh-CN"/>
        </w:rPr>
      </w:pPr>
    </w:p>
    <w:p w14:paraId="42DFAC20">
      <w:pPr>
        <w:bidi w:val="0"/>
        <w:rPr>
          <w:rFonts w:hint="default"/>
          <w:color w:val="auto"/>
          <w:highlight w:val="none"/>
          <w:lang w:val="en-US" w:eastAsia="zh-CN"/>
        </w:rPr>
      </w:pPr>
    </w:p>
    <w:p w14:paraId="1BE44DEE">
      <w:pPr>
        <w:bidi w:val="0"/>
        <w:rPr>
          <w:rFonts w:hint="default"/>
          <w:color w:val="auto"/>
          <w:highlight w:val="none"/>
          <w:lang w:val="en-US" w:eastAsia="zh-CN"/>
        </w:rPr>
      </w:pPr>
    </w:p>
    <w:p w14:paraId="1F961E6A">
      <w:pPr>
        <w:bidi w:val="0"/>
        <w:rPr>
          <w:rFonts w:hint="default"/>
          <w:color w:val="auto"/>
          <w:highlight w:val="none"/>
          <w:lang w:val="en-US" w:eastAsia="zh-CN"/>
        </w:rPr>
      </w:pPr>
    </w:p>
    <w:p w14:paraId="42E5D566">
      <w:pPr>
        <w:bidi w:val="0"/>
        <w:rPr>
          <w:rFonts w:hint="default"/>
          <w:color w:val="auto"/>
          <w:highlight w:val="none"/>
          <w:lang w:val="en-US" w:eastAsia="zh-CN"/>
        </w:rPr>
      </w:pPr>
    </w:p>
    <w:p w14:paraId="3A6BFBC5">
      <w:pPr>
        <w:bidi w:val="0"/>
        <w:rPr>
          <w:rFonts w:hint="default"/>
          <w:color w:val="auto"/>
          <w:highlight w:val="none"/>
          <w:lang w:val="en-US" w:eastAsia="zh-CN"/>
        </w:rPr>
      </w:pPr>
    </w:p>
    <w:p w14:paraId="7C4AF031">
      <w:pPr>
        <w:bidi w:val="0"/>
        <w:rPr>
          <w:rFonts w:hint="default"/>
          <w:color w:val="auto"/>
          <w:highlight w:val="none"/>
          <w:lang w:val="en-US" w:eastAsia="zh-CN"/>
        </w:rPr>
      </w:pPr>
    </w:p>
    <w:p w14:paraId="0086F354">
      <w:pPr>
        <w:bidi w:val="0"/>
        <w:rPr>
          <w:rFonts w:hint="default"/>
          <w:color w:val="auto"/>
          <w:highlight w:val="none"/>
          <w:lang w:val="en-US" w:eastAsia="zh-CN"/>
        </w:rPr>
      </w:pPr>
    </w:p>
    <w:p w14:paraId="2F8E9AEB">
      <w:pPr>
        <w:bidi w:val="0"/>
        <w:rPr>
          <w:rFonts w:hint="default"/>
          <w:color w:val="auto"/>
          <w:highlight w:val="none"/>
          <w:lang w:val="en-US" w:eastAsia="zh-CN"/>
        </w:rPr>
      </w:pPr>
    </w:p>
    <w:p w14:paraId="06F962F3">
      <w:pPr>
        <w:tabs>
          <w:tab w:val="left" w:pos="13259"/>
        </w:tabs>
        <w:bidi w:val="0"/>
        <w:jc w:val="left"/>
        <w:rPr>
          <w:rFonts w:hint="eastAsia"/>
          <w:color w:val="auto"/>
          <w:highlight w:val="none"/>
          <w:lang w:val="en-US" w:eastAsia="zh-CN"/>
        </w:rPr>
      </w:pPr>
      <w:r>
        <w:rPr>
          <w:color w:val="auto"/>
          <w:highlight w:val="none"/>
        </w:rPr>
        <w:drawing>
          <wp:anchor distT="0" distB="0" distL="114300" distR="114300" simplePos="0" relativeHeight="251740160" behindDoc="0" locked="0" layoutInCell="1" allowOverlap="1">
            <wp:simplePos x="0" y="0"/>
            <wp:positionH relativeFrom="column">
              <wp:posOffset>545465</wp:posOffset>
            </wp:positionH>
            <wp:positionV relativeFrom="paragraph">
              <wp:posOffset>83820</wp:posOffset>
            </wp:positionV>
            <wp:extent cx="7567930" cy="5274310"/>
            <wp:effectExtent l="0" t="0" r="13970" b="2540"/>
            <wp:wrapNone/>
            <wp:docPr id="12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3"/>
                    <pic:cNvPicPr>
                      <a:picLocks noChangeAspect="1"/>
                    </pic:cNvPicPr>
                  </pic:nvPicPr>
                  <pic:blipFill>
                    <a:blip r:embed="rId97"/>
                    <a:stretch>
                      <a:fillRect/>
                    </a:stretch>
                  </pic:blipFill>
                  <pic:spPr>
                    <a:xfrm>
                      <a:off x="0" y="0"/>
                      <a:ext cx="7567930" cy="5274310"/>
                    </a:xfrm>
                    <a:prstGeom prst="rect">
                      <a:avLst/>
                    </a:prstGeom>
                    <a:noFill/>
                    <a:ln>
                      <a:noFill/>
                    </a:ln>
                  </pic:spPr>
                </pic:pic>
              </a:graphicData>
            </a:graphic>
          </wp:anchor>
        </w:drawing>
      </w:r>
      <w:r>
        <w:rPr>
          <w:rFonts w:hint="eastAsia"/>
          <w:color w:val="auto"/>
          <w:highlight w:val="none"/>
          <w:lang w:val="en-US" w:eastAsia="zh-CN"/>
        </w:rPr>
        <w:tab/>
      </w:r>
    </w:p>
    <w:p w14:paraId="0F824B32">
      <w:pPr>
        <w:bidi w:val="0"/>
        <w:rPr>
          <w:rFonts w:hint="default" w:ascii="Times New Roman" w:hAnsi="Times New Roman" w:eastAsia="宋体" w:cstheme="minorBidi"/>
          <w:color w:val="auto"/>
          <w:kern w:val="2"/>
          <w:sz w:val="24"/>
          <w:szCs w:val="22"/>
          <w:highlight w:val="none"/>
          <w:lang w:val="en-US" w:eastAsia="zh-CN" w:bidi="ar-SA"/>
        </w:rPr>
      </w:pPr>
    </w:p>
    <w:p w14:paraId="488CB9C7">
      <w:pPr>
        <w:bidi w:val="0"/>
        <w:rPr>
          <w:rFonts w:hint="default"/>
          <w:color w:val="auto"/>
          <w:highlight w:val="none"/>
          <w:lang w:val="en-US" w:eastAsia="zh-CN"/>
        </w:rPr>
      </w:pPr>
    </w:p>
    <w:p w14:paraId="78D74A4F">
      <w:pPr>
        <w:bidi w:val="0"/>
        <w:rPr>
          <w:rFonts w:hint="default"/>
          <w:color w:val="auto"/>
          <w:highlight w:val="none"/>
          <w:lang w:val="en-US" w:eastAsia="zh-CN"/>
        </w:rPr>
      </w:pPr>
    </w:p>
    <w:p w14:paraId="6325F2EB">
      <w:pPr>
        <w:bidi w:val="0"/>
        <w:rPr>
          <w:rFonts w:hint="default"/>
          <w:color w:val="auto"/>
          <w:highlight w:val="none"/>
          <w:lang w:val="en-US" w:eastAsia="zh-CN"/>
        </w:rPr>
      </w:pPr>
    </w:p>
    <w:p w14:paraId="02AC9EC3">
      <w:pPr>
        <w:bidi w:val="0"/>
        <w:rPr>
          <w:rFonts w:hint="default"/>
          <w:color w:val="auto"/>
          <w:highlight w:val="none"/>
          <w:lang w:val="en-US" w:eastAsia="zh-CN"/>
        </w:rPr>
      </w:pPr>
    </w:p>
    <w:p w14:paraId="57BC628B">
      <w:pPr>
        <w:bidi w:val="0"/>
        <w:rPr>
          <w:rFonts w:hint="default"/>
          <w:color w:val="auto"/>
          <w:highlight w:val="none"/>
          <w:lang w:val="en-US" w:eastAsia="zh-CN"/>
        </w:rPr>
      </w:pPr>
    </w:p>
    <w:p w14:paraId="4DD223A7">
      <w:pPr>
        <w:bidi w:val="0"/>
        <w:rPr>
          <w:rFonts w:hint="default"/>
          <w:color w:val="auto"/>
          <w:highlight w:val="none"/>
          <w:lang w:val="en-US" w:eastAsia="zh-CN"/>
        </w:rPr>
      </w:pPr>
    </w:p>
    <w:p w14:paraId="1C15E4A2">
      <w:pPr>
        <w:bidi w:val="0"/>
        <w:rPr>
          <w:rFonts w:hint="default"/>
          <w:color w:val="auto"/>
          <w:highlight w:val="none"/>
          <w:lang w:val="en-US" w:eastAsia="zh-CN"/>
        </w:rPr>
      </w:pPr>
    </w:p>
    <w:p w14:paraId="75AAEFF2">
      <w:pPr>
        <w:bidi w:val="0"/>
        <w:rPr>
          <w:rFonts w:hint="default"/>
          <w:color w:val="auto"/>
          <w:highlight w:val="none"/>
          <w:lang w:val="en-US" w:eastAsia="zh-CN"/>
        </w:rPr>
      </w:pPr>
    </w:p>
    <w:p w14:paraId="7BCB0197">
      <w:pPr>
        <w:bidi w:val="0"/>
        <w:rPr>
          <w:rFonts w:hint="default"/>
          <w:color w:val="auto"/>
          <w:highlight w:val="none"/>
          <w:lang w:val="en-US" w:eastAsia="zh-CN"/>
        </w:rPr>
      </w:pPr>
    </w:p>
    <w:p w14:paraId="2AB44F37">
      <w:pPr>
        <w:bidi w:val="0"/>
        <w:rPr>
          <w:rFonts w:hint="default"/>
          <w:color w:val="auto"/>
          <w:highlight w:val="none"/>
          <w:lang w:val="en-US" w:eastAsia="zh-CN"/>
        </w:rPr>
      </w:pPr>
    </w:p>
    <w:p w14:paraId="63B38739">
      <w:pPr>
        <w:bidi w:val="0"/>
        <w:rPr>
          <w:rFonts w:hint="default"/>
          <w:color w:val="auto"/>
          <w:highlight w:val="none"/>
          <w:lang w:val="en-US" w:eastAsia="zh-CN"/>
        </w:rPr>
      </w:pPr>
    </w:p>
    <w:p w14:paraId="428D2D3A">
      <w:pPr>
        <w:bidi w:val="0"/>
        <w:rPr>
          <w:rFonts w:hint="default"/>
          <w:color w:val="auto"/>
          <w:highlight w:val="none"/>
          <w:lang w:val="en-US" w:eastAsia="zh-CN"/>
        </w:rPr>
      </w:pPr>
    </w:p>
    <w:p w14:paraId="2BB00E6F">
      <w:pPr>
        <w:bidi w:val="0"/>
        <w:rPr>
          <w:rFonts w:hint="default"/>
          <w:color w:val="auto"/>
          <w:highlight w:val="none"/>
          <w:lang w:val="en-US" w:eastAsia="zh-CN"/>
        </w:rPr>
      </w:pPr>
    </w:p>
    <w:p w14:paraId="0CBE6752">
      <w:pPr>
        <w:bidi w:val="0"/>
        <w:rPr>
          <w:rFonts w:hint="default"/>
          <w:color w:val="auto"/>
          <w:highlight w:val="none"/>
          <w:lang w:val="en-US" w:eastAsia="zh-CN"/>
        </w:rPr>
      </w:pPr>
    </w:p>
    <w:p w14:paraId="6A0BEE4C">
      <w:pPr>
        <w:tabs>
          <w:tab w:val="left" w:pos="236"/>
        </w:tabs>
        <w:bidi w:val="0"/>
        <w:jc w:val="left"/>
        <w:rPr>
          <w:rFonts w:hint="eastAsia"/>
          <w:color w:val="auto"/>
          <w:highlight w:val="none"/>
          <w:lang w:val="en-US" w:eastAsia="zh-CN"/>
        </w:rPr>
      </w:pPr>
      <w:r>
        <w:rPr>
          <w:color w:val="auto"/>
          <w:highlight w:val="none"/>
        </w:rPr>
        <w:drawing>
          <wp:anchor distT="0" distB="0" distL="114300" distR="114300" simplePos="0" relativeHeight="251741184" behindDoc="0" locked="0" layoutInCell="1" allowOverlap="1">
            <wp:simplePos x="0" y="0"/>
            <wp:positionH relativeFrom="column">
              <wp:posOffset>546735</wp:posOffset>
            </wp:positionH>
            <wp:positionV relativeFrom="paragraph">
              <wp:posOffset>99695</wp:posOffset>
            </wp:positionV>
            <wp:extent cx="7515225" cy="5124450"/>
            <wp:effectExtent l="0" t="0" r="9525" b="0"/>
            <wp:wrapNone/>
            <wp:docPr id="1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4"/>
                    <pic:cNvPicPr>
                      <a:picLocks noChangeAspect="1"/>
                    </pic:cNvPicPr>
                  </pic:nvPicPr>
                  <pic:blipFill>
                    <a:blip r:embed="rId98"/>
                    <a:stretch>
                      <a:fillRect/>
                    </a:stretch>
                  </pic:blipFill>
                  <pic:spPr>
                    <a:xfrm>
                      <a:off x="0" y="0"/>
                      <a:ext cx="7515225" cy="5124450"/>
                    </a:xfrm>
                    <a:prstGeom prst="rect">
                      <a:avLst/>
                    </a:prstGeom>
                    <a:noFill/>
                    <a:ln>
                      <a:noFill/>
                    </a:ln>
                  </pic:spPr>
                </pic:pic>
              </a:graphicData>
            </a:graphic>
          </wp:anchor>
        </w:drawing>
      </w:r>
      <w:r>
        <w:rPr>
          <w:rFonts w:hint="eastAsia"/>
          <w:color w:val="auto"/>
          <w:highlight w:val="none"/>
          <w:lang w:val="en-US" w:eastAsia="zh-CN"/>
        </w:rPr>
        <w:tab/>
      </w:r>
    </w:p>
    <w:p w14:paraId="6C08C813">
      <w:pPr>
        <w:bidi w:val="0"/>
        <w:rPr>
          <w:rFonts w:hint="default" w:ascii="Times New Roman" w:hAnsi="Times New Roman" w:eastAsia="宋体" w:cstheme="minorBidi"/>
          <w:color w:val="auto"/>
          <w:kern w:val="2"/>
          <w:sz w:val="24"/>
          <w:szCs w:val="22"/>
          <w:highlight w:val="none"/>
          <w:lang w:val="en-US" w:eastAsia="zh-CN" w:bidi="ar-SA"/>
        </w:rPr>
      </w:pPr>
    </w:p>
    <w:p w14:paraId="7ECF568D">
      <w:pPr>
        <w:bidi w:val="0"/>
        <w:rPr>
          <w:rFonts w:hint="default"/>
          <w:color w:val="auto"/>
          <w:highlight w:val="none"/>
          <w:lang w:val="en-US" w:eastAsia="zh-CN"/>
        </w:rPr>
      </w:pPr>
    </w:p>
    <w:p w14:paraId="5B5010D4">
      <w:pPr>
        <w:bidi w:val="0"/>
        <w:rPr>
          <w:rFonts w:hint="default"/>
          <w:color w:val="auto"/>
          <w:highlight w:val="none"/>
          <w:lang w:val="en-US" w:eastAsia="zh-CN"/>
        </w:rPr>
      </w:pPr>
    </w:p>
    <w:p w14:paraId="661D8FF7">
      <w:pPr>
        <w:bidi w:val="0"/>
        <w:rPr>
          <w:rFonts w:hint="default"/>
          <w:color w:val="auto"/>
          <w:highlight w:val="none"/>
          <w:lang w:val="en-US" w:eastAsia="zh-CN"/>
        </w:rPr>
      </w:pPr>
    </w:p>
    <w:p w14:paraId="233DB9F1">
      <w:pPr>
        <w:bidi w:val="0"/>
        <w:rPr>
          <w:rFonts w:hint="default"/>
          <w:color w:val="auto"/>
          <w:highlight w:val="none"/>
          <w:lang w:val="en-US" w:eastAsia="zh-CN"/>
        </w:rPr>
      </w:pPr>
    </w:p>
    <w:p w14:paraId="3AEF2587">
      <w:pPr>
        <w:bidi w:val="0"/>
        <w:rPr>
          <w:rFonts w:hint="default"/>
          <w:color w:val="auto"/>
          <w:highlight w:val="none"/>
          <w:lang w:val="en-US" w:eastAsia="zh-CN"/>
        </w:rPr>
      </w:pPr>
    </w:p>
    <w:p w14:paraId="1B7CC1AA">
      <w:pPr>
        <w:bidi w:val="0"/>
        <w:rPr>
          <w:rFonts w:hint="default"/>
          <w:color w:val="auto"/>
          <w:highlight w:val="none"/>
          <w:lang w:val="en-US" w:eastAsia="zh-CN"/>
        </w:rPr>
      </w:pPr>
    </w:p>
    <w:p w14:paraId="45A0DE15">
      <w:pPr>
        <w:bidi w:val="0"/>
        <w:rPr>
          <w:rFonts w:hint="default"/>
          <w:color w:val="auto"/>
          <w:highlight w:val="none"/>
          <w:lang w:val="en-US" w:eastAsia="zh-CN"/>
        </w:rPr>
      </w:pPr>
    </w:p>
    <w:p w14:paraId="03792BF9">
      <w:pPr>
        <w:bidi w:val="0"/>
        <w:rPr>
          <w:rFonts w:hint="default"/>
          <w:color w:val="auto"/>
          <w:highlight w:val="none"/>
          <w:lang w:val="en-US" w:eastAsia="zh-CN"/>
        </w:rPr>
      </w:pPr>
    </w:p>
    <w:p w14:paraId="1DC2126C">
      <w:pPr>
        <w:bidi w:val="0"/>
        <w:rPr>
          <w:rFonts w:hint="default"/>
          <w:color w:val="auto"/>
          <w:highlight w:val="none"/>
          <w:lang w:val="en-US" w:eastAsia="zh-CN"/>
        </w:rPr>
      </w:pPr>
    </w:p>
    <w:p w14:paraId="0ABD41A3">
      <w:pPr>
        <w:bidi w:val="0"/>
        <w:rPr>
          <w:rFonts w:hint="default"/>
          <w:color w:val="auto"/>
          <w:highlight w:val="none"/>
          <w:lang w:val="en-US" w:eastAsia="zh-CN"/>
        </w:rPr>
      </w:pPr>
    </w:p>
    <w:p w14:paraId="4C529CA3">
      <w:pPr>
        <w:bidi w:val="0"/>
        <w:rPr>
          <w:rFonts w:hint="default"/>
          <w:color w:val="auto"/>
          <w:highlight w:val="none"/>
          <w:lang w:val="en-US" w:eastAsia="zh-CN"/>
        </w:rPr>
      </w:pPr>
    </w:p>
    <w:p w14:paraId="5C3FE3BB">
      <w:pPr>
        <w:bidi w:val="0"/>
        <w:rPr>
          <w:rFonts w:hint="default"/>
          <w:color w:val="auto"/>
          <w:highlight w:val="none"/>
          <w:lang w:val="en-US" w:eastAsia="zh-CN"/>
        </w:rPr>
      </w:pPr>
    </w:p>
    <w:p w14:paraId="2761B11F">
      <w:pPr>
        <w:bidi w:val="0"/>
        <w:rPr>
          <w:rFonts w:hint="default"/>
          <w:color w:val="auto"/>
          <w:highlight w:val="none"/>
          <w:lang w:val="en-US" w:eastAsia="zh-CN"/>
        </w:rPr>
      </w:pPr>
    </w:p>
    <w:p w14:paraId="78BB3E61">
      <w:pPr>
        <w:bidi w:val="0"/>
        <w:rPr>
          <w:rFonts w:hint="default"/>
          <w:color w:val="auto"/>
          <w:highlight w:val="none"/>
          <w:lang w:val="en-US" w:eastAsia="zh-CN"/>
        </w:rPr>
      </w:pPr>
    </w:p>
    <w:p w14:paraId="0578FF29">
      <w:pPr>
        <w:tabs>
          <w:tab w:val="left" w:pos="454"/>
        </w:tabs>
        <w:bidi w:val="0"/>
        <w:jc w:val="left"/>
        <w:rPr>
          <w:rFonts w:hint="eastAsia"/>
          <w:color w:val="auto"/>
          <w:highlight w:val="none"/>
          <w:lang w:val="en-US" w:eastAsia="zh-CN"/>
        </w:rPr>
      </w:pPr>
      <w:r>
        <w:rPr>
          <w:color w:val="auto"/>
          <w:highlight w:val="none"/>
        </w:rPr>
        <w:drawing>
          <wp:anchor distT="0" distB="0" distL="114300" distR="114300" simplePos="0" relativeHeight="251742208" behindDoc="0" locked="0" layoutInCell="1" allowOverlap="1">
            <wp:simplePos x="0" y="0"/>
            <wp:positionH relativeFrom="column">
              <wp:posOffset>416560</wp:posOffset>
            </wp:positionH>
            <wp:positionV relativeFrom="paragraph">
              <wp:posOffset>215900</wp:posOffset>
            </wp:positionV>
            <wp:extent cx="7743825" cy="5276850"/>
            <wp:effectExtent l="0" t="0" r="9525" b="0"/>
            <wp:wrapNone/>
            <wp:docPr id="1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5"/>
                    <pic:cNvPicPr>
                      <a:picLocks noChangeAspect="1"/>
                    </pic:cNvPicPr>
                  </pic:nvPicPr>
                  <pic:blipFill>
                    <a:blip r:embed="rId99"/>
                    <a:stretch>
                      <a:fillRect/>
                    </a:stretch>
                  </pic:blipFill>
                  <pic:spPr>
                    <a:xfrm>
                      <a:off x="0" y="0"/>
                      <a:ext cx="7743825" cy="5276850"/>
                    </a:xfrm>
                    <a:prstGeom prst="rect">
                      <a:avLst/>
                    </a:prstGeom>
                    <a:noFill/>
                    <a:ln>
                      <a:noFill/>
                    </a:ln>
                  </pic:spPr>
                </pic:pic>
              </a:graphicData>
            </a:graphic>
          </wp:anchor>
        </w:drawing>
      </w:r>
      <w:r>
        <w:rPr>
          <w:rFonts w:hint="eastAsia"/>
          <w:color w:val="auto"/>
          <w:highlight w:val="none"/>
          <w:lang w:val="en-US" w:eastAsia="zh-CN"/>
        </w:rPr>
        <w:tab/>
      </w:r>
    </w:p>
    <w:p w14:paraId="500DC104">
      <w:pPr>
        <w:bidi w:val="0"/>
        <w:rPr>
          <w:rFonts w:hint="default" w:ascii="Times New Roman" w:hAnsi="Times New Roman" w:eastAsia="宋体" w:cstheme="minorBidi"/>
          <w:color w:val="auto"/>
          <w:kern w:val="2"/>
          <w:sz w:val="24"/>
          <w:szCs w:val="22"/>
          <w:highlight w:val="none"/>
          <w:lang w:val="en-US" w:eastAsia="zh-CN" w:bidi="ar-SA"/>
        </w:rPr>
      </w:pPr>
    </w:p>
    <w:p w14:paraId="540CA413">
      <w:pPr>
        <w:bidi w:val="0"/>
        <w:rPr>
          <w:rFonts w:hint="default"/>
          <w:color w:val="auto"/>
          <w:highlight w:val="none"/>
          <w:lang w:val="en-US" w:eastAsia="zh-CN"/>
        </w:rPr>
      </w:pPr>
    </w:p>
    <w:p w14:paraId="52B6472A">
      <w:pPr>
        <w:bidi w:val="0"/>
        <w:rPr>
          <w:rFonts w:hint="default"/>
          <w:color w:val="auto"/>
          <w:highlight w:val="none"/>
          <w:lang w:val="en-US" w:eastAsia="zh-CN"/>
        </w:rPr>
      </w:pPr>
    </w:p>
    <w:p w14:paraId="5E12AFBC">
      <w:pPr>
        <w:bidi w:val="0"/>
        <w:rPr>
          <w:rFonts w:hint="default"/>
          <w:color w:val="auto"/>
          <w:highlight w:val="none"/>
          <w:lang w:val="en-US" w:eastAsia="zh-CN"/>
        </w:rPr>
      </w:pPr>
    </w:p>
    <w:p w14:paraId="62276F44">
      <w:pPr>
        <w:bidi w:val="0"/>
        <w:rPr>
          <w:rFonts w:hint="default"/>
          <w:color w:val="auto"/>
          <w:highlight w:val="none"/>
          <w:lang w:val="en-US" w:eastAsia="zh-CN"/>
        </w:rPr>
      </w:pPr>
    </w:p>
    <w:p w14:paraId="289D0491">
      <w:pPr>
        <w:bidi w:val="0"/>
        <w:rPr>
          <w:rFonts w:hint="default"/>
          <w:color w:val="auto"/>
          <w:highlight w:val="none"/>
          <w:lang w:val="en-US" w:eastAsia="zh-CN"/>
        </w:rPr>
      </w:pPr>
    </w:p>
    <w:p w14:paraId="21504472">
      <w:pPr>
        <w:bidi w:val="0"/>
        <w:rPr>
          <w:rFonts w:hint="default"/>
          <w:color w:val="auto"/>
          <w:highlight w:val="none"/>
          <w:lang w:val="en-US" w:eastAsia="zh-CN"/>
        </w:rPr>
      </w:pPr>
    </w:p>
    <w:p w14:paraId="67AD1268">
      <w:pPr>
        <w:bidi w:val="0"/>
        <w:rPr>
          <w:rFonts w:hint="default"/>
          <w:color w:val="auto"/>
          <w:highlight w:val="none"/>
          <w:lang w:val="en-US" w:eastAsia="zh-CN"/>
        </w:rPr>
      </w:pPr>
    </w:p>
    <w:p w14:paraId="1CA10867">
      <w:pPr>
        <w:bidi w:val="0"/>
        <w:rPr>
          <w:rFonts w:hint="default"/>
          <w:color w:val="auto"/>
          <w:highlight w:val="none"/>
          <w:lang w:val="en-US" w:eastAsia="zh-CN"/>
        </w:rPr>
      </w:pPr>
    </w:p>
    <w:p w14:paraId="68956D83">
      <w:pPr>
        <w:bidi w:val="0"/>
        <w:rPr>
          <w:rFonts w:hint="default"/>
          <w:color w:val="auto"/>
          <w:highlight w:val="none"/>
          <w:lang w:val="en-US" w:eastAsia="zh-CN"/>
        </w:rPr>
      </w:pPr>
    </w:p>
    <w:p w14:paraId="2407ABD8">
      <w:pPr>
        <w:bidi w:val="0"/>
        <w:rPr>
          <w:rFonts w:hint="default"/>
          <w:color w:val="auto"/>
          <w:highlight w:val="none"/>
          <w:lang w:val="en-US" w:eastAsia="zh-CN"/>
        </w:rPr>
      </w:pPr>
    </w:p>
    <w:p w14:paraId="3C745752">
      <w:pPr>
        <w:bidi w:val="0"/>
        <w:rPr>
          <w:rFonts w:hint="default"/>
          <w:color w:val="auto"/>
          <w:highlight w:val="none"/>
          <w:lang w:val="en-US" w:eastAsia="zh-CN"/>
        </w:rPr>
      </w:pPr>
    </w:p>
    <w:p w14:paraId="067624E4">
      <w:pPr>
        <w:bidi w:val="0"/>
        <w:rPr>
          <w:rFonts w:hint="default"/>
          <w:color w:val="auto"/>
          <w:highlight w:val="none"/>
          <w:lang w:val="en-US" w:eastAsia="zh-CN"/>
        </w:rPr>
      </w:pPr>
    </w:p>
    <w:p w14:paraId="506CB55F">
      <w:pPr>
        <w:bidi w:val="0"/>
        <w:rPr>
          <w:rFonts w:hint="default"/>
          <w:color w:val="auto"/>
          <w:highlight w:val="none"/>
          <w:lang w:val="en-US" w:eastAsia="zh-CN"/>
        </w:rPr>
      </w:pPr>
    </w:p>
    <w:p w14:paraId="21ACE4B0">
      <w:pPr>
        <w:bidi w:val="0"/>
        <w:rPr>
          <w:rFonts w:hint="default"/>
          <w:color w:val="auto"/>
          <w:highlight w:val="none"/>
          <w:lang w:val="en-US" w:eastAsia="zh-CN"/>
        </w:rPr>
      </w:pPr>
    </w:p>
    <w:p w14:paraId="1E101125">
      <w:pPr>
        <w:tabs>
          <w:tab w:val="right" w:pos="13478"/>
        </w:tabs>
        <w:bidi w:val="0"/>
        <w:jc w:val="left"/>
        <w:rPr>
          <w:rFonts w:hint="default"/>
          <w:color w:val="auto"/>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color w:val="auto"/>
          <w:highlight w:val="none"/>
        </w:rPr>
        <w:drawing>
          <wp:anchor distT="0" distB="0" distL="114300" distR="114300" simplePos="0" relativeHeight="251743232" behindDoc="0" locked="0" layoutInCell="1" allowOverlap="1">
            <wp:simplePos x="0" y="0"/>
            <wp:positionH relativeFrom="column">
              <wp:posOffset>429260</wp:posOffset>
            </wp:positionH>
            <wp:positionV relativeFrom="paragraph">
              <wp:posOffset>77470</wp:posOffset>
            </wp:positionV>
            <wp:extent cx="7595235" cy="5275580"/>
            <wp:effectExtent l="0" t="0" r="5715" b="1270"/>
            <wp:wrapNone/>
            <wp:docPr id="1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6"/>
                    <pic:cNvPicPr>
                      <a:picLocks noChangeAspect="1"/>
                    </pic:cNvPicPr>
                  </pic:nvPicPr>
                  <pic:blipFill>
                    <a:blip r:embed="rId100"/>
                    <a:stretch>
                      <a:fillRect/>
                    </a:stretch>
                  </pic:blipFill>
                  <pic:spPr>
                    <a:xfrm>
                      <a:off x="0" y="0"/>
                      <a:ext cx="7595235" cy="5275580"/>
                    </a:xfrm>
                    <a:prstGeom prst="rect">
                      <a:avLst/>
                    </a:prstGeom>
                    <a:noFill/>
                    <a:ln>
                      <a:noFill/>
                    </a:ln>
                  </pic:spPr>
                </pic:pic>
              </a:graphicData>
            </a:graphic>
          </wp:anchor>
        </w:drawing>
      </w:r>
      <w:r>
        <w:rPr>
          <w:rFonts w:hint="eastAsia"/>
          <w:color w:val="auto"/>
          <w:highlight w:val="none"/>
          <w:lang w:val="en-US" w:eastAsia="zh-CN"/>
        </w:rPr>
        <w:tab/>
      </w:r>
    </w:p>
    <w:bookmarkEnd w:id="477"/>
    <w:p w14:paraId="0A92A901">
      <w:pPr>
        <w:pStyle w:val="2"/>
        <w:rPr>
          <w:rFonts w:cs="Times New Roman"/>
          <w:color w:val="auto"/>
          <w:sz w:val="24"/>
          <w:szCs w:val="24"/>
          <w:highlight w:val="none"/>
        </w:rPr>
      </w:pPr>
      <w:bookmarkStart w:id="479" w:name="_Toc1879"/>
      <w:r>
        <w:rPr>
          <w:rFonts w:cs="Times New Roman"/>
          <w:color w:val="auto"/>
          <w:sz w:val="24"/>
          <w:szCs w:val="24"/>
          <w:highlight w:val="none"/>
        </w:rPr>
        <w:t>附表1  建设项目大气环境影响评价自查表</w:t>
      </w:r>
      <w:bookmarkEnd w:id="479"/>
    </w:p>
    <w:p w14:paraId="3F050658">
      <w:pPr>
        <w:spacing w:line="500" w:lineRule="exact"/>
        <w:ind w:firstLine="0" w:firstLineChars="0"/>
        <w:jc w:val="center"/>
        <w:rPr>
          <w:rFonts w:cs="Times New Roman"/>
          <w:b/>
          <w:bCs/>
          <w:snapToGrid w:val="0"/>
          <w:color w:val="auto"/>
          <w:szCs w:val="24"/>
          <w:highlight w:val="none"/>
          <w:lang w:val="zh-CN"/>
        </w:rPr>
      </w:pPr>
      <w:bookmarkStart w:id="480" w:name="_Hlk1725722"/>
      <w:r>
        <w:rPr>
          <w:rFonts w:cs="Times New Roman"/>
          <w:b/>
          <w:bCs/>
          <w:snapToGrid w:val="0"/>
          <w:color w:val="auto"/>
          <w:szCs w:val="24"/>
          <w:highlight w:val="none"/>
          <w:lang w:val="zh-CN"/>
        </w:rPr>
        <w:t>建设项目大气环境影响评价自查表</w:t>
      </w:r>
    </w:p>
    <w:tbl>
      <w:tblPr>
        <w:tblStyle w:val="47"/>
        <w:tblW w:w="5827"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821"/>
        <w:gridCol w:w="1156"/>
        <w:gridCol w:w="1484"/>
        <w:gridCol w:w="914"/>
        <w:gridCol w:w="753"/>
        <w:gridCol w:w="777"/>
        <w:gridCol w:w="34"/>
        <w:gridCol w:w="447"/>
        <w:gridCol w:w="1013"/>
        <w:gridCol w:w="705"/>
        <w:gridCol w:w="501"/>
        <w:gridCol w:w="642"/>
        <w:gridCol w:w="685"/>
      </w:tblGrid>
      <w:tr w14:paraId="60B841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92" w:hRule="atLeast"/>
          <w:jc w:val="center"/>
        </w:trPr>
        <w:tc>
          <w:tcPr>
            <w:tcW w:w="996" w:type="pct"/>
            <w:gridSpan w:val="2"/>
            <w:shd w:val="clear" w:color="auto" w:fill="auto"/>
            <w:vAlign w:val="center"/>
          </w:tcPr>
          <w:p w14:paraId="42485D10">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工作内容</w:t>
            </w:r>
          </w:p>
        </w:tc>
        <w:tc>
          <w:tcPr>
            <w:tcW w:w="4003" w:type="pct"/>
            <w:gridSpan w:val="11"/>
            <w:shd w:val="clear" w:color="auto" w:fill="auto"/>
            <w:vAlign w:val="center"/>
          </w:tcPr>
          <w:p w14:paraId="2C6DFF19">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自查项目</w:t>
            </w:r>
          </w:p>
        </w:tc>
      </w:tr>
      <w:tr w14:paraId="627FE5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70" w:hRule="atLeast"/>
          <w:jc w:val="center"/>
        </w:trPr>
        <w:tc>
          <w:tcPr>
            <w:tcW w:w="414" w:type="pct"/>
            <w:vMerge w:val="restart"/>
            <w:shd w:val="clear" w:color="auto" w:fill="auto"/>
            <w:vAlign w:val="center"/>
          </w:tcPr>
          <w:p w14:paraId="3CFBDE5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评价等级与范围</w:t>
            </w:r>
          </w:p>
        </w:tc>
        <w:tc>
          <w:tcPr>
            <w:tcW w:w="581" w:type="pct"/>
            <w:shd w:val="clear" w:color="auto" w:fill="auto"/>
            <w:vAlign w:val="center"/>
          </w:tcPr>
          <w:p w14:paraId="29B520C9">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评价等级</w:t>
            </w:r>
          </w:p>
        </w:tc>
        <w:tc>
          <w:tcPr>
            <w:tcW w:w="1207" w:type="pct"/>
            <w:gridSpan w:val="2"/>
            <w:shd w:val="clear" w:color="auto" w:fill="auto"/>
            <w:vAlign w:val="center"/>
          </w:tcPr>
          <w:p w14:paraId="30FE850A">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一级</w:t>
            </w:r>
            <w:r>
              <w:rPr>
                <w:rFonts w:hint="eastAsia" w:eastAsia="仿宋" w:cs="Times New Roman"/>
                <w:color w:val="auto"/>
                <w:sz w:val="21"/>
                <w:szCs w:val="21"/>
                <w:highlight w:val="none"/>
                <w:lang w:val="zh-CN"/>
              </w:rPr>
              <w:t>□</w:t>
            </w:r>
          </w:p>
        </w:tc>
        <w:tc>
          <w:tcPr>
            <w:tcW w:w="2129" w:type="pct"/>
            <w:gridSpan w:val="7"/>
            <w:shd w:val="clear" w:color="auto" w:fill="auto"/>
            <w:vAlign w:val="center"/>
          </w:tcPr>
          <w:p w14:paraId="2FDB88E5">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二级</w:t>
            </w:r>
            <w:r>
              <w:rPr>
                <w:rFonts w:hint="eastAsia" w:eastAsia="仿宋" w:cs="Times New Roman"/>
                <w:color w:val="auto"/>
                <w:sz w:val="21"/>
                <w:szCs w:val="21"/>
                <w:highlight w:val="none"/>
                <w:lang w:val="zh-CN"/>
              </w:rPr>
              <w:t>□</w:t>
            </w:r>
          </w:p>
        </w:tc>
        <w:tc>
          <w:tcPr>
            <w:tcW w:w="666" w:type="pct"/>
            <w:gridSpan w:val="2"/>
            <w:shd w:val="clear" w:color="auto" w:fill="auto"/>
            <w:vAlign w:val="center"/>
          </w:tcPr>
          <w:p w14:paraId="44E3F0F9">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三级</w:t>
            </w:r>
            <w:r>
              <w:rPr>
                <w:rFonts w:hint="eastAsia" w:eastAsia="仿宋" w:cs="Times New Roman"/>
                <w:color w:val="auto"/>
                <w:sz w:val="21"/>
                <w:szCs w:val="21"/>
                <w:highlight w:val="none"/>
                <w:lang w:val="zh-CN"/>
              </w:rPr>
              <w:t>☑</w:t>
            </w:r>
          </w:p>
        </w:tc>
      </w:tr>
      <w:tr w14:paraId="3AFB54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161" w:hRule="atLeast"/>
          <w:jc w:val="center"/>
        </w:trPr>
        <w:tc>
          <w:tcPr>
            <w:tcW w:w="414" w:type="pct"/>
            <w:vMerge w:val="continue"/>
            <w:shd w:val="clear" w:color="auto" w:fill="auto"/>
            <w:vAlign w:val="center"/>
          </w:tcPr>
          <w:p w14:paraId="73517B05">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4E3ADF5A">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评价范围</w:t>
            </w:r>
          </w:p>
        </w:tc>
        <w:tc>
          <w:tcPr>
            <w:tcW w:w="1207" w:type="pct"/>
            <w:gridSpan w:val="2"/>
            <w:shd w:val="clear" w:color="auto" w:fill="auto"/>
            <w:vAlign w:val="center"/>
          </w:tcPr>
          <w:p w14:paraId="2D3A3E2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边长=50km</w:t>
            </w:r>
            <w:r>
              <w:rPr>
                <w:rFonts w:eastAsia="仿宋" w:cs="Times New Roman"/>
                <w:color w:val="auto"/>
                <w:sz w:val="21"/>
                <w:szCs w:val="21"/>
                <w:highlight w:val="none"/>
                <w:lang w:val="zh-CN"/>
              </w:rPr>
              <w:t>□</w:t>
            </w:r>
          </w:p>
        </w:tc>
        <w:tc>
          <w:tcPr>
            <w:tcW w:w="2129" w:type="pct"/>
            <w:gridSpan w:val="7"/>
            <w:shd w:val="clear" w:color="auto" w:fill="auto"/>
            <w:vAlign w:val="center"/>
          </w:tcPr>
          <w:p w14:paraId="01B4849B">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边长5～50km</w:t>
            </w:r>
            <w:r>
              <w:rPr>
                <w:rFonts w:eastAsia="仿宋" w:cs="Times New Roman"/>
                <w:color w:val="auto"/>
                <w:sz w:val="21"/>
                <w:szCs w:val="21"/>
                <w:highlight w:val="none"/>
                <w:lang w:val="zh-CN"/>
              </w:rPr>
              <w:t>□</w:t>
            </w:r>
          </w:p>
        </w:tc>
        <w:tc>
          <w:tcPr>
            <w:tcW w:w="666" w:type="pct"/>
            <w:gridSpan w:val="2"/>
            <w:shd w:val="clear" w:color="auto" w:fill="auto"/>
            <w:vAlign w:val="center"/>
          </w:tcPr>
          <w:p w14:paraId="58CE8CAC">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边长=5km</w:t>
            </w:r>
            <w:r>
              <w:rPr>
                <w:rFonts w:hint="eastAsia" w:eastAsia="仿宋" w:cs="Times New Roman"/>
                <w:color w:val="auto"/>
                <w:sz w:val="21"/>
                <w:szCs w:val="21"/>
                <w:highlight w:val="none"/>
                <w:lang w:val="zh-CN"/>
              </w:rPr>
              <w:t>☑</w:t>
            </w:r>
          </w:p>
        </w:tc>
      </w:tr>
      <w:tr w14:paraId="6DA1F6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3" w:hRule="atLeast"/>
          <w:jc w:val="center"/>
        </w:trPr>
        <w:tc>
          <w:tcPr>
            <w:tcW w:w="414" w:type="pct"/>
            <w:vMerge w:val="restart"/>
            <w:shd w:val="clear" w:color="auto" w:fill="auto"/>
            <w:vAlign w:val="center"/>
          </w:tcPr>
          <w:p w14:paraId="0E6C267D">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评价因子</w:t>
            </w:r>
          </w:p>
        </w:tc>
        <w:tc>
          <w:tcPr>
            <w:tcW w:w="581" w:type="pct"/>
            <w:shd w:val="clear" w:color="auto" w:fill="auto"/>
            <w:vAlign w:val="center"/>
          </w:tcPr>
          <w:p w14:paraId="3B0B99FF">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SO</w:t>
            </w:r>
            <w:r>
              <w:rPr>
                <w:rFonts w:cs="Times New Roman"/>
                <w:color w:val="auto"/>
                <w:sz w:val="21"/>
                <w:szCs w:val="21"/>
                <w:highlight w:val="none"/>
                <w:vertAlign w:val="subscript"/>
                <w:lang w:val="zh-CN"/>
              </w:rPr>
              <w:t xml:space="preserve">2 </w:t>
            </w:r>
            <w:r>
              <w:rPr>
                <w:rFonts w:cs="Times New Roman"/>
                <w:color w:val="auto"/>
                <w:sz w:val="21"/>
                <w:szCs w:val="21"/>
                <w:highlight w:val="none"/>
                <w:lang w:val="zh-CN"/>
              </w:rPr>
              <w:t>+NO</w:t>
            </w:r>
            <w:r>
              <w:rPr>
                <w:rFonts w:cs="Times New Roman"/>
                <w:i/>
                <w:color w:val="auto"/>
                <w:sz w:val="21"/>
                <w:szCs w:val="21"/>
                <w:highlight w:val="none"/>
                <w:vertAlign w:val="subscript"/>
                <w:lang w:val="zh-CN"/>
              </w:rPr>
              <w:t>x</w:t>
            </w:r>
            <w:r>
              <w:rPr>
                <w:rFonts w:cs="Times New Roman"/>
                <w:color w:val="auto"/>
                <w:sz w:val="21"/>
                <w:szCs w:val="21"/>
                <w:highlight w:val="none"/>
                <w:lang w:val="zh-CN"/>
              </w:rPr>
              <w:t>排放量</w:t>
            </w:r>
          </w:p>
        </w:tc>
        <w:tc>
          <w:tcPr>
            <w:tcW w:w="1207" w:type="pct"/>
            <w:gridSpan w:val="2"/>
            <w:shd w:val="clear" w:color="auto" w:fill="auto"/>
            <w:vAlign w:val="center"/>
          </w:tcPr>
          <w:p w14:paraId="659E7899">
            <w:pPr>
              <w:spacing w:line="360" w:lineRule="exact"/>
              <w:ind w:firstLine="0" w:firstLineChars="0"/>
              <w:jc w:val="center"/>
              <w:rPr>
                <w:rFonts w:cs="Times New Roman"/>
                <w:color w:val="auto"/>
                <w:sz w:val="21"/>
                <w:szCs w:val="21"/>
                <w:highlight w:val="none"/>
                <w:lang w:val="zh-CN"/>
              </w:rPr>
            </w:pPr>
            <w:r>
              <w:rPr>
                <w:rFonts w:eastAsia="仿宋" w:cs="Times New Roman"/>
                <w:color w:val="auto"/>
                <w:sz w:val="21"/>
                <w:szCs w:val="21"/>
                <w:highlight w:val="none"/>
                <w:lang w:val="zh-CN"/>
              </w:rPr>
              <w:t>≥</w:t>
            </w:r>
            <w:r>
              <w:rPr>
                <w:rFonts w:cs="Times New Roman"/>
                <w:color w:val="auto"/>
                <w:sz w:val="21"/>
                <w:szCs w:val="21"/>
                <w:highlight w:val="none"/>
                <w:lang w:val="zh-CN"/>
              </w:rPr>
              <w:t xml:space="preserve"> 2000t/a</w:t>
            </w:r>
            <w:r>
              <w:rPr>
                <w:rFonts w:eastAsia="仿宋" w:cs="Times New Roman"/>
                <w:color w:val="auto"/>
                <w:sz w:val="21"/>
                <w:szCs w:val="21"/>
                <w:highlight w:val="none"/>
                <w:lang w:val="zh-CN"/>
              </w:rPr>
              <w:t>□</w:t>
            </w:r>
          </w:p>
        </w:tc>
        <w:tc>
          <w:tcPr>
            <w:tcW w:w="2129" w:type="pct"/>
            <w:gridSpan w:val="7"/>
            <w:shd w:val="clear" w:color="auto" w:fill="auto"/>
            <w:vAlign w:val="center"/>
          </w:tcPr>
          <w:p w14:paraId="029DB2F7">
            <w:pPr>
              <w:spacing w:line="360" w:lineRule="exact"/>
              <w:ind w:firstLine="0" w:firstLineChars="0"/>
              <w:jc w:val="center"/>
              <w:rPr>
                <w:rFonts w:cs="Times New Roman"/>
                <w:color w:val="auto"/>
                <w:sz w:val="21"/>
                <w:szCs w:val="21"/>
                <w:highlight w:val="none"/>
                <w:lang w:val="zh-CN"/>
              </w:rPr>
            </w:pPr>
            <w:r>
              <w:rPr>
                <w:rFonts w:eastAsia="仿宋" w:cs="Times New Roman"/>
                <w:color w:val="auto"/>
                <w:sz w:val="21"/>
                <w:szCs w:val="21"/>
                <w:highlight w:val="none"/>
                <w:lang w:val="zh-CN"/>
              </w:rPr>
              <w:t xml:space="preserve">500 ~ </w:t>
            </w:r>
            <w:r>
              <w:rPr>
                <w:rFonts w:cs="Times New Roman"/>
                <w:color w:val="auto"/>
                <w:sz w:val="21"/>
                <w:szCs w:val="21"/>
                <w:highlight w:val="none"/>
                <w:lang w:val="zh-CN"/>
              </w:rPr>
              <w:t>2000t/a</w:t>
            </w:r>
            <w:r>
              <w:rPr>
                <w:rFonts w:eastAsia="仿宋" w:cs="Times New Roman"/>
                <w:color w:val="auto"/>
                <w:sz w:val="21"/>
                <w:szCs w:val="21"/>
                <w:highlight w:val="none"/>
                <w:lang w:val="zh-CN"/>
              </w:rPr>
              <w:t>□</w:t>
            </w:r>
          </w:p>
        </w:tc>
        <w:tc>
          <w:tcPr>
            <w:tcW w:w="666" w:type="pct"/>
            <w:gridSpan w:val="2"/>
            <w:shd w:val="clear" w:color="auto" w:fill="auto"/>
            <w:vAlign w:val="center"/>
          </w:tcPr>
          <w:p w14:paraId="424FFFB9">
            <w:pPr>
              <w:spacing w:line="360" w:lineRule="exact"/>
              <w:ind w:firstLine="0" w:firstLineChars="0"/>
              <w:jc w:val="center"/>
              <w:rPr>
                <w:rFonts w:cs="Times New Roman"/>
                <w:color w:val="auto"/>
                <w:sz w:val="21"/>
                <w:szCs w:val="21"/>
                <w:highlight w:val="none"/>
                <w:lang w:val="zh-CN"/>
              </w:rPr>
            </w:pPr>
            <w:r>
              <w:rPr>
                <w:rFonts w:eastAsia="仿宋" w:cs="Times New Roman"/>
                <w:color w:val="auto"/>
                <w:sz w:val="21"/>
                <w:szCs w:val="21"/>
                <w:highlight w:val="none"/>
                <w:lang w:val="zh-CN"/>
              </w:rPr>
              <w:t>＜</w:t>
            </w:r>
            <w:r>
              <w:rPr>
                <w:rFonts w:cs="Times New Roman"/>
                <w:color w:val="auto"/>
                <w:sz w:val="21"/>
                <w:szCs w:val="21"/>
                <w:highlight w:val="none"/>
                <w:lang w:val="zh-CN"/>
              </w:rPr>
              <w:t>500 t/a</w:t>
            </w:r>
            <w:r>
              <w:rPr>
                <w:rFonts w:hint="eastAsia" w:eastAsia="仿宋" w:cs="Times New Roman"/>
                <w:color w:val="auto"/>
                <w:sz w:val="21"/>
                <w:szCs w:val="21"/>
                <w:highlight w:val="none"/>
                <w:lang w:val="zh-CN"/>
              </w:rPr>
              <w:t>☑</w:t>
            </w:r>
          </w:p>
        </w:tc>
      </w:tr>
      <w:tr w14:paraId="43462C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75" w:hRule="atLeast"/>
          <w:jc w:val="center"/>
        </w:trPr>
        <w:tc>
          <w:tcPr>
            <w:tcW w:w="414" w:type="pct"/>
            <w:vMerge w:val="continue"/>
            <w:shd w:val="clear" w:color="auto" w:fill="auto"/>
            <w:vAlign w:val="center"/>
          </w:tcPr>
          <w:p w14:paraId="429906E9">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14A19416">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评价因子</w:t>
            </w:r>
          </w:p>
        </w:tc>
        <w:tc>
          <w:tcPr>
            <w:tcW w:w="2219" w:type="pct"/>
            <w:gridSpan w:val="6"/>
            <w:shd w:val="clear" w:color="auto" w:fill="auto"/>
            <w:vAlign w:val="center"/>
          </w:tcPr>
          <w:p w14:paraId="11380E36">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基本污染物 (CO、O</w:t>
            </w:r>
            <w:r>
              <w:rPr>
                <w:rFonts w:cs="Times New Roman"/>
                <w:color w:val="auto"/>
                <w:sz w:val="21"/>
                <w:szCs w:val="21"/>
                <w:highlight w:val="none"/>
                <w:vertAlign w:val="subscript"/>
                <w:lang w:val="zh-CN"/>
              </w:rPr>
              <w:t>3</w:t>
            </w:r>
            <w:r>
              <w:rPr>
                <w:rFonts w:cs="Times New Roman"/>
                <w:color w:val="auto"/>
                <w:sz w:val="21"/>
                <w:szCs w:val="21"/>
                <w:highlight w:val="none"/>
                <w:lang w:val="zh-CN"/>
              </w:rPr>
              <w:t>、NO</w:t>
            </w:r>
            <w:r>
              <w:rPr>
                <w:rFonts w:cs="Times New Roman"/>
                <w:color w:val="auto"/>
                <w:sz w:val="21"/>
                <w:szCs w:val="21"/>
                <w:highlight w:val="none"/>
                <w:vertAlign w:val="subscript"/>
                <w:lang w:val="zh-CN"/>
              </w:rPr>
              <w:t>2</w:t>
            </w:r>
            <w:r>
              <w:rPr>
                <w:rFonts w:cs="Times New Roman"/>
                <w:color w:val="auto"/>
                <w:sz w:val="21"/>
                <w:szCs w:val="21"/>
                <w:highlight w:val="none"/>
                <w:lang w:val="zh-CN"/>
              </w:rPr>
              <w:t>、SO</w:t>
            </w:r>
            <w:r>
              <w:rPr>
                <w:rFonts w:cs="Times New Roman"/>
                <w:color w:val="auto"/>
                <w:sz w:val="21"/>
                <w:szCs w:val="21"/>
                <w:highlight w:val="none"/>
                <w:vertAlign w:val="subscript"/>
                <w:lang w:val="zh-CN"/>
              </w:rPr>
              <w:t>2</w:t>
            </w:r>
            <w:r>
              <w:rPr>
                <w:rFonts w:cs="Times New Roman"/>
                <w:color w:val="auto"/>
                <w:sz w:val="21"/>
                <w:szCs w:val="21"/>
                <w:highlight w:val="none"/>
                <w:lang w:val="zh-CN"/>
              </w:rPr>
              <w:t>、PM</w:t>
            </w:r>
            <w:r>
              <w:rPr>
                <w:rFonts w:cs="Times New Roman"/>
                <w:color w:val="auto"/>
                <w:sz w:val="21"/>
                <w:szCs w:val="21"/>
                <w:highlight w:val="none"/>
                <w:vertAlign w:val="subscript"/>
                <w:lang w:val="zh-CN"/>
              </w:rPr>
              <w:t>10</w:t>
            </w:r>
            <w:r>
              <w:rPr>
                <w:rFonts w:cs="Times New Roman"/>
                <w:color w:val="auto"/>
                <w:sz w:val="21"/>
                <w:szCs w:val="21"/>
                <w:highlight w:val="none"/>
                <w:lang w:val="zh-CN"/>
              </w:rPr>
              <w:t>、PM</w:t>
            </w:r>
            <w:r>
              <w:rPr>
                <w:rFonts w:cs="Times New Roman"/>
                <w:color w:val="auto"/>
                <w:sz w:val="21"/>
                <w:szCs w:val="21"/>
                <w:highlight w:val="none"/>
                <w:vertAlign w:val="subscript"/>
                <w:lang w:val="zh-CN"/>
              </w:rPr>
              <w:t>2.5</w:t>
            </w:r>
            <w:r>
              <w:rPr>
                <w:rFonts w:cs="Times New Roman"/>
                <w:color w:val="auto"/>
                <w:sz w:val="21"/>
                <w:szCs w:val="21"/>
                <w:highlight w:val="none"/>
                <w:lang w:val="zh-CN"/>
              </w:rPr>
              <w:t>)</w:t>
            </w:r>
          </w:p>
          <w:p w14:paraId="1C1EAAC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lang w:val="zh-CN"/>
              </w:rPr>
              <w:t>其他污染物</w:t>
            </w:r>
            <w:r>
              <w:rPr>
                <w:rFonts w:cs="Times New Roman"/>
                <w:color w:val="auto"/>
                <w:sz w:val="21"/>
                <w:szCs w:val="21"/>
                <w:highlight w:val="none"/>
              </w:rPr>
              <w:t xml:space="preserve"> (NH</w:t>
            </w:r>
            <w:r>
              <w:rPr>
                <w:rFonts w:cs="Times New Roman"/>
                <w:color w:val="auto"/>
                <w:sz w:val="21"/>
                <w:szCs w:val="21"/>
                <w:highlight w:val="none"/>
                <w:vertAlign w:val="subscript"/>
              </w:rPr>
              <w:t>3</w:t>
            </w:r>
            <w:r>
              <w:rPr>
                <w:rFonts w:cs="Times New Roman"/>
                <w:color w:val="auto"/>
                <w:sz w:val="21"/>
                <w:szCs w:val="21"/>
                <w:highlight w:val="none"/>
                <w:lang w:val="zh-CN"/>
              </w:rPr>
              <w:t>、</w:t>
            </w:r>
            <w:r>
              <w:rPr>
                <w:rFonts w:cs="Times New Roman"/>
                <w:color w:val="auto"/>
                <w:sz w:val="21"/>
                <w:szCs w:val="21"/>
                <w:highlight w:val="none"/>
              </w:rPr>
              <w:t>H</w:t>
            </w:r>
            <w:r>
              <w:rPr>
                <w:rFonts w:cs="Times New Roman"/>
                <w:color w:val="auto"/>
                <w:sz w:val="21"/>
                <w:szCs w:val="21"/>
                <w:highlight w:val="none"/>
                <w:vertAlign w:val="subscript"/>
              </w:rPr>
              <w:t>2</w:t>
            </w:r>
            <w:r>
              <w:rPr>
                <w:rFonts w:cs="Times New Roman"/>
                <w:color w:val="auto"/>
                <w:sz w:val="21"/>
                <w:szCs w:val="21"/>
                <w:highlight w:val="none"/>
              </w:rPr>
              <w:t>S)</w:t>
            </w:r>
          </w:p>
        </w:tc>
        <w:tc>
          <w:tcPr>
            <w:tcW w:w="1783" w:type="pct"/>
            <w:gridSpan w:val="5"/>
            <w:shd w:val="clear" w:color="auto" w:fill="auto"/>
            <w:vAlign w:val="center"/>
          </w:tcPr>
          <w:p w14:paraId="0DD4599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lang w:val="zh-CN"/>
              </w:rPr>
              <w:t>包括二次</w:t>
            </w:r>
            <w:r>
              <w:rPr>
                <w:rFonts w:cs="Times New Roman"/>
                <w:color w:val="auto"/>
                <w:sz w:val="21"/>
                <w:szCs w:val="21"/>
                <w:highlight w:val="none"/>
              </w:rPr>
              <w:t>PM</w:t>
            </w:r>
            <w:r>
              <w:rPr>
                <w:rFonts w:cs="Times New Roman"/>
                <w:color w:val="auto"/>
                <w:sz w:val="21"/>
                <w:szCs w:val="21"/>
                <w:highlight w:val="none"/>
                <w:vertAlign w:val="subscript"/>
              </w:rPr>
              <w:t>2.5</w:t>
            </w:r>
            <w:r>
              <w:rPr>
                <w:rFonts w:eastAsia="仿宋" w:cs="Times New Roman"/>
                <w:color w:val="auto"/>
                <w:sz w:val="21"/>
                <w:szCs w:val="21"/>
                <w:highlight w:val="none"/>
              </w:rPr>
              <w:t>□</w:t>
            </w:r>
          </w:p>
          <w:p w14:paraId="0D1F5DD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lang w:val="zh-CN"/>
              </w:rPr>
              <w:t>不包括二次</w:t>
            </w:r>
            <w:r>
              <w:rPr>
                <w:rFonts w:cs="Times New Roman"/>
                <w:color w:val="auto"/>
                <w:sz w:val="21"/>
                <w:szCs w:val="21"/>
                <w:highlight w:val="none"/>
              </w:rPr>
              <w:t>PM</w:t>
            </w:r>
            <w:r>
              <w:rPr>
                <w:rFonts w:cs="Times New Roman"/>
                <w:color w:val="auto"/>
                <w:sz w:val="21"/>
                <w:szCs w:val="21"/>
                <w:highlight w:val="none"/>
                <w:vertAlign w:val="subscript"/>
              </w:rPr>
              <w:t>2.5</w:t>
            </w:r>
            <w:r>
              <w:rPr>
                <w:rFonts w:eastAsia="仿宋" w:cs="Times New Roman"/>
                <w:color w:val="auto"/>
                <w:sz w:val="21"/>
                <w:szCs w:val="21"/>
                <w:highlight w:val="none"/>
              </w:rPr>
              <w:t>√</w:t>
            </w:r>
          </w:p>
        </w:tc>
      </w:tr>
      <w:tr w14:paraId="4E4D60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97" w:hRule="atLeast"/>
          <w:jc w:val="center"/>
        </w:trPr>
        <w:tc>
          <w:tcPr>
            <w:tcW w:w="414" w:type="pct"/>
            <w:shd w:val="clear" w:color="auto" w:fill="auto"/>
            <w:vAlign w:val="center"/>
          </w:tcPr>
          <w:p w14:paraId="407720C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评价标准</w:t>
            </w:r>
          </w:p>
        </w:tc>
        <w:tc>
          <w:tcPr>
            <w:tcW w:w="581" w:type="pct"/>
            <w:shd w:val="clear" w:color="auto" w:fill="auto"/>
            <w:vAlign w:val="center"/>
          </w:tcPr>
          <w:p w14:paraId="778EDC45">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评价标准</w:t>
            </w:r>
          </w:p>
        </w:tc>
        <w:tc>
          <w:tcPr>
            <w:tcW w:w="1207" w:type="pct"/>
            <w:gridSpan w:val="2"/>
            <w:shd w:val="clear" w:color="auto" w:fill="auto"/>
            <w:vAlign w:val="center"/>
          </w:tcPr>
          <w:p w14:paraId="54907E8B">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国家标准</w:t>
            </w:r>
            <w:r>
              <w:rPr>
                <w:rFonts w:eastAsia="仿宋" w:cs="Times New Roman"/>
                <w:color w:val="auto"/>
                <w:sz w:val="21"/>
                <w:szCs w:val="21"/>
                <w:highlight w:val="none"/>
                <w:lang w:val="zh-CN"/>
              </w:rPr>
              <w:t>√</w:t>
            </w:r>
          </w:p>
        </w:tc>
        <w:tc>
          <w:tcPr>
            <w:tcW w:w="1012" w:type="pct"/>
            <w:gridSpan w:val="4"/>
            <w:shd w:val="clear" w:color="auto" w:fill="auto"/>
            <w:vAlign w:val="center"/>
          </w:tcPr>
          <w:p w14:paraId="5B486D4A">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地方标准 </w:t>
            </w:r>
            <w:r>
              <w:rPr>
                <w:rFonts w:eastAsia="仿宋" w:cs="Times New Roman"/>
                <w:color w:val="auto"/>
                <w:sz w:val="21"/>
                <w:szCs w:val="21"/>
                <w:highlight w:val="none"/>
                <w:lang w:val="zh-CN"/>
              </w:rPr>
              <w:t>□</w:t>
            </w:r>
          </w:p>
        </w:tc>
        <w:tc>
          <w:tcPr>
            <w:tcW w:w="1116" w:type="pct"/>
            <w:gridSpan w:val="3"/>
            <w:shd w:val="clear" w:color="auto" w:fill="auto"/>
            <w:vAlign w:val="center"/>
          </w:tcPr>
          <w:p w14:paraId="1453A3B9">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附录D </w:t>
            </w:r>
            <w:r>
              <w:rPr>
                <w:rFonts w:eastAsia="仿宋" w:cs="Times New Roman"/>
                <w:color w:val="auto"/>
                <w:sz w:val="21"/>
                <w:szCs w:val="21"/>
                <w:highlight w:val="none"/>
                <w:lang w:val="zh-CN"/>
              </w:rPr>
              <w:t>√</w:t>
            </w:r>
          </w:p>
        </w:tc>
        <w:tc>
          <w:tcPr>
            <w:tcW w:w="666" w:type="pct"/>
            <w:gridSpan w:val="2"/>
            <w:shd w:val="clear" w:color="auto" w:fill="auto"/>
            <w:vAlign w:val="center"/>
          </w:tcPr>
          <w:p w14:paraId="41C02DEB">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其他标准 </w:t>
            </w:r>
            <w:r>
              <w:rPr>
                <w:rFonts w:eastAsia="仿宋" w:cs="Times New Roman"/>
                <w:color w:val="auto"/>
                <w:sz w:val="21"/>
                <w:szCs w:val="21"/>
                <w:highlight w:val="none"/>
                <w:lang w:val="zh-CN"/>
              </w:rPr>
              <w:t>□</w:t>
            </w:r>
          </w:p>
        </w:tc>
      </w:tr>
      <w:tr w14:paraId="54A385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3" w:hRule="atLeast"/>
          <w:jc w:val="center"/>
        </w:trPr>
        <w:tc>
          <w:tcPr>
            <w:tcW w:w="414" w:type="pct"/>
            <w:vMerge w:val="restart"/>
            <w:shd w:val="clear" w:color="auto" w:fill="auto"/>
            <w:vAlign w:val="center"/>
          </w:tcPr>
          <w:p w14:paraId="02892F71">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现状评价</w:t>
            </w:r>
          </w:p>
        </w:tc>
        <w:tc>
          <w:tcPr>
            <w:tcW w:w="581" w:type="pct"/>
            <w:shd w:val="clear" w:color="auto" w:fill="auto"/>
            <w:vAlign w:val="center"/>
          </w:tcPr>
          <w:p w14:paraId="0ABE8A64">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环境功能区</w:t>
            </w:r>
          </w:p>
        </w:tc>
        <w:tc>
          <w:tcPr>
            <w:tcW w:w="1207" w:type="pct"/>
            <w:gridSpan w:val="2"/>
            <w:shd w:val="clear" w:color="auto" w:fill="auto"/>
            <w:vAlign w:val="center"/>
          </w:tcPr>
          <w:p w14:paraId="2FF411FC">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一类区</w:t>
            </w:r>
            <w:r>
              <w:rPr>
                <w:rFonts w:eastAsia="仿宋" w:cs="Times New Roman"/>
                <w:color w:val="auto"/>
                <w:sz w:val="21"/>
                <w:szCs w:val="21"/>
                <w:highlight w:val="none"/>
                <w:lang w:val="zh-CN"/>
              </w:rPr>
              <w:t>□</w:t>
            </w:r>
          </w:p>
        </w:tc>
        <w:tc>
          <w:tcPr>
            <w:tcW w:w="1012" w:type="pct"/>
            <w:gridSpan w:val="4"/>
            <w:shd w:val="clear" w:color="auto" w:fill="auto"/>
            <w:vAlign w:val="center"/>
          </w:tcPr>
          <w:p w14:paraId="75EA1691">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二类区</w:t>
            </w:r>
            <w:r>
              <w:rPr>
                <w:rFonts w:eastAsia="仿宋" w:cs="Times New Roman"/>
                <w:color w:val="auto"/>
                <w:sz w:val="21"/>
                <w:szCs w:val="21"/>
                <w:highlight w:val="none"/>
                <w:lang w:val="zh-CN"/>
              </w:rPr>
              <w:t>√</w:t>
            </w:r>
          </w:p>
        </w:tc>
        <w:tc>
          <w:tcPr>
            <w:tcW w:w="1783" w:type="pct"/>
            <w:gridSpan w:val="5"/>
            <w:shd w:val="clear" w:color="auto" w:fill="auto"/>
            <w:vAlign w:val="center"/>
          </w:tcPr>
          <w:p w14:paraId="1A3A8CE6">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一类区和二类区</w:t>
            </w:r>
            <w:r>
              <w:rPr>
                <w:rFonts w:eastAsia="仿宋" w:cs="Times New Roman"/>
                <w:color w:val="auto"/>
                <w:sz w:val="21"/>
                <w:szCs w:val="21"/>
                <w:highlight w:val="none"/>
                <w:lang w:val="zh-CN"/>
              </w:rPr>
              <w:t>□</w:t>
            </w:r>
          </w:p>
        </w:tc>
      </w:tr>
      <w:tr w14:paraId="1A9B12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3" w:hRule="atLeast"/>
          <w:jc w:val="center"/>
        </w:trPr>
        <w:tc>
          <w:tcPr>
            <w:tcW w:w="414" w:type="pct"/>
            <w:vMerge w:val="continue"/>
            <w:shd w:val="clear" w:color="auto" w:fill="auto"/>
            <w:vAlign w:val="center"/>
          </w:tcPr>
          <w:p w14:paraId="6DBA9DED">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2DF8C9E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评价基准年</w:t>
            </w:r>
          </w:p>
        </w:tc>
        <w:tc>
          <w:tcPr>
            <w:tcW w:w="4003" w:type="pct"/>
            <w:gridSpan w:val="11"/>
            <w:shd w:val="clear" w:color="auto" w:fill="auto"/>
            <w:vAlign w:val="center"/>
          </w:tcPr>
          <w:p w14:paraId="2E7BC545">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（20</w:t>
            </w:r>
            <w:r>
              <w:rPr>
                <w:rFonts w:cs="Times New Roman"/>
                <w:color w:val="auto"/>
                <w:sz w:val="21"/>
                <w:szCs w:val="21"/>
                <w:highlight w:val="none"/>
              </w:rPr>
              <w:t>2</w:t>
            </w:r>
            <w:r>
              <w:rPr>
                <w:rFonts w:hint="eastAsia" w:cs="Times New Roman"/>
                <w:color w:val="auto"/>
                <w:sz w:val="21"/>
                <w:szCs w:val="21"/>
                <w:highlight w:val="none"/>
                <w:lang w:val="en-US" w:eastAsia="zh-CN"/>
              </w:rPr>
              <w:t>4</w:t>
            </w:r>
            <w:r>
              <w:rPr>
                <w:rFonts w:cs="Times New Roman"/>
                <w:color w:val="auto"/>
                <w:sz w:val="21"/>
                <w:szCs w:val="21"/>
                <w:highlight w:val="none"/>
                <w:lang w:val="zh-CN"/>
              </w:rPr>
              <w:t>）年</w:t>
            </w:r>
          </w:p>
        </w:tc>
      </w:tr>
      <w:tr w14:paraId="41C0C0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97" w:hRule="atLeast"/>
          <w:jc w:val="center"/>
        </w:trPr>
        <w:tc>
          <w:tcPr>
            <w:tcW w:w="414" w:type="pct"/>
            <w:vMerge w:val="continue"/>
            <w:shd w:val="clear" w:color="auto" w:fill="auto"/>
            <w:vAlign w:val="center"/>
          </w:tcPr>
          <w:p w14:paraId="26AA8EE0">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346F7983">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环境空气质量</w:t>
            </w:r>
            <w:r>
              <w:rPr>
                <w:rFonts w:cs="Times New Roman"/>
                <w:color w:val="auto"/>
                <w:sz w:val="21"/>
                <w:szCs w:val="21"/>
                <w:highlight w:val="none"/>
                <w:lang w:val="zh-CN"/>
              </w:rPr>
              <w:br w:type="textWrapping"/>
            </w:r>
            <w:r>
              <w:rPr>
                <w:rFonts w:cs="Times New Roman"/>
                <w:color w:val="auto"/>
                <w:sz w:val="21"/>
                <w:szCs w:val="21"/>
                <w:highlight w:val="none"/>
                <w:lang w:val="zh-CN"/>
              </w:rPr>
              <w:t>现状调查数据来源</w:t>
            </w:r>
          </w:p>
        </w:tc>
        <w:tc>
          <w:tcPr>
            <w:tcW w:w="1207" w:type="pct"/>
            <w:gridSpan w:val="2"/>
            <w:shd w:val="clear" w:color="auto" w:fill="auto"/>
            <w:vAlign w:val="center"/>
          </w:tcPr>
          <w:p w14:paraId="55014D70">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长期例行监测数据</w:t>
            </w:r>
            <w:r>
              <w:rPr>
                <w:rFonts w:eastAsia="仿宋" w:cs="Times New Roman"/>
                <w:color w:val="auto"/>
                <w:sz w:val="21"/>
                <w:szCs w:val="21"/>
                <w:highlight w:val="none"/>
                <w:lang w:val="zh-CN"/>
              </w:rPr>
              <w:t>□</w:t>
            </w:r>
          </w:p>
        </w:tc>
        <w:tc>
          <w:tcPr>
            <w:tcW w:w="2129" w:type="pct"/>
            <w:gridSpan w:val="7"/>
            <w:shd w:val="clear" w:color="auto" w:fill="auto"/>
            <w:vAlign w:val="center"/>
          </w:tcPr>
          <w:p w14:paraId="32C3640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主管部门发布的数据</w:t>
            </w:r>
            <w:r>
              <w:rPr>
                <w:rFonts w:eastAsia="仿宋" w:cs="Times New Roman"/>
                <w:color w:val="auto"/>
                <w:sz w:val="21"/>
                <w:szCs w:val="21"/>
                <w:highlight w:val="none"/>
                <w:lang w:val="zh-CN"/>
              </w:rPr>
              <w:t>√</w:t>
            </w:r>
          </w:p>
        </w:tc>
        <w:tc>
          <w:tcPr>
            <w:tcW w:w="666" w:type="pct"/>
            <w:gridSpan w:val="2"/>
            <w:shd w:val="clear" w:color="auto" w:fill="auto"/>
            <w:vAlign w:val="center"/>
          </w:tcPr>
          <w:p w14:paraId="3005039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现状补充监测</w:t>
            </w:r>
            <w:r>
              <w:rPr>
                <w:rFonts w:eastAsia="仿宋" w:cs="Times New Roman"/>
                <w:color w:val="auto"/>
                <w:sz w:val="21"/>
                <w:szCs w:val="21"/>
                <w:highlight w:val="none"/>
                <w:lang w:val="zh-CN"/>
              </w:rPr>
              <w:t>√</w:t>
            </w:r>
          </w:p>
        </w:tc>
      </w:tr>
      <w:tr w14:paraId="0E5226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37" w:hRule="atLeast"/>
          <w:jc w:val="center"/>
        </w:trPr>
        <w:tc>
          <w:tcPr>
            <w:tcW w:w="414" w:type="pct"/>
            <w:vMerge w:val="continue"/>
            <w:shd w:val="clear" w:color="auto" w:fill="auto"/>
            <w:vAlign w:val="center"/>
          </w:tcPr>
          <w:p w14:paraId="7BAAB883">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1175B8EE">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现状评价</w:t>
            </w:r>
          </w:p>
        </w:tc>
        <w:tc>
          <w:tcPr>
            <w:tcW w:w="2219" w:type="pct"/>
            <w:gridSpan w:val="6"/>
            <w:shd w:val="clear" w:color="auto" w:fill="auto"/>
            <w:vAlign w:val="center"/>
          </w:tcPr>
          <w:p w14:paraId="2A0EF0E5">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达标区</w:t>
            </w:r>
            <w:r>
              <w:rPr>
                <w:rFonts w:eastAsia="仿宋" w:cs="Times New Roman"/>
                <w:color w:val="auto"/>
                <w:sz w:val="21"/>
                <w:szCs w:val="21"/>
                <w:highlight w:val="none"/>
                <w:lang w:val="zh-CN"/>
              </w:rPr>
              <w:sym w:font="Wingdings 2" w:char="0052"/>
            </w:r>
          </w:p>
        </w:tc>
        <w:tc>
          <w:tcPr>
            <w:tcW w:w="1783" w:type="pct"/>
            <w:gridSpan w:val="5"/>
            <w:shd w:val="clear" w:color="auto" w:fill="auto"/>
            <w:vAlign w:val="center"/>
          </w:tcPr>
          <w:p w14:paraId="7696CFA3">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不达标区</w:t>
            </w:r>
            <w:r>
              <w:rPr>
                <w:rFonts w:eastAsia="仿宋" w:cs="Times New Roman"/>
                <w:color w:val="auto"/>
                <w:sz w:val="21"/>
                <w:szCs w:val="21"/>
                <w:highlight w:val="none"/>
                <w:lang w:val="zh-CN"/>
              </w:rPr>
              <w:sym w:font="Wingdings 2" w:char="00A3"/>
            </w:r>
          </w:p>
        </w:tc>
      </w:tr>
      <w:tr w14:paraId="1D9F65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119" w:hRule="atLeast"/>
          <w:jc w:val="center"/>
        </w:trPr>
        <w:tc>
          <w:tcPr>
            <w:tcW w:w="414" w:type="pct"/>
            <w:shd w:val="clear" w:color="auto" w:fill="auto"/>
            <w:vAlign w:val="center"/>
          </w:tcPr>
          <w:p w14:paraId="01223E01">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污染源</w:t>
            </w:r>
            <w:r>
              <w:rPr>
                <w:rFonts w:cs="Times New Roman"/>
                <w:color w:val="auto"/>
                <w:sz w:val="21"/>
                <w:szCs w:val="21"/>
                <w:highlight w:val="none"/>
                <w:lang w:val="zh-CN"/>
              </w:rPr>
              <w:br w:type="textWrapping"/>
            </w:r>
            <w:r>
              <w:rPr>
                <w:rFonts w:cs="Times New Roman"/>
                <w:color w:val="auto"/>
                <w:sz w:val="21"/>
                <w:szCs w:val="21"/>
                <w:highlight w:val="none"/>
                <w:lang w:val="zh-CN"/>
              </w:rPr>
              <w:t>调查</w:t>
            </w:r>
          </w:p>
        </w:tc>
        <w:tc>
          <w:tcPr>
            <w:tcW w:w="581" w:type="pct"/>
            <w:shd w:val="clear" w:color="auto" w:fill="auto"/>
            <w:vAlign w:val="center"/>
          </w:tcPr>
          <w:p w14:paraId="2B61D00D">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调查内容</w:t>
            </w:r>
          </w:p>
        </w:tc>
        <w:tc>
          <w:tcPr>
            <w:tcW w:w="1207" w:type="pct"/>
            <w:gridSpan w:val="2"/>
            <w:shd w:val="clear" w:color="auto" w:fill="auto"/>
            <w:vAlign w:val="center"/>
          </w:tcPr>
          <w:p w14:paraId="53E4C4B7">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本项目正常排放源 </w:t>
            </w:r>
            <w:r>
              <w:rPr>
                <w:rFonts w:eastAsia="仿宋" w:cs="Times New Roman"/>
                <w:color w:val="auto"/>
                <w:sz w:val="21"/>
                <w:szCs w:val="21"/>
                <w:highlight w:val="none"/>
                <w:lang w:val="zh-CN"/>
              </w:rPr>
              <w:t>√</w:t>
            </w:r>
          </w:p>
          <w:p w14:paraId="246C9AF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本项目非正常排放源 </w:t>
            </w:r>
            <w:r>
              <w:rPr>
                <w:rFonts w:eastAsia="仿宋" w:cs="Times New Roman"/>
                <w:color w:val="auto"/>
                <w:sz w:val="21"/>
                <w:szCs w:val="21"/>
                <w:highlight w:val="none"/>
                <w:lang w:val="zh-CN"/>
              </w:rPr>
              <w:t>√</w:t>
            </w:r>
          </w:p>
          <w:p w14:paraId="158A0F75">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现有污染源 </w:t>
            </w:r>
            <w:r>
              <w:rPr>
                <w:rFonts w:eastAsia="仿宋" w:cs="Times New Roman"/>
                <w:color w:val="auto"/>
                <w:sz w:val="21"/>
                <w:szCs w:val="21"/>
                <w:highlight w:val="none"/>
                <w:lang w:val="zh-CN"/>
              </w:rPr>
              <w:t>□</w:t>
            </w:r>
          </w:p>
        </w:tc>
        <w:tc>
          <w:tcPr>
            <w:tcW w:w="1012" w:type="pct"/>
            <w:gridSpan w:val="4"/>
            <w:shd w:val="clear" w:color="auto" w:fill="auto"/>
            <w:vAlign w:val="center"/>
          </w:tcPr>
          <w:p w14:paraId="34C886D6">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拟替代的污染源</w:t>
            </w:r>
            <w:r>
              <w:rPr>
                <w:rFonts w:eastAsia="仿宋" w:cs="Times New Roman"/>
                <w:color w:val="auto"/>
                <w:sz w:val="21"/>
                <w:szCs w:val="21"/>
                <w:highlight w:val="none"/>
                <w:lang w:val="zh-CN"/>
              </w:rPr>
              <w:t>□</w:t>
            </w:r>
          </w:p>
        </w:tc>
        <w:tc>
          <w:tcPr>
            <w:tcW w:w="1116" w:type="pct"/>
            <w:gridSpan w:val="3"/>
            <w:shd w:val="clear" w:color="auto" w:fill="auto"/>
            <w:vAlign w:val="center"/>
          </w:tcPr>
          <w:p w14:paraId="0E637852">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其他在建、拟建项目污染源</w:t>
            </w:r>
            <w:r>
              <w:rPr>
                <w:rFonts w:eastAsia="仿宋" w:cs="Times New Roman"/>
                <w:color w:val="auto"/>
                <w:sz w:val="21"/>
                <w:szCs w:val="21"/>
                <w:highlight w:val="none"/>
                <w:lang w:val="zh-CN"/>
              </w:rPr>
              <w:t>□</w:t>
            </w:r>
          </w:p>
        </w:tc>
        <w:tc>
          <w:tcPr>
            <w:tcW w:w="666" w:type="pct"/>
            <w:gridSpan w:val="2"/>
            <w:shd w:val="clear" w:color="auto" w:fill="auto"/>
            <w:vAlign w:val="center"/>
          </w:tcPr>
          <w:p w14:paraId="41952BD1">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区域污染源</w:t>
            </w:r>
            <w:r>
              <w:rPr>
                <w:rFonts w:eastAsia="仿宋" w:cs="Times New Roman"/>
                <w:color w:val="auto"/>
                <w:sz w:val="21"/>
                <w:szCs w:val="21"/>
                <w:highlight w:val="none"/>
                <w:lang w:val="zh-CN"/>
              </w:rPr>
              <w:t>□</w:t>
            </w:r>
          </w:p>
        </w:tc>
      </w:tr>
      <w:tr w14:paraId="352D5E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119" w:hRule="atLeast"/>
          <w:jc w:val="center"/>
        </w:trPr>
        <w:tc>
          <w:tcPr>
            <w:tcW w:w="414" w:type="pct"/>
            <w:vMerge w:val="restart"/>
            <w:shd w:val="clear" w:color="auto" w:fill="auto"/>
            <w:vAlign w:val="center"/>
          </w:tcPr>
          <w:p w14:paraId="3DF5541F">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大气环境影响预测与</w:t>
            </w:r>
            <w:r>
              <w:rPr>
                <w:rFonts w:cs="Times New Roman"/>
                <w:color w:val="auto"/>
                <w:sz w:val="21"/>
                <w:szCs w:val="21"/>
                <w:highlight w:val="none"/>
                <w:lang w:val="zh-CN"/>
              </w:rPr>
              <w:br w:type="textWrapping"/>
            </w:r>
            <w:r>
              <w:rPr>
                <w:rFonts w:cs="Times New Roman"/>
                <w:color w:val="auto"/>
                <w:sz w:val="21"/>
                <w:szCs w:val="21"/>
                <w:highlight w:val="none"/>
                <w:lang w:val="zh-CN"/>
              </w:rPr>
              <w:t>评价</w:t>
            </w:r>
          </w:p>
        </w:tc>
        <w:tc>
          <w:tcPr>
            <w:tcW w:w="581" w:type="pct"/>
            <w:shd w:val="clear" w:color="auto" w:fill="auto"/>
            <w:vAlign w:val="center"/>
          </w:tcPr>
          <w:p w14:paraId="617F3622">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预测模型</w:t>
            </w:r>
          </w:p>
        </w:tc>
        <w:tc>
          <w:tcPr>
            <w:tcW w:w="747" w:type="pct"/>
            <w:shd w:val="clear" w:color="auto" w:fill="auto"/>
            <w:vAlign w:val="center"/>
          </w:tcPr>
          <w:p w14:paraId="2C2359D2">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AERMOD</w:t>
            </w:r>
            <w:r>
              <w:rPr>
                <w:rFonts w:cs="Times New Roman"/>
                <w:color w:val="auto"/>
                <w:sz w:val="21"/>
                <w:szCs w:val="21"/>
                <w:highlight w:val="none"/>
                <w:lang w:val="zh-CN"/>
              </w:rPr>
              <w:br w:type="textWrapping"/>
            </w:r>
            <w:r>
              <w:rPr>
                <w:rFonts w:eastAsia="仿宋" w:cs="Times New Roman"/>
                <w:color w:val="auto"/>
                <w:sz w:val="21"/>
                <w:szCs w:val="21"/>
                <w:highlight w:val="none"/>
                <w:lang w:val="zh-CN"/>
              </w:rPr>
              <w:sym w:font="Wingdings 2" w:char="0052"/>
            </w:r>
          </w:p>
        </w:tc>
        <w:tc>
          <w:tcPr>
            <w:tcW w:w="460" w:type="pct"/>
            <w:shd w:val="clear" w:color="auto" w:fill="auto"/>
            <w:vAlign w:val="center"/>
          </w:tcPr>
          <w:p w14:paraId="78E2379F">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ADMS</w:t>
            </w:r>
            <w:r>
              <w:rPr>
                <w:rFonts w:cs="Times New Roman"/>
                <w:color w:val="auto"/>
                <w:sz w:val="21"/>
                <w:szCs w:val="21"/>
                <w:highlight w:val="none"/>
                <w:lang w:val="zh-CN"/>
              </w:rPr>
              <w:br w:type="textWrapping"/>
            </w:r>
            <w:r>
              <w:rPr>
                <w:rFonts w:eastAsia="仿宋" w:cs="Times New Roman"/>
                <w:color w:val="auto"/>
                <w:sz w:val="21"/>
                <w:szCs w:val="21"/>
                <w:highlight w:val="none"/>
                <w:lang w:val="zh-CN"/>
              </w:rPr>
              <w:t>□</w:t>
            </w:r>
          </w:p>
        </w:tc>
        <w:tc>
          <w:tcPr>
            <w:tcW w:w="770" w:type="pct"/>
            <w:gridSpan w:val="2"/>
            <w:shd w:val="clear" w:color="auto" w:fill="auto"/>
            <w:vAlign w:val="center"/>
          </w:tcPr>
          <w:p w14:paraId="61BB8FB7">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AUSTAL2000</w:t>
            </w:r>
            <w:r>
              <w:rPr>
                <w:rFonts w:cs="Times New Roman"/>
                <w:color w:val="auto"/>
                <w:sz w:val="21"/>
                <w:szCs w:val="21"/>
                <w:highlight w:val="none"/>
                <w:lang w:val="zh-CN"/>
              </w:rPr>
              <w:br w:type="textWrapping"/>
            </w:r>
            <w:r>
              <w:rPr>
                <w:rFonts w:eastAsia="仿宋" w:cs="Times New Roman"/>
                <w:color w:val="auto"/>
                <w:sz w:val="21"/>
                <w:szCs w:val="21"/>
                <w:highlight w:val="none"/>
                <w:lang w:val="zh-CN"/>
              </w:rPr>
              <w:t>□</w:t>
            </w:r>
          </w:p>
        </w:tc>
        <w:tc>
          <w:tcPr>
            <w:tcW w:w="752" w:type="pct"/>
            <w:gridSpan w:val="3"/>
            <w:shd w:val="clear" w:color="auto" w:fill="auto"/>
            <w:vAlign w:val="center"/>
          </w:tcPr>
          <w:p w14:paraId="167DCF8D">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EDMS/AEDT</w:t>
            </w:r>
            <w:r>
              <w:rPr>
                <w:rFonts w:cs="Times New Roman"/>
                <w:color w:val="auto"/>
                <w:sz w:val="21"/>
                <w:szCs w:val="21"/>
                <w:highlight w:val="none"/>
                <w:lang w:val="zh-CN"/>
              </w:rPr>
              <w:br w:type="textWrapping"/>
            </w:r>
            <w:r>
              <w:rPr>
                <w:rFonts w:eastAsia="仿宋" w:cs="Times New Roman"/>
                <w:color w:val="auto"/>
                <w:sz w:val="21"/>
                <w:szCs w:val="21"/>
                <w:highlight w:val="none"/>
                <w:lang w:val="zh-CN"/>
              </w:rPr>
              <w:t>□</w:t>
            </w:r>
          </w:p>
        </w:tc>
        <w:tc>
          <w:tcPr>
            <w:tcW w:w="607" w:type="pct"/>
            <w:gridSpan w:val="2"/>
            <w:shd w:val="clear" w:color="auto" w:fill="auto"/>
            <w:vAlign w:val="center"/>
          </w:tcPr>
          <w:p w14:paraId="790BDFEA">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CALPUFF</w:t>
            </w:r>
            <w:r>
              <w:rPr>
                <w:rFonts w:cs="Times New Roman"/>
                <w:color w:val="auto"/>
                <w:sz w:val="21"/>
                <w:szCs w:val="21"/>
                <w:highlight w:val="none"/>
                <w:lang w:val="zh-CN"/>
              </w:rPr>
              <w:br w:type="textWrapping"/>
            </w:r>
            <w:r>
              <w:rPr>
                <w:rFonts w:eastAsia="仿宋" w:cs="Times New Roman"/>
                <w:color w:val="auto"/>
                <w:sz w:val="21"/>
                <w:szCs w:val="21"/>
                <w:highlight w:val="none"/>
                <w:lang w:val="zh-CN"/>
              </w:rPr>
              <w:t>□</w:t>
            </w:r>
          </w:p>
        </w:tc>
        <w:tc>
          <w:tcPr>
            <w:tcW w:w="323" w:type="pct"/>
            <w:shd w:val="clear" w:color="auto" w:fill="auto"/>
            <w:vAlign w:val="center"/>
          </w:tcPr>
          <w:p w14:paraId="66A262A7">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网格模型</w:t>
            </w:r>
            <w:r>
              <w:rPr>
                <w:rFonts w:cs="Times New Roman"/>
                <w:color w:val="auto"/>
                <w:sz w:val="21"/>
                <w:szCs w:val="21"/>
                <w:highlight w:val="none"/>
                <w:lang w:val="zh-CN"/>
              </w:rPr>
              <w:br w:type="textWrapping"/>
            </w:r>
            <w:r>
              <w:rPr>
                <w:rFonts w:eastAsia="仿宋" w:cs="Times New Roman"/>
                <w:color w:val="auto"/>
                <w:sz w:val="21"/>
                <w:szCs w:val="21"/>
                <w:highlight w:val="none"/>
                <w:lang w:val="zh-CN"/>
              </w:rPr>
              <w:t>□</w:t>
            </w:r>
          </w:p>
        </w:tc>
        <w:tc>
          <w:tcPr>
            <w:tcW w:w="343" w:type="pct"/>
            <w:shd w:val="clear" w:color="auto" w:fill="auto"/>
            <w:vAlign w:val="center"/>
          </w:tcPr>
          <w:p w14:paraId="1AAF21B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其他</w:t>
            </w:r>
            <w:r>
              <w:rPr>
                <w:rFonts w:cs="Times New Roman"/>
                <w:color w:val="auto"/>
                <w:sz w:val="21"/>
                <w:szCs w:val="21"/>
                <w:highlight w:val="none"/>
                <w:lang w:val="zh-CN"/>
              </w:rPr>
              <w:br w:type="textWrapping"/>
            </w:r>
            <w:r>
              <w:rPr>
                <w:rFonts w:eastAsia="仿宋" w:cs="Times New Roman"/>
                <w:color w:val="auto"/>
                <w:sz w:val="21"/>
                <w:szCs w:val="21"/>
                <w:highlight w:val="none"/>
                <w:lang w:val="zh-CN"/>
              </w:rPr>
              <w:t>□</w:t>
            </w:r>
          </w:p>
        </w:tc>
      </w:tr>
      <w:tr w14:paraId="69800F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34" w:hRule="atLeast"/>
          <w:jc w:val="center"/>
        </w:trPr>
        <w:tc>
          <w:tcPr>
            <w:tcW w:w="414" w:type="pct"/>
            <w:vMerge w:val="continue"/>
            <w:shd w:val="clear" w:color="auto" w:fill="auto"/>
            <w:vAlign w:val="center"/>
          </w:tcPr>
          <w:p w14:paraId="72B14448">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219DE550">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预测范围</w:t>
            </w:r>
          </w:p>
        </w:tc>
        <w:tc>
          <w:tcPr>
            <w:tcW w:w="1207" w:type="pct"/>
            <w:gridSpan w:val="2"/>
            <w:shd w:val="clear" w:color="auto" w:fill="auto"/>
            <w:vAlign w:val="center"/>
          </w:tcPr>
          <w:p w14:paraId="119F0074">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边长</w:t>
            </w:r>
            <w:r>
              <w:rPr>
                <w:rFonts w:eastAsia="仿宋" w:cs="Times New Roman"/>
                <w:color w:val="auto"/>
                <w:sz w:val="21"/>
                <w:szCs w:val="21"/>
                <w:highlight w:val="none"/>
                <w:lang w:val="zh-CN"/>
              </w:rPr>
              <w:t>≥</w:t>
            </w:r>
            <w:r>
              <w:rPr>
                <w:rFonts w:cs="Times New Roman"/>
                <w:color w:val="auto"/>
                <w:sz w:val="21"/>
                <w:szCs w:val="21"/>
                <w:highlight w:val="none"/>
                <w:lang w:val="zh-CN"/>
              </w:rPr>
              <w:t xml:space="preserve"> 50km</w:t>
            </w:r>
            <w:r>
              <w:rPr>
                <w:rFonts w:eastAsia="仿宋" w:cs="Times New Roman"/>
                <w:color w:val="auto"/>
                <w:sz w:val="21"/>
                <w:szCs w:val="21"/>
                <w:highlight w:val="none"/>
                <w:lang w:val="zh-CN"/>
              </w:rPr>
              <w:t>□</w:t>
            </w:r>
          </w:p>
        </w:tc>
        <w:tc>
          <w:tcPr>
            <w:tcW w:w="2129" w:type="pct"/>
            <w:gridSpan w:val="7"/>
            <w:shd w:val="clear" w:color="auto" w:fill="auto"/>
            <w:vAlign w:val="center"/>
          </w:tcPr>
          <w:p w14:paraId="33507397">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边长5～50km </w:t>
            </w:r>
            <w:r>
              <w:rPr>
                <w:rFonts w:eastAsia="仿宋" w:cs="Times New Roman"/>
                <w:color w:val="auto"/>
                <w:sz w:val="21"/>
                <w:szCs w:val="21"/>
                <w:highlight w:val="none"/>
                <w:lang w:val="zh-CN"/>
              </w:rPr>
              <w:t>□</w:t>
            </w:r>
          </w:p>
        </w:tc>
        <w:tc>
          <w:tcPr>
            <w:tcW w:w="666" w:type="pct"/>
            <w:gridSpan w:val="2"/>
            <w:shd w:val="clear" w:color="auto" w:fill="auto"/>
            <w:vAlign w:val="center"/>
          </w:tcPr>
          <w:p w14:paraId="66E92A7A">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边长 = 5 km </w:t>
            </w:r>
            <w:r>
              <w:rPr>
                <w:rFonts w:eastAsia="仿宋" w:cs="Times New Roman"/>
                <w:color w:val="auto"/>
                <w:sz w:val="21"/>
                <w:szCs w:val="21"/>
                <w:highlight w:val="none"/>
                <w:lang w:val="zh-CN"/>
              </w:rPr>
              <w:sym w:font="Wingdings 2" w:char="0052"/>
            </w:r>
          </w:p>
        </w:tc>
      </w:tr>
      <w:tr w14:paraId="273E89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4" w:hRule="atLeast"/>
          <w:jc w:val="center"/>
        </w:trPr>
        <w:tc>
          <w:tcPr>
            <w:tcW w:w="414" w:type="pct"/>
            <w:vMerge w:val="continue"/>
            <w:shd w:val="clear" w:color="auto" w:fill="auto"/>
            <w:vAlign w:val="center"/>
          </w:tcPr>
          <w:p w14:paraId="648BEB9E">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46C9B150">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预测因子</w:t>
            </w:r>
          </w:p>
        </w:tc>
        <w:tc>
          <w:tcPr>
            <w:tcW w:w="2219" w:type="pct"/>
            <w:gridSpan w:val="6"/>
            <w:shd w:val="clear" w:color="auto" w:fill="auto"/>
            <w:vAlign w:val="center"/>
          </w:tcPr>
          <w:p w14:paraId="174418F4">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预测因子( NH</w:t>
            </w:r>
            <w:r>
              <w:rPr>
                <w:rFonts w:cs="Times New Roman"/>
                <w:color w:val="auto"/>
                <w:sz w:val="21"/>
                <w:szCs w:val="21"/>
                <w:highlight w:val="none"/>
                <w:vertAlign w:val="subscript"/>
                <w:lang w:val="zh-CN"/>
              </w:rPr>
              <w:t>3</w:t>
            </w:r>
            <w:r>
              <w:rPr>
                <w:rFonts w:cs="Times New Roman"/>
                <w:color w:val="auto"/>
                <w:sz w:val="21"/>
                <w:szCs w:val="21"/>
                <w:highlight w:val="none"/>
                <w:lang w:val="zh-CN"/>
              </w:rPr>
              <w:t>、H</w:t>
            </w:r>
            <w:r>
              <w:rPr>
                <w:rFonts w:cs="Times New Roman"/>
                <w:color w:val="auto"/>
                <w:sz w:val="21"/>
                <w:szCs w:val="21"/>
                <w:highlight w:val="none"/>
                <w:vertAlign w:val="subscript"/>
                <w:lang w:val="zh-CN"/>
              </w:rPr>
              <w:t>2</w:t>
            </w:r>
            <w:r>
              <w:rPr>
                <w:rFonts w:cs="Times New Roman"/>
                <w:color w:val="auto"/>
                <w:sz w:val="21"/>
                <w:szCs w:val="21"/>
                <w:highlight w:val="none"/>
                <w:lang w:val="zh-CN"/>
              </w:rPr>
              <w:t>S 、NO</w:t>
            </w:r>
            <w:r>
              <w:rPr>
                <w:rFonts w:cs="Times New Roman"/>
                <w:color w:val="auto"/>
                <w:sz w:val="21"/>
                <w:szCs w:val="21"/>
                <w:highlight w:val="none"/>
                <w:vertAlign w:val="subscript"/>
                <w:lang w:val="zh-CN"/>
              </w:rPr>
              <w:t>2</w:t>
            </w:r>
            <w:r>
              <w:rPr>
                <w:rFonts w:cs="Times New Roman"/>
                <w:color w:val="auto"/>
                <w:sz w:val="21"/>
                <w:szCs w:val="21"/>
                <w:highlight w:val="none"/>
                <w:lang w:val="zh-CN"/>
              </w:rPr>
              <w:t>、SO</w:t>
            </w:r>
            <w:r>
              <w:rPr>
                <w:rFonts w:cs="Times New Roman"/>
                <w:color w:val="auto"/>
                <w:sz w:val="21"/>
                <w:szCs w:val="21"/>
                <w:highlight w:val="none"/>
                <w:vertAlign w:val="subscript"/>
                <w:lang w:val="zh-CN"/>
              </w:rPr>
              <w:t>2</w:t>
            </w:r>
            <w:r>
              <w:rPr>
                <w:rFonts w:cs="Times New Roman"/>
                <w:color w:val="auto"/>
                <w:sz w:val="21"/>
                <w:szCs w:val="21"/>
                <w:highlight w:val="none"/>
                <w:lang w:val="zh-CN"/>
              </w:rPr>
              <w:t>、PM</w:t>
            </w:r>
            <w:r>
              <w:rPr>
                <w:rFonts w:cs="Times New Roman"/>
                <w:color w:val="auto"/>
                <w:sz w:val="21"/>
                <w:szCs w:val="21"/>
                <w:highlight w:val="none"/>
                <w:vertAlign w:val="subscript"/>
                <w:lang w:val="zh-CN"/>
              </w:rPr>
              <w:t>10</w:t>
            </w:r>
            <w:r>
              <w:rPr>
                <w:rFonts w:cs="Times New Roman"/>
                <w:color w:val="auto"/>
                <w:sz w:val="21"/>
                <w:szCs w:val="21"/>
                <w:highlight w:val="none"/>
                <w:lang w:val="zh-CN"/>
              </w:rPr>
              <w:t>)</w:t>
            </w:r>
          </w:p>
        </w:tc>
        <w:tc>
          <w:tcPr>
            <w:tcW w:w="1783" w:type="pct"/>
            <w:gridSpan w:val="5"/>
            <w:shd w:val="clear" w:color="auto" w:fill="auto"/>
            <w:vAlign w:val="center"/>
          </w:tcPr>
          <w:p w14:paraId="25B06C3C">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包括二次PM</w:t>
            </w:r>
            <w:r>
              <w:rPr>
                <w:rFonts w:cs="Times New Roman"/>
                <w:color w:val="auto"/>
                <w:sz w:val="21"/>
                <w:szCs w:val="21"/>
                <w:highlight w:val="none"/>
                <w:vertAlign w:val="subscript"/>
                <w:lang w:val="zh-CN"/>
              </w:rPr>
              <w:t>2.5</w:t>
            </w:r>
            <w:r>
              <w:rPr>
                <w:rFonts w:cs="Times New Roman"/>
                <w:color w:val="auto"/>
                <w:sz w:val="21"/>
                <w:szCs w:val="21"/>
                <w:highlight w:val="none"/>
                <w:lang w:val="zh-CN"/>
              </w:rPr>
              <w:t xml:space="preserve"> </w:t>
            </w:r>
            <w:r>
              <w:rPr>
                <w:rFonts w:eastAsia="仿宋" w:cs="Times New Roman"/>
                <w:color w:val="auto"/>
                <w:sz w:val="21"/>
                <w:szCs w:val="21"/>
                <w:highlight w:val="none"/>
                <w:lang w:val="zh-CN"/>
              </w:rPr>
              <w:t>□</w:t>
            </w:r>
          </w:p>
          <w:p w14:paraId="285E284D">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不包括二次PM</w:t>
            </w:r>
            <w:r>
              <w:rPr>
                <w:rFonts w:cs="Times New Roman"/>
                <w:color w:val="auto"/>
                <w:sz w:val="21"/>
                <w:szCs w:val="21"/>
                <w:highlight w:val="none"/>
                <w:vertAlign w:val="subscript"/>
                <w:lang w:val="zh-CN"/>
              </w:rPr>
              <w:t>2.5</w:t>
            </w:r>
            <w:r>
              <w:rPr>
                <w:rFonts w:cs="Times New Roman"/>
                <w:color w:val="auto"/>
                <w:sz w:val="21"/>
                <w:szCs w:val="21"/>
                <w:highlight w:val="none"/>
                <w:lang w:val="zh-CN"/>
              </w:rPr>
              <w:t xml:space="preserve"> </w:t>
            </w:r>
            <w:r>
              <w:rPr>
                <w:rFonts w:eastAsia="仿宋" w:cs="Times New Roman"/>
                <w:color w:val="auto"/>
                <w:sz w:val="21"/>
                <w:szCs w:val="21"/>
                <w:highlight w:val="none"/>
                <w:lang w:val="zh-CN"/>
              </w:rPr>
              <w:sym w:font="Wingdings 2" w:char="0052"/>
            </w:r>
          </w:p>
        </w:tc>
      </w:tr>
      <w:tr w14:paraId="73C7D5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75" w:hRule="atLeast"/>
          <w:jc w:val="center"/>
        </w:trPr>
        <w:tc>
          <w:tcPr>
            <w:tcW w:w="414" w:type="pct"/>
            <w:vMerge w:val="continue"/>
            <w:shd w:val="clear" w:color="auto" w:fill="auto"/>
            <w:vAlign w:val="center"/>
          </w:tcPr>
          <w:p w14:paraId="2112F322">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77E45CCE">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正常排放短期浓度</w:t>
            </w:r>
            <w:r>
              <w:rPr>
                <w:rFonts w:cs="Times New Roman"/>
                <w:color w:val="auto"/>
                <w:sz w:val="21"/>
                <w:szCs w:val="21"/>
                <w:highlight w:val="none"/>
                <w:lang w:val="zh-CN"/>
              </w:rPr>
              <w:br w:type="textWrapping"/>
            </w:r>
            <w:r>
              <w:rPr>
                <w:rFonts w:cs="Times New Roman"/>
                <w:color w:val="auto"/>
                <w:sz w:val="21"/>
                <w:szCs w:val="21"/>
                <w:highlight w:val="none"/>
                <w:lang w:val="zh-CN"/>
              </w:rPr>
              <w:t>贡献值</w:t>
            </w:r>
          </w:p>
        </w:tc>
        <w:tc>
          <w:tcPr>
            <w:tcW w:w="2219" w:type="pct"/>
            <w:gridSpan w:val="6"/>
            <w:shd w:val="clear" w:color="auto" w:fill="auto"/>
            <w:vAlign w:val="center"/>
          </w:tcPr>
          <w:p w14:paraId="78728AB1">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本项目</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最大占标率</w:t>
            </w:r>
            <w:r>
              <w:rPr>
                <w:rFonts w:eastAsia="仿宋" w:cs="Times New Roman"/>
                <w:color w:val="auto"/>
                <w:sz w:val="21"/>
                <w:szCs w:val="21"/>
                <w:highlight w:val="none"/>
                <w:lang w:val="zh-CN"/>
              </w:rPr>
              <w:t>≤</w:t>
            </w:r>
            <w:r>
              <w:rPr>
                <w:rFonts w:cs="Times New Roman"/>
                <w:color w:val="auto"/>
                <w:sz w:val="21"/>
                <w:szCs w:val="21"/>
                <w:highlight w:val="none"/>
                <w:lang w:val="zh-CN"/>
              </w:rPr>
              <w:t>100%</w:t>
            </w:r>
            <w:r>
              <w:rPr>
                <w:rFonts w:eastAsia="仿宋" w:cs="Times New Roman"/>
                <w:color w:val="auto"/>
                <w:sz w:val="21"/>
                <w:szCs w:val="21"/>
                <w:highlight w:val="none"/>
                <w:lang w:val="zh-CN"/>
              </w:rPr>
              <w:sym w:font="Wingdings 2" w:char="0052"/>
            </w:r>
          </w:p>
        </w:tc>
        <w:tc>
          <w:tcPr>
            <w:tcW w:w="1783" w:type="pct"/>
            <w:gridSpan w:val="5"/>
            <w:shd w:val="clear" w:color="auto" w:fill="auto"/>
            <w:vAlign w:val="center"/>
          </w:tcPr>
          <w:p w14:paraId="3623AC07">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本项目</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最大占标率</w:t>
            </w:r>
            <w:r>
              <w:rPr>
                <w:rFonts w:eastAsia="仿宋" w:cs="Times New Roman"/>
                <w:color w:val="auto"/>
                <w:sz w:val="21"/>
                <w:szCs w:val="21"/>
                <w:highlight w:val="none"/>
                <w:lang w:val="zh-CN"/>
              </w:rPr>
              <w:t>＞</w:t>
            </w:r>
            <w:r>
              <w:rPr>
                <w:rFonts w:cs="Times New Roman"/>
                <w:color w:val="auto"/>
                <w:sz w:val="21"/>
                <w:szCs w:val="21"/>
                <w:highlight w:val="none"/>
                <w:lang w:val="zh-CN"/>
              </w:rPr>
              <w:t xml:space="preserve">100% </w:t>
            </w:r>
            <w:r>
              <w:rPr>
                <w:rFonts w:eastAsia="仿宋" w:cs="Times New Roman"/>
                <w:color w:val="auto"/>
                <w:sz w:val="21"/>
                <w:szCs w:val="21"/>
                <w:highlight w:val="none"/>
                <w:lang w:val="zh-CN"/>
              </w:rPr>
              <w:t>□</w:t>
            </w:r>
          </w:p>
        </w:tc>
      </w:tr>
      <w:tr w14:paraId="30983B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4" w:hRule="atLeast"/>
          <w:jc w:val="center"/>
        </w:trPr>
        <w:tc>
          <w:tcPr>
            <w:tcW w:w="414" w:type="pct"/>
            <w:vMerge w:val="continue"/>
            <w:shd w:val="clear" w:color="auto" w:fill="auto"/>
            <w:vAlign w:val="center"/>
          </w:tcPr>
          <w:p w14:paraId="3EB1BA40">
            <w:pPr>
              <w:spacing w:line="360" w:lineRule="exact"/>
              <w:ind w:firstLine="0" w:firstLineChars="0"/>
              <w:jc w:val="center"/>
              <w:rPr>
                <w:rFonts w:cs="Times New Roman"/>
                <w:color w:val="auto"/>
                <w:sz w:val="21"/>
                <w:szCs w:val="21"/>
                <w:highlight w:val="none"/>
                <w:lang w:val="zh-CN"/>
              </w:rPr>
            </w:pPr>
          </w:p>
        </w:tc>
        <w:tc>
          <w:tcPr>
            <w:tcW w:w="581" w:type="pct"/>
            <w:vMerge w:val="restart"/>
            <w:shd w:val="clear" w:color="auto" w:fill="auto"/>
            <w:vAlign w:val="center"/>
          </w:tcPr>
          <w:p w14:paraId="266EEE62">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正常排放年均浓度</w:t>
            </w:r>
            <w:r>
              <w:rPr>
                <w:rFonts w:cs="Times New Roman"/>
                <w:color w:val="auto"/>
                <w:sz w:val="21"/>
                <w:szCs w:val="21"/>
                <w:highlight w:val="none"/>
                <w:lang w:val="zh-CN"/>
              </w:rPr>
              <w:br w:type="textWrapping"/>
            </w:r>
            <w:r>
              <w:rPr>
                <w:rFonts w:cs="Times New Roman"/>
                <w:color w:val="auto"/>
                <w:sz w:val="21"/>
                <w:szCs w:val="21"/>
                <w:highlight w:val="none"/>
                <w:lang w:val="zh-CN"/>
              </w:rPr>
              <w:t>贡献值</w:t>
            </w:r>
          </w:p>
        </w:tc>
        <w:tc>
          <w:tcPr>
            <w:tcW w:w="747" w:type="pct"/>
            <w:shd w:val="clear" w:color="auto" w:fill="auto"/>
            <w:vAlign w:val="center"/>
          </w:tcPr>
          <w:p w14:paraId="259ACA4A">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一类区</w:t>
            </w:r>
          </w:p>
        </w:tc>
        <w:tc>
          <w:tcPr>
            <w:tcW w:w="1472" w:type="pct"/>
            <w:gridSpan w:val="5"/>
            <w:shd w:val="clear" w:color="auto" w:fill="auto"/>
            <w:vAlign w:val="center"/>
          </w:tcPr>
          <w:p w14:paraId="0562752D">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本项目</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最大占标率</w:t>
            </w:r>
            <w:bookmarkStart w:id="481" w:name="OLE_LINK5"/>
            <w:bookmarkStart w:id="482" w:name="OLE_LINK7"/>
            <w:r>
              <w:rPr>
                <w:rFonts w:eastAsia="仿宋" w:cs="Times New Roman"/>
                <w:color w:val="auto"/>
                <w:sz w:val="21"/>
                <w:szCs w:val="21"/>
                <w:highlight w:val="none"/>
                <w:lang w:val="zh-CN"/>
              </w:rPr>
              <w:t>≤</w:t>
            </w:r>
            <w:bookmarkEnd w:id="481"/>
            <w:bookmarkEnd w:id="482"/>
            <w:r>
              <w:rPr>
                <w:rFonts w:cs="Times New Roman"/>
                <w:color w:val="auto"/>
                <w:sz w:val="21"/>
                <w:szCs w:val="21"/>
                <w:highlight w:val="none"/>
                <w:lang w:val="zh-CN"/>
              </w:rPr>
              <w:t>10%</w:t>
            </w:r>
            <w:r>
              <w:rPr>
                <w:rFonts w:eastAsia="仿宋" w:cs="Times New Roman"/>
                <w:color w:val="auto"/>
                <w:sz w:val="21"/>
                <w:szCs w:val="21"/>
                <w:highlight w:val="none"/>
                <w:lang w:val="zh-CN"/>
              </w:rPr>
              <w:t>□</w:t>
            </w:r>
          </w:p>
        </w:tc>
        <w:tc>
          <w:tcPr>
            <w:tcW w:w="1783" w:type="pct"/>
            <w:gridSpan w:val="5"/>
            <w:shd w:val="clear" w:color="auto" w:fill="auto"/>
            <w:vAlign w:val="center"/>
          </w:tcPr>
          <w:p w14:paraId="15A49F8E">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本项目</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最大标率</w:t>
            </w:r>
            <w:r>
              <w:rPr>
                <w:rFonts w:eastAsia="仿宋" w:cs="Times New Roman"/>
                <w:color w:val="auto"/>
                <w:sz w:val="21"/>
                <w:szCs w:val="21"/>
                <w:highlight w:val="none"/>
                <w:lang w:val="zh-CN"/>
              </w:rPr>
              <w:t>＞</w:t>
            </w:r>
            <w:r>
              <w:rPr>
                <w:rFonts w:cs="Times New Roman"/>
                <w:color w:val="auto"/>
                <w:sz w:val="21"/>
                <w:szCs w:val="21"/>
                <w:highlight w:val="none"/>
                <w:lang w:val="zh-CN"/>
              </w:rPr>
              <w:t xml:space="preserve">10% </w:t>
            </w:r>
            <w:r>
              <w:rPr>
                <w:rFonts w:eastAsia="仿宋" w:cs="Times New Roman"/>
                <w:color w:val="auto"/>
                <w:sz w:val="21"/>
                <w:szCs w:val="21"/>
                <w:highlight w:val="none"/>
                <w:lang w:val="zh-CN"/>
              </w:rPr>
              <w:t>□</w:t>
            </w:r>
          </w:p>
        </w:tc>
      </w:tr>
      <w:tr w14:paraId="510EF6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4" w:hRule="atLeast"/>
          <w:jc w:val="center"/>
        </w:trPr>
        <w:tc>
          <w:tcPr>
            <w:tcW w:w="414" w:type="pct"/>
            <w:vMerge w:val="continue"/>
            <w:shd w:val="clear" w:color="auto" w:fill="auto"/>
            <w:vAlign w:val="center"/>
          </w:tcPr>
          <w:p w14:paraId="7245B25D">
            <w:pPr>
              <w:spacing w:line="360" w:lineRule="exact"/>
              <w:ind w:firstLine="0" w:firstLineChars="0"/>
              <w:jc w:val="center"/>
              <w:rPr>
                <w:rFonts w:cs="Times New Roman"/>
                <w:color w:val="auto"/>
                <w:sz w:val="21"/>
                <w:szCs w:val="21"/>
                <w:highlight w:val="none"/>
                <w:lang w:val="zh-CN"/>
              </w:rPr>
            </w:pPr>
          </w:p>
        </w:tc>
        <w:tc>
          <w:tcPr>
            <w:tcW w:w="581" w:type="pct"/>
            <w:vMerge w:val="continue"/>
            <w:shd w:val="clear" w:color="auto" w:fill="auto"/>
            <w:vAlign w:val="center"/>
          </w:tcPr>
          <w:p w14:paraId="4C0BFE8A">
            <w:pPr>
              <w:spacing w:line="360" w:lineRule="exact"/>
              <w:ind w:firstLine="0" w:firstLineChars="0"/>
              <w:jc w:val="center"/>
              <w:rPr>
                <w:rFonts w:cs="Times New Roman"/>
                <w:color w:val="auto"/>
                <w:sz w:val="21"/>
                <w:szCs w:val="21"/>
                <w:highlight w:val="none"/>
                <w:lang w:val="zh-CN"/>
              </w:rPr>
            </w:pPr>
          </w:p>
        </w:tc>
        <w:tc>
          <w:tcPr>
            <w:tcW w:w="747" w:type="pct"/>
            <w:shd w:val="clear" w:color="auto" w:fill="auto"/>
            <w:vAlign w:val="center"/>
          </w:tcPr>
          <w:p w14:paraId="45158274">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二类区</w:t>
            </w:r>
          </w:p>
        </w:tc>
        <w:tc>
          <w:tcPr>
            <w:tcW w:w="1472" w:type="pct"/>
            <w:gridSpan w:val="5"/>
            <w:shd w:val="clear" w:color="auto" w:fill="auto"/>
            <w:vAlign w:val="center"/>
          </w:tcPr>
          <w:p w14:paraId="2549D988">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本项目</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最大占标率</w:t>
            </w:r>
            <w:r>
              <w:rPr>
                <w:rFonts w:eastAsia="仿宋" w:cs="Times New Roman"/>
                <w:color w:val="auto"/>
                <w:sz w:val="21"/>
                <w:szCs w:val="21"/>
                <w:highlight w:val="none"/>
                <w:lang w:val="zh-CN"/>
              </w:rPr>
              <w:t>≤</w:t>
            </w:r>
            <w:r>
              <w:rPr>
                <w:rFonts w:cs="Times New Roman"/>
                <w:color w:val="auto"/>
                <w:sz w:val="21"/>
                <w:szCs w:val="21"/>
                <w:highlight w:val="none"/>
                <w:lang w:val="zh-CN"/>
              </w:rPr>
              <w:t>30%</w:t>
            </w:r>
            <w:r>
              <w:rPr>
                <w:rFonts w:eastAsia="仿宋" w:cs="Times New Roman"/>
                <w:color w:val="auto"/>
                <w:sz w:val="21"/>
                <w:szCs w:val="21"/>
                <w:highlight w:val="none"/>
                <w:lang w:val="zh-CN"/>
              </w:rPr>
              <w:sym w:font="Wingdings 2" w:char="0052"/>
            </w:r>
          </w:p>
        </w:tc>
        <w:tc>
          <w:tcPr>
            <w:tcW w:w="1783" w:type="pct"/>
            <w:gridSpan w:val="5"/>
            <w:shd w:val="clear" w:color="auto" w:fill="auto"/>
            <w:vAlign w:val="center"/>
          </w:tcPr>
          <w:p w14:paraId="1A7B7451">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本项目</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最大标率</w:t>
            </w:r>
            <w:r>
              <w:rPr>
                <w:rFonts w:eastAsia="仿宋" w:cs="Times New Roman"/>
                <w:color w:val="auto"/>
                <w:sz w:val="21"/>
                <w:szCs w:val="21"/>
                <w:highlight w:val="none"/>
                <w:lang w:val="zh-CN"/>
              </w:rPr>
              <w:t>＞</w:t>
            </w:r>
            <w:r>
              <w:rPr>
                <w:rFonts w:cs="Times New Roman"/>
                <w:color w:val="auto"/>
                <w:sz w:val="21"/>
                <w:szCs w:val="21"/>
                <w:highlight w:val="none"/>
                <w:lang w:val="zh-CN"/>
              </w:rPr>
              <w:t xml:space="preserve">30% </w:t>
            </w:r>
            <w:r>
              <w:rPr>
                <w:rFonts w:eastAsia="仿宋" w:cs="Times New Roman"/>
                <w:color w:val="auto"/>
                <w:sz w:val="21"/>
                <w:szCs w:val="21"/>
                <w:highlight w:val="none"/>
                <w:lang w:val="zh-CN"/>
              </w:rPr>
              <w:t>□</w:t>
            </w:r>
          </w:p>
        </w:tc>
      </w:tr>
      <w:tr w14:paraId="7CD419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97" w:hRule="atLeast"/>
          <w:jc w:val="center"/>
        </w:trPr>
        <w:tc>
          <w:tcPr>
            <w:tcW w:w="414" w:type="pct"/>
            <w:vMerge w:val="continue"/>
            <w:shd w:val="clear" w:color="auto" w:fill="auto"/>
            <w:vAlign w:val="center"/>
          </w:tcPr>
          <w:p w14:paraId="0D021BFE">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707D20C7">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非正常排放1h浓度</w:t>
            </w:r>
            <w:r>
              <w:rPr>
                <w:rFonts w:cs="Times New Roman"/>
                <w:color w:val="auto"/>
                <w:sz w:val="21"/>
                <w:szCs w:val="21"/>
                <w:highlight w:val="none"/>
                <w:lang w:val="zh-CN"/>
              </w:rPr>
              <w:br w:type="textWrapping"/>
            </w:r>
            <w:r>
              <w:rPr>
                <w:rFonts w:cs="Times New Roman"/>
                <w:color w:val="auto"/>
                <w:sz w:val="21"/>
                <w:szCs w:val="21"/>
                <w:highlight w:val="none"/>
                <w:lang w:val="zh-CN"/>
              </w:rPr>
              <w:t>贡献值</w:t>
            </w:r>
          </w:p>
        </w:tc>
        <w:tc>
          <w:tcPr>
            <w:tcW w:w="747" w:type="pct"/>
            <w:shd w:val="clear" w:color="auto" w:fill="auto"/>
            <w:vAlign w:val="center"/>
          </w:tcPr>
          <w:p w14:paraId="6E0DA46C">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非正常持续时长</w:t>
            </w:r>
            <w:r>
              <w:rPr>
                <w:rFonts w:cs="Times New Roman"/>
                <w:color w:val="auto"/>
                <w:sz w:val="21"/>
                <w:szCs w:val="21"/>
                <w:highlight w:val="none"/>
                <w:lang w:val="zh-CN"/>
              </w:rPr>
              <w:br w:type="textWrapping"/>
            </w:r>
            <w:r>
              <w:rPr>
                <w:rFonts w:cs="Times New Roman"/>
                <w:color w:val="auto"/>
                <w:sz w:val="21"/>
                <w:szCs w:val="21"/>
                <w:highlight w:val="none"/>
                <w:lang w:val="zh-CN"/>
              </w:rPr>
              <w:t xml:space="preserve">（ </w:t>
            </w:r>
            <w:r>
              <w:rPr>
                <w:rFonts w:cs="Times New Roman"/>
                <w:color w:val="auto"/>
                <w:sz w:val="21"/>
                <w:szCs w:val="21"/>
                <w:highlight w:val="none"/>
              </w:rPr>
              <w:t>0.5</w:t>
            </w:r>
            <w:r>
              <w:rPr>
                <w:rFonts w:cs="Times New Roman"/>
                <w:color w:val="auto"/>
                <w:sz w:val="21"/>
                <w:szCs w:val="21"/>
                <w:highlight w:val="none"/>
                <w:lang w:val="zh-CN"/>
              </w:rPr>
              <w:t xml:space="preserve"> ）h</w:t>
            </w:r>
          </w:p>
        </w:tc>
        <w:tc>
          <w:tcPr>
            <w:tcW w:w="1472" w:type="pct"/>
            <w:gridSpan w:val="5"/>
            <w:shd w:val="clear" w:color="auto" w:fill="auto"/>
            <w:vAlign w:val="center"/>
          </w:tcPr>
          <w:p w14:paraId="6A1EEA6A">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非正常</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占标率</w:t>
            </w:r>
            <w:r>
              <w:rPr>
                <w:rFonts w:eastAsia="仿宋" w:cs="Times New Roman"/>
                <w:color w:val="auto"/>
                <w:sz w:val="21"/>
                <w:szCs w:val="21"/>
                <w:highlight w:val="none"/>
                <w:lang w:val="zh-CN"/>
              </w:rPr>
              <w:t>≤</w:t>
            </w:r>
            <w:r>
              <w:rPr>
                <w:rFonts w:cs="Times New Roman"/>
                <w:color w:val="auto"/>
                <w:sz w:val="21"/>
                <w:szCs w:val="21"/>
                <w:highlight w:val="none"/>
                <w:lang w:val="zh-CN"/>
              </w:rPr>
              <w:t xml:space="preserve">100% </w:t>
            </w:r>
            <w:r>
              <w:rPr>
                <w:rFonts w:eastAsia="仿宋" w:cs="Times New Roman"/>
                <w:color w:val="auto"/>
                <w:sz w:val="21"/>
                <w:szCs w:val="21"/>
                <w:highlight w:val="none"/>
                <w:lang w:val="zh-CN"/>
              </w:rPr>
              <w:t>□</w:t>
            </w:r>
          </w:p>
        </w:tc>
        <w:tc>
          <w:tcPr>
            <w:tcW w:w="1783" w:type="pct"/>
            <w:gridSpan w:val="5"/>
            <w:shd w:val="clear" w:color="auto" w:fill="auto"/>
            <w:vAlign w:val="center"/>
          </w:tcPr>
          <w:p w14:paraId="0DF1D997">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非正常</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占标率</w:t>
            </w:r>
            <w:r>
              <w:rPr>
                <w:rFonts w:eastAsia="仿宋" w:cs="Times New Roman"/>
                <w:color w:val="auto"/>
                <w:sz w:val="21"/>
                <w:szCs w:val="21"/>
                <w:highlight w:val="none"/>
                <w:lang w:val="zh-CN"/>
              </w:rPr>
              <w:t>＞</w:t>
            </w:r>
            <w:r>
              <w:rPr>
                <w:rFonts w:cs="Times New Roman"/>
                <w:color w:val="auto"/>
                <w:sz w:val="21"/>
                <w:szCs w:val="21"/>
                <w:highlight w:val="none"/>
                <w:lang w:val="zh-CN"/>
              </w:rPr>
              <w:t>100%</w:t>
            </w:r>
            <w:r>
              <w:rPr>
                <w:rFonts w:eastAsia="仿宋" w:cs="Times New Roman"/>
                <w:color w:val="auto"/>
                <w:sz w:val="21"/>
                <w:szCs w:val="21"/>
                <w:highlight w:val="none"/>
                <w:lang w:val="zh-CN"/>
              </w:rPr>
              <w:t>□</w:t>
            </w:r>
          </w:p>
        </w:tc>
      </w:tr>
      <w:tr w14:paraId="438497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119" w:hRule="atLeast"/>
          <w:jc w:val="center"/>
        </w:trPr>
        <w:tc>
          <w:tcPr>
            <w:tcW w:w="414" w:type="pct"/>
            <w:vMerge w:val="continue"/>
            <w:shd w:val="clear" w:color="auto" w:fill="auto"/>
            <w:vAlign w:val="center"/>
          </w:tcPr>
          <w:p w14:paraId="262C4A9D">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0D1744A0">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保证率日平均浓度和年平均浓度叠加值</w:t>
            </w:r>
          </w:p>
        </w:tc>
        <w:tc>
          <w:tcPr>
            <w:tcW w:w="2219" w:type="pct"/>
            <w:gridSpan w:val="6"/>
            <w:shd w:val="clear" w:color="auto" w:fill="auto"/>
            <w:vAlign w:val="center"/>
          </w:tcPr>
          <w:p w14:paraId="0A50C07A">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叠加</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 xml:space="preserve">达标 </w:t>
            </w:r>
            <w:r>
              <w:rPr>
                <w:rFonts w:eastAsia="仿宋" w:cs="Times New Roman"/>
                <w:color w:val="auto"/>
                <w:sz w:val="21"/>
                <w:szCs w:val="21"/>
                <w:highlight w:val="none"/>
                <w:lang w:val="zh-CN"/>
              </w:rPr>
              <w:t>□</w:t>
            </w:r>
          </w:p>
        </w:tc>
        <w:tc>
          <w:tcPr>
            <w:tcW w:w="1783" w:type="pct"/>
            <w:gridSpan w:val="5"/>
            <w:shd w:val="clear" w:color="auto" w:fill="auto"/>
            <w:vAlign w:val="center"/>
          </w:tcPr>
          <w:p w14:paraId="45A975FD">
            <w:pPr>
              <w:spacing w:line="360" w:lineRule="exact"/>
              <w:ind w:firstLine="0" w:firstLineChars="0"/>
              <w:jc w:val="center"/>
              <w:rPr>
                <w:rFonts w:cs="Times New Roman"/>
                <w:color w:val="auto"/>
                <w:sz w:val="21"/>
                <w:szCs w:val="21"/>
                <w:highlight w:val="none"/>
                <w:lang w:val="zh-CN"/>
              </w:rPr>
            </w:pPr>
            <m:oMath>
              <m:sSub>
                <m:sSubPr>
                  <m:ctrlPr>
                    <w:rPr>
                      <w:rFonts w:ascii="Cambria Math" w:hAnsi="Cambria Math" w:cs="Times New Roman"/>
                      <w:i/>
                      <w:color w:val="auto"/>
                      <w:sz w:val="21"/>
                      <w:szCs w:val="21"/>
                      <w:highlight w:val="none"/>
                    </w:rPr>
                  </m:ctrlPr>
                </m:sSubPr>
                <m:e>
                  <m:r>
                    <m:rPr/>
                    <w:rPr>
                      <w:rFonts w:ascii="Cambria Math" w:hAnsi="Cambria Math" w:cs="Times New Roman"/>
                      <w:color w:val="auto"/>
                      <w:sz w:val="21"/>
                      <w:szCs w:val="21"/>
                      <w:highlight w:val="none"/>
                    </w:rPr>
                    <m:t>C</m:t>
                  </m:r>
                  <m:ctrlPr>
                    <w:rPr>
                      <w:rFonts w:ascii="Cambria Math" w:hAnsi="Cambria Math" w:cs="Times New Roman"/>
                      <w:i/>
                      <w:color w:val="auto"/>
                      <w:sz w:val="21"/>
                      <w:szCs w:val="21"/>
                      <w:highlight w:val="none"/>
                    </w:rPr>
                  </m:ctrlPr>
                </m:e>
                <m:sub>
                  <m:r>
                    <m:rPr>
                      <m:sty m:val="p"/>
                    </m:rPr>
                    <w:rPr>
                      <w:rFonts w:ascii="Cambria Math" w:hAnsi="Cambria Math" w:cs="Times New Roman"/>
                      <w:color w:val="auto"/>
                      <w:sz w:val="21"/>
                      <w:szCs w:val="21"/>
                      <w:highlight w:val="none"/>
                    </w:rPr>
                    <m:t>叠加</m:t>
                  </m:r>
                  <m:ctrlPr>
                    <w:rPr>
                      <w:rFonts w:ascii="Cambria Math" w:hAnsi="Cambria Math" w:cs="Times New Roman"/>
                      <w:i/>
                      <w:color w:val="auto"/>
                      <w:sz w:val="21"/>
                      <w:szCs w:val="21"/>
                      <w:highlight w:val="none"/>
                    </w:rPr>
                  </m:ctrlPr>
                </m:sub>
              </m:sSub>
            </m:oMath>
            <w:r>
              <w:rPr>
                <w:rFonts w:cs="Times New Roman"/>
                <w:color w:val="auto"/>
                <w:sz w:val="21"/>
                <w:szCs w:val="21"/>
                <w:highlight w:val="none"/>
                <w:lang w:val="zh-CN"/>
              </w:rPr>
              <w:t xml:space="preserve">不达标 </w:t>
            </w:r>
            <w:r>
              <w:rPr>
                <w:rFonts w:eastAsia="仿宋" w:cs="Times New Roman"/>
                <w:color w:val="auto"/>
                <w:sz w:val="21"/>
                <w:szCs w:val="21"/>
                <w:highlight w:val="none"/>
                <w:lang w:val="zh-CN"/>
              </w:rPr>
              <w:t>□</w:t>
            </w:r>
          </w:p>
        </w:tc>
      </w:tr>
      <w:tr w14:paraId="463070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97" w:hRule="atLeast"/>
          <w:jc w:val="center"/>
        </w:trPr>
        <w:tc>
          <w:tcPr>
            <w:tcW w:w="414" w:type="pct"/>
            <w:vMerge w:val="continue"/>
            <w:shd w:val="clear" w:color="auto" w:fill="auto"/>
            <w:vAlign w:val="center"/>
          </w:tcPr>
          <w:p w14:paraId="3C644982">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52A9DF6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区域环境质量的整体变化情况</w:t>
            </w:r>
          </w:p>
        </w:tc>
        <w:tc>
          <w:tcPr>
            <w:tcW w:w="2219" w:type="pct"/>
            <w:gridSpan w:val="6"/>
            <w:shd w:val="clear" w:color="auto" w:fill="auto"/>
            <w:vAlign w:val="center"/>
          </w:tcPr>
          <w:p w14:paraId="488ADCDB">
            <w:pPr>
              <w:spacing w:line="360" w:lineRule="exact"/>
              <w:ind w:firstLine="0" w:firstLineChars="0"/>
              <w:jc w:val="center"/>
              <w:rPr>
                <w:rFonts w:cs="Times New Roman"/>
                <w:color w:val="auto"/>
                <w:sz w:val="21"/>
                <w:szCs w:val="21"/>
                <w:highlight w:val="none"/>
                <w:lang w:val="zh-CN"/>
              </w:rPr>
            </w:pPr>
            <w:r>
              <w:rPr>
                <w:rFonts w:cs="Times New Roman"/>
                <w:i/>
                <w:color w:val="auto"/>
                <w:sz w:val="21"/>
                <w:szCs w:val="21"/>
                <w:highlight w:val="none"/>
                <w:lang w:val="zh-CN"/>
              </w:rPr>
              <w:t xml:space="preserve">k </w:t>
            </w:r>
            <w:r>
              <w:rPr>
                <w:rFonts w:eastAsia="仿宋" w:cs="Times New Roman"/>
                <w:color w:val="auto"/>
                <w:sz w:val="21"/>
                <w:szCs w:val="21"/>
                <w:highlight w:val="none"/>
                <w:lang w:val="zh-CN"/>
              </w:rPr>
              <w:t>≤</w:t>
            </w:r>
            <w:r>
              <w:rPr>
                <w:rFonts w:cs="Times New Roman"/>
                <w:color w:val="auto"/>
                <w:sz w:val="21"/>
                <w:szCs w:val="21"/>
                <w:highlight w:val="none"/>
                <w:lang w:val="zh-CN"/>
              </w:rPr>
              <w:t xml:space="preserve">-20% </w:t>
            </w:r>
            <w:r>
              <w:rPr>
                <w:rFonts w:eastAsia="仿宋" w:cs="Times New Roman"/>
                <w:color w:val="auto"/>
                <w:sz w:val="21"/>
                <w:szCs w:val="21"/>
                <w:highlight w:val="none"/>
                <w:lang w:val="zh-CN"/>
              </w:rPr>
              <w:t>□</w:t>
            </w:r>
          </w:p>
        </w:tc>
        <w:tc>
          <w:tcPr>
            <w:tcW w:w="1783" w:type="pct"/>
            <w:gridSpan w:val="5"/>
            <w:shd w:val="clear" w:color="auto" w:fill="auto"/>
            <w:vAlign w:val="center"/>
          </w:tcPr>
          <w:p w14:paraId="0D915F21">
            <w:pPr>
              <w:spacing w:line="360" w:lineRule="exact"/>
              <w:ind w:firstLine="0" w:firstLineChars="0"/>
              <w:jc w:val="center"/>
              <w:rPr>
                <w:rFonts w:cs="Times New Roman"/>
                <w:color w:val="auto"/>
                <w:sz w:val="21"/>
                <w:szCs w:val="21"/>
                <w:highlight w:val="none"/>
                <w:lang w:val="zh-CN"/>
              </w:rPr>
            </w:pPr>
            <w:r>
              <w:rPr>
                <w:rFonts w:cs="Times New Roman"/>
                <w:i/>
                <w:color w:val="auto"/>
                <w:sz w:val="21"/>
                <w:szCs w:val="21"/>
                <w:highlight w:val="none"/>
                <w:lang w:val="zh-CN"/>
              </w:rPr>
              <w:t>k</w:t>
            </w:r>
            <w:r>
              <w:rPr>
                <w:rFonts w:cs="Times New Roman"/>
                <w:color w:val="auto"/>
                <w:sz w:val="21"/>
                <w:szCs w:val="21"/>
                <w:highlight w:val="none"/>
                <w:lang w:val="zh-CN"/>
              </w:rPr>
              <w:t xml:space="preserve"> </w:t>
            </w:r>
            <w:r>
              <w:rPr>
                <w:rFonts w:eastAsia="仿宋" w:cs="Times New Roman"/>
                <w:color w:val="auto"/>
                <w:sz w:val="21"/>
                <w:szCs w:val="21"/>
                <w:highlight w:val="none"/>
                <w:lang w:val="zh-CN"/>
              </w:rPr>
              <w:t>＞</w:t>
            </w:r>
            <w:r>
              <w:rPr>
                <w:rFonts w:cs="Times New Roman"/>
                <w:color w:val="auto"/>
                <w:sz w:val="21"/>
                <w:szCs w:val="21"/>
                <w:highlight w:val="none"/>
                <w:lang w:val="zh-CN"/>
              </w:rPr>
              <w:t xml:space="preserve">-20% </w:t>
            </w:r>
            <w:r>
              <w:rPr>
                <w:rFonts w:eastAsia="仿宋" w:cs="Times New Roman"/>
                <w:color w:val="auto"/>
                <w:sz w:val="21"/>
                <w:szCs w:val="21"/>
                <w:highlight w:val="none"/>
                <w:lang w:val="zh-CN"/>
              </w:rPr>
              <w:t>□</w:t>
            </w:r>
          </w:p>
        </w:tc>
      </w:tr>
      <w:tr w14:paraId="10D43A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75" w:hRule="atLeast"/>
          <w:jc w:val="center"/>
        </w:trPr>
        <w:tc>
          <w:tcPr>
            <w:tcW w:w="414" w:type="pct"/>
            <w:vMerge w:val="restart"/>
            <w:shd w:val="clear" w:color="auto" w:fill="auto"/>
            <w:vAlign w:val="center"/>
          </w:tcPr>
          <w:p w14:paraId="5CD757DE">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环境监测</w:t>
            </w:r>
            <w:r>
              <w:rPr>
                <w:rFonts w:cs="Times New Roman"/>
                <w:color w:val="auto"/>
                <w:sz w:val="21"/>
                <w:szCs w:val="21"/>
                <w:highlight w:val="none"/>
                <w:lang w:val="zh-CN"/>
              </w:rPr>
              <w:br w:type="textWrapping"/>
            </w:r>
            <w:r>
              <w:rPr>
                <w:rFonts w:cs="Times New Roman"/>
                <w:color w:val="auto"/>
                <w:sz w:val="21"/>
                <w:szCs w:val="21"/>
                <w:highlight w:val="none"/>
                <w:lang w:val="zh-CN"/>
              </w:rPr>
              <w:t>计划</w:t>
            </w:r>
          </w:p>
        </w:tc>
        <w:tc>
          <w:tcPr>
            <w:tcW w:w="581" w:type="pct"/>
            <w:shd w:val="clear" w:color="auto" w:fill="auto"/>
            <w:vAlign w:val="center"/>
          </w:tcPr>
          <w:p w14:paraId="51D59D33">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污染源监测</w:t>
            </w:r>
          </w:p>
        </w:tc>
        <w:tc>
          <w:tcPr>
            <w:tcW w:w="1586" w:type="pct"/>
            <w:gridSpan w:val="3"/>
            <w:shd w:val="clear" w:color="auto" w:fill="auto"/>
            <w:vAlign w:val="center"/>
          </w:tcPr>
          <w:p w14:paraId="72EF49D7">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监测因子：（H</w:t>
            </w:r>
            <w:r>
              <w:rPr>
                <w:rFonts w:cs="Times New Roman"/>
                <w:color w:val="auto"/>
                <w:sz w:val="21"/>
                <w:szCs w:val="21"/>
                <w:highlight w:val="none"/>
                <w:vertAlign w:val="subscript"/>
                <w:lang w:val="zh-CN"/>
              </w:rPr>
              <w:t>2</w:t>
            </w:r>
            <w:r>
              <w:rPr>
                <w:rFonts w:cs="Times New Roman"/>
                <w:color w:val="auto"/>
                <w:sz w:val="21"/>
                <w:szCs w:val="21"/>
                <w:highlight w:val="none"/>
                <w:lang w:val="zh-CN"/>
              </w:rPr>
              <w:t>S、NH</w:t>
            </w:r>
            <w:r>
              <w:rPr>
                <w:rFonts w:cs="Times New Roman"/>
                <w:color w:val="auto"/>
                <w:sz w:val="21"/>
                <w:szCs w:val="21"/>
                <w:highlight w:val="none"/>
                <w:vertAlign w:val="subscript"/>
                <w:lang w:val="zh-CN"/>
              </w:rPr>
              <w:t>3</w:t>
            </w:r>
            <w:r>
              <w:rPr>
                <w:rFonts w:cs="Times New Roman"/>
                <w:color w:val="auto"/>
                <w:sz w:val="21"/>
                <w:szCs w:val="21"/>
                <w:highlight w:val="none"/>
                <w:lang w:val="zh-CN"/>
              </w:rPr>
              <w:t>、臭气浓度、颗粒物）</w:t>
            </w:r>
          </w:p>
        </w:tc>
        <w:tc>
          <w:tcPr>
            <w:tcW w:w="1750" w:type="pct"/>
            <w:gridSpan w:val="6"/>
            <w:shd w:val="clear" w:color="auto" w:fill="auto"/>
            <w:vAlign w:val="center"/>
          </w:tcPr>
          <w:p w14:paraId="5962456B">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有组织废气监测 </w:t>
            </w:r>
            <w:r>
              <w:rPr>
                <w:rFonts w:eastAsia="仿宋" w:cs="Times New Roman"/>
                <w:color w:val="auto"/>
                <w:sz w:val="21"/>
                <w:szCs w:val="21"/>
                <w:highlight w:val="none"/>
                <w:lang w:val="zh-CN"/>
              </w:rPr>
              <w:t>√</w:t>
            </w:r>
            <w:r>
              <w:rPr>
                <w:rFonts w:cs="Times New Roman"/>
                <w:color w:val="auto"/>
                <w:sz w:val="21"/>
                <w:szCs w:val="21"/>
                <w:highlight w:val="none"/>
                <w:lang w:val="zh-CN"/>
              </w:rPr>
              <w:t xml:space="preserve">    </w:t>
            </w:r>
          </w:p>
          <w:p w14:paraId="582B5F3F">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无组织废气监测 </w:t>
            </w:r>
            <w:r>
              <w:rPr>
                <w:rFonts w:eastAsia="仿宋" w:cs="Times New Roman"/>
                <w:color w:val="auto"/>
                <w:sz w:val="21"/>
                <w:szCs w:val="21"/>
                <w:highlight w:val="none"/>
                <w:lang w:val="zh-CN"/>
              </w:rPr>
              <w:t>√</w:t>
            </w:r>
          </w:p>
        </w:tc>
        <w:tc>
          <w:tcPr>
            <w:tcW w:w="666" w:type="pct"/>
            <w:gridSpan w:val="2"/>
            <w:shd w:val="clear" w:color="auto" w:fill="auto"/>
            <w:vAlign w:val="center"/>
          </w:tcPr>
          <w:p w14:paraId="420A8775">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无监测</w:t>
            </w:r>
            <w:r>
              <w:rPr>
                <w:rFonts w:eastAsia="仿宋" w:cs="Times New Roman"/>
                <w:color w:val="auto"/>
                <w:sz w:val="21"/>
                <w:szCs w:val="21"/>
                <w:highlight w:val="none"/>
                <w:lang w:val="zh-CN"/>
              </w:rPr>
              <w:t>□</w:t>
            </w:r>
          </w:p>
        </w:tc>
      </w:tr>
      <w:tr w14:paraId="0ED7AA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66" w:hRule="atLeast"/>
          <w:jc w:val="center"/>
        </w:trPr>
        <w:tc>
          <w:tcPr>
            <w:tcW w:w="414" w:type="pct"/>
            <w:vMerge w:val="continue"/>
            <w:shd w:val="clear" w:color="auto" w:fill="auto"/>
            <w:vAlign w:val="center"/>
          </w:tcPr>
          <w:p w14:paraId="11A768D9">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00B2FE03">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环境质量监测</w:t>
            </w:r>
          </w:p>
        </w:tc>
        <w:tc>
          <w:tcPr>
            <w:tcW w:w="1586" w:type="pct"/>
            <w:gridSpan w:val="3"/>
            <w:shd w:val="clear" w:color="auto" w:fill="auto"/>
            <w:vAlign w:val="center"/>
          </w:tcPr>
          <w:p w14:paraId="3DFF56B9">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监测因子：（ </w:t>
            </w:r>
            <w:r>
              <w:rPr>
                <w:rFonts w:hint="default" w:ascii="Times New Roman" w:hAnsi="Times New Roman" w:eastAsia="宋体" w:cs="Times New Roman"/>
                <w:color w:val="auto"/>
                <w:sz w:val="21"/>
                <w:szCs w:val="21"/>
                <w:highlight w:val="none"/>
                <w:lang w:val="en-US" w:eastAsia="zh-CN"/>
              </w:rPr>
              <w:t>总悬浮颗粒物</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kern w:val="2"/>
                <w:sz w:val="21"/>
                <w:szCs w:val="21"/>
                <w:highlight w:val="none"/>
                <w:lang w:val="en-US" w:eastAsia="zh-CN" w:bidi="ar-SA"/>
              </w:rPr>
              <w:t>氨、硫化氢、臭气浓度</w:t>
            </w:r>
            <w:r>
              <w:rPr>
                <w:rFonts w:cs="Times New Roman"/>
                <w:color w:val="auto"/>
                <w:sz w:val="21"/>
                <w:szCs w:val="21"/>
                <w:highlight w:val="none"/>
                <w:lang w:val="zh-CN"/>
              </w:rPr>
              <w:t xml:space="preserve"> ）</w:t>
            </w:r>
          </w:p>
        </w:tc>
        <w:tc>
          <w:tcPr>
            <w:tcW w:w="1750" w:type="pct"/>
            <w:gridSpan w:val="6"/>
            <w:shd w:val="clear" w:color="auto" w:fill="auto"/>
            <w:vAlign w:val="center"/>
          </w:tcPr>
          <w:p w14:paraId="78D1BE80">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监测点位数（ </w:t>
            </w:r>
            <w:r>
              <w:rPr>
                <w:rFonts w:hint="eastAsia" w:cs="Times New Roman"/>
                <w:color w:val="auto"/>
                <w:sz w:val="21"/>
                <w:szCs w:val="21"/>
                <w:highlight w:val="none"/>
                <w:lang w:val="en-US" w:eastAsia="zh-CN"/>
              </w:rPr>
              <w:t>2</w:t>
            </w:r>
            <w:r>
              <w:rPr>
                <w:rFonts w:cs="Times New Roman"/>
                <w:color w:val="auto"/>
                <w:sz w:val="21"/>
                <w:szCs w:val="21"/>
                <w:highlight w:val="none"/>
                <w:lang w:val="zh-CN"/>
              </w:rPr>
              <w:t xml:space="preserve"> ）</w:t>
            </w:r>
          </w:p>
        </w:tc>
        <w:tc>
          <w:tcPr>
            <w:tcW w:w="666" w:type="pct"/>
            <w:gridSpan w:val="2"/>
            <w:shd w:val="clear" w:color="auto" w:fill="auto"/>
            <w:vAlign w:val="center"/>
          </w:tcPr>
          <w:p w14:paraId="6D4AF829">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无监测</w:t>
            </w:r>
            <w:r>
              <w:rPr>
                <w:rFonts w:eastAsia="仿宋" w:cs="Times New Roman"/>
                <w:color w:val="auto"/>
                <w:sz w:val="21"/>
                <w:szCs w:val="21"/>
                <w:highlight w:val="none"/>
                <w:lang w:val="zh-CN"/>
              </w:rPr>
              <w:t>□</w:t>
            </w:r>
          </w:p>
        </w:tc>
      </w:tr>
      <w:tr w14:paraId="042B84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2" w:hRule="atLeast"/>
          <w:jc w:val="center"/>
        </w:trPr>
        <w:tc>
          <w:tcPr>
            <w:tcW w:w="414" w:type="pct"/>
            <w:vMerge w:val="restart"/>
            <w:shd w:val="clear" w:color="auto" w:fill="auto"/>
            <w:vAlign w:val="center"/>
          </w:tcPr>
          <w:p w14:paraId="32C3D97A">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评价结论</w:t>
            </w:r>
          </w:p>
        </w:tc>
        <w:tc>
          <w:tcPr>
            <w:tcW w:w="581" w:type="pct"/>
            <w:shd w:val="clear" w:color="auto" w:fill="auto"/>
            <w:vAlign w:val="center"/>
          </w:tcPr>
          <w:p w14:paraId="73158016">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环境影响</w:t>
            </w:r>
          </w:p>
        </w:tc>
        <w:tc>
          <w:tcPr>
            <w:tcW w:w="4003" w:type="pct"/>
            <w:gridSpan w:val="11"/>
            <w:shd w:val="clear" w:color="auto" w:fill="auto"/>
            <w:vAlign w:val="center"/>
          </w:tcPr>
          <w:p w14:paraId="6F4633F7">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可以接受 </w:t>
            </w:r>
            <w:r>
              <w:rPr>
                <w:rFonts w:eastAsia="仿宋" w:cs="Times New Roman"/>
                <w:color w:val="auto"/>
                <w:sz w:val="21"/>
                <w:szCs w:val="21"/>
                <w:highlight w:val="none"/>
                <w:lang w:val="zh-CN"/>
              </w:rPr>
              <w:t>√</w:t>
            </w:r>
            <w:r>
              <w:rPr>
                <w:rFonts w:cs="Times New Roman"/>
                <w:color w:val="auto"/>
                <w:sz w:val="21"/>
                <w:szCs w:val="21"/>
                <w:highlight w:val="none"/>
                <w:lang w:val="zh-CN"/>
              </w:rPr>
              <w:t xml:space="preserve">       不可以接受 </w:t>
            </w:r>
            <w:r>
              <w:rPr>
                <w:rFonts w:eastAsia="仿宋" w:cs="Times New Roman"/>
                <w:color w:val="auto"/>
                <w:sz w:val="21"/>
                <w:szCs w:val="21"/>
                <w:highlight w:val="none"/>
                <w:lang w:val="zh-CN"/>
              </w:rPr>
              <w:t>□</w:t>
            </w:r>
          </w:p>
        </w:tc>
      </w:tr>
      <w:tr w14:paraId="665D1D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3" w:hRule="atLeast"/>
          <w:jc w:val="center"/>
        </w:trPr>
        <w:tc>
          <w:tcPr>
            <w:tcW w:w="414" w:type="pct"/>
            <w:vMerge w:val="continue"/>
            <w:shd w:val="clear" w:color="auto" w:fill="auto"/>
            <w:vAlign w:val="center"/>
          </w:tcPr>
          <w:p w14:paraId="631DED8B">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0BDBC5BA">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大气环境防护距离</w:t>
            </w:r>
          </w:p>
        </w:tc>
        <w:tc>
          <w:tcPr>
            <w:tcW w:w="4003" w:type="pct"/>
            <w:gridSpan w:val="11"/>
            <w:shd w:val="clear" w:color="auto" w:fill="auto"/>
            <w:vAlign w:val="center"/>
          </w:tcPr>
          <w:p w14:paraId="247F3593">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 xml:space="preserve">距（ </w:t>
            </w:r>
            <w:r>
              <w:rPr>
                <w:rFonts w:cs="Times New Roman"/>
                <w:color w:val="auto"/>
                <w:sz w:val="21"/>
                <w:szCs w:val="21"/>
                <w:highlight w:val="none"/>
              </w:rPr>
              <w:t>/</w:t>
            </w:r>
            <w:r>
              <w:rPr>
                <w:rFonts w:cs="Times New Roman"/>
                <w:color w:val="auto"/>
                <w:sz w:val="21"/>
                <w:szCs w:val="21"/>
                <w:highlight w:val="none"/>
                <w:lang w:val="zh-CN"/>
              </w:rPr>
              <w:t xml:space="preserve">  ）厂界最远（</w:t>
            </w:r>
            <w:r>
              <w:rPr>
                <w:rFonts w:hint="eastAsia" w:cs="Times New Roman"/>
                <w:color w:val="auto"/>
                <w:sz w:val="21"/>
                <w:szCs w:val="21"/>
                <w:highlight w:val="none"/>
                <w:lang w:val="en-US" w:eastAsia="zh-CN"/>
              </w:rPr>
              <w:t xml:space="preserve"> / </w:t>
            </w:r>
            <w:r>
              <w:rPr>
                <w:rFonts w:cs="Times New Roman"/>
                <w:color w:val="auto"/>
                <w:sz w:val="21"/>
                <w:szCs w:val="21"/>
                <w:highlight w:val="none"/>
                <w:lang w:val="zh-CN"/>
              </w:rPr>
              <w:t>）m</w:t>
            </w:r>
          </w:p>
        </w:tc>
      </w:tr>
      <w:tr w14:paraId="29E40A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3" w:hRule="atLeast"/>
          <w:jc w:val="center"/>
        </w:trPr>
        <w:tc>
          <w:tcPr>
            <w:tcW w:w="414" w:type="pct"/>
            <w:vMerge w:val="continue"/>
            <w:shd w:val="clear" w:color="auto" w:fill="auto"/>
            <w:vAlign w:val="center"/>
          </w:tcPr>
          <w:p w14:paraId="037F58C2">
            <w:pPr>
              <w:spacing w:line="360" w:lineRule="exact"/>
              <w:ind w:firstLine="0" w:firstLineChars="0"/>
              <w:jc w:val="center"/>
              <w:rPr>
                <w:rFonts w:cs="Times New Roman"/>
                <w:color w:val="auto"/>
                <w:sz w:val="21"/>
                <w:szCs w:val="21"/>
                <w:highlight w:val="none"/>
                <w:lang w:val="zh-CN"/>
              </w:rPr>
            </w:pPr>
          </w:p>
        </w:tc>
        <w:tc>
          <w:tcPr>
            <w:tcW w:w="581" w:type="pct"/>
            <w:shd w:val="clear" w:color="auto" w:fill="auto"/>
            <w:vAlign w:val="center"/>
          </w:tcPr>
          <w:p w14:paraId="07D7A9A9">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污染源年排放量</w:t>
            </w:r>
          </w:p>
        </w:tc>
        <w:tc>
          <w:tcPr>
            <w:tcW w:w="747" w:type="pct"/>
            <w:shd w:val="clear" w:color="auto" w:fill="auto"/>
            <w:vAlign w:val="center"/>
          </w:tcPr>
          <w:p w14:paraId="58064EA8">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SO</w:t>
            </w:r>
            <w:r>
              <w:rPr>
                <w:rFonts w:cs="Times New Roman"/>
                <w:color w:val="auto"/>
                <w:sz w:val="21"/>
                <w:szCs w:val="21"/>
                <w:highlight w:val="none"/>
                <w:vertAlign w:val="subscript"/>
                <w:lang w:val="zh-CN"/>
              </w:rPr>
              <w:t>2</w:t>
            </w:r>
            <w:r>
              <w:rPr>
                <w:rFonts w:cs="Times New Roman"/>
                <w:color w:val="auto"/>
                <w:sz w:val="21"/>
                <w:szCs w:val="21"/>
                <w:highlight w:val="none"/>
                <w:lang w:val="zh-CN"/>
              </w:rPr>
              <w:t>:（</w:t>
            </w:r>
            <w:r>
              <w:rPr>
                <w:rFonts w:hint="eastAsia" w:cs="Times New Roman"/>
                <w:color w:val="auto"/>
                <w:sz w:val="21"/>
                <w:szCs w:val="21"/>
                <w:highlight w:val="none"/>
                <w:lang w:val="en-US" w:eastAsia="zh-CN"/>
              </w:rPr>
              <w:t xml:space="preserve"> </w:t>
            </w:r>
            <w:r>
              <w:rPr>
                <w:rFonts w:cs="Times New Roman"/>
                <w:color w:val="auto"/>
                <w:sz w:val="21"/>
                <w:szCs w:val="21"/>
                <w:highlight w:val="none"/>
                <w:lang w:val="zh-CN"/>
              </w:rPr>
              <w:t>）t/a</w:t>
            </w:r>
          </w:p>
        </w:tc>
        <w:tc>
          <w:tcPr>
            <w:tcW w:w="1247" w:type="pct"/>
            <w:gridSpan w:val="4"/>
            <w:shd w:val="clear" w:color="auto" w:fill="auto"/>
            <w:vAlign w:val="center"/>
          </w:tcPr>
          <w:p w14:paraId="73571E1D">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NO</w:t>
            </w:r>
            <w:r>
              <w:rPr>
                <w:rFonts w:cs="Times New Roman"/>
                <w:color w:val="auto"/>
                <w:sz w:val="21"/>
                <w:szCs w:val="21"/>
                <w:highlight w:val="none"/>
                <w:vertAlign w:val="subscript"/>
                <w:lang w:val="zh-CN"/>
              </w:rPr>
              <w:t>x</w:t>
            </w:r>
            <w:r>
              <w:rPr>
                <w:rFonts w:cs="Times New Roman"/>
                <w:color w:val="auto"/>
                <w:sz w:val="21"/>
                <w:szCs w:val="21"/>
                <w:highlight w:val="none"/>
                <w:lang w:val="zh-CN"/>
              </w:rPr>
              <w:t>:（</w:t>
            </w:r>
            <w:r>
              <w:rPr>
                <w:rFonts w:hint="eastAsia" w:cs="Times New Roman"/>
                <w:color w:val="auto"/>
                <w:sz w:val="21"/>
                <w:szCs w:val="21"/>
                <w:highlight w:val="none"/>
                <w:lang w:val="en-US" w:eastAsia="zh-CN"/>
              </w:rPr>
              <w:t xml:space="preserve"> </w:t>
            </w:r>
            <w:r>
              <w:rPr>
                <w:rFonts w:cs="Times New Roman"/>
                <w:color w:val="auto"/>
                <w:sz w:val="21"/>
                <w:szCs w:val="21"/>
                <w:highlight w:val="none"/>
                <w:lang w:val="zh-CN"/>
              </w:rPr>
              <w:t>）t/a</w:t>
            </w:r>
          </w:p>
        </w:tc>
        <w:tc>
          <w:tcPr>
            <w:tcW w:w="1090" w:type="pct"/>
            <w:gridSpan w:val="3"/>
            <w:shd w:val="clear" w:color="auto" w:fill="auto"/>
            <w:vAlign w:val="center"/>
          </w:tcPr>
          <w:p w14:paraId="0863FC7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lang w:val="zh-CN"/>
              </w:rPr>
              <w:t>颗粒物:（</w:t>
            </w:r>
            <w:r>
              <w:rPr>
                <w:rFonts w:hint="eastAsia" w:cs="Times New Roman"/>
                <w:color w:val="auto"/>
                <w:sz w:val="21"/>
                <w:szCs w:val="21"/>
                <w:highlight w:val="none"/>
                <w:lang w:val="en-US" w:eastAsia="zh-CN"/>
              </w:rPr>
              <w:t xml:space="preserve"> </w:t>
            </w:r>
            <w:r>
              <w:rPr>
                <w:rFonts w:cs="Times New Roman"/>
                <w:color w:val="auto"/>
                <w:sz w:val="21"/>
                <w:szCs w:val="21"/>
                <w:highlight w:val="none"/>
              </w:rPr>
              <w:t>）</w:t>
            </w:r>
            <w:r>
              <w:rPr>
                <w:rFonts w:cs="Times New Roman"/>
                <w:color w:val="auto"/>
                <w:sz w:val="21"/>
                <w:szCs w:val="21"/>
                <w:highlight w:val="none"/>
                <w:lang w:val="zh-CN"/>
              </w:rPr>
              <w:t>t/a</w:t>
            </w:r>
          </w:p>
        </w:tc>
        <w:tc>
          <w:tcPr>
            <w:tcW w:w="918" w:type="pct"/>
            <w:gridSpan w:val="3"/>
            <w:shd w:val="clear" w:color="auto" w:fill="auto"/>
            <w:vAlign w:val="center"/>
          </w:tcPr>
          <w:p w14:paraId="0B3EC68B">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VOC</w:t>
            </w:r>
            <w:r>
              <w:rPr>
                <w:rFonts w:cs="Times New Roman"/>
                <w:color w:val="auto"/>
                <w:sz w:val="21"/>
                <w:szCs w:val="21"/>
                <w:highlight w:val="none"/>
                <w:vertAlign w:val="subscript"/>
                <w:lang w:val="zh-CN"/>
              </w:rPr>
              <w:t>s</w:t>
            </w:r>
            <w:r>
              <w:rPr>
                <w:rFonts w:cs="Times New Roman"/>
                <w:color w:val="auto"/>
                <w:sz w:val="21"/>
                <w:szCs w:val="21"/>
                <w:highlight w:val="none"/>
                <w:lang w:val="zh-CN"/>
              </w:rPr>
              <w:t>:（   ）t/a</w:t>
            </w:r>
          </w:p>
        </w:tc>
      </w:tr>
      <w:tr w14:paraId="1582EB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8" w:hRule="atLeast"/>
          <w:jc w:val="center"/>
        </w:trPr>
        <w:tc>
          <w:tcPr>
            <w:tcW w:w="5000" w:type="pct"/>
            <w:gridSpan w:val="13"/>
            <w:shd w:val="clear" w:color="auto" w:fill="auto"/>
            <w:vAlign w:val="center"/>
          </w:tcPr>
          <w:p w14:paraId="2881D1F4">
            <w:pPr>
              <w:spacing w:line="360" w:lineRule="exact"/>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注：“</w:t>
            </w:r>
            <w:r>
              <w:rPr>
                <w:rFonts w:eastAsia="仿宋" w:cs="Times New Roman"/>
                <w:color w:val="auto"/>
                <w:sz w:val="21"/>
                <w:szCs w:val="21"/>
                <w:highlight w:val="none"/>
                <w:lang w:val="zh-CN"/>
              </w:rPr>
              <w:t>□</w:t>
            </w:r>
            <w:r>
              <w:rPr>
                <w:rFonts w:cs="Times New Roman"/>
                <w:color w:val="auto"/>
                <w:sz w:val="21"/>
                <w:szCs w:val="21"/>
                <w:highlight w:val="none"/>
                <w:lang w:val="zh-CN"/>
              </w:rPr>
              <w:t>” 为勾选项 ，填“√” ；“（   ）” 为内容填写项</w:t>
            </w:r>
          </w:p>
        </w:tc>
      </w:tr>
      <w:bookmarkEnd w:id="480"/>
    </w:tbl>
    <w:p w14:paraId="5D9A43D8">
      <w:pPr>
        <w:adjustRightInd/>
        <w:snapToGrid/>
        <w:spacing w:line="240" w:lineRule="auto"/>
        <w:ind w:firstLine="0" w:firstLineChars="0"/>
        <w:rPr>
          <w:rFonts w:cs="Times New Roman"/>
          <w:color w:val="auto"/>
          <w:kern w:val="0"/>
          <w:szCs w:val="24"/>
          <w:highlight w:val="none"/>
        </w:rPr>
      </w:pPr>
    </w:p>
    <w:p w14:paraId="72E9A0F6">
      <w:pPr>
        <w:adjustRightInd/>
        <w:snapToGrid/>
        <w:spacing w:line="240" w:lineRule="auto"/>
        <w:ind w:firstLine="0" w:firstLineChars="0"/>
        <w:rPr>
          <w:rFonts w:cs="Times New Roman"/>
          <w:color w:val="auto"/>
          <w:kern w:val="0"/>
          <w:szCs w:val="24"/>
          <w:highlight w:val="none"/>
        </w:rPr>
      </w:pPr>
    </w:p>
    <w:p w14:paraId="393959B6">
      <w:pPr>
        <w:adjustRightInd/>
        <w:snapToGrid/>
        <w:spacing w:line="240" w:lineRule="auto"/>
        <w:ind w:firstLine="0" w:firstLineChars="0"/>
        <w:rPr>
          <w:rFonts w:cs="Times New Roman"/>
          <w:color w:val="auto"/>
          <w:kern w:val="0"/>
          <w:szCs w:val="24"/>
          <w:highlight w:val="none"/>
        </w:rPr>
        <w:sectPr>
          <w:headerReference r:id="rId12" w:type="default"/>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0BCE4EDC">
      <w:pPr>
        <w:pStyle w:val="2"/>
        <w:rPr>
          <w:rFonts w:cs="Times New Roman"/>
          <w:color w:val="auto"/>
          <w:sz w:val="24"/>
          <w:szCs w:val="24"/>
          <w:highlight w:val="none"/>
        </w:rPr>
      </w:pPr>
      <w:bookmarkStart w:id="483" w:name="_Toc7630"/>
      <w:r>
        <w:rPr>
          <w:rFonts w:cs="Times New Roman"/>
          <w:color w:val="auto"/>
          <w:sz w:val="24"/>
          <w:szCs w:val="24"/>
          <w:highlight w:val="none"/>
        </w:rPr>
        <w:t>附表2  建设项目地表水环境影响评价自查表</w:t>
      </w:r>
      <w:bookmarkEnd w:id="483"/>
    </w:p>
    <w:p w14:paraId="3E7691E6">
      <w:pPr>
        <w:spacing w:line="500" w:lineRule="exact"/>
        <w:ind w:firstLine="0" w:firstLineChars="0"/>
        <w:jc w:val="center"/>
        <w:rPr>
          <w:rFonts w:cs="Times New Roman"/>
          <w:b/>
          <w:bCs/>
          <w:snapToGrid w:val="0"/>
          <w:color w:val="auto"/>
          <w:szCs w:val="24"/>
          <w:highlight w:val="none"/>
          <w:lang w:val="zh-CN"/>
        </w:rPr>
      </w:pPr>
      <w:r>
        <w:rPr>
          <w:rFonts w:cs="Times New Roman"/>
          <w:b/>
          <w:bCs/>
          <w:snapToGrid w:val="0"/>
          <w:color w:val="auto"/>
          <w:szCs w:val="24"/>
          <w:highlight w:val="none"/>
          <w:lang w:val="zh-CN"/>
        </w:rPr>
        <w:t>建设项目地表水环境影响评价自查表</w:t>
      </w:r>
    </w:p>
    <w:tbl>
      <w:tblPr>
        <w:tblStyle w:val="47"/>
        <w:tblW w:w="13619"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26"/>
        <w:gridCol w:w="2751"/>
        <w:gridCol w:w="2048"/>
        <w:gridCol w:w="512"/>
        <w:gridCol w:w="415"/>
        <w:gridCol w:w="439"/>
        <w:gridCol w:w="682"/>
        <w:gridCol w:w="1025"/>
        <w:gridCol w:w="1024"/>
        <w:gridCol w:w="256"/>
        <w:gridCol w:w="427"/>
        <w:gridCol w:w="1365"/>
        <w:gridCol w:w="51"/>
        <w:gridCol w:w="565"/>
        <w:gridCol w:w="1433"/>
      </w:tblGrid>
      <w:tr w14:paraId="3672C6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6" w:hRule="atLeast"/>
        </w:trPr>
        <w:tc>
          <w:tcPr>
            <w:tcW w:w="3377" w:type="dxa"/>
            <w:gridSpan w:val="2"/>
            <w:shd w:val="clear" w:color="auto" w:fill="auto"/>
            <w:noWrap/>
            <w:vAlign w:val="center"/>
          </w:tcPr>
          <w:p w14:paraId="3872AE68">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工作内容</w:t>
            </w:r>
          </w:p>
        </w:tc>
        <w:tc>
          <w:tcPr>
            <w:tcW w:w="10242" w:type="dxa"/>
            <w:gridSpan w:val="13"/>
            <w:shd w:val="clear" w:color="auto" w:fill="auto"/>
            <w:noWrap/>
            <w:vAlign w:val="center"/>
          </w:tcPr>
          <w:p w14:paraId="06CDAFDA">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自查项目</w:t>
            </w:r>
          </w:p>
        </w:tc>
      </w:tr>
      <w:tr w14:paraId="061B4E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7" w:hRule="atLeast"/>
        </w:trPr>
        <w:tc>
          <w:tcPr>
            <w:tcW w:w="626" w:type="dxa"/>
            <w:vMerge w:val="restart"/>
            <w:shd w:val="clear" w:color="auto" w:fill="auto"/>
            <w:noWrap/>
            <w:textDirection w:val="tbRlV"/>
            <w:vAlign w:val="center"/>
          </w:tcPr>
          <w:p w14:paraId="66D2C39E">
            <w:pPr>
              <w:spacing w:line="40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影响识别</w:t>
            </w:r>
          </w:p>
        </w:tc>
        <w:tc>
          <w:tcPr>
            <w:tcW w:w="2751" w:type="dxa"/>
            <w:shd w:val="clear" w:color="auto" w:fill="auto"/>
            <w:vAlign w:val="center"/>
          </w:tcPr>
          <w:p w14:paraId="6BF5431C">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影响类型</w:t>
            </w:r>
          </w:p>
        </w:tc>
        <w:tc>
          <w:tcPr>
            <w:tcW w:w="10242" w:type="dxa"/>
            <w:gridSpan w:val="13"/>
            <w:shd w:val="clear" w:color="auto" w:fill="auto"/>
            <w:noWrap/>
            <w:vAlign w:val="center"/>
          </w:tcPr>
          <w:p w14:paraId="6599FD30">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水污染影响型 </w:t>
            </w:r>
            <w:r>
              <w:rPr>
                <w:rFonts w:eastAsia="仿宋" w:cs="Times New Roman"/>
                <w:snapToGrid w:val="0"/>
                <w:color w:val="auto"/>
                <w:kern w:val="0"/>
                <w:sz w:val="18"/>
                <w:szCs w:val="20"/>
                <w:highlight w:val="none"/>
              </w:rPr>
              <w:t>√</w:t>
            </w:r>
            <w:r>
              <w:rPr>
                <w:rFonts w:cs="Times New Roman"/>
                <w:snapToGrid w:val="0"/>
                <w:color w:val="auto"/>
                <w:kern w:val="0"/>
                <w:sz w:val="18"/>
                <w:szCs w:val="18"/>
                <w:highlight w:val="none"/>
              </w:rPr>
              <w:t>；水文要素影响型 □</w:t>
            </w:r>
          </w:p>
        </w:tc>
      </w:tr>
      <w:tr w14:paraId="6D5EF5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01595332">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4C675625">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水环境保护目标</w:t>
            </w:r>
          </w:p>
        </w:tc>
        <w:tc>
          <w:tcPr>
            <w:tcW w:w="10242" w:type="dxa"/>
            <w:gridSpan w:val="13"/>
            <w:shd w:val="clear" w:color="auto" w:fill="auto"/>
            <w:vAlign w:val="center"/>
          </w:tcPr>
          <w:p w14:paraId="2AD6869C">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饮用水水源保护区 □；饮用水取水口 □；涉水的自然保护区 □；重要湿地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 xml:space="preserve">重点保护与珍稀水生生物的栖息地 □；重要水生生物的自然产卵场及索饵场、越冬场和洄游通道、天然渔场等渔业水体 □；涉水的风景名胜区 □；其他 </w:t>
            </w:r>
            <w:r>
              <w:rPr>
                <w:rFonts w:cs="Times New Roman"/>
                <w:snapToGrid w:val="0"/>
                <w:color w:val="auto"/>
                <w:kern w:val="0"/>
                <w:sz w:val="18"/>
                <w:szCs w:val="18"/>
                <w:highlight w:val="none"/>
              </w:rPr>
              <w:sym w:font="Wingdings 2" w:char="0052"/>
            </w:r>
          </w:p>
        </w:tc>
      </w:tr>
      <w:tr w14:paraId="358D59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258F5A7A">
            <w:pPr>
              <w:spacing w:line="280" w:lineRule="exact"/>
              <w:ind w:firstLine="0" w:firstLineChars="0"/>
              <w:jc w:val="left"/>
              <w:rPr>
                <w:rFonts w:cs="Times New Roman"/>
                <w:snapToGrid w:val="0"/>
                <w:color w:val="auto"/>
                <w:kern w:val="0"/>
                <w:sz w:val="18"/>
                <w:szCs w:val="18"/>
                <w:highlight w:val="none"/>
              </w:rPr>
            </w:pPr>
          </w:p>
        </w:tc>
        <w:tc>
          <w:tcPr>
            <w:tcW w:w="2751" w:type="dxa"/>
            <w:vMerge w:val="restart"/>
            <w:shd w:val="clear" w:color="auto" w:fill="auto"/>
            <w:vAlign w:val="center"/>
          </w:tcPr>
          <w:p w14:paraId="3669193E">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影响途径</w:t>
            </w:r>
          </w:p>
        </w:tc>
        <w:tc>
          <w:tcPr>
            <w:tcW w:w="5121" w:type="dxa"/>
            <w:gridSpan w:val="6"/>
            <w:shd w:val="clear" w:color="auto" w:fill="auto"/>
            <w:vAlign w:val="center"/>
          </w:tcPr>
          <w:p w14:paraId="06EA669B">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水污染影响型</w:t>
            </w:r>
          </w:p>
        </w:tc>
        <w:tc>
          <w:tcPr>
            <w:tcW w:w="5121" w:type="dxa"/>
            <w:gridSpan w:val="7"/>
            <w:shd w:val="clear" w:color="auto" w:fill="auto"/>
            <w:vAlign w:val="center"/>
          </w:tcPr>
          <w:p w14:paraId="66F4CBBA">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水文要素影响型</w:t>
            </w:r>
          </w:p>
        </w:tc>
      </w:tr>
      <w:tr w14:paraId="7EC416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7EF8E367">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305BEE9C">
            <w:pPr>
              <w:spacing w:line="280" w:lineRule="exact"/>
              <w:ind w:firstLine="0" w:firstLineChars="0"/>
              <w:jc w:val="center"/>
              <w:rPr>
                <w:rFonts w:cs="Times New Roman"/>
                <w:snapToGrid w:val="0"/>
                <w:color w:val="auto"/>
                <w:kern w:val="0"/>
                <w:sz w:val="18"/>
                <w:szCs w:val="18"/>
                <w:highlight w:val="none"/>
              </w:rPr>
            </w:pPr>
          </w:p>
        </w:tc>
        <w:tc>
          <w:tcPr>
            <w:tcW w:w="5121" w:type="dxa"/>
            <w:gridSpan w:val="6"/>
            <w:shd w:val="clear" w:color="auto" w:fill="auto"/>
            <w:vAlign w:val="center"/>
          </w:tcPr>
          <w:p w14:paraId="6A0DFAAD">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直接排放 □；间接排放 </w:t>
            </w:r>
            <w:r>
              <w:rPr>
                <w:rFonts w:eastAsia="仿宋" w:cs="Times New Roman"/>
                <w:snapToGrid w:val="0"/>
                <w:color w:val="auto"/>
                <w:kern w:val="0"/>
                <w:sz w:val="18"/>
                <w:szCs w:val="20"/>
                <w:highlight w:val="none"/>
              </w:rPr>
              <w:t>√</w:t>
            </w:r>
            <w:r>
              <w:rPr>
                <w:rFonts w:cs="Times New Roman"/>
                <w:snapToGrid w:val="0"/>
                <w:color w:val="auto"/>
                <w:kern w:val="0"/>
                <w:sz w:val="18"/>
                <w:szCs w:val="18"/>
                <w:highlight w:val="none"/>
              </w:rPr>
              <w:t>；其他 □</w:t>
            </w:r>
          </w:p>
        </w:tc>
        <w:tc>
          <w:tcPr>
            <w:tcW w:w="5121" w:type="dxa"/>
            <w:gridSpan w:val="7"/>
            <w:shd w:val="clear" w:color="auto" w:fill="auto"/>
            <w:vAlign w:val="center"/>
          </w:tcPr>
          <w:p w14:paraId="74E3370F">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水温 □；径流 □；水域面积 □</w:t>
            </w:r>
          </w:p>
        </w:tc>
      </w:tr>
      <w:tr w14:paraId="4898FF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5627F1E2">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0E5EA69E">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影响因子</w:t>
            </w:r>
          </w:p>
        </w:tc>
        <w:tc>
          <w:tcPr>
            <w:tcW w:w="5121" w:type="dxa"/>
            <w:gridSpan w:val="6"/>
            <w:shd w:val="clear" w:color="auto" w:fill="auto"/>
            <w:vAlign w:val="center"/>
          </w:tcPr>
          <w:p w14:paraId="7FDCB730">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持久性污染物 □；有毒有害污染物 □；非持久性污染物 </w:t>
            </w:r>
            <w:r>
              <w:rPr>
                <w:rFonts w:cs="Times New Roman"/>
                <w:snapToGrid w:val="0"/>
                <w:color w:val="auto"/>
                <w:kern w:val="0"/>
                <w:sz w:val="18"/>
                <w:szCs w:val="18"/>
                <w:highlight w:val="none"/>
              </w:rPr>
              <w:sym w:font="Wingdings 2" w:char="0052"/>
            </w:r>
            <w:r>
              <w:rPr>
                <w:rFonts w:cs="Times New Roman"/>
                <w:snapToGrid w:val="0"/>
                <w:color w:val="auto"/>
                <w:kern w:val="0"/>
                <w:sz w:val="18"/>
                <w:szCs w:val="18"/>
                <w:highlight w:val="none"/>
              </w:rPr>
              <w:t xml:space="preserve">；pH值 □；热污染 □；富营养化 </w:t>
            </w:r>
            <w:r>
              <w:rPr>
                <w:rFonts w:cs="Times New Roman"/>
                <w:snapToGrid w:val="0"/>
                <w:color w:val="auto"/>
                <w:kern w:val="0"/>
                <w:sz w:val="18"/>
                <w:szCs w:val="18"/>
                <w:highlight w:val="none"/>
              </w:rPr>
              <w:sym w:font="Wingdings 2" w:char="0052"/>
            </w:r>
            <w:r>
              <w:rPr>
                <w:rFonts w:cs="Times New Roman"/>
                <w:snapToGrid w:val="0"/>
                <w:color w:val="auto"/>
                <w:kern w:val="0"/>
                <w:sz w:val="18"/>
                <w:szCs w:val="18"/>
                <w:highlight w:val="none"/>
              </w:rPr>
              <w:t>；其他 □</w:t>
            </w:r>
          </w:p>
        </w:tc>
        <w:tc>
          <w:tcPr>
            <w:tcW w:w="5121" w:type="dxa"/>
            <w:gridSpan w:val="7"/>
            <w:shd w:val="clear" w:color="auto" w:fill="auto"/>
            <w:vAlign w:val="center"/>
          </w:tcPr>
          <w:p w14:paraId="4D139CBB">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水温 □；水位（水深） □；流速 □；流量 □；其他 □</w:t>
            </w:r>
          </w:p>
        </w:tc>
      </w:tr>
      <w:tr w14:paraId="4E1D2F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3377" w:type="dxa"/>
            <w:gridSpan w:val="2"/>
            <w:vMerge w:val="restart"/>
            <w:shd w:val="clear" w:color="auto" w:fill="auto"/>
            <w:noWrap/>
            <w:vAlign w:val="center"/>
          </w:tcPr>
          <w:p w14:paraId="676C2922">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评价等级</w:t>
            </w:r>
          </w:p>
        </w:tc>
        <w:tc>
          <w:tcPr>
            <w:tcW w:w="5121" w:type="dxa"/>
            <w:gridSpan w:val="6"/>
            <w:shd w:val="clear" w:color="auto" w:fill="auto"/>
            <w:noWrap/>
            <w:vAlign w:val="center"/>
          </w:tcPr>
          <w:p w14:paraId="4EB4A2D7">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水污染影响型</w:t>
            </w:r>
          </w:p>
        </w:tc>
        <w:tc>
          <w:tcPr>
            <w:tcW w:w="5121" w:type="dxa"/>
            <w:gridSpan w:val="7"/>
            <w:shd w:val="clear" w:color="auto" w:fill="auto"/>
            <w:vAlign w:val="center"/>
          </w:tcPr>
          <w:p w14:paraId="7972A0C2">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水文要素影响型</w:t>
            </w:r>
          </w:p>
        </w:tc>
      </w:tr>
      <w:tr w14:paraId="3901A7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3377" w:type="dxa"/>
            <w:gridSpan w:val="2"/>
            <w:vMerge w:val="continue"/>
            <w:shd w:val="clear" w:color="auto" w:fill="auto"/>
            <w:noWrap/>
            <w:vAlign w:val="center"/>
          </w:tcPr>
          <w:p w14:paraId="4017F473">
            <w:pPr>
              <w:spacing w:line="280" w:lineRule="exact"/>
              <w:ind w:firstLine="0" w:firstLineChars="0"/>
              <w:jc w:val="center"/>
              <w:rPr>
                <w:rFonts w:cs="Times New Roman"/>
                <w:snapToGrid w:val="0"/>
                <w:color w:val="auto"/>
                <w:kern w:val="0"/>
                <w:sz w:val="18"/>
                <w:szCs w:val="18"/>
                <w:highlight w:val="none"/>
              </w:rPr>
            </w:pPr>
          </w:p>
        </w:tc>
        <w:tc>
          <w:tcPr>
            <w:tcW w:w="5121" w:type="dxa"/>
            <w:gridSpan w:val="6"/>
            <w:shd w:val="clear" w:color="auto" w:fill="auto"/>
            <w:noWrap/>
            <w:vAlign w:val="center"/>
          </w:tcPr>
          <w:p w14:paraId="267AA9FD">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一级 □；二级 □；三级A □；三级B </w:t>
            </w:r>
            <w:r>
              <w:rPr>
                <w:rFonts w:eastAsia="仿宋" w:cs="Times New Roman"/>
                <w:snapToGrid w:val="0"/>
                <w:color w:val="auto"/>
                <w:kern w:val="0"/>
                <w:sz w:val="18"/>
                <w:szCs w:val="20"/>
                <w:highlight w:val="none"/>
              </w:rPr>
              <w:t>√</w:t>
            </w:r>
          </w:p>
        </w:tc>
        <w:tc>
          <w:tcPr>
            <w:tcW w:w="5121" w:type="dxa"/>
            <w:gridSpan w:val="7"/>
            <w:shd w:val="clear" w:color="auto" w:fill="auto"/>
            <w:vAlign w:val="center"/>
          </w:tcPr>
          <w:p w14:paraId="337CB29B">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一级 □；二级 □；三级 □</w:t>
            </w:r>
          </w:p>
        </w:tc>
      </w:tr>
      <w:tr w14:paraId="25A9AF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restart"/>
            <w:shd w:val="clear" w:color="auto" w:fill="auto"/>
            <w:noWrap/>
            <w:textDirection w:val="tbRlV"/>
            <w:vAlign w:val="center"/>
          </w:tcPr>
          <w:p w14:paraId="16998350">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现状调查</w:t>
            </w:r>
          </w:p>
        </w:tc>
        <w:tc>
          <w:tcPr>
            <w:tcW w:w="2751" w:type="dxa"/>
            <w:vMerge w:val="restart"/>
            <w:shd w:val="clear" w:color="auto" w:fill="auto"/>
            <w:vAlign w:val="center"/>
          </w:tcPr>
          <w:p w14:paraId="76997405">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区域污染源</w:t>
            </w:r>
          </w:p>
        </w:tc>
        <w:tc>
          <w:tcPr>
            <w:tcW w:w="5121" w:type="dxa"/>
            <w:gridSpan w:val="6"/>
            <w:shd w:val="clear" w:color="auto" w:fill="auto"/>
            <w:noWrap/>
            <w:vAlign w:val="center"/>
          </w:tcPr>
          <w:p w14:paraId="208E2A81">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调查项目</w:t>
            </w:r>
          </w:p>
        </w:tc>
        <w:tc>
          <w:tcPr>
            <w:tcW w:w="5121" w:type="dxa"/>
            <w:gridSpan w:val="7"/>
            <w:shd w:val="clear" w:color="auto" w:fill="auto"/>
            <w:noWrap/>
            <w:vAlign w:val="center"/>
          </w:tcPr>
          <w:p w14:paraId="5F000E63">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数据来源</w:t>
            </w:r>
          </w:p>
        </w:tc>
      </w:tr>
      <w:tr w14:paraId="283037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34" w:hRule="atLeast"/>
        </w:trPr>
        <w:tc>
          <w:tcPr>
            <w:tcW w:w="626" w:type="dxa"/>
            <w:vMerge w:val="continue"/>
            <w:shd w:val="clear" w:color="auto" w:fill="auto"/>
            <w:vAlign w:val="center"/>
          </w:tcPr>
          <w:p w14:paraId="7E7109EF">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04AEF8E3">
            <w:pPr>
              <w:spacing w:line="280" w:lineRule="exact"/>
              <w:ind w:firstLine="0" w:firstLineChars="0"/>
              <w:jc w:val="left"/>
              <w:rPr>
                <w:rFonts w:cs="Times New Roman"/>
                <w:snapToGrid w:val="0"/>
                <w:color w:val="auto"/>
                <w:kern w:val="0"/>
                <w:sz w:val="18"/>
                <w:szCs w:val="18"/>
                <w:highlight w:val="none"/>
              </w:rPr>
            </w:pPr>
          </w:p>
        </w:tc>
        <w:tc>
          <w:tcPr>
            <w:tcW w:w="2975" w:type="dxa"/>
            <w:gridSpan w:val="3"/>
            <w:shd w:val="clear" w:color="auto" w:fill="auto"/>
            <w:vAlign w:val="center"/>
          </w:tcPr>
          <w:p w14:paraId="7ED5AB8C">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已建 □；在建 □；拟建 □；其他 </w:t>
            </w:r>
            <w:r>
              <w:rPr>
                <w:rFonts w:eastAsia="仿宋" w:cs="Times New Roman"/>
                <w:snapToGrid w:val="0"/>
                <w:color w:val="auto"/>
                <w:kern w:val="0"/>
                <w:sz w:val="18"/>
                <w:szCs w:val="20"/>
                <w:highlight w:val="none"/>
              </w:rPr>
              <w:t>√</w:t>
            </w:r>
          </w:p>
        </w:tc>
        <w:tc>
          <w:tcPr>
            <w:tcW w:w="2146" w:type="dxa"/>
            <w:gridSpan w:val="3"/>
            <w:shd w:val="clear" w:color="auto" w:fill="auto"/>
            <w:vAlign w:val="center"/>
          </w:tcPr>
          <w:p w14:paraId="1A64561E">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拟替代的污染源 □</w:t>
            </w:r>
          </w:p>
        </w:tc>
        <w:tc>
          <w:tcPr>
            <w:tcW w:w="5121" w:type="dxa"/>
            <w:gridSpan w:val="7"/>
            <w:shd w:val="clear" w:color="auto" w:fill="auto"/>
            <w:vAlign w:val="center"/>
          </w:tcPr>
          <w:p w14:paraId="23546511">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排污许可证 □；环评 □；环保验收 □；既有实测 □；现场监测 □；入河排放口数据 □；其他 </w:t>
            </w:r>
            <w:r>
              <w:rPr>
                <w:rFonts w:eastAsia="仿宋" w:cs="Times New Roman"/>
                <w:snapToGrid w:val="0"/>
                <w:color w:val="auto"/>
                <w:kern w:val="0"/>
                <w:sz w:val="18"/>
                <w:szCs w:val="20"/>
                <w:highlight w:val="none"/>
              </w:rPr>
              <w:t>√</w:t>
            </w:r>
          </w:p>
        </w:tc>
      </w:tr>
      <w:tr w14:paraId="1AE724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465F6176">
            <w:pPr>
              <w:spacing w:line="280" w:lineRule="exact"/>
              <w:ind w:firstLine="0" w:firstLineChars="0"/>
              <w:jc w:val="left"/>
              <w:rPr>
                <w:rFonts w:cs="Times New Roman"/>
                <w:snapToGrid w:val="0"/>
                <w:color w:val="auto"/>
                <w:kern w:val="0"/>
                <w:sz w:val="18"/>
                <w:szCs w:val="18"/>
                <w:highlight w:val="none"/>
              </w:rPr>
            </w:pPr>
          </w:p>
        </w:tc>
        <w:tc>
          <w:tcPr>
            <w:tcW w:w="2751" w:type="dxa"/>
            <w:vMerge w:val="restart"/>
            <w:shd w:val="clear" w:color="auto" w:fill="auto"/>
            <w:vAlign w:val="center"/>
          </w:tcPr>
          <w:p w14:paraId="4AD77B53">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受影响水体水环境质量　</w:t>
            </w:r>
          </w:p>
        </w:tc>
        <w:tc>
          <w:tcPr>
            <w:tcW w:w="5121" w:type="dxa"/>
            <w:gridSpan w:val="6"/>
            <w:shd w:val="clear" w:color="auto" w:fill="auto"/>
            <w:noWrap/>
            <w:vAlign w:val="center"/>
          </w:tcPr>
          <w:p w14:paraId="6A520FFE">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调查时期</w:t>
            </w:r>
          </w:p>
        </w:tc>
        <w:tc>
          <w:tcPr>
            <w:tcW w:w="5121" w:type="dxa"/>
            <w:gridSpan w:val="7"/>
            <w:shd w:val="clear" w:color="auto" w:fill="auto"/>
            <w:noWrap/>
            <w:vAlign w:val="center"/>
          </w:tcPr>
          <w:p w14:paraId="796F731F">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数据来源</w:t>
            </w:r>
          </w:p>
        </w:tc>
      </w:tr>
      <w:tr w14:paraId="1D6274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81" w:hRule="atLeast"/>
        </w:trPr>
        <w:tc>
          <w:tcPr>
            <w:tcW w:w="626" w:type="dxa"/>
            <w:vMerge w:val="continue"/>
            <w:shd w:val="clear" w:color="auto" w:fill="auto"/>
            <w:vAlign w:val="center"/>
          </w:tcPr>
          <w:p w14:paraId="74F58CCF">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5345CB08">
            <w:pPr>
              <w:spacing w:line="280" w:lineRule="exact"/>
              <w:ind w:firstLine="0" w:firstLineChars="0"/>
              <w:jc w:val="center"/>
              <w:rPr>
                <w:rFonts w:cs="Times New Roman"/>
                <w:snapToGrid w:val="0"/>
                <w:color w:val="auto"/>
                <w:kern w:val="0"/>
                <w:sz w:val="18"/>
                <w:szCs w:val="18"/>
                <w:highlight w:val="none"/>
              </w:rPr>
            </w:pPr>
          </w:p>
        </w:tc>
        <w:tc>
          <w:tcPr>
            <w:tcW w:w="5121" w:type="dxa"/>
            <w:gridSpan w:val="6"/>
            <w:shd w:val="clear" w:color="auto" w:fill="auto"/>
            <w:vAlign w:val="center"/>
          </w:tcPr>
          <w:p w14:paraId="3B33ECD1">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丰水期 □；平水期 </w:t>
            </w:r>
            <w:r>
              <w:rPr>
                <w:rFonts w:cs="Times New Roman"/>
                <w:snapToGrid w:val="0"/>
                <w:color w:val="auto"/>
                <w:kern w:val="0"/>
                <w:sz w:val="18"/>
                <w:szCs w:val="18"/>
                <w:highlight w:val="none"/>
              </w:rPr>
              <w:sym w:font="Wingdings 2" w:char="0052"/>
            </w:r>
            <w:r>
              <w:rPr>
                <w:rFonts w:cs="Times New Roman"/>
                <w:snapToGrid w:val="0"/>
                <w:color w:val="auto"/>
                <w:kern w:val="0"/>
                <w:sz w:val="18"/>
                <w:szCs w:val="18"/>
                <w:highlight w:val="none"/>
              </w:rPr>
              <w:t>；枯水期 □；冰封期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 xml:space="preserve">春季 </w:t>
            </w:r>
            <w:r>
              <w:rPr>
                <w:rFonts w:eastAsia="仿宋" w:cs="Times New Roman"/>
                <w:snapToGrid w:val="0"/>
                <w:color w:val="auto"/>
                <w:kern w:val="0"/>
                <w:sz w:val="18"/>
                <w:szCs w:val="20"/>
                <w:highlight w:val="none"/>
              </w:rPr>
              <w:t>√</w:t>
            </w:r>
            <w:r>
              <w:rPr>
                <w:rFonts w:cs="Times New Roman"/>
                <w:snapToGrid w:val="0"/>
                <w:color w:val="auto"/>
                <w:kern w:val="0"/>
                <w:sz w:val="18"/>
                <w:szCs w:val="18"/>
                <w:highlight w:val="none"/>
              </w:rPr>
              <w:t xml:space="preserve">；夏季 </w:t>
            </w:r>
            <w:r>
              <w:rPr>
                <w:rFonts w:eastAsia="仿宋" w:cs="Times New Roman"/>
                <w:snapToGrid w:val="0"/>
                <w:color w:val="auto"/>
                <w:kern w:val="0"/>
                <w:sz w:val="18"/>
                <w:szCs w:val="20"/>
                <w:highlight w:val="none"/>
              </w:rPr>
              <w:t>√</w:t>
            </w:r>
            <w:r>
              <w:rPr>
                <w:rFonts w:cs="Times New Roman"/>
                <w:snapToGrid w:val="0"/>
                <w:color w:val="auto"/>
                <w:kern w:val="0"/>
                <w:sz w:val="18"/>
                <w:szCs w:val="18"/>
                <w:highlight w:val="none"/>
              </w:rPr>
              <w:t xml:space="preserve">；秋季 </w:t>
            </w:r>
            <w:r>
              <w:rPr>
                <w:rFonts w:eastAsia="仿宋" w:cs="Times New Roman"/>
                <w:snapToGrid w:val="0"/>
                <w:color w:val="auto"/>
                <w:kern w:val="0"/>
                <w:sz w:val="18"/>
                <w:szCs w:val="20"/>
                <w:highlight w:val="none"/>
              </w:rPr>
              <w:t>√</w:t>
            </w:r>
            <w:r>
              <w:rPr>
                <w:rFonts w:cs="Times New Roman"/>
                <w:snapToGrid w:val="0"/>
                <w:color w:val="auto"/>
                <w:kern w:val="0"/>
                <w:sz w:val="18"/>
                <w:szCs w:val="18"/>
                <w:highlight w:val="none"/>
              </w:rPr>
              <w:t xml:space="preserve">；冬季 </w:t>
            </w:r>
            <w:r>
              <w:rPr>
                <w:rFonts w:eastAsia="仿宋" w:cs="Times New Roman"/>
                <w:snapToGrid w:val="0"/>
                <w:color w:val="auto"/>
                <w:kern w:val="0"/>
                <w:sz w:val="18"/>
                <w:szCs w:val="20"/>
                <w:highlight w:val="none"/>
              </w:rPr>
              <w:t>√</w:t>
            </w:r>
          </w:p>
        </w:tc>
        <w:tc>
          <w:tcPr>
            <w:tcW w:w="5121" w:type="dxa"/>
            <w:gridSpan w:val="7"/>
            <w:shd w:val="clear" w:color="auto" w:fill="auto"/>
            <w:noWrap/>
            <w:vAlign w:val="center"/>
          </w:tcPr>
          <w:p w14:paraId="7731F4A4">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生态环境保护主管部门 </w:t>
            </w:r>
            <w:r>
              <w:rPr>
                <w:rFonts w:eastAsia="仿宋" w:cs="Times New Roman"/>
                <w:snapToGrid w:val="0"/>
                <w:color w:val="auto"/>
                <w:kern w:val="0"/>
                <w:sz w:val="18"/>
                <w:szCs w:val="20"/>
                <w:highlight w:val="none"/>
              </w:rPr>
              <w:t>√</w:t>
            </w:r>
            <w:r>
              <w:rPr>
                <w:rFonts w:cs="Times New Roman"/>
                <w:snapToGrid w:val="0"/>
                <w:color w:val="auto"/>
                <w:kern w:val="0"/>
                <w:sz w:val="18"/>
                <w:szCs w:val="18"/>
                <w:highlight w:val="none"/>
              </w:rPr>
              <w:t>；补充监测 □；其他 □</w:t>
            </w:r>
          </w:p>
        </w:tc>
      </w:tr>
      <w:tr w14:paraId="768DF5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3D4CCC97">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20F7D1F6">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区域水资源开发利用状况</w:t>
            </w:r>
          </w:p>
        </w:tc>
        <w:tc>
          <w:tcPr>
            <w:tcW w:w="10242" w:type="dxa"/>
            <w:gridSpan w:val="13"/>
            <w:shd w:val="clear" w:color="auto" w:fill="auto"/>
            <w:noWrap/>
            <w:vAlign w:val="center"/>
          </w:tcPr>
          <w:p w14:paraId="173ABFDC">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未开发 □；开发量40%以下 □；开发量40%以上 □</w:t>
            </w:r>
          </w:p>
        </w:tc>
      </w:tr>
      <w:tr w14:paraId="735470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58BC0BB7">
            <w:pPr>
              <w:spacing w:line="280" w:lineRule="exact"/>
              <w:ind w:firstLine="0" w:firstLineChars="0"/>
              <w:jc w:val="left"/>
              <w:rPr>
                <w:rFonts w:cs="Times New Roman"/>
                <w:snapToGrid w:val="0"/>
                <w:color w:val="auto"/>
                <w:kern w:val="0"/>
                <w:sz w:val="18"/>
                <w:szCs w:val="18"/>
                <w:highlight w:val="none"/>
              </w:rPr>
            </w:pPr>
          </w:p>
        </w:tc>
        <w:tc>
          <w:tcPr>
            <w:tcW w:w="2751" w:type="dxa"/>
            <w:vMerge w:val="restart"/>
            <w:shd w:val="clear" w:color="auto" w:fill="auto"/>
            <w:vAlign w:val="center"/>
          </w:tcPr>
          <w:p w14:paraId="4088E759">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水文情势调查　</w:t>
            </w:r>
          </w:p>
        </w:tc>
        <w:tc>
          <w:tcPr>
            <w:tcW w:w="5121" w:type="dxa"/>
            <w:gridSpan w:val="6"/>
            <w:shd w:val="clear" w:color="auto" w:fill="auto"/>
            <w:noWrap/>
            <w:vAlign w:val="center"/>
          </w:tcPr>
          <w:p w14:paraId="34085DB2">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调查时期</w:t>
            </w:r>
          </w:p>
        </w:tc>
        <w:tc>
          <w:tcPr>
            <w:tcW w:w="5121" w:type="dxa"/>
            <w:gridSpan w:val="7"/>
            <w:shd w:val="clear" w:color="auto" w:fill="auto"/>
            <w:noWrap/>
            <w:vAlign w:val="center"/>
          </w:tcPr>
          <w:p w14:paraId="2204BE0E">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数据来源</w:t>
            </w:r>
          </w:p>
        </w:tc>
      </w:tr>
      <w:tr w14:paraId="24DF6F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02" w:hRule="atLeast"/>
        </w:trPr>
        <w:tc>
          <w:tcPr>
            <w:tcW w:w="626" w:type="dxa"/>
            <w:vMerge w:val="continue"/>
            <w:shd w:val="clear" w:color="auto" w:fill="auto"/>
            <w:vAlign w:val="center"/>
          </w:tcPr>
          <w:p w14:paraId="57EE5D39">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3137D39A">
            <w:pPr>
              <w:spacing w:line="280" w:lineRule="exact"/>
              <w:ind w:firstLine="0" w:firstLineChars="0"/>
              <w:jc w:val="center"/>
              <w:rPr>
                <w:rFonts w:cs="Times New Roman"/>
                <w:snapToGrid w:val="0"/>
                <w:color w:val="auto"/>
                <w:kern w:val="0"/>
                <w:sz w:val="18"/>
                <w:szCs w:val="18"/>
                <w:highlight w:val="none"/>
              </w:rPr>
            </w:pPr>
          </w:p>
        </w:tc>
        <w:tc>
          <w:tcPr>
            <w:tcW w:w="5121" w:type="dxa"/>
            <w:gridSpan w:val="6"/>
            <w:shd w:val="clear" w:color="auto" w:fill="auto"/>
            <w:vAlign w:val="center"/>
          </w:tcPr>
          <w:p w14:paraId="506F6800">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丰水期 □；平水期 □；枯水期 □；冰封期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春季 □；夏季 □；秋季 □；冬季 □</w:t>
            </w:r>
          </w:p>
        </w:tc>
        <w:tc>
          <w:tcPr>
            <w:tcW w:w="5121" w:type="dxa"/>
            <w:gridSpan w:val="7"/>
            <w:shd w:val="clear" w:color="auto" w:fill="auto"/>
            <w:noWrap/>
            <w:vAlign w:val="center"/>
          </w:tcPr>
          <w:p w14:paraId="7FC10651">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水行政主管部门 □；补充监测 □；其他 □</w:t>
            </w:r>
          </w:p>
        </w:tc>
      </w:tr>
      <w:tr w14:paraId="1239E4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629A7F46">
            <w:pPr>
              <w:spacing w:line="280" w:lineRule="exact"/>
              <w:ind w:firstLine="0" w:firstLineChars="0"/>
              <w:jc w:val="left"/>
              <w:rPr>
                <w:rFonts w:cs="Times New Roman"/>
                <w:snapToGrid w:val="0"/>
                <w:color w:val="auto"/>
                <w:kern w:val="0"/>
                <w:sz w:val="18"/>
                <w:szCs w:val="18"/>
                <w:highlight w:val="none"/>
              </w:rPr>
            </w:pPr>
          </w:p>
        </w:tc>
        <w:tc>
          <w:tcPr>
            <w:tcW w:w="2751" w:type="dxa"/>
            <w:vMerge w:val="restart"/>
            <w:shd w:val="clear" w:color="auto" w:fill="auto"/>
            <w:vAlign w:val="center"/>
          </w:tcPr>
          <w:p w14:paraId="221E47C6">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补充监测　</w:t>
            </w:r>
          </w:p>
        </w:tc>
        <w:tc>
          <w:tcPr>
            <w:tcW w:w="5121" w:type="dxa"/>
            <w:gridSpan w:val="6"/>
            <w:shd w:val="clear" w:color="auto" w:fill="auto"/>
            <w:vAlign w:val="center"/>
          </w:tcPr>
          <w:p w14:paraId="3E48831D">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监测时期</w:t>
            </w:r>
          </w:p>
        </w:tc>
        <w:tc>
          <w:tcPr>
            <w:tcW w:w="3123" w:type="dxa"/>
            <w:gridSpan w:val="5"/>
            <w:shd w:val="clear" w:color="auto" w:fill="auto"/>
            <w:noWrap/>
            <w:vAlign w:val="center"/>
          </w:tcPr>
          <w:p w14:paraId="79C997FA">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监测因子</w:t>
            </w:r>
          </w:p>
        </w:tc>
        <w:tc>
          <w:tcPr>
            <w:tcW w:w="1998" w:type="dxa"/>
            <w:gridSpan w:val="2"/>
            <w:shd w:val="clear" w:color="auto" w:fill="auto"/>
            <w:noWrap/>
            <w:vAlign w:val="center"/>
          </w:tcPr>
          <w:p w14:paraId="4B96A723">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监测断面或点位</w:t>
            </w:r>
          </w:p>
        </w:tc>
      </w:tr>
      <w:tr w14:paraId="0CB80D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02" w:hRule="atLeast"/>
        </w:trPr>
        <w:tc>
          <w:tcPr>
            <w:tcW w:w="626" w:type="dxa"/>
            <w:vMerge w:val="continue"/>
            <w:shd w:val="clear" w:color="auto" w:fill="auto"/>
            <w:vAlign w:val="center"/>
          </w:tcPr>
          <w:p w14:paraId="05A14DBE">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492D275B">
            <w:pPr>
              <w:spacing w:line="280" w:lineRule="exact"/>
              <w:ind w:firstLine="0" w:firstLineChars="0"/>
              <w:jc w:val="center"/>
              <w:rPr>
                <w:rFonts w:cs="Times New Roman"/>
                <w:snapToGrid w:val="0"/>
                <w:color w:val="auto"/>
                <w:kern w:val="0"/>
                <w:sz w:val="18"/>
                <w:szCs w:val="18"/>
                <w:highlight w:val="none"/>
              </w:rPr>
            </w:pPr>
          </w:p>
        </w:tc>
        <w:tc>
          <w:tcPr>
            <w:tcW w:w="5121" w:type="dxa"/>
            <w:gridSpan w:val="6"/>
            <w:shd w:val="clear" w:color="auto" w:fill="auto"/>
            <w:vAlign w:val="center"/>
          </w:tcPr>
          <w:p w14:paraId="6B7B0DB5">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丰水期 □；平水期 </w:t>
            </w:r>
            <w:r>
              <w:rPr>
                <w:rFonts w:cs="Times New Roman"/>
                <w:snapToGrid w:val="0"/>
                <w:color w:val="auto"/>
                <w:kern w:val="0"/>
                <w:sz w:val="18"/>
                <w:szCs w:val="18"/>
                <w:highlight w:val="none"/>
              </w:rPr>
              <w:sym w:font="Wingdings 2" w:char="00A3"/>
            </w:r>
            <w:r>
              <w:rPr>
                <w:rFonts w:cs="Times New Roman"/>
                <w:snapToGrid w:val="0"/>
                <w:color w:val="auto"/>
                <w:kern w:val="0"/>
                <w:sz w:val="18"/>
                <w:szCs w:val="18"/>
                <w:highlight w:val="none"/>
              </w:rPr>
              <w:t>；枯水期 □；冰封期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春季 □；夏季 □；秋季 □；冬季 □</w:t>
            </w:r>
          </w:p>
        </w:tc>
        <w:tc>
          <w:tcPr>
            <w:tcW w:w="3123" w:type="dxa"/>
            <w:gridSpan w:val="5"/>
            <w:shd w:val="clear" w:color="auto" w:fill="auto"/>
            <w:noWrap/>
            <w:vAlign w:val="center"/>
          </w:tcPr>
          <w:p w14:paraId="449AC72F">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   ）</w:t>
            </w:r>
          </w:p>
        </w:tc>
        <w:tc>
          <w:tcPr>
            <w:tcW w:w="1998" w:type="dxa"/>
            <w:gridSpan w:val="2"/>
            <w:shd w:val="clear" w:color="auto" w:fill="auto"/>
            <w:noWrap/>
            <w:vAlign w:val="center"/>
          </w:tcPr>
          <w:p w14:paraId="2A1B7C5B">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监测断面或点位个数（   ）个</w:t>
            </w:r>
          </w:p>
        </w:tc>
      </w:tr>
      <w:tr w14:paraId="6B2F78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restart"/>
            <w:shd w:val="clear" w:color="auto" w:fill="auto"/>
            <w:noWrap/>
            <w:textDirection w:val="tbRlV"/>
            <w:vAlign w:val="center"/>
          </w:tcPr>
          <w:p w14:paraId="46D7A961">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现状评价</w:t>
            </w:r>
          </w:p>
        </w:tc>
        <w:tc>
          <w:tcPr>
            <w:tcW w:w="2751" w:type="dxa"/>
            <w:shd w:val="clear" w:color="auto" w:fill="auto"/>
            <w:vAlign w:val="center"/>
          </w:tcPr>
          <w:p w14:paraId="0280F439">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评价范围</w:t>
            </w:r>
          </w:p>
        </w:tc>
        <w:tc>
          <w:tcPr>
            <w:tcW w:w="10242" w:type="dxa"/>
            <w:gridSpan w:val="13"/>
            <w:shd w:val="clear" w:color="auto" w:fill="auto"/>
            <w:noWrap/>
            <w:vAlign w:val="center"/>
          </w:tcPr>
          <w:p w14:paraId="1D80825D">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河流：长度（   ）km；湖库、河口及近岸海域：面积（   ）km</w:t>
            </w:r>
            <w:r>
              <w:rPr>
                <w:rFonts w:cs="Times New Roman"/>
                <w:snapToGrid w:val="0"/>
                <w:color w:val="auto"/>
                <w:kern w:val="0"/>
                <w:sz w:val="18"/>
                <w:szCs w:val="18"/>
                <w:highlight w:val="none"/>
                <w:vertAlign w:val="superscript"/>
              </w:rPr>
              <w:t>2</w:t>
            </w:r>
          </w:p>
        </w:tc>
      </w:tr>
      <w:tr w14:paraId="6A6A6F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062286F5">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36DE36C7">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评价因子</w:t>
            </w:r>
          </w:p>
        </w:tc>
        <w:tc>
          <w:tcPr>
            <w:tcW w:w="10242" w:type="dxa"/>
            <w:gridSpan w:val="13"/>
            <w:shd w:val="clear" w:color="auto" w:fill="auto"/>
            <w:noWrap/>
            <w:vAlign w:val="center"/>
          </w:tcPr>
          <w:p w14:paraId="687F26D5">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（pH、COD、五日生化需氧量、高锰酸盐指数、氨氮、总氮、总磷）</w:t>
            </w:r>
          </w:p>
        </w:tc>
      </w:tr>
      <w:tr w14:paraId="09BBC7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79D330EC">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22871D06">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评价标准</w:t>
            </w:r>
          </w:p>
        </w:tc>
        <w:tc>
          <w:tcPr>
            <w:tcW w:w="10242" w:type="dxa"/>
            <w:gridSpan w:val="13"/>
            <w:shd w:val="clear" w:color="auto" w:fill="auto"/>
            <w:noWrap/>
            <w:vAlign w:val="center"/>
          </w:tcPr>
          <w:p w14:paraId="1590CE0D">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河流、湖库、河口：</w:t>
            </w:r>
            <w:r>
              <w:rPr>
                <w:rFonts w:eastAsia="微软雅黑" w:cs="Times New Roman"/>
                <w:snapToGrid w:val="0"/>
                <w:color w:val="auto"/>
                <w:kern w:val="0"/>
                <w:sz w:val="18"/>
                <w:szCs w:val="18"/>
                <w:highlight w:val="none"/>
              </w:rPr>
              <w:t>Ⅰ</w:t>
            </w:r>
            <w:r>
              <w:rPr>
                <w:rFonts w:cs="Times New Roman"/>
                <w:snapToGrid w:val="0"/>
                <w:color w:val="auto"/>
                <w:kern w:val="0"/>
                <w:sz w:val="18"/>
                <w:szCs w:val="18"/>
                <w:highlight w:val="none"/>
              </w:rPr>
              <w:t>类 □；</w:t>
            </w:r>
            <w:r>
              <w:rPr>
                <w:rFonts w:eastAsia="微软雅黑" w:cs="Times New Roman"/>
                <w:snapToGrid w:val="0"/>
                <w:color w:val="auto"/>
                <w:kern w:val="0"/>
                <w:sz w:val="18"/>
                <w:szCs w:val="18"/>
                <w:highlight w:val="none"/>
              </w:rPr>
              <w:t>Ⅱ</w:t>
            </w:r>
            <w:r>
              <w:rPr>
                <w:rFonts w:cs="Times New Roman"/>
                <w:snapToGrid w:val="0"/>
                <w:color w:val="auto"/>
                <w:kern w:val="0"/>
                <w:sz w:val="18"/>
                <w:szCs w:val="18"/>
                <w:highlight w:val="none"/>
              </w:rPr>
              <w:t xml:space="preserve">类 </w:t>
            </w:r>
            <w:r>
              <w:rPr>
                <w:rFonts w:cs="Times New Roman"/>
                <w:snapToGrid w:val="0"/>
                <w:color w:val="auto"/>
                <w:kern w:val="0"/>
                <w:sz w:val="18"/>
                <w:szCs w:val="18"/>
                <w:highlight w:val="none"/>
              </w:rPr>
              <w:sym w:font="Wingdings 2" w:char="00A3"/>
            </w:r>
            <w:r>
              <w:rPr>
                <w:rFonts w:cs="Times New Roman"/>
                <w:snapToGrid w:val="0"/>
                <w:color w:val="auto"/>
                <w:kern w:val="0"/>
                <w:sz w:val="18"/>
                <w:szCs w:val="18"/>
                <w:highlight w:val="none"/>
              </w:rPr>
              <w:t>；</w:t>
            </w:r>
            <w:r>
              <w:rPr>
                <w:rFonts w:eastAsia="微软雅黑" w:cs="Times New Roman"/>
                <w:snapToGrid w:val="0"/>
                <w:color w:val="auto"/>
                <w:kern w:val="0"/>
                <w:sz w:val="18"/>
                <w:szCs w:val="18"/>
                <w:highlight w:val="none"/>
              </w:rPr>
              <w:t>Ⅲ</w:t>
            </w:r>
            <w:r>
              <w:rPr>
                <w:rFonts w:cs="Times New Roman"/>
                <w:snapToGrid w:val="0"/>
                <w:color w:val="auto"/>
                <w:kern w:val="0"/>
                <w:sz w:val="18"/>
                <w:szCs w:val="18"/>
                <w:highlight w:val="none"/>
              </w:rPr>
              <w:t xml:space="preserve">类 </w:t>
            </w:r>
            <w:r>
              <w:rPr>
                <w:rFonts w:cs="Times New Roman"/>
                <w:snapToGrid w:val="0"/>
                <w:color w:val="auto"/>
                <w:kern w:val="0"/>
                <w:sz w:val="18"/>
                <w:szCs w:val="18"/>
                <w:highlight w:val="none"/>
              </w:rPr>
              <w:sym w:font="Wingdings 2" w:char="0052"/>
            </w:r>
            <w:r>
              <w:rPr>
                <w:rFonts w:cs="Times New Roman"/>
                <w:snapToGrid w:val="0"/>
                <w:color w:val="auto"/>
                <w:kern w:val="0"/>
                <w:sz w:val="18"/>
                <w:szCs w:val="18"/>
                <w:highlight w:val="none"/>
              </w:rPr>
              <w:t>；</w:t>
            </w:r>
            <w:r>
              <w:rPr>
                <w:rFonts w:eastAsia="微软雅黑" w:cs="Times New Roman"/>
                <w:snapToGrid w:val="0"/>
                <w:color w:val="auto"/>
                <w:kern w:val="0"/>
                <w:sz w:val="18"/>
                <w:szCs w:val="18"/>
                <w:highlight w:val="none"/>
              </w:rPr>
              <w:t>Ⅳ</w:t>
            </w:r>
            <w:r>
              <w:rPr>
                <w:rFonts w:cs="Times New Roman"/>
                <w:snapToGrid w:val="0"/>
                <w:color w:val="auto"/>
                <w:kern w:val="0"/>
                <w:sz w:val="18"/>
                <w:szCs w:val="18"/>
                <w:highlight w:val="none"/>
              </w:rPr>
              <w:t xml:space="preserve">类 </w:t>
            </w:r>
            <w:r>
              <w:rPr>
                <w:rFonts w:cs="Times New Roman"/>
                <w:snapToGrid w:val="0"/>
                <w:color w:val="auto"/>
                <w:kern w:val="0"/>
                <w:sz w:val="18"/>
                <w:szCs w:val="18"/>
                <w:highlight w:val="none"/>
              </w:rPr>
              <w:sym w:font="Wingdings 2" w:char="00A3"/>
            </w:r>
            <w:r>
              <w:rPr>
                <w:rFonts w:cs="Times New Roman"/>
                <w:snapToGrid w:val="0"/>
                <w:color w:val="auto"/>
                <w:kern w:val="0"/>
                <w:sz w:val="18"/>
                <w:szCs w:val="18"/>
                <w:highlight w:val="none"/>
              </w:rPr>
              <w:t>；</w:t>
            </w:r>
            <w:r>
              <w:rPr>
                <w:rFonts w:eastAsia="微软雅黑" w:cs="Times New Roman"/>
                <w:snapToGrid w:val="0"/>
                <w:color w:val="auto"/>
                <w:kern w:val="0"/>
                <w:sz w:val="18"/>
                <w:szCs w:val="18"/>
                <w:highlight w:val="none"/>
              </w:rPr>
              <w:t>Ⅴ</w:t>
            </w:r>
            <w:r>
              <w:rPr>
                <w:rFonts w:cs="Times New Roman"/>
                <w:snapToGrid w:val="0"/>
                <w:color w:val="auto"/>
                <w:kern w:val="0"/>
                <w:sz w:val="18"/>
                <w:szCs w:val="18"/>
                <w:highlight w:val="none"/>
              </w:rPr>
              <w:t xml:space="preserve">类 </w:t>
            </w:r>
            <w:r>
              <w:rPr>
                <w:rFonts w:cs="Times New Roman"/>
                <w:snapToGrid w:val="0"/>
                <w:color w:val="auto"/>
                <w:kern w:val="0"/>
                <w:sz w:val="18"/>
                <w:szCs w:val="18"/>
                <w:highlight w:val="none"/>
              </w:rPr>
              <w:sym w:font="Wingdings 2" w:char="00A3"/>
            </w:r>
          </w:p>
          <w:p w14:paraId="1A6435CB">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近岸海域：第一类 □；第二类 </w:t>
            </w:r>
            <w:r>
              <w:rPr>
                <w:rFonts w:cs="Times New Roman"/>
                <w:snapToGrid w:val="0"/>
                <w:color w:val="auto"/>
                <w:kern w:val="0"/>
                <w:sz w:val="18"/>
                <w:szCs w:val="18"/>
                <w:highlight w:val="none"/>
              </w:rPr>
              <w:sym w:font="Wingdings 2" w:char="0052"/>
            </w:r>
            <w:r>
              <w:rPr>
                <w:rFonts w:cs="Times New Roman"/>
                <w:snapToGrid w:val="0"/>
                <w:color w:val="auto"/>
                <w:kern w:val="0"/>
                <w:sz w:val="18"/>
                <w:szCs w:val="18"/>
                <w:highlight w:val="none"/>
              </w:rPr>
              <w:t>；第三类 □；第四类 □</w:t>
            </w:r>
          </w:p>
          <w:p w14:paraId="07B51142">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规划年评价标准（</w:t>
            </w:r>
            <w:r>
              <w:rPr>
                <w:rFonts w:eastAsia="微软雅黑" w:cs="Times New Roman"/>
                <w:snapToGrid w:val="0"/>
                <w:color w:val="auto"/>
                <w:kern w:val="0"/>
                <w:sz w:val="18"/>
                <w:szCs w:val="18"/>
                <w:highlight w:val="none"/>
              </w:rPr>
              <w:t xml:space="preserve">  </w:t>
            </w:r>
            <w:r>
              <w:rPr>
                <w:rFonts w:cs="Times New Roman"/>
                <w:snapToGrid w:val="0"/>
                <w:color w:val="auto"/>
                <w:kern w:val="0"/>
                <w:sz w:val="18"/>
                <w:szCs w:val="18"/>
                <w:highlight w:val="none"/>
              </w:rPr>
              <w:t>）</w:t>
            </w:r>
          </w:p>
        </w:tc>
      </w:tr>
      <w:tr w14:paraId="1ABF7B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2BAAA786">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6F136748">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评价时期</w:t>
            </w:r>
          </w:p>
        </w:tc>
        <w:tc>
          <w:tcPr>
            <w:tcW w:w="10242" w:type="dxa"/>
            <w:gridSpan w:val="13"/>
            <w:shd w:val="clear" w:color="auto" w:fill="auto"/>
            <w:vAlign w:val="center"/>
          </w:tcPr>
          <w:p w14:paraId="792506F5">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丰水期 □；平水期 □；枯水期 □；冰封期□</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春季 □；夏季 □；秋季 □；冬季 □</w:t>
            </w:r>
          </w:p>
        </w:tc>
      </w:tr>
      <w:tr w14:paraId="08FD4A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604" w:hRule="atLeast"/>
        </w:trPr>
        <w:tc>
          <w:tcPr>
            <w:tcW w:w="626" w:type="dxa"/>
            <w:vMerge w:val="continue"/>
            <w:shd w:val="clear" w:color="auto" w:fill="auto"/>
            <w:vAlign w:val="center"/>
          </w:tcPr>
          <w:p w14:paraId="0E3F9BB8">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23FD6A50">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评价结论</w:t>
            </w:r>
          </w:p>
        </w:tc>
        <w:tc>
          <w:tcPr>
            <w:tcW w:w="8809" w:type="dxa"/>
            <w:gridSpan w:val="12"/>
            <w:shd w:val="clear" w:color="auto" w:fill="auto"/>
            <w:vAlign w:val="center"/>
          </w:tcPr>
          <w:p w14:paraId="58B8A361">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水环境功能区或水功能区、近岸海域环境功能区水质达标状况 □：达标 □；不达标 </w:t>
            </w:r>
            <w:r>
              <w:rPr>
                <w:rFonts w:cs="Times New Roman"/>
                <w:snapToGrid w:val="0"/>
                <w:color w:val="auto"/>
                <w:kern w:val="0"/>
                <w:sz w:val="18"/>
                <w:szCs w:val="18"/>
                <w:highlight w:val="none"/>
              </w:rPr>
              <w:sym w:font="Wingdings 2" w:char="0052"/>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水环境控制单元或断面水质达标状况 □：达标 □；不达标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水环境保护目标质量状况 □：达标 □；不达标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对照断面、控制断面等代表性断面的水质状况 □：达标 □；不达标 □</w:t>
            </w:r>
          </w:p>
          <w:p w14:paraId="211A316A">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底泥污染评价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水资源与开发利用程度及其水文情势评价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水环境质量回顾评价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流域（区域）水资源（包括水能资源）与开发利用总体状况、生态流量管理要求与现状满足程度、建设项目占用水域空间的水流状况与河湖演变状况 □</w:t>
            </w:r>
          </w:p>
        </w:tc>
        <w:tc>
          <w:tcPr>
            <w:tcW w:w="1433" w:type="dxa"/>
            <w:shd w:val="clear" w:color="auto" w:fill="auto"/>
            <w:vAlign w:val="center"/>
          </w:tcPr>
          <w:p w14:paraId="3F447BD5">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达标区 □</w:t>
            </w:r>
          </w:p>
          <w:p w14:paraId="6CEABC91">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不达标区 </w:t>
            </w:r>
            <w:r>
              <w:rPr>
                <w:rFonts w:cs="Times New Roman"/>
                <w:snapToGrid w:val="0"/>
                <w:color w:val="auto"/>
                <w:kern w:val="0"/>
                <w:sz w:val="18"/>
                <w:szCs w:val="18"/>
                <w:highlight w:val="none"/>
              </w:rPr>
              <w:sym w:font="Wingdings 2" w:char="00A3"/>
            </w:r>
          </w:p>
        </w:tc>
      </w:tr>
      <w:tr w14:paraId="68AE79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restart"/>
            <w:shd w:val="clear" w:color="auto" w:fill="auto"/>
            <w:noWrap/>
            <w:textDirection w:val="tbRlV"/>
            <w:vAlign w:val="center"/>
          </w:tcPr>
          <w:p w14:paraId="1A9D9492">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影响预测</w:t>
            </w:r>
          </w:p>
        </w:tc>
        <w:tc>
          <w:tcPr>
            <w:tcW w:w="2751" w:type="dxa"/>
            <w:shd w:val="clear" w:color="auto" w:fill="auto"/>
            <w:vAlign w:val="center"/>
          </w:tcPr>
          <w:p w14:paraId="19764F24">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预测范围</w:t>
            </w:r>
          </w:p>
        </w:tc>
        <w:tc>
          <w:tcPr>
            <w:tcW w:w="10242" w:type="dxa"/>
            <w:gridSpan w:val="13"/>
            <w:shd w:val="clear" w:color="auto" w:fill="auto"/>
            <w:noWrap/>
            <w:vAlign w:val="center"/>
          </w:tcPr>
          <w:p w14:paraId="0E640BFF">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河流：长度（   ）km；湖库、河口及近岸海域：面积（   ）km</w:t>
            </w:r>
            <w:r>
              <w:rPr>
                <w:rFonts w:cs="Times New Roman"/>
                <w:snapToGrid w:val="0"/>
                <w:color w:val="auto"/>
                <w:kern w:val="0"/>
                <w:sz w:val="18"/>
                <w:szCs w:val="18"/>
                <w:highlight w:val="none"/>
                <w:vertAlign w:val="superscript"/>
              </w:rPr>
              <w:t>2</w:t>
            </w:r>
          </w:p>
        </w:tc>
      </w:tr>
      <w:tr w14:paraId="17A2F7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7818D2D5">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3E2FC622">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预测因子</w:t>
            </w:r>
          </w:p>
        </w:tc>
        <w:tc>
          <w:tcPr>
            <w:tcW w:w="10242" w:type="dxa"/>
            <w:gridSpan w:val="13"/>
            <w:shd w:val="clear" w:color="auto" w:fill="auto"/>
            <w:noWrap/>
            <w:vAlign w:val="center"/>
          </w:tcPr>
          <w:p w14:paraId="62E7980E">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w:t>
            </w:r>
          </w:p>
        </w:tc>
      </w:tr>
      <w:tr w14:paraId="642569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713A52CA">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4A7862A3">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预测时期</w:t>
            </w:r>
          </w:p>
        </w:tc>
        <w:tc>
          <w:tcPr>
            <w:tcW w:w="10242" w:type="dxa"/>
            <w:gridSpan w:val="13"/>
            <w:shd w:val="clear" w:color="auto" w:fill="auto"/>
            <w:vAlign w:val="center"/>
          </w:tcPr>
          <w:p w14:paraId="3DBC0F38">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丰水期 □；平水期 □；枯水期 □；冰封期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春季 □；夏季 □；秋季 □；冬季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设计水文条件 □</w:t>
            </w:r>
          </w:p>
        </w:tc>
      </w:tr>
      <w:tr w14:paraId="135CFC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21135B0E">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41807AD5">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预测情景</w:t>
            </w:r>
          </w:p>
        </w:tc>
        <w:tc>
          <w:tcPr>
            <w:tcW w:w="10242" w:type="dxa"/>
            <w:gridSpan w:val="13"/>
            <w:shd w:val="clear" w:color="auto" w:fill="auto"/>
            <w:vAlign w:val="center"/>
          </w:tcPr>
          <w:p w14:paraId="5E092A64">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建设期 □；生产运行期 □；服务期满后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正常工况 □；非正常工况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污染控制和减缓措施方案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区（流）域环境质量改善目标要求情景 □</w:t>
            </w:r>
          </w:p>
        </w:tc>
      </w:tr>
      <w:tr w14:paraId="3911F1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6EFF003F">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38AB4E37">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预测方法</w:t>
            </w:r>
          </w:p>
        </w:tc>
        <w:tc>
          <w:tcPr>
            <w:tcW w:w="10242" w:type="dxa"/>
            <w:gridSpan w:val="13"/>
            <w:shd w:val="clear" w:color="auto" w:fill="auto"/>
            <w:noWrap/>
            <w:vAlign w:val="center"/>
          </w:tcPr>
          <w:p w14:paraId="0DC2679C">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数值解 □：解析解 □；其他 □</w:t>
            </w:r>
          </w:p>
          <w:p w14:paraId="6F8D5A14">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导则推荐模式 □：其他 □</w:t>
            </w:r>
          </w:p>
        </w:tc>
      </w:tr>
      <w:tr w14:paraId="08D5F7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34" w:hRule="atLeast"/>
        </w:trPr>
        <w:tc>
          <w:tcPr>
            <w:tcW w:w="626" w:type="dxa"/>
            <w:vMerge w:val="restart"/>
            <w:shd w:val="clear" w:color="auto" w:fill="auto"/>
            <w:noWrap/>
            <w:textDirection w:val="tbRlV"/>
            <w:vAlign w:val="center"/>
          </w:tcPr>
          <w:p w14:paraId="67C1F1FF">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影响评价</w:t>
            </w:r>
          </w:p>
        </w:tc>
        <w:tc>
          <w:tcPr>
            <w:tcW w:w="2751" w:type="dxa"/>
            <w:shd w:val="clear" w:color="auto" w:fill="auto"/>
            <w:vAlign w:val="center"/>
          </w:tcPr>
          <w:p w14:paraId="38979DD6">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水污染控制和水环境影响减缓措施有效性评价</w:t>
            </w:r>
          </w:p>
        </w:tc>
        <w:tc>
          <w:tcPr>
            <w:tcW w:w="10242" w:type="dxa"/>
            <w:gridSpan w:val="13"/>
            <w:shd w:val="clear" w:color="auto" w:fill="auto"/>
            <w:noWrap/>
            <w:vAlign w:val="center"/>
          </w:tcPr>
          <w:p w14:paraId="37288CCE">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区（流）域水环境质量改善目标 □；替代削减源 □</w:t>
            </w:r>
          </w:p>
        </w:tc>
      </w:tr>
      <w:tr w14:paraId="733F88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626" w:type="dxa"/>
            <w:vMerge w:val="continue"/>
            <w:shd w:val="clear" w:color="auto" w:fill="auto"/>
            <w:vAlign w:val="center"/>
          </w:tcPr>
          <w:p w14:paraId="299E4AE9">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555A285D">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水环境影响评价</w:t>
            </w:r>
          </w:p>
        </w:tc>
        <w:tc>
          <w:tcPr>
            <w:tcW w:w="10242" w:type="dxa"/>
            <w:gridSpan w:val="13"/>
            <w:shd w:val="clear" w:color="auto" w:fill="auto"/>
            <w:vAlign w:val="center"/>
          </w:tcPr>
          <w:p w14:paraId="272C1CFF">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排放口混合区外满足水环境管理要求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水环境功能区或水功能区、近岸海域环境功能区水质达标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满足水环境保护目标水域水环境质量要求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水环境控制单元或断面水质达标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满足重点水污染物排放总量控制指标要求，重点行业建设项目， 主要污染物排放满足等量或减量替代要求 □</w:t>
            </w:r>
          </w:p>
          <w:p w14:paraId="170B70E1">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满足区（流）域水环境质量改善目标要求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水文要素影响型建设项目同时应包括水文情势变化评价、主要水文特征值影响评价、生态流量符合性评价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对于新设或调整入河（湖库、近岸海域）排放口的建设项目，应包括排放口设置的环境合理性评价 □</w:t>
            </w:r>
            <w:r>
              <w:rPr>
                <w:rFonts w:cs="Times New Roman"/>
                <w:snapToGrid w:val="0"/>
                <w:color w:val="auto"/>
                <w:kern w:val="0"/>
                <w:sz w:val="18"/>
                <w:szCs w:val="18"/>
                <w:highlight w:val="none"/>
              </w:rPr>
              <w:br w:type="textWrapping"/>
            </w:r>
            <w:r>
              <w:rPr>
                <w:rFonts w:cs="Times New Roman"/>
                <w:snapToGrid w:val="0"/>
                <w:color w:val="auto"/>
                <w:kern w:val="0"/>
                <w:sz w:val="18"/>
                <w:szCs w:val="18"/>
                <w:highlight w:val="none"/>
              </w:rPr>
              <w:t>满足生态保护红线、水环境质量底线、资源利用上线和环境准入清单管理要求 □</w:t>
            </w:r>
          </w:p>
        </w:tc>
      </w:tr>
      <w:tr w14:paraId="1B3C97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06B61C12">
            <w:pPr>
              <w:spacing w:line="280" w:lineRule="exact"/>
              <w:ind w:firstLine="0" w:firstLineChars="0"/>
              <w:jc w:val="left"/>
              <w:rPr>
                <w:rFonts w:cs="Times New Roman"/>
                <w:snapToGrid w:val="0"/>
                <w:color w:val="auto"/>
                <w:kern w:val="0"/>
                <w:sz w:val="18"/>
                <w:szCs w:val="18"/>
                <w:highlight w:val="none"/>
              </w:rPr>
            </w:pPr>
          </w:p>
        </w:tc>
        <w:tc>
          <w:tcPr>
            <w:tcW w:w="2751" w:type="dxa"/>
            <w:vMerge w:val="restart"/>
            <w:shd w:val="clear" w:color="auto" w:fill="auto"/>
            <w:vAlign w:val="center"/>
          </w:tcPr>
          <w:p w14:paraId="2DECBEA3">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污染源排放量核算</w:t>
            </w:r>
          </w:p>
        </w:tc>
        <w:tc>
          <w:tcPr>
            <w:tcW w:w="3414" w:type="dxa"/>
            <w:gridSpan w:val="4"/>
            <w:shd w:val="clear" w:color="auto" w:fill="auto"/>
            <w:noWrap/>
            <w:vAlign w:val="center"/>
          </w:tcPr>
          <w:p w14:paraId="59D06182">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污染物名称</w:t>
            </w:r>
          </w:p>
        </w:tc>
        <w:tc>
          <w:tcPr>
            <w:tcW w:w="3414" w:type="dxa"/>
            <w:gridSpan w:val="5"/>
            <w:shd w:val="clear" w:color="auto" w:fill="auto"/>
            <w:vAlign w:val="center"/>
          </w:tcPr>
          <w:p w14:paraId="3F0D32CF">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排放量/（t/a）</w:t>
            </w:r>
          </w:p>
        </w:tc>
        <w:tc>
          <w:tcPr>
            <w:tcW w:w="3414" w:type="dxa"/>
            <w:gridSpan w:val="4"/>
            <w:shd w:val="clear" w:color="auto" w:fill="auto"/>
            <w:vAlign w:val="center"/>
          </w:tcPr>
          <w:p w14:paraId="2AC5CD34">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排放浓度/（mg/L）</w:t>
            </w:r>
          </w:p>
        </w:tc>
      </w:tr>
      <w:tr w14:paraId="301E63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6D9039DE">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7685FE3F">
            <w:pPr>
              <w:spacing w:line="280" w:lineRule="exact"/>
              <w:ind w:firstLine="0" w:firstLineChars="0"/>
              <w:jc w:val="center"/>
              <w:rPr>
                <w:rFonts w:cs="Times New Roman"/>
                <w:snapToGrid w:val="0"/>
                <w:color w:val="auto"/>
                <w:kern w:val="0"/>
                <w:sz w:val="18"/>
                <w:szCs w:val="18"/>
                <w:highlight w:val="none"/>
              </w:rPr>
            </w:pPr>
          </w:p>
        </w:tc>
        <w:tc>
          <w:tcPr>
            <w:tcW w:w="3414" w:type="dxa"/>
            <w:gridSpan w:val="4"/>
            <w:shd w:val="clear" w:color="auto" w:fill="auto"/>
            <w:noWrap/>
            <w:vAlign w:val="center"/>
          </w:tcPr>
          <w:p w14:paraId="1D00E988">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（COD、</w:t>
            </w:r>
            <w:r>
              <w:rPr>
                <w:rFonts w:cs="Times New Roman"/>
                <w:snapToGrid w:val="0"/>
                <w:color w:val="auto"/>
                <w:kern w:val="0"/>
                <w:sz w:val="20"/>
                <w:szCs w:val="21"/>
                <w:highlight w:val="none"/>
              </w:rPr>
              <w:t>氨氮</w:t>
            </w:r>
            <w:r>
              <w:rPr>
                <w:rFonts w:cs="Times New Roman"/>
                <w:snapToGrid w:val="0"/>
                <w:color w:val="auto"/>
                <w:kern w:val="0"/>
                <w:sz w:val="18"/>
                <w:szCs w:val="18"/>
                <w:highlight w:val="none"/>
              </w:rPr>
              <w:t>）</w:t>
            </w:r>
          </w:p>
        </w:tc>
        <w:tc>
          <w:tcPr>
            <w:tcW w:w="3414" w:type="dxa"/>
            <w:gridSpan w:val="5"/>
            <w:shd w:val="clear" w:color="auto" w:fill="auto"/>
            <w:vAlign w:val="center"/>
          </w:tcPr>
          <w:p w14:paraId="4B8EAE3B">
            <w:pPr>
              <w:spacing w:line="28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w:t>
            </w:r>
            <w:r>
              <w:rPr>
                <w:rFonts w:hint="eastAsia" w:cs="Times New Roman"/>
                <w:color w:val="auto"/>
                <w:sz w:val="21"/>
                <w:szCs w:val="21"/>
                <w:highlight w:val="none"/>
                <w:lang w:val="en-US" w:eastAsia="zh-CN"/>
              </w:rPr>
              <w:t>18.38</w:t>
            </w:r>
            <w:r>
              <w:rPr>
                <w:rFonts w:cs="Times New Roman"/>
                <w:snapToGrid w:val="0"/>
                <w:color w:val="auto"/>
                <w:kern w:val="0"/>
                <w:sz w:val="21"/>
                <w:szCs w:val="21"/>
                <w:highlight w:val="none"/>
              </w:rPr>
              <w:t>、</w:t>
            </w:r>
            <w:r>
              <w:rPr>
                <w:rFonts w:hint="eastAsia" w:cs="Times New Roman"/>
                <w:color w:val="auto"/>
                <w:sz w:val="21"/>
                <w:szCs w:val="21"/>
                <w:highlight w:val="none"/>
                <w:lang w:val="en-US" w:eastAsia="zh-CN"/>
              </w:rPr>
              <w:t>2.35</w:t>
            </w:r>
            <w:r>
              <w:rPr>
                <w:rFonts w:cs="Times New Roman"/>
                <w:snapToGrid w:val="0"/>
                <w:color w:val="auto"/>
                <w:kern w:val="0"/>
                <w:sz w:val="21"/>
                <w:szCs w:val="21"/>
                <w:highlight w:val="none"/>
              </w:rPr>
              <w:t>）</w:t>
            </w:r>
          </w:p>
        </w:tc>
        <w:tc>
          <w:tcPr>
            <w:tcW w:w="3414" w:type="dxa"/>
            <w:gridSpan w:val="4"/>
            <w:shd w:val="clear" w:color="auto" w:fill="auto"/>
            <w:vAlign w:val="center"/>
          </w:tcPr>
          <w:p w14:paraId="73E009EA">
            <w:pPr>
              <w:spacing w:line="28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w:t>
            </w:r>
            <w:r>
              <w:rPr>
                <w:rFonts w:hint="eastAsia" w:cs="Times New Roman"/>
                <w:color w:val="auto"/>
                <w:sz w:val="21"/>
                <w:szCs w:val="21"/>
                <w:highlight w:val="none"/>
                <w:lang w:val="en-US" w:eastAsia="zh-CN"/>
              </w:rPr>
              <w:t>211</w:t>
            </w:r>
            <w:r>
              <w:rPr>
                <w:rFonts w:cs="Times New Roman"/>
                <w:snapToGrid w:val="0"/>
                <w:color w:val="auto"/>
                <w:kern w:val="0"/>
                <w:sz w:val="21"/>
                <w:szCs w:val="21"/>
                <w:highlight w:val="none"/>
              </w:rPr>
              <w:t>、</w:t>
            </w:r>
            <w:r>
              <w:rPr>
                <w:rFonts w:hint="eastAsia" w:cs="Times New Roman"/>
                <w:color w:val="auto"/>
                <w:sz w:val="21"/>
                <w:szCs w:val="21"/>
                <w:highlight w:val="none"/>
                <w:lang w:val="en-US" w:eastAsia="zh-CN"/>
              </w:rPr>
              <w:t>26.9</w:t>
            </w:r>
            <w:r>
              <w:rPr>
                <w:rFonts w:cs="Times New Roman"/>
                <w:snapToGrid w:val="0"/>
                <w:color w:val="auto"/>
                <w:kern w:val="0"/>
                <w:sz w:val="21"/>
                <w:szCs w:val="21"/>
                <w:highlight w:val="none"/>
              </w:rPr>
              <w:t xml:space="preserve"> ）</w:t>
            </w:r>
          </w:p>
        </w:tc>
      </w:tr>
      <w:tr w14:paraId="62B385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5E4BA7BA">
            <w:pPr>
              <w:spacing w:line="280" w:lineRule="exact"/>
              <w:ind w:firstLine="0" w:firstLineChars="0"/>
              <w:jc w:val="left"/>
              <w:rPr>
                <w:rFonts w:cs="Times New Roman"/>
                <w:snapToGrid w:val="0"/>
                <w:color w:val="auto"/>
                <w:kern w:val="0"/>
                <w:sz w:val="18"/>
                <w:szCs w:val="18"/>
                <w:highlight w:val="none"/>
              </w:rPr>
            </w:pPr>
          </w:p>
        </w:tc>
        <w:tc>
          <w:tcPr>
            <w:tcW w:w="2751" w:type="dxa"/>
            <w:vMerge w:val="restart"/>
            <w:shd w:val="clear" w:color="auto" w:fill="auto"/>
            <w:vAlign w:val="center"/>
          </w:tcPr>
          <w:p w14:paraId="08C2902B">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替代源排放情况</w:t>
            </w:r>
          </w:p>
        </w:tc>
        <w:tc>
          <w:tcPr>
            <w:tcW w:w="2048" w:type="dxa"/>
            <w:shd w:val="clear" w:color="auto" w:fill="auto"/>
            <w:noWrap/>
            <w:vAlign w:val="center"/>
          </w:tcPr>
          <w:p w14:paraId="3BC8487C">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污染源名称</w:t>
            </w:r>
          </w:p>
        </w:tc>
        <w:tc>
          <w:tcPr>
            <w:tcW w:w="2048" w:type="dxa"/>
            <w:gridSpan w:val="4"/>
            <w:shd w:val="clear" w:color="auto" w:fill="auto"/>
            <w:vAlign w:val="center"/>
          </w:tcPr>
          <w:p w14:paraId="147ACFD7">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排污许可证编号</w:t>
            </w:r>
          </w:p>
        </w:tc>
        <w:tc>
          <w:tcPr>
            <w:tcW w:w="2049" w:type="dxa"/>
            <w:gridSpan w:val="2"/>
            <w:shd w:val="clear" w:color="auto" w:fill="auto"/>
            <w:vAlign w:val="center"/>
          </w:tcPr>
          <w:p w14:paraId="74BCBE57">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污染物名称</w:t>
            </w:r>
          </w:p>
        </w:tc>
        <w:tc>
          <w:tcPr>
            <w:tcW w:w="2048" w:type="dxa"/>
            <w:gridSpan w:val="3"/>
            <w:shd w:val="clear" w:color="auto" w:fill="auto"/>
            <w:vAlign w:val="center"/>
          </w:tcPr>
          <w:p w14:paraId="7E279046">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排放量/（t/a）</w:t>
            </w:r>
          </w:p>
        </w:tc>
        <w:tc>
          <w:tcPr>
            <w:tcW w:w="2049" w:type="dxa"/>
            <w:gridSpan w:val="3"/>
            <w:shd w:val="clear" w:color="auto" w:fill="auto"/>
            <w:vAlign w:val="center"/>
          </w:tcPr>
          <w:p w14:paraId="7C2A964F">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排放浓度/（mg/L）</w:t>
            </w:r>
          </w:p>
        </w:tc>
      </w:tr>
      <w:tr w14:paraId="26EDC3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0CA95FB7">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6D1904FD">
            <w:pPr>
              <w:spacing w:line="280" w:lineRule="exact"/>
              <w:ind w:firstLine="0" w:firstLineChars="0"/>
              <w:jc w:val="center"/>
              <w:rPr>
                <w:rFonts w:cs="Times New Roman"/>
                <w:snapToGrid w:val="0"/>
                <w:color w:val="auto"/>
                <w:kern w:val="0"/>
                <w:sz w:val="18"/>
                <w:szCs w:val="18"/>
                <w:highlight w:val="none"/>
              </w:rPr>
            </w:pPr>
          </w:p>
        </w:tc>
        <w:tc>
          <w:tcPr>
            <w:tcW w:w="2048" w:type="dxa"/>
            <w:shd w:val="clear" w:color="auto" w:fill="auto"/>
            <w:noWrap/>
            <w:vAlign w:val="center"/>
          </w:tcPr>
          <w:p w14:paraId="16811925">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w:t>
            </w:r>
          </w:p>
        </w:tc>
        <w:tc>
          <w:tcPr>
            <w:tcW w:w="2048" w:type="dxa"/>
            <w:gridSpan w:val="4"/>
            <w:shd w:val="clear" w:color="auto" w:fill="auto"/>
            <w:vAlign w:val="center"/>
          </w:tcPr>
          <w:p w14:paraId="564C74AA">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w:t>
            </w:r>
          </w:p>
        </w:tc>
        <w:tc>
          <w:tcPr>
            <w:tcW w:w="2049" w:type="dxa"/>
            <w:gridSpan w:val="2"/>
            <w:shd w:val="clear" w:color="auto" w:fill="auto"/>
            <w:vAlign w:val="center"/>
          </w:tcPr>
          <w:p w14:paraId="71E96AF1">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w:t>
            </w:r>
          </w:p>
        </w:tc>
        <w:tc>
          <w:tcPr>
            <w:tcW w:w="2048" w:type="dxa"/>
            <w:gridSpan w:val="3"/>
            <w:shd w:val="clear" w:color="auto" w:fill="auto"/>
            <w:vAlign w:val="center"/>
          </w:tcPr>
          <w:p w14:paraId="16D80EC9">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w:t>
            </w:r>
          </w:p>
        </w:tc>
        <w:tc>
          <w:tcPr>
            <w:tcW w:w="2049" w:type="dxa"/>
            <w:gridSpan w:val="3"/>
            <w:shd w:val="clear" w:color="auto" w:fill="auto"/>
            <w:vAlign w:val="center"/>
          </w:tcPr>
          <w:p w14:paraId="754A2758">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w:t>
            </w:r>
          </w:p>
        </w:tc>
      </w:tr>
      <w:tr w14:paraId="13EDAE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269C4418">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286697D9">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生态流量确定</w:t>
            </w:r>
          </w:p>
        </w:tc>
        <w:tc>
          <w:tcPr>
            <w:tcW w:w="10242" w:type="dxa"/>
            <w:gridSpan w:val="13"/>
            <w:shd w:val="clear" w:color="auto" w:fill="auto"/>
            <w:noWrap/>
            <w:vAlign w:val="center"/>
          </w:tcPr>
          <w:p w14:paraId="5F63AAC8">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生态流量：一般水期（   ）m</w:t>
            </w:r>
            <w:r>
              <w:rPr>
                <w:rFonts w:cs="Times New Roman"/>
                <w:snapToGrid w:val="0"/>
                <w:color w:val="auto"/>
                <w:kern w:val="0"/>
                <w:sz w:val="18"/>
                <w:szCs w:val="18"/>
                <w:highlight w:val="none"/>
                <w:vertAlign w:val="superscript"/>
              </w:rPr>
              <w:t>3</w:t>
            </w:r>
            <w:r>
              <w:rPr>
                <w:rFonts w:cs="Times New Roman"/>
                <w:snapToGrid w:val="0"/>
                <w:color w:val="auto"/>
                <w:kern w:val="0"/>
                <w:sz w:val="18"/>
                <w:szCs w:val="18"/>
                <w:highlight w:val="none"/>
              </w:rPr>
              <w:t>/s；鱼类繁殖期（   ）m</w:t>
            </w:r>
            <w:r>
              <w:rPr>
                <w:rFonts w:cs="Times New Roman"/>
                <w:snapToGrid w:val="0"/>
                <w:color w:val="auto"/>
                <w:kern w:val="0"/>
                <w:sz w:val="18"/>
                <w:szCs w:val="18"/>
                <w:highlight w:val="none"/>
                <w:vertAlign w:val="superscript"/>
              </w:rPr>
              <w:t>3</w:t>
            </w:r>
            <w:r>
              <w:rPr>
                <w:rFonts w:cs="Times New Roman"/>
                <w:snapToGrid w:val="0"/>
                <w:color w:val="auto"/>
                <w:kern w:val="0"/>
                <w:sz w:val="18"/>
                <w:szCs w:val="18"/>
                <w:highlight w:val="none"/>
              </w:rPr>
              <w:t>/s；其他（   ）m</w:t>
            </w:r>
            <w:r>
              <w:rPr>
                <w:rFonts w:cs="Times New Roman"/>
                <w:snapToGrid w:val="0"/>
                <w:color w:val="auto"/>
                <w:kern w:val="0"/>
                <w:sz w:val="18"/>
                <w:szCs w:val="18"/>
                <w:highlight w:val="none"/>
                <w:vertAlign w:val="superscript"/>
              </w:rPr>
              <w:t>3</w:t>
            </w:r>
            <w:r>
              <w:rPr>
                <w:rFonts w:cs="Times New Roman"/>
                <w:snapToGrid w:val="0"/>
                <w:color w:val="auto"/>
                <w:kern w:val="0"/>
                <w:sz w:val="18"/>
                <w:szCs w:val="18"/>
                <w:highlight w:val="none"/>
              </w:rPr>
              <w:t>/s</w:t>
            </w:r>
          </w:p>
          <w:p w14:paraId="558FB1C1">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生态水位：一般水期（   ）m；鱼类繁殖期（   ）m；其他（   ）m</w:t>
            </w:r>
          </w:p>
        </w:tc>
      </w:tr>
      <w:tr w14:paraId="012379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restart"/>
            <w:shd w:val="clear" w:color="auto" w:fill="auto"/>
            <w:noWrap/>
            <w:textDirection w:val="tbRlV"/>
            <w:vAlign w:val="center"/>
          </w:tcPr>
          <w:p w14:paraId="3B9C9473">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防治措施</w:t>
            </w:r>
          </w:p>
        </w:tc>
        <w:tc>
          <w:tcPr>
            <w:tcW w:w="2751" w:type="dxa"/>
            <w:shd w:val="clear" w:color="auto" w:fill="auto"/>
            <w:vAlign w:val="center"/>
          </w:tcPr>
          <w:p w14:paraId="23375ACB">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环保措施</w:t>
            </w:r>
          </w:p>
        </w:tc>
        <w:tc>
          <w:tcPr>
            <w:tcW w:w="10242" w:type="dxa"/>
            <w:gridSpan w:val="13"/>
            <w:shd w:val="clear" w:color="auto" w:fill="auto"/>
            <w:noWrap/>
            <w:vAlign w:val="center"/>
          </w:tcPr>
          <w:p w14:paraId="70B7D27B">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污水处理站 □；水文减缓设施 □；生态流量保障设施 □；区域削减 □；依托其他工程措施 □；其他 </w:t>
            </w:r>
            <w:r>
              <w:rPr>
                <w:rFonts w:eastAsia="仿宋" w:cs="Times New Roman"/>
                <w:snapToGrid w:val="0"/>
                <w:color w:val="auto"/>
                <w:kern w:val="0"/>
                <w:sz w:val="18"/>
                <w:szCs w:val="20"/>
                <w:highlight w:val="none"/>
              </w:rPr>
              <w:t>√</w:t>
            </w:r>
          </w:p>
        </w:tc>
      </w:tr>
      <w:tr w14:paraId="2B1990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21" w:hRule="atLeast"/>
        </w:trPr>
        <w:tc>
          <w:tcPr>
            <w:tcW w:w="626" w:type="dxa"/>
            <w:vMerge w:val="continue"/>
            <w:shd w:val="clear" w:color="auto" w:fill="auto"/>
            <w:vAlign w:val="center"/>
          </w:tcPr>
          <w:p w14:paraId="5655B6F2">
            <w:pPr>
              <w:spacing w:line="280" w:lineRule="exact"/>
              <w:ind w:firstLine="0" w:firstLineChars="0"/>
              <w:jc w:val="left"/>
              <w:rPr>
                <w:rFonts w:cs="Times New Roman"/>
                <w:snapToGrid w:val="0"/>
                <w:color w:val="auto"/>
                <w:kern w:val="0"/>
                <w:sz w:val="18"/>
                <w:szCs w:val="18"/>
                <w:highlight w:val="none"/>
              </w:rPr>
            </w:pPr>
          </w:p>
        </w:tc>
        <w:tc>
          <w:tcPr>
            <w:tcW w:w="2751" w:type="dxa"/>
            <w:vMerge w:val="restart"/>
            <w:shd w:val="clear" w:color="auto" w:fill="auto"/>
            <w:vAlign w:val="center"/>
          </w:tcPr>
          <w:p w14:paraId="05D48227">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监测计划</w:t>
            </w:r>
          </w:p>
        </w:tc>
        <w:tc>
          <w:tcPr>
            <w:tcW w:w="2560" w:type="dxa"/>
            <w:gridSpan w:val="2"/>
            <w:shd w:val="clear" w:color="auto" w:fill="auto"/>
            <w:noWrap/>
            <w:vAlign w:val="center"/>
          </w:tcPr>
          <w:p w14:paraId="6BD18E45">
            <w:pPr>
              <w:spacing w:line="280" w:lineRule="exact"/>
              <w:ind w:firstLine="0" w:firstLineChars="0"/>
              <w:jc w:val="center"/>
              <w:rPr>
                <w:rFonts w:cs="Times New Roman"/>
                <w:snapToGrid w:val="0"/>
                <w:color w:val="auto"/>
                <w:kern w:val="0"/>
                <w:sz w:val="18"/>
                <w:szCs w:val="18"/>
                <w:highlight w:val="none"/>
              </w:rPr>
            </w:pPr>
          </w:p>
        </w:tc>
        <w:tc>
          <w:tcPr>
            <w:tcW w:w="3841" w:type="dxa"/>
            <w:gridSpan w:val="6"/>
            <w:shd w:val="clear" w:color="auto" w:fill="auto"/>
            <w:vAlign w:val="center"/>
          </w:tcPr>
          <w:p w14:paraId="142BB640">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环境质量</w:t>
            </w:r>
          </w:p>
        </w:tc>
        <w:tc>
          <w:tcPr>
            <w:tcW w:w="3841" w:type="dxa"/>
            <w:gridSpan w:val="5"/>
            <w:shd w:val="clear" w:color="auto" w:fill="auto"/>
            <w:vAlign w:val="center"/>
          </w:tcPr>
          <w:p w14:paraId="707AD0D0">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污染源</w:t>
            </w:r>
          </w:p>
        </w:tc>
      </w:tr>
      <w:tr w14:paraId="1C45C0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21" w:hRule="atLeast"/>
        </w:trPr>
        <w:tc>
          <w:tcPr>
            <w:tcW w:w="626" w:type="dxa"/>
            <w:vMerge w:val="continue"/>
            <w:shd w:val="clear" w:color="auto" w:fill="auto"/>
            <w:vAlign w:val="center"/>
          </w:tcPr>
          <w:p w14:paraId="0275E17A">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562087EB">
            <w:pPr>
              <w:spacing w:line="280" w:lineRule="exact"/>
              <w:ind w:firstLine="0" w:firstLineChars="0"/>
              <w:jc w:val="center"/>
              <w:rPr>
                <w:rFonts w:cs="Times New Roman"/>
                <w:snapToGrid w:val="0"/>
                <w:color w:val="auto"/>
                <w:kern w:val="0"/>
                <w:sz w:val="18"/>
                <w:szCs w:val="18"/>
                <w:highlight w:val="none"/>
              </w:rPr>
            </w:pPr>
          </w:p>
        </w:tc>
        <w:tc>
          <w:tcPr>
            <w:tcW w:w="2560" w:type="dxa"/>
            <w:gridSpan w:val="2"/>
            <w:shd w:val="clear" w:color="auto" w:fill="auto"/>
            <w:noWrap/>
            <w:vAlign w:val="center"/>
          </w:tcPr>
          <w:p w14:paraId="53C51897">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监测方式</w:t>
            </w:r>
          </w:p>
        </w:tc>
        <w:tc>
          <w:tcPr>
            <w:tcW w:w="3841" w:type="dxa"/>
            <w:gridSpan w:val="6"/>
            <w:shd w:val="clear" w:color="auto" w:fill="auto"/>
            <w:vAlign w:val="center"/>
          </w:tcPr>
          <w:p w14:paraId="1B872AEB">
            <w:pPr>
              <w:spacing w:line="280" w:lineRule="exact"/>
              <w:ind w:firstLine="0" w:firstLineChars="0"/>
              <w:jc w:val="center"/>
              <w:rPr>
                <w:rFonts w:cs="Times New Roman"/>
                <w:b/>
                <w:snapToGrid w:val="0"/>
                <w:color w:val="auto"/>
                <w:kern w:val="0"/>
                <w:sz w:val="18"/>
                <w:szCs w:val="18"/>
                <w:highlight w:val="none"/>
              </w:rPr>
            </w:pPr>
            <w:r>
              <w:rPr>
                <w:rFonts w:cs="Times New Roman"/>
                <w:snapToGrid w:val="0"/>
                <w:color w:val="auto"/>
                <w:kern w:val="0"/>
                <w:sz w:val="18"/>
                <w:szCs w:val="18"/>
                <w:highlight w:val="none"/>
              </w:rPr>
              <w:t>手动 □；自动 □；无监测 □</w:t>
            </w:r>
          </w:p>
        </w:tc>
        <w:tc>
          <w:tcPr>
            <w:tcW w:w="3841" w:type="dxa"/>
            <w:gridSpan w:val="5"/>
            <w:shd w:val="clear" w:color="auto" w:fill="auto"/>
            <w:vAlign w:val="center"/>
          </w:tcPr>
          <w:p w14:paraId="5D79676C">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手动 </w:t>
            </w:r>
            <w:r>
              <w:rPr>
                <w:rFonts w:eastAsia="仿宋" w:cs="Times New Roman"/>
                <w:snapToGrid w:val="0"/>
                <w:color w:val="auto"/>
                <w:kern w:val="0"/>
                <w:sz w:val="18"/>
                <w:szCs w:val="20"/>
                <w:highlight w:val="none"/>
              </w:rPr>
              <w:t>√</w:t>
            </w:r>
            <w:r>
              <w:rPr>
                <w:rFonts w:cs="Times New Roman"/>
                <w:snapToGrid w:val="0"/>
                <w:color w:val="auto"/>
                <w:kern w:val="0"/>
                <w:sz w:val="18"/>
                <w:szCs w:val="18"/>
                <w:highlight w:val="none"/>
              </w:rPr>
              <w:t xml:space="preserve">；自动 </w:t>
            </w:r>
            <w:r>
              <w:rPr>
                <w:rFonts w:eastAsia="仿宋" w:cs="Times New Roman"/>
                <w:snapToGrid w:val="0"/>
                <w:color w:val="auto"/>
                <w:kern w:val="0"/>
                <w:sz w:val="18"/>
                <w:szCs w:val="20"/>
                <w:highlight w:val="none"/>
              </w:rPr>
              <w:t>√</w:t>
            </w:r>
            <w:r>
              <w:rPr>
                <w:rFonts w:cs="Times New Roman"/>
                <w:snapToGrid w:val="0"/>
                <w:color w:val="auto"/>
                <w:kern w:val="0"/>
                <w:sz w:val="18"/>
                <w:szCs w:val="18"/>
                <w:highlight w:val="none"/>
              </w:rPr>
              <w:t>；无监测 □</w:t>
            </w:r>
          </w:p>
        </w:tc>
      </w:tr>
      <w:tr w14:paraId="7DDA2B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21" w:hRule="atLeast"/>
        </w:trPr>
        <w:tc>
          <w:tcPr>
            <w:tcW w:w="626" w:type="dxa"/>
            <w:vMerge w:val="continue"/>
            <w:shd w:val="clear" w:color="auto" w:fill="auto"/>
            <w:vAlign w:val="center"/>
          </w:tcPr>
          <w:p w14:paraId="5ACC39CA">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07F6AD5B">
            <w:pPr>
              <w:spacing w:line="280" w:lineRule="exact"/>
              <w:ind w:firstLine="0" w:firstLineChars="0"/>
              <w:jc w:val="center"/>
              <w:rPr>
                <w:rFonts w:cs="Times New Roman"/>
                <w:snapToGrid w:val="0"/>
                <w:color w:val="auto"/>
                <w:kern w:val="0"/>
                <w:sz w:val="18"/>
                <w:szCs w:val="18"/>
                <w:highlight w:val="none"/>
              </w:rPr>
            </w:pPr>
          </w:p>
        </w:tc>
        <w:tc>
          <w:tcPr>
            <w:tcW w:w="2560" w:type="dxa"/>
            <w:gridSpan w:val="2"/>
            <w:shd w:val="clear" w:color="auto" w:fill="auto"/>
            <w:noWrap/>
            <w:vAlign w:val="center"/>
          </w:tcPr>
          <w:p w14:paraId="115E1C0F">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监测点位</w:t>
            </w:r>
          </w:p>
        </w:tc>
        <w:tc>
          <w:tcPr>
            <w:tcW w:w="3841" w:type="dxa"/>
            <w:gridSpan w:val="6"/>
            <w:shd w:val="clear" w:color="auto" w:fill="auto"/>
            <w:vAlign w:val="center"/>
          </w:tcPr>
          <w:p w14:paraId="5AE6B001">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   ）</w:t>
            </w:r>
          </w:p>
        </w:tc>
        <w:tc>
          <w:tcPr>
            <w:tcW w:w="3841" w:type="dxa"/>
            <w:gridSpan w:val="5"/>
            <w:shd w:val="clear" w:color="auto" w:fill="auto"/>
            <w:vAlign w:val="center"/>
          </w:tcPr>
          <w:p w14:paraId="4CB82A43">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（废水总排口）</w:t>
            </w:r>
          </w:p>
        </w:tc>
      </w:tr>
      <w:tr w14:paraId="4906ED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21" w:hRule="atLeast"/>
        </w:trPr>
        <w:tc>
          <w:tcPr>
            <w:tcW w:w="626" w:type="dxa"/>
            <w:vMerge w:val="continue"/>
            <w:shd w:val="clear" w:color="auto" w:fill="auto"/>
            <w:vAlign w:val="center"/>
          </w:tcPr>
          <w:p w14:paraId="47D2CD03">
            <w:pPr>
              <w:spacing w:line="280" w:lineRule="exact"/>
              <w:ind w:firstLine="0" w:firstLineChars="0"/>
              <w:jc w:val="left"/>
              <w:rPr>
                <w:rFonts w:cs="Times New Roman"/>
                <w:snapToGrid w:val="0"/>
                <w:color w:val="auto"/>
                <w:kern w:val="0"/>
                <w:sz w:val="18"/>
                <w:szCs w:val="18"/>
                <w:highlight w:val="none"/>
              </w:rPr>
            </w:pPr>
          </w:p>
        </w:tc>
        <w:tc>
          <w:tcPr>
            <w:tcW w:w="2751" w:type="dxa"/>
            <w:vMerge w:val="continue"/>
            <w:shd w:val="clear" w:color="auto" w:fill="auto"/>
            <w:vAlign w:val="center"/>
          </w:tcPr>
          <w:p w14:paraId="63B23396">
            <w:pPr>
              <w:spacing w:line="280" w:lineRule="exact"/>
              <w:ind w:firstLine="0" w:firstLineChars="0"/>
              <w:jc w:val="center"/>
              <w:rPr>
                <w:rFonts w:cs="Times New Roman"/>
                <w:snapToGrid w:val="0"/>
                <w:color w:val="auto"/>
                <w:kern w:val="0"/>
                <w:sz w:val="18"/>
                <w:szCs w:val="18"/>
                <w:highlight w:val="none"/>
              </w:rPr>
            </w:pPr>
          </w:p>
        </w:tc>
        <w:tc>
          <w:tcPr>
            <w:tcW w:w="2560" w:type="dxa"/>
            <w:gridSpan w:val="2"/>
            <w:shd w:val="clear" w:color="auto" w:fill="auto"/>
            <w:noWrap/>
            <w:vAlign w:val="center"/>
          </w:tcPr>
          <w:p w14:paraId="70C9B380">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监测因子</w:t>
            </w:r>
          </w:p>
        </w:tc>
        <w:tc>
          <w:tcPr>
            <w:tcW w:w="3841" w:type="dxa"/>
            <w:gridSpan w:val="6"/>
            <w:shd w:val="clear" w:color="auto" w:fill="auto"/>
            <w:vAlign w:val="center"/>
          </w:tcPr>
          <w:p w14:paraId="23FDE193">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   ）</w:t>
            </w:r>
          </w:p>
        </w:tc>
        <w:tc>
          <w:tcPr>
            <w:tcW w:w="3841" w:type="dxa"/>
            <w:gridSpan w:val="5"/>
            <w:shd w:val="clear" w:color="auto" w:fill="auto"/>
            <w:vAlign w:val="center"/>
          </w:tcPr>
          <w:p w14:paraId="715E7187">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w:t>
            </w:r>
            <w:r>
              <w:rPr>
                <w:rFonts w:cs="Times New Roman"/>
                <w:color w:val="auto"/>
                <w:sz w:val="18"/>
                <w:szCs w:val="18"/>
                <w:highlight w:val="none"/>
              </w:rPr>
              <w:t>pH</w:t>
            </w:r>
            <w:r>
              <w:rPr>
                <w:rFonts w:cs="Times New Roman"/>
                <w:snapToGrid w:val="0"/>
                <w:color w:val="auto"/>
                <w:kern w:val="0"/>
                <w:sz w:val="18"/>
                <w:szCs w:val="18"/>
                <w:highlight w:val="none"/>
              </w:rPr>
              <w:t>值、流量、化学需氧量、氨氮、总氮、总磷、五日生化需氧量、悬浮物、动植物油、大肠菌群数、）</w:t>
            </w:r>
          </w:p>
        </w:tc>
      </w:tr>
      <w:tr w14:paraId="1F5FA8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626" w:type="dxa"/>
            <w:vMerge w:val="continue"/>
            <w:shd w:val="clear" w:color="auto" w:fill="auto"/>
            <w:vAlign w:val="center"/>
          </w:tcPr>
          <w:p w14:paraId="2446D414">
            <w:pPr>
              <w:spacing w:line="280" w:lineRule="exact"/>
              <w:ind w:firstLine="0" w:firstLineChars="0"/>
              <w:jc w:val="left"/>
              <w:rPr>
                <w:rFonts w:cs="Times New Roman"/>
                <w:snapToGrid w:val="0"/>
                <w:color w:val="auto"/>
                <w:kern w:val="0"/>
                <w:sz w:val="18"/>
                <w:szCs w:val="18"/>
                <w:highlight w:val="none"/>
              </w:rPr>
            </w:pPr>
          </w:p>
        </w:tc>
        <w:tc>
          <w:tcPr>
            <w:tcW w:w="2751" w:type="dxa"/>
            <w:shd w:val="clear" w:color="auto" w:fill="auto"/>
            <w:vAlign w:val="center"/>
          </w:tcPr>
          <w:p w14:paraId="53FFB087">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污染物排放清单</w:t>
            </w:r>
          </w:p>
        </w:tc>
        <w:tc>
          <w:tcPr>
            <w:tcW w:w="10242" w:type="dxa"/>
            <w:gridSpan w:val="13"/>
            <w:shd w:val="clear" w:color="auto" w:fill="auto"/>
            <w:noWrap/>
            <w:vAlign w:val="center"/>
          </w:tcPr>
          <w:p w14:paraId="0B7DAC82">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w:t>
            </w:r>
          </w:p>
        </w:tc>
      </w:tr>
      <w:tr w14:paraId="793112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7" w:hRule="atLeast"/>
        </w:trPr>
        <w:tc>
          <w:tcPr>
            <w:tcW w:w="3377" w:type="dxa"/>
            <w:gridSpan w:val="2"/>
            <w:shd w:val="clear" w:color="auto" w:fill="auto"/>
            <w:noWrap/>
            <w:vAlign w:val="center"/>
          </w:tcPr>
          <w:p w14:paraId="4EC2F46B">
            <w:pPr>
              <w:spacing w:line="280" w:lineRule="exact"/>
              <w:ind w:firstLine="0" w:firstLineChars="0"/>
              <w:jc w:val="center"/>
              <w:rPr>
                <w:rFonts w:cs="Times New Roman"/>
                <w:snapToGrid w:val="0"/>
                <w:color w:val="auto"/>
                <w:kern w:val="0"/>
                <w:sz w:val="18"/>
                <w:szCs w:val="18"/>
                <w:highlight w:val="none"/>
              </w:rPr>
            </w:pPr>
            <w:r>
              <w:rPr>
                <w:rFonts w:cs="Times New Roman"/>
                <w:snapToGrid w:val="0"/>
                <w:color w:val="auto"/>
                <w:kern w:val="0"/>
                <w:sz w:val="18"/>
                <w:szCs w:val="18"/>
                <w:highlight w:val="none"/>
              </w:rPr>
              <w:t>评价结论</w:t>
            </w:r>
          </w:p>
        </w:tc>
        <w:tc>
          <w:tcPr>
            <w:tcW w:w="10242" w:type="dxa"/>
            <w:gridSpan w:val="13"/>
            <w:shd w:val="clear" w:color="auto" w:fill="auto"/>
            <w:noWrap/>
            <w:vAlign w:val="center"/>
          </w:tcPr>
          <w:p w14:paraId="2BC26B8C">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 xml:space="preserve">可以接受 </w:t>
            </w:r>
            <w:r>
              <w:rPr>
                <w:rFonts w:eastAsia="仿宋" w:cs="Times New Roman"/>
                <w:snapToGrid w:val="0"/>
                <w:color w:val="auto"/>
                <w:kern w:val="0"/>
                <w:sz w:val="18"/>
                <w:szCs w:val="20"/>
                <w:highlight w:val="none"/>
              </w:rPr>
              <w:t>√</w:t>
            </w:r>
            <w:r>
              <w:rPr>
                <w:rFonts w:cs="Times New Roman"/>
                <w:snapToGrid w:val="0"/>
                <w:color w:val="auto"/>
                <w:kern w:val="0"/>
                <w:sz w:val="18"/>
                <w:szCs w:val="18"/>
                <w:highlight w:val="none"/>
              </w:rPr>
              <w:t>；不可以接受 □</w:t>
            </w:r>
          </w:p>
        </w:tc>
      </w:tr>
      <w:tr w14:paraId="6CD8F1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3619" w:type="dxa"/>
            <w:gridSpan w:val="15"/>
            <w:shd w:val="clear" w:color="auto" w:fill="auto"/>
            <w:noWrap/>
            <w:vAlign w:val="center"/>
          </w:tcPr>
          <w:p w14:paraId="07D4D507">
            <w:pPr>
              <w:spacing w:line="280" w:lineRule="exact"/>
              <w:ind w:firstLine="0" w:firstLineChars="0"/>
              <w:jc w:val="left"/>
              <w:rPr>
                <w:rFonts w:cs="Times New Roman"/>
                <w:snapToGrid w:val="0"/>
                <w:color w:val="auto"/>
                <w:kern w:val="0"/>
                <w:sz w:val="18"/>
                <w:szCs w:val="18"/>
                <w:highlight w:val="none"/>
              </w:rPr>
            </w:pPr>
            <w:r>
              <w:rPr>
                <w:rFonts w:cs="Times New Roman"/>
                <w:snapToGrid w:val="0"/>
                <w:color w:val="auto"/>
                <w:kern w:val="0"/>
                <w:sz w:val="18"/>
                <w:szCs w:val="18"/>
                <w:highlight w:val="none"/>
              </w:rPr>
              <w:t>注：“□”为勾选项，可√；“（   ）”为内容填写项；“备注”为其他补充内容。</w:t>
            </w:r>
          </w:p>
        </w:tc>
      </w:tr>
    </w:tbl>
    <w:p w14:paraId="7D06DAEF">
      <w:pPr>
        <w:adjustRightInd/>
        <w:snapToGrid/>
        <w:spacing w:line="240" w:lineRule="auto"/>
        <w:ind w:firstLine="0" w:firstLineChars="0"/>
        <w:rPr>
          <w:rFonts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26" w:charSpace="0"/>
        </w:sectPr>
      </w:pPr>
    </w:p>
    <w:p w14:paraId="7720502A">
      <w:pPr>
        <w:pStyle w:val="2"/>
        <w:rPr>
          <w:rFonts w:cs="Times New Roman"/>
          <w:color w:val="auto"/>
          <w:sz w:val="24"/>
          <w:szCs w:val="24"/>
          <w:highlight w:val="none"/>
        </w:rPr>
      </w:pPr>
      <w:bookmarkStart w:id="484" w:name="_Toc7720"/>
      <w:r>
        <w:rPr>
          <w:rFonts w:cs="Times New Roman"/>
          <w:color w:val="auto"/>
          <w:sz w:val="24"/>
          <w:szCs w:val="24"/>
          <w:highlight w:val="none"/>
        </w:rPr>
        <w:t>附表3  声环境影响评价自查表</w:t>
      </w:r>
    </w:p>
    <w:p w14:paraId="43ADD4BD">
      <w:pPr>
        <w:spacing w:before="163" w:beforeLines="50" w:line="240" w:lineRule="auto"/>
        <w:ind w:firstLine="482"/>
        <w:jc w:val="center"/>
        <w:rPr>
          <w:rFonts w:cs="Times New Roman"/>
          <w:color w:val="auto"/>
          <w:highlight w:val="none"/>
        </w:rPr>
      </w:pPr>
      <w:r>
        <w:rPr>
          <w:rFonts w:cs="Times New Roman"/>
          <w:b/>
          <w:bCs/>
          <w:color w:val="auto"/>
          <w:highlight w:val="none"/>
        </w:rPr>
        <w:t>声环境影响评价自查表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
        <w:gridCol w:w="1060"/>
        <w:gridCol w:w="1062"/>
        <w:gridCol w:w="536"/>
        <w:gridCol w:w="527"/>
        <w:gridCol w:w="1064"/>
        <w:gridCol w:w="1063"/>
        <w:gridCol w:w="535"/>
        <w:gridCol w:w="528"/>
        <w:gridCol w:w="1065"/>
      </w:tblGrid>
      <w:tr w14:paraId="0FD07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119" w:type="dxa"/>
            <w:gridSpan w:val="2"/>
            <w:vAlign w:val="center"/>
          </w:tcPr>
          <w:p w14:paraId="51186C8F">
            <w:pPr>
              <w:widowControl/>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lang w:bidi="ar"/>
              </w:rPr>
              <w:t>工作内容</w:t>
            </w:r>
          </w:p>
        </w:tc>
        <w:tc>
          <w:tcPr>
            <w:tcW w:w="6380" w:type="dxa"/>
            <w:gridSpan w:val="8"/>
            <w:vAlign w:val="center"/>
          </w:tcPr>
          <w:p w14:paraId="19350C95">
            <w:pPr>
              <w:widowControl/>
              <w:spacing w:line="360" w:lineRule="exact"/>
              <w:ind w:firstLine="0" w:firstLineChars="0"/>
              <w:jc w:val="center"/>
              <w:rPr>
                <w:rFonts w:cs="Times New Roman"/>
                <w:color w:val="auto"/>
                <w:sz w:val="21"/>
                <w:szCs w:val="21"/>
                <w:highlight w:val="none"/>
              </w:rPr>
            </w:pPr>
            <w:r>
              <w:rPr>
                <w:rFonts w:cs="Times New Roman"/>
                <w:color w:val="auto"/>
                <w:kern w:val="0"/>
                <w:sz w:val="21"/>
                <w:szCs w:val="21"/>
                <w:highlight w:val="none"/>
                <w:lang w:bidi="ar"/>
              </w:rPr>
              <w:t>自查项目</w:t>
            </w:r>
          </w:p>
        </w:tc>
      </w:tr>
      <w:tr w14:paraId="0600B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59" w:type="dxa"/>
            <w:vMerge w:val="restart"/>
            <w:vAlign w:val="center"/>
          </w:tcPr>
          <w:p w14:paraId="0CF6EA3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评价等级与范围</w:t>
            </w:r>
          </w:p>
        </w:tc>
        <w:tc>
          <w:tcPr>
            <w:tcW w:w="1060" w:type="dxa"/>
            <w:vAlign w:val="center"/>
          </w:tcPr>
          <w:p w14:paraId="5069C5F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评价等级</w:t>
            </w:r>
          </w:p>
        </w:tc>
        <w:tc>
          <w:tcPr>
            <w:tcW w:w="6380" w:type="dxa"/>
            <w:gridSpan w:val="8"/>
            <w:vAlign w:val="center"/>
          </w:tcPr>
          <w:p w14:paraId="3E86E8F1">
            <w:pPr>
              <w:spacing w:line="360" w:lineRule="exact"/>
              <w:ind w:firstLine="0" w:firstLineChars="0"/>
              <w:jc w:val="center"/>
              <w:rPr>
                <w:rFonts w:cs="Times New Roman"/>
                <w:color w:val="auto"/>
                <w:sz w:val="21"/>
                <w:szCs w:val="21"/>
                <w:highlight w:val="none"/>
              </w:rPr>
            </w:pPr>
            <w:r>
              <w:rPr>
                <w:rFonts w:cs="Times New Roman"/>
                <w:bCs/>
                <w:color w:val="auto"/>
                <w:kern w:val="0"/>
                <w:sz w:val="21"/>
                <w:szCs w:val="21"/>
                <w:highlight w:val="none"/>
              </w:rPr>
              <w:t>一级</w:t>
            </w:r>
            <w:r>
              <w:rPr>
                <w:rFonts w:cs="Times New Roman"/>
                <w:color w:val="auto"/>
                <w:sz w:val="21"/>
                <w:szCs w:val="21"/>
                <w:highlight w:val="none"/>
              </w:rPr>
              <w:sym w:font="Wingdings 2" w:char="00A3"/>
            </w:r>
            <w:r>
              <w:rPr>
                <w:rFonts w:cs="Times New Roman"/>
                <w:bCs/>
                <w:color w:val="auto"/>
                <w:kern w:val="0"/>
                <w:sz w:val="21"/>
                <w:szCs w:val="21"/>
                <w:highlight w:val="none"/>
              </w:rPr>
              <w:t>；                 二级</w:t>
            </w:r>
            <w:r>
              <w:rPr>
                <w:rFonts w:cs="Times New Roman"/>
                <w:bCs/>
                <w:color w:val="auto"/>
                <w:kern w:val="0"/>
                <w:sz w:val="21"/>
                <w:szCs w:val="21"/>
                <w:highlight w:val="none"/>
              </w:rPr>
              <w:sym w:font="Wingdings 2" w:char="00A3"/>
            </w:r>
            <w:r>
              <w:rPr>
                <w:rFonts w:cs="Times New Roman"/>
                <w:bCs/>
                <w:color w:val="auto"/>
                <w:kern w:val="0"/>
                <w:sz w:val="21"/>
                <w:szCs w:val="21"/>
                <w:highlight w:val="none"/>
              </w:rPr>
              <w:t>；                 三级</w:t>
            </w:r>
            <w:r>
              <w:rPr>
                <w:rFonts w:cs="Times New Roman"/>
                <w:color w:val="auto"/>
                <w:sz w:val="21"/>
                <w:szCs w:val="21"/>
                <w:highlight w:val="none"/>
              </w:rPr>
              <w:sym w:font="Wingdings 2" w:char="0052"/>
            </w:r>
          </w:p>
        </w:tc>
      </w:tr>
      <w:tr w14:paraId="4A690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59" w:type="dxa"/>
            <w:vMerge w:val="continue"/>
            <w:vAlign w:val="center"/>
          </w:tcPr>
          <w:p w14:paraId="7828229E">
            <w:pPr>
              <w:spacing w:line="360" w:lineRule="exact"/>
              <w:ind w:firstLine="0" w:firstLineChars="0"/>
              <w:jc w:val="center"/>
              <w:rPr>
                <w:rFonts w:cs="Times New Roman"/>
                <w:color w:val="auto"/>
                <w:sz w:val="21"/>
                <w:szCs w:val="21"/>
                <w:highlight w:val="none"/>
              </w:rPr>
            </w:pPr>
          </w:p>
        </w:tc>
        <w:tc>
          <w:tcPr>
            <w:tcW w:w="1060" w:type="dxa"/>
            <w:vAlign w:val="center"/>
          </w:tcPr>
          <w:p w14:paraId="775E03C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评价范围</w:t>
            </w:r>
          </w:p>
        </w:tc>
        <w:tc>
          <w:tcPr>
            <w:tcW w:w="6380" w:type="dxa"/>
            <w:gridSpan w:val="8"/>
            <w:vAlign w:val="center"/>
          </w:tcPr>
          <w:p w14:paraId="588C30FC">
            <w:pPr>
              <w:spacing w:line="360" w:lineRule="exact"/>
              <w:ind w:firstLine="0" w:firstLineChars="0"/>
              <w:jc w:val="center"/>
              <w:rPr>
                <w:rFonts w:cs="Times New Roman"/>
                <w:color w:val="auto"/>
                <w:sz w:val="21"/>
                <w:szCs w:val="21"/>
                <w:highlight w:val="none"/>
              </w:rPr>
            </w:pPr>
            <w:r>
              <w:rPr>
                <w:rFonts w:cs="Times New Roman"/>
                <w:bCs/>
                <w:color w:val="auto"/>
                <w:kern w:val="0"/>
                <w:sz w:val="21"/>
                <w:szCs w:val="21"/>
                <w:highlight w:val="none"/>
              </w:rPr>
              <w:t>200m</w:t>
            </w:r>
            <w:r>
              <w:rPr>
                <w:rFonts w:cs="Times New Roman"/>
                <w:color w:val="auto"/>
                <w:sz w:val="21"/>
                <w:szCs w:val="21"/>
                <w:highlight w:val="none"/>
              </w:rPr>
              <w:sym w:font="Wingdings 2" w:char="0052"/>
            </w:r>
            <w:r>
              <w:rPr>
                <w:rFonts w:cs="Times New Roman"/>
                <w:bCs/>
                <w:color w:val="auto"/>
                <w:kern w:val="0"/>
                <w:sz w:val="21"/>
                <w:szCs w:val="21"/>
                <w:highlight w:val="none"/>
              </w:rPr>
              <w:t>；             大于200m</w:t>
            </w:r>
            <w:r>
              <w:rPr>
                <w:rFonts w:cs="Times New Roman"/>
                <w:bCs/>
                <w:color w:val="auto"/>
                <w:kern w:val="0"/>
                <w:sz w:val="21"/>
                <w:szCs w:val="21"/>
                <w:highlight w:val="none"/>
              </w:rPr>
              <w:sym w:font="Wingdings 2" w:char="00A3"/>
            </w:r>
            <w:r>
              <w:rPr>
                <w:rFonts w:cs="Times New Roman"/>
                <w:bCs/>
                <w:color w:val="auto"/>
                <w:kern w:val="0"/>
                <w:sz w:val="21"/>
                <w:szCs w:val="21"/>
                <w:highlight w:val="none"/>
              </w:rPr>
              <w:t>；             小于200m</w:t>
            </w:r>
            <w:r>
              <w:rPr>
                <w:rFonts w:cs="Times New Roman"/>
                <w:color w:val="auto"/>
                <w:sz w:val="21"/>
                <w:szCs w:val="21"/>
                <w:highlight w:val="none"/>
              </w:rPr>
              <w:sym w:font="Wingdings 2" w:char="00A3"/>
            </w:r>
          </w:p>
        </w:tc>
      </w:tr>
      <w:tr w14:paraId="7D720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1059" w:type="dxa"/>
            <w:vAlign w:val="center"/>
          </w:tcPr>
          <w:p w14:paraId="6D02001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评价因子</w:t>
            </w:r>
          </w:p>
        </w:tc>
        <w:tc>
          <w:tcPr>
            <w:tcW w:w="1060" w:type="dxa"/>
            <w:vAlign w:val="center"/>
          </w:tcPr>
          <w:p w14:paraId="7CEC5F4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评价因子</w:t>
            </w:r>
          </w:p>
        </w:tc>
        <w:tc>
          <w:tcPr>
            <w:tcW w:w="6380" w:type="dxa"/>
            <w:gridSpan w:val="8"/>
            <w:vAlign w:val="center"/>
          </w:tcPr>
          <w:p w14:paraId="5D22D7E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等效连续A声级</w:t>
            </w:r>
            <w:r>
              <w:rPr>
                <w:rFonts w:cs="Times New Roman"/>
                <w:color w:val="auto"/>
                <w:sz w:val="21"/>
                <w:szCs w:val="21"/>
                <w:highlight w:val="none"/>
              </w:rPr>
              <w:sym w:font="Wingdings 2" w:char="0052"/>
            </w:r>
            <w:r>
              <w:rPr>
                <w:rFonts w:cs="Times New Roman"/>
                <w:color w:val="auto"/>
                <w:sz w:val="21"/>
                <w:szCs w:val="21"/>
                <w:highlight w:val="none"/>
              </w:rPr>
              <w:t>；   最大A声级</w:t>
            </w:r>
            <w:r>
              <w:rPr>
                <w:rFonts w:cs="Times New Roman"/>
                <w:color w:val="auto"/>
                <w:sz w:val="21"/>
                <w:szCs w:val="21"/>
                <w:highlight w:val="none"/>
              </w:rPr>
              <w:sym w:font="Wingdings 2" w:char="00A3"/>
            </w:r>
            <w:r>
              <w:rPr>
                <w:rFonts w:cs="Times New Roman"/>
                <w:color w:val="auto"/>
                <w:sz w:val="21"/>
                <w:szCs w:val="21"/>
                <w:highlight w:val="none"/>
              </w:rPr>
              <w:t>；   计权等效连续感觉噪声级</w:t>
            </w:r>
            <w:r>
              <w:rPr>
                <w:rFonts w:cs="Times New Roman"/>
                <w:color w:val="auto"/>
                <w:sz w:val="21"/>
                <w:szCs w:val="21"/>
                <w:highlight w:val="none"/>
              </w:rPr>
              <w:sym w:font="Wingdings 2" w:char="00A3"/>
            </w:r>
          </w:p>
        </w:tc>
      </w:tr>
      <w:tr w14:paraId="663DC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59" w:type="dxa"/>
            <w:vAlign w:val="center"/>
          </w:tcPr>
          <w:p w14:paraId="66041CF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评价标准</w:t>
            </w:r>
          </w:p>
        </w:tc>
        <w:tc>
          <w:tcPr>
            <w:tcW w:w="1060" w:type="dxa"/>
            <w:vAlign w:val="center"/>
          </w:tcPr>
          <w:p w14:paraId="561D85F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评价标准</w:t>
            </w:r>
          </w:p>
        </w:tc>
        <w:tc>
          <w:tcPr>
            <w:tcW w:w="6380" w:type="dxa"/>
            <w:gridSpan w:val="8"/>
            <w:vAlign w:val="center"/>
          </w:tcPr>
          <w:p w14:paraId="2254B0F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国家标准</w:t>
            </w:r>
            <w:r>
              <w:rPr>
                <w:rFonts w:cs="Times New Roman"/>
                <w:color w:val="auto"/>
                <w:sz w:val="21"/>
                <w:szCs w:val="21"/>
                <w:highlight w:val="none"/>
              </w:rPr>
              <w:sym w:font="Wingdings 2" w:char="0052"/>
            </w:r>
            <w:r>
              <w:rPr>
                <w:rFonts w:cs="Times New Roman"/>
                <w:color w:val="auto"/>
                <w:sz w:val="21"/>
                <w:szCs w:val="21"/>
                <w:highlight w:val="none"/>
              </w:rPr>
              <w:t>；      地方标准</w:t>
            </w:r>
            <w:r>
              <w:rPr>
                <w:rFonts w:cs="Times New Roman"/>
                <w:color w:val="auto"/>
                <w:sz w:val="21"/>
                <w:szCs w:val="21"/>
                <w:highlight w:val="none"/>
              </w:rPr>
              <w:sym w:font="Wingdings 2" w:char="00A3"/>
            </w:r>
            <w:r>
              <w:rPr>
                <w:rFonts w:cs="Times New Roman"/>
                <w:color w:val="auto"/>
                <w:sz w:val="21"/>
                <w:szCs w:val="21"/>
                <w:highlight w:val="none"/>
              </w:rPr>
              <w:t>；       国外标准</w:t>
            </w:r>
            <w:r>
              <w:rPr>
                <w:rFonts w:cs="Times New Roman"/>
                <w:color w:val="auto"/>
                <w:sz w:val="21"/>
                <w:szCs w:val="21"/>
                <w:highlight w:val="none"/>
              </w:rPr>
              <w:sym w:font="Wingdings 2" w:char="00A3"/>
            </w:r>
          </w:p>
        </w:tc>
      </w:tr>
      <w:tr w14:paraId="20869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1059" w:type="dxa"/>
            <w:vMerge w:val="restart"/>
            <w:vAlign w:val="center"/>
          </w:tcPr>
          <w:p w14:paraId="5728D70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现状评级</w:t>
            </w:r>
          </w:p>
        </w:tc>
        <w:tc>
          <w:tcPr>
            <w:tcW w:w="1060" w:type="dxa"/>
            <w:vAlign w:val="center"/>
          </w:tcPr>
          <w:p w14:paraId="120F3C8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环境功能区</w:t>
            </w:r>
          </w:p>
        </w:tc>
        <w:tc>
          <w:tcPr>
            <w:tcW w:w="1062" w:type="dxa"/>
            <w:vAlign w:val="center"/>
          </w:tcPr>
          <w:p w14:paraId="3D9CAF4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0类区</w:t>
            </w:r>
            <w:r>
              <w:rPr>
                <w:rFonts w:cs="Times New Roman"/>
                <w:color w:val="auto"/>
                <w:sz w:val="21"/>
                <w:szCs w:val="21"/>
                <w:highlight w:val="none"/>
              </w:rPr>
              <w:sym w:font="Wingdings 2" w:char="00A3"/>
            </w:r>
          </w:p>
        </w:tc>
        <w:tc>
          <w:tcPr>
            <w:tcW w:w="1063" w:type="dxa"/>
            <w:gridSpan w:val="2"/>
            <w:vAlign w:val="center"/>
          </w:tcPr>
          <w:p w14:paraId="00F8B0D3">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1类区</w:t>
            </w:r>
            <w:r>
              <w:rPr>
                <w:rFonts w:cs="Times New Roman"/>
                <w:color w:val="auto"/>
                <w:sz w:val="21"/>
                <w:szCs w:val="21"/>
                <w:highlight w:val="none"/>
              </w:rPr>
              <w:sym w:font="Wingdings 2" w:char="00A3"/>
            </w:r>
          </w:p>
        </w:tc>
        <w:tc>
          <w:tcPr>
            <w:tcW w:w="1064" w:type="dxa"/>
            <w:vAlign w:val="center"/>
          </w:tcPr>
          <w:p w14:paraId="7A9ED64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2类区</w:t>
            </w:r>
            <w:r>
              <w:rPr>
                <w:rFonts w:cs="Times New Roman"/>
                <w:color w:val="auto"/>
                <w:sz w:val="21"/>
                <w:szCs w:val="21"/>
                <w:highlight w:val="none"/>
              </w:rPr>
              <w:sym w:font="Wingdings 2" w:char="0052"/>
            </w:r>
          </w:p>
        </w:tc>
        <w:tc>
          <w:tcPr>
            <w:tcW w:w="1063" w:type="dxa"/>
            <w:vAlign w:val="center"/>
          </w:tcPr>
          <w:p w14:paraId="69F2899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3类区</w:t>
            </w:r>
            <w:r>
              <w:rPr>
                <w:rFonts w:cs="Times New Roman"/>
                <w:color w:val="auto"/>
                <w:sz w:val="21"/>
                <w:szCs w:val="21"/>
                <w:highlight w:val="none"/>
              </w:rPr>
              <w:sym w:font="Wingdings 2" w:char="00A3"/>
            </w:r>
          </w:p>
        </w:tc>
        <w:tc>
          <w:tcPr>
            <w:tcW w:w="1063" w:type="dxa"/>
            <w:gridSpan w:val="2"/>
            <w:vAlign w:val="center"/>
          </w:tcPr>
          <w:p w14:paraId="00682B1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4a类区</w:t>
            </w:r>
            <w:r>
              <w:rPr>
                <w:rFonts w:cs="Times New Roman"/>
                <w:color w:val="auto"/>
                <w:sz w:val="21"/>
                <w:szCs w:val="21"/>
                <w:highlight w:val="none"/>
              </w:rPr>
              <w:sym w:font="Wingdings 2" w:char="00A3"/>
            </w:r>
          </w:p>
        </w:tc>
        <w:tc>
          <w:tcPr>
            <w:tcW w:w="1065" w:type="dxa"/>
            <w:vAlign w:val="center"/>
          </w:tcPr>
          <w:p w14:paraId="4E5EF11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4b类区</w:t>
            </w:r>
            <w:r>
              <w:rPr>
                <w:rFonts w:cs="Times New Roman"/>
                <w:color w:val="auto"/>
                <w:sz w:val="21"/>
                <w:szCs w:val="21"/>
                <w:highlight w:val="none"/>
              </w:rPr>
              <w:sym w:font="Wingdings 2" w:char="00A3"/>
            </w:r>
          </w:p>
        </w:tc>
      </w:tr>
      <w:tr w14:paraId="34B29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59" w:type="dxa"/>
            <w:vMerge w:val="continue"/>
            <w:vAlign w:val="center"/>
          </w:tcPr>
          <w:p w14:paraId="261A6BDB">
            <w:pPr>
              <w:spacing w:line="360" w:lineRule="exact"/>
              <w:ind w:firstLine="0" w:firstLineChars="0"/>
              <w:jc w:val="center"/>
              <w:rPr>
                <w:rFonts w:cs="Times New Roman"/>
                <w:color w:val="auto"/>
                <w:sz w:val="21"/>
                <w:szCs w:val="21"/>
                <w:highlight w:val="none"/>
              </w:rPr>
            </w:pPr>
          </w:p>
        </w:tc>
        <w:tc>
          <w:tcPr>
            <w:tcW w:w="1060" w:type="dxa"/>
            <w:vAlign w:val="center"/>
          </w:tcPr>
          <w:p w14:paraId="2FB03636">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评价年度</w:t>
            </w:r>
          </w:p>
        </w:tc>
        <w:tc>
          <w:tcPr>
            <w:tcW w:w="1598" w:type="dxa"/>
            <w:gridSpan w:val="2"/>
            <w:vAlign w:val="center"/>
          </w:tcPr>
          <w:p w14:paraId="77DE5AE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初期</w:t>
            </w:r>
            <w:r>
              <w:rPr>
                <w:rFonts w:cs="Times New Roman"/>
                <w:color w:val="auto"/>
                <w:sz w:val="21"/>
                <w:szCs w:val="21"/>
                <w:highlight w:val="none"/>
              </w:rPr>
              <w:sym w:font="Wingdings 2" w:char="0052"/>
            </w:r>
          </w:p>
        </w:tc>
        <w:tc>
          <w:tcPr>
            <w:tcW w:w="1591" w:type="dxa"/>
            <w:gridSpan w:val="2"/>
            <w:vAlign w:val="center"/>
          </w:tcPr>
          <w:p w14:paraId="2D74C30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近期</w:t>
            </w:r>
            <w:r>
              <w:rPr>
                <w:rFonts w:cs="Times New Roman"/>
                <w:color w:val="auto"/>
                <w:sz w:val="21"/>
                <w:szCs w:val="21"/>
                <w:highlight w:val="none"/>
              </w:rPr>
              <w:sym w:font="Wingdings 2" w:char="00A3"/>
            </w:r>
          </w:p>
        </w:tc>
        <w:tc>
          <w:tcPr>
            <w:tcW w:w="1598" w:type="dxa"/>
            <w:gridSpan w:val="2"/>
            <w:vAlign w:val="center"/>
          </w:tcPr>
          <w:p w14:paraId="1E5E004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中期</w:t>
            </w:r>
            <w:r>
              <w:rPr>
                <w:rFonts w:cs="Times New Roman"/>
                <w:color w:val="auto"/>
                <w:sz w:val="21"/>
                <w:szCs w:val="21"/>
                <w:highlight w:val="none"/>
              </w:rPr>
              <w:sym w:font="Wingdings 2" w:char="00A3"/>
            </w:r>
          </w:p>
        </w:tc>
        <w:tc>
          <w:tcPr>
            <w:tcW w:w="1593" w:type="dxa"/>
            <w:gridSpan w:val="2"/>
            <w:vAlign w:val="center"/>
          </w:tcPr>
          <w:p w14:paraId="27A5883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远期</w:t>
            </w:r>
            <w:r>
              <w:rPr>
                <w:rFonts w:cs="Times New Roman"/>
                <w:color w:val="auto"/>
                <w:sz w:val="21"/>
                <w:szCs w:val="21"/>
                <w:highlight w:val="none"/>
              </w:rPr>
              <w:sym w:font="Wingdings 2" w:char="00A3"/>
            </w:r>
          </w:p>
        </w:tc>
      </w:tr>
      <w:tr w14:paraId="74274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1059" w:type="dxa"/>
            <w:vMerge w:val="continue"/>
            <w:vAlign w:val="center"/>
          </w:tcPr>
          <w:p w14:paraId="66318709">
            <w:pPr>
              <w:spacing w:line="360" w:lineRule="exact"/>
              <w:ind w:firstLine="0" w:firstLineChars="0"/>
              <w:jc w:val="center"/>
              <w:rPr>
                <w:rFonts w:cs="Times New Roman"/>
                <w:color w:val="auto"/>
                <w:sz w:val="21"/>
                <w:szCs w:val="21"/>
                <w:highlight w:val="none"/>
              </w:rPr>
            </w:pPr>
          </w:p>
        </w:tc>
        <w:tc>
          <w:tcPr>
            <w:tcW w:w="1060" w:type="dxa"/>
            <w:vAlign w:val="center"/>
          </w:tcPr>
          <w:p w14:paraId="7690152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现状调查方法</w:t>
            </w:r>
          </w:p>
        </w:tc>
        <w:tc>
          <w:tcPr>
            <w:tcW w:w="6380" w:type="dxa"/>
            <w:gridSpan w:val="8"/>
            <w:vAlign w:val="center"/>
          </w:tcPr>
          <w:p w14:paraId="777E6C5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现场实测法</w:t>
            </w:r>
            <w:r>
              <w:rPr>
                <w:rFonts w:cs="Times New Roman"/>
                <w:color w:val="auto"/>
                <w:sz w:val="21"/>
                <w:szCs w:val="21"/>
                <w:highlight w:val="none"/>
              </w:rPr>
              <w:sym w:font="Wingdings 2" w:char="0052"/>
            </w:r>
            <w:r>
              <w:rPr>
                <w:rFonts w:cs="Times New Roman"/>
                <w:color w:val="auto"/>
                <w:sz w:val="21"/>
                <w:szCs w:val="21"/>
                <w:highlight w:val="none"/>
              </w:rPr>
              <w:t xml:space="preserve">        现场实测加模型计算法</w:t>
            </w:r>
            <w:r>
              <w:rPr>
                <w:rFonts w:cs="Times New Roman"/>
                <w:color w:val="auto"/>
                <w:sz w:val="21"/>
                <w:szCs w:val="21"/>
                <w:highlight w:val="none"/>
              </w:rPr>
              <w:sym w:font="Wingdings 2" w:char="00A3"/>
            </w:r>
            <w:r>
              <w:rPr>
                <w:rFonts w:cs="Times New Roman"/>
                <w:color w:val="auto"/>
                <w:sz w:val="21"/>
                <w:szCs w:val="21"/>
                <w:highlight w:val="none"/>
              </w:rPr>
              <w:t xml:space="preserve">         收集资料</w:t>
            </w:r>
            <w:r>
              <w:rPr>
                <w:rFonts w:cs="Times New Roman"/>
                <w:color w:val="auto"/>
                <w:sz w:val="21"/>
                <w:szCs w:val="21"/>
                <w:highlight w:val="none"/>
              </w:rPr>
              <w:sym w:font="Wingdings 2" w:char="00A3"/>
            </w:r>
          </w:p>
        </w:tc>
      </w:tr>
      <w:tr w14:paraId="3AD71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59" w:type="dxa"/>
            <w:vMerge w:val="continue"/>
            <w:vAlign w:val="center"/>
          </w:tcPr>
          <w:p w14:paraId="5431D939">
            <w:pPr>
              <w:spacing w:line="360" w:lineRule="exact"/>
              <w:ind w:firstLine="0" w:firstLineChars="0"/>
              <w:jc w:val="center"/>
              <w:rPr>
                <w:rFonts w:cs="Times New Roman"/>
                <w:color w:val="auto"/>
                <w:sz w:val="21"/>
                <w:szCs w:val="21"/>
                <w:highlight w:val="none"/>
              </w:rPr>
            </w:pPr>
          </w:p>
        </w:tc>
        <w:tc>
          <w:tcPr>
            <w:tcW w:w="1060" w:type="dxa"/>
            <w:vAlign w:val="center"/>
          </w:tcPr>
          <w:p w14:paraId="36BAA91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现状评价</w:t>
            </w:r>
          </w:p>
        </w:tc>
        <w:tc>
          <w:tcPr>
            <w:tcW w:w="3189" w:type="dxa"/>
            <w:gridSpan w:val="4"/>
            <w:vAlign w:val="center"/>
          </w:tcPr>
          <w:p w14:paraId="1E57F5D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达标百分比</w:t>
            </w:r>
          </w:p>
        </w:tc>
        <w:tc>
          <w:tcPr>
            <w:tcW w:w="3191" w:type="dxa"/>
            <w:gridSpan w:val="4"/>
            <w:vAlign w:val="center"/>
          </w:tcPr>
          <w:p w14:paraId="09669F8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100%</w:t>
            </w:r>
          </w:p>
        </w:tc>
      </w:tr>
      <w:tr w14:paraId="50913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1059" w:type="dxa"/>
            <w:vAlign w:val="center"/>
          </w:tcPr>
          <w:p w14:paraId="16B5A93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噪声源调查</w:t>
            </w:r>
          </w:p>
        </w:tc>
        <w:tc>
          <w:tcPr>
            <w:tcW w:w="1060" w:type="dxa"/>
            <w:vAlign w:val="center"/>
          </w:tcPr>
          <w:p w14:paraId="2D80279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噪声源调查方法</w:t>
            </w:r>
          </w:p>
        </w:tc>
        <w:tc>
          <w:tcPr>
            <w:tcW w:w="6380" w:type="dxa"/>
            <w:gridSpan w:val="8"/>
            <w:vAlign w:val="center"/>
          </w:tcPr>
          <w:p w14:paraId="0FAC0D7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现场实测</w:t>
            </w:r>
            <w:r>
              <w:rPr>
                <w:rFonts w:cs="Times New Roman"/>
                <w:color w:val="auto"/>
                <w:sz w:val="21"/>
                <w:szCs w:val="21"/>
                <w:highlight w:val="none"/>
              </w:rPr>
              <w:sym w:font="Wingdings 2" w:char="0052"/>
            </w:r>
            <w:r>
              <w:rPr>
                <w:rFonts w:cs="Times New Roman"/>
                <w:color w:val="auto"/>
                <w:sz w:val="21"/>
                <w:szCs w:val="21"/>
                <w:highlight w:val="none"/>
              </w:rPr>
              <w:t xml:space="preserve">           已有资料</w:t>
            </w:r>
            <w:r>
              <w:rPr>
                <w:rFonts w:cs="Times New Roman"/>
                <w:color w:val="auto"/>
                <w:sz w:val="21"/>
                <w:szCs w:val="21"/>
                <w:highlight w:val="none"/>
              </w:rPr>
              <w:sym w:font="Wingdings 2" w:char="0052"/>
            </w:r>
            <w:r>
              <w:rPr>
                <w:rFonts w:cs="Times New Roman"/>
                <w:color w:val="auto"/>
                <w:sz w:val="21"/>
                <w:szCs w:val="21"/>
                <w:highlight w:val="none"/>
              </w:rPr>
              <w:t xml:space="preserve">           研究成果</w:t>
            </w:r>
            <w:r>
              <w:rPr>
                <w:rFonts w:cs="Times New Roman"/>
                <w:color w:val="auto"/>
                <w:sz w:val="21"/>
                <w:szCs w:val="21"/>
                <w:highlight w:val="none"/>
              </w:rPr>
              <w:sym w:font="Wingdings 2" w:char="00A3"/>
            </w:r>
          </w:p>
        </w:tc>
      </w:tr>
      <w:tr w14:paraId="65F50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59" w:type="dxa"/>
            <w:vMerge w:val="restart"/>
            <w:vAlign w:val="center"/>
          </w:tcPr>
          <w:p w14:paraId="66EDF1C2">
            <w:pPr>
              <w:spacing w:line="360" w:lineRule="exact"/>
              <w:ind w:firstLine="0" w:firstLineChars="0"/>
              <w:rPr>
                <w:rFonts w:cs="Times New Roman"/>
                <w:color w:val="auto"/>
                <w:sz w:val="21"/>
                <w:szCs w:val="21"/>
                <w:highlight w:val="none"/>
              </w:rPr>
            </w:pPr>
            <w:r>
              <w:rPr>
                <w:rFonts w:cs="Times New Roman"/>
                <w:color w:val="auto"/>
                <w:sz w:val="21"/>
                <w:szCs w:val="21"/>
                <w:highlight w:val="none"/>
              </w:rPr>
              <w:t>声环境影响预测与评价</w:t>
            </w:r>
          </w:p>
        </w:tc>
        <w:tc>
          <w:tcPr>
            <w:tcW w:w="1060" w:type="dxa"/>
            <w:vAlign w:val="center"/>
          </w:tcPr>
          <w:p w14:paraId="267F73F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预测模型</w:t>
            </w:r>
          </w:p>
        </w:tc>
        <w:tc>
          <w:tcPr>
            <w:tcW w:w="6380" w:type="dxa"/>
            <w:gridSpan w:val="8"/>
            <w:vAlign w:val="center"/>
          </w:tcPr>
          <w:p w14:paraId="3007F49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导则推荐模型</w:t>
            </w:r>
            <w:r>
              <w:rPr>
                <w:rFonts w:cs="Times New Roman"/>
                <w:color w:val="auto"/>
                <w:sz w:val="21"/>
                <w:szCs w:val="21"/>
                <w:highlight w:val="none"/>
              </w:rPr>
              <w:sym w:font="Wingdings 2" w:char="0052"/>
            </w:r>
            <w:r>
              <w:rPr>
                <w:rFonts w:cs="Times New Roman"/>
                <w:color w:val="auto"/>
                <w:sz w:val="21"/>
                <w:szCs w:val="21"/>
                <w:highlight w:val="none"/>
              </w:rPr>
              <w:t xml:space="preserve">       其他</w:t>
            </w:r>
            <w:r>
              <w:rPr>
                <w:rFonts w:cs="Times New Roman"/>
                <w:color w:val="auto"/>
                <w:sz w:val="21"/>
                <w:szCs w:val="21"/>
                <w:highlight w:val="none"/>
              </w:rPr>
              <w:sym w:font="Wingdings 2" w:char="00A3"/>
            </w:r>
            <w:r>
              <w:rPr>
                <w:rFonts w:cs="Times New Roman"/>
                <w:color w:val="auto"/>
                <w:sz w:val="21"/>
                <w:szCs w:val="21"/>
                <w:highlight w:val="none"/>
                <w:u w:val="single"/>
              </w:rPr>
              <w:t xml:space="preserve">           </w:t>
            </w:r>
          </w:p>
        </w:tc>
      </w:tr>
      <w:tr w14:paraId="76F26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59" w:type="dxa"/>
            <w:vMerge w:val="continue"/>
            <w:vAlign w:val="center"/>
          </w:tcPr>
          <w:p w14:paraId="6A7D9865">
            <w:pPr>
              <w:spacing w:line="360" w:lineRule="exact"/>
              <w:ind w:firstLine="0" w:firstLineChars="0"/>
              <w:jc w:val="center"/>
              <w:rPr>
                <w:rFonts w:cs="Times New Roman"/>
                <w:color w:val="auto"/>
                <w:sz w:val="21"/>
                <w:szCs w:val="21"/>
                <w:highlight w:val="none"/>
              </w:rPr>
            </w:pPr>
          </w:p>
        </w:tc>
        <w:tc>
          <w:tcPr>
            <w:tcW w:w="1060" w:type="dxa"/>
            <w:vAlign w:val="center"/>
          </w:tcPr>
          <w:p w14:paraId="6E5856D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预测范围</w:t>
            </w:r>
          </w:p>
        </w:tc>
        <w:tc>
          <w:tcPr>
            <w:tcW w:w="6380" w:type="dxa"/>
            <w:gridSpan w:val="8"/>
            <w:vAlign w:val="center"/>
          </w:tcPr>
          <w:p w14:paraId="32052CAD">
            <w:pPr>
              <w:spacing w:line="360" w:lineRule="exact"/>
              <w:ind w:firstLine="0" w:firstLineChars="0"/>
              <w:jc w:val="center"/>
              <w:rPr>
                <w:rFonts w:cs="Times New Roman"/>
                <w:color w:val="auto"/>
                <w:sz w:val="21"/>
                <w:szCs w:val="21"/>
                <w:highlight w:val="none"/>
              </w:rPr>
            </w:pPr>
            <w:r>
              <w:rPr>
                <w:rFonts w:cs="Times New Roman"/>
                <w:bCs/>
                <w:color w:val="auto"/>
                <w:kern w:val="0"/>
                <w:sz w:val="21"/>
                <w:szCs w:val="21"/>
                <w:highlight w:val="none"/>
              </w:rPr>
              <w:t>200m</w:t>
            </w:r>
            <w:r>
              <w:rPr>
                <w:rFonts w:cs="Times New Roman"/>
                <w:color w:val="auto"/>
                <w:sz w:val="21"/>
                <w:szCs w:val="21"/>
                <w:highlight w:val="none"/>
              </w:rPr>
              <w:sym w:font="Wingdings 2" w:char="0052"/>
            </w:r>
            <w:r>
              <w:rPr>
                <w:rFonts w:cs="Times New Roman"/>
                <w:bCs/>
                <w:color w:val="auto"/>
                <w:kern w:val="0"/>
                <w:sz w:val="21"/>
                <w:szCs w:val="21"/>
                <w:highlight w:val="none"/>
              </w:rPr>
              <w:t>；             大于200m</w:t>
            </w:r>
            <w:r>
              <w:rPr>
                <w:rFonts w:cs="Times New Roman"/>
                <w:bCs/>
                <w:color w:val="auto"/>
                <w:kern w:val="0"/>
                <w:sz w:val="21"/>
                <w:szCs w:val="21"/>
                <w:highlight w:val="none"/>
              </w:rPr>
              <w:sym w:font="Wingdings 2" w:char="00A3"/>
            </w:r>
            <w:r>
              <w:rPr>
                <w:rFonts w:cs="Times New Roman"/>
                <w:bCs/>
                <w:color w:val="auto"/>
                <w:kern w:val="0"/>
                <w:sz w:val="21"/>
                <w:szCs w:val="21"/>
                <w:highlight w:val="none"/>
              </w:rPr>
              <w:t>；             小于200m</w:t>
            </w:r>
            <w:r>
              <w:rPr>
                <w:rFonts w:cs="Times New Roman"/>
                <w:color w:val="auto"/>
                <w:sz w:val="21"/>
                <w:szCs w:val="21"/>
                <w:highlight w:val="none"/>
              </w:rPr>
              <w:sym w:font="Wingdings 2" w:char="00A3"/>
            </w:r>
          </w:p>
        </w:tc>
      </w:tr>
      <w:tr w14:paraId="08712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1059" w:type="dxa"/>
            <w:vMerge w:val="continue"/>
            <w:vAlign w:val="center"/>
          </w:tcPr>
          <w:p w14:paraId="0178DCCE">
            <w:pPr>
              <w:spacing w:line="360" w:lineRule="exact"/>
              <w:ind w:firstLine="0" w:firstLineChars="0"/>
              <w:jc w:val="center"/>
              <w:rPr>
                <w:rFonts w:cs="Times New Roman"/>
                <w:color w:val="auto"/>
                <w:sz w:val="21"/>
                <w:szCs w:val="21"/>
                <w:highlight w:val="none"/>
              </w:rPr>
            </w:pPr>
          </w:p>
        </w:tc>
        <w:tc>
          <w:tcPr>
            <w:tcW w:w="1060" w:type="dxa"/>
            <w:vAlign w:val="center"/>
          </w:tcPr>
          <w:p w14:paraId="3997F1D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预测因子</w:t>
            </w:r>
          </w:p>
        </w:tc>
        <w:tc>
          <w:tcPr>
            <w:tcW w:w="6380" w:type="dxa"/>
            <w:gridSpan w:val="8"/>
            <w:vAlign w:val="center"/>
          </w:tcPr>
          <w:p w14:paraId="1A02E80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等效连续A声级</w:t>
            </w:r>
            <w:r>
              <w:rPr>
                <w:rFonts w:cs="Times New Roman"/>
                <w:color w:val="auto"/>
                <w:sz w:val="21"/>
                <w:szCs w:val="21"/>
                <w:highlight w:val="none"/>
              </w:rPr>
              <w:sym w:font="Wingdings 2" w:char="0052"/>
            </w:r>
            <w:r>
              <w:rPr>
                <w:rFonts w:cs="Times New Roman"/>
                <w:color w:val="auto"/>
                <w:sz w:val="21"/>
                <w:szCs w:val="21"/>
                <w:highlight w:val="none"/>
              </w:rPr>
              <w:t>；   最大A声级</w:t>
            </w:r>
            <w:r>
              <w:rPr>
                <w:rFonts w:cs="Times New Roman"/>
                <w:color w:val="auto"/>
                <w:sz w:val="21"/>
                <w:szCs w:val="21"/>
                <w:highlight w:val="none"/>
              </w:rPr>
              <w:sym w:font="Wingdings 2" w:char="00A3"/>
            </w:r>
            <w:r>
              <w:rPr>
                <w:rFonts w:cs="Times New Roman"/>
                <w:color w:val="auto"/>
                <w:sz w:val="21"/>
                <w:szCs w:val="21"/>
                <w:highlight w:val="none"/>
              </w:rPr>
              <w:t>；    计权等效连续感觉噪声级</w:t>
            </w:r>
            <w:r>
              <w:rPr>
                <w:rFonts w:cs="Times New Roman"/>
                <w:color w:val="auto"/>
                <w:sz w:val="21"/>
                <w:szCs w:val="21"/>
                <w:highlight w:val="none"/>
              </w:rPr>
              <w:sym w:font="Wingdings 2" w:char="00A3"/>
            </w:r>
          </w:p>
        </w:tc>
      </w:tr>
      <w:tr w14:paraId="15B11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1059" w:type="dxa"/>
            <w:vMerge w:val="continue"/>
            <w:vAlign w:val="center"/>
          </w:tcPr>
          <w:p w14:paraId="1641090A">
            <w:pPr>
              <w:spacing w:line="360" w:lineRule="exact"/>
              <w:ind w:firstLine="0" w:firstLineChars="0"/>
              <w:jc w:val="center"/>
              <w:rPr>
                <w:rFonts w:cs="Times New Roman"/>
                <w:color w:val="auto"/>
                <w:sz w:val="21"/>
                <w:szCs w:val="21"/>
                <w:highlight w:val="none"/>
              </w:rPr>
            </w:pPr>
          </w:p>
        </w:tc>
        <w:tc>
          <w:tcPr>
            <w:tcW w:w="1060" w:type="dxa"/>
            <w:vAlign w:val="center"/>
          </w:tcPr>
          <w:p w14:paraId="48B371B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厂界噪声贡献值</w:t>
            </w:r>
          </w:p>
        </w:tc>
        <w:tc>
          <w:tcPr>
            <w:tcW w:w="6380" w:type="dxa"/>
            <w:gridSpan w:val="8"/>
            <w:vAlign w:val="center"/>
          </w:tcPr>
          <w:p w14:paraId="7536668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w:t>
            </w:r>
            <w:r>
              <w:rPr>
                <w:rFonts w:cs="Times New Roman"/>
                <w:color w:val="auto"/>
                <w:sz w:val="21"/>
                <w:szCs w:val="21"/>
                <w:highlight w:val="none"/>
              </w:rPr>
              <w:sym w:font="Wingdings 2" w:char="0052"/>
            </w:r>
            <w:r>
              <w:rPr>
                <w:rFonts w:cs="Times New Roman"/>
                <w:color w:val="auto"/>
                <w:sz w:val="21"/>
                <w:szCs w:val="21"/>
                <w:highlight w:val="none"/>
              </w:rPr>
              <w:t xml:space="preserve">         不达标</w:t>
            </w:r>
            <w:r>
              <w:rPr>
                <w:rFonts w:cs="Times New Roman"/>
                <w:color w:val="auto"/>
                <w:sz w:val="21"/>
                <w:szCs w:val="21"/>
                <w:highlight w:val="none"/>
              </w:rPr>
              <w:sym w:font="Wingdings 2" w:char="00A3"/>
            </w:r>
          </w:p>
        </w:tc>
      </w:tr>
      <w:tr w14:paraId="219E1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7" w:hRule="atLeast"/>
          <w:jc w:val="center"/>
        </w:trPr>
        <w:tc>
          <w:tcPr>
            <w:tcW w:w="1059" w:type="dxa"/>
            <w:vMerge w:val="continue"/>
            <w:vAlign w:val="center"/>
          </w:tcPr>
          <w:p w14:paraId="49D51B20">
            <w:pPr>
              <w:spacing w:line="360" w:lineRule="exact"/>
              <w:ind w:firstLine="0" w:firstLineChars="0"/>
              <w:jc w:val="center"/>
              <w:rPr>
                <w:rFonts w:cs="Times New Roman"/>
                <w:color w:val="auto"/>
                <w:sz w:val="21"/>
                <w:szCs w:val="21"/>
                <w:highlight w:val="none"/>
              </w:rPr>
            </w:pPr>
          </w:p>
        </w:tc>
        <w:tc>
          <w:tcPr>
            <w:tcW w:w="1060" w:type="dxa"/>
            <w:vAlign w:val="center"/>
          </w:tcPr>
          <w:p w14:paraId="3477CA4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声环境保护目标处噪声值</w:t>
            </w:r>
          </w:p>
        </w:tc>
        <w:tc>
          <w:tcPr>
            <w:tcW w:w="6380" w:type="dxa"/>
            <w:gridSpan w:val="8"/>
            <w:vAlign w:val="center"/>
          </w:tcPr>
          <w:p w14:paraId="5B1E734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达标</w:t>
            </w:r>
            <w:r>
              <w:rPr>
                <w:rFonts w:cs="Times New Roman"/>
                <w:color w:val="auto"/>
                <w:sz w:val="21"/>
                <w:szCs w:val="21"/>
                <w:highlight w:val="none"/>
              </w:rPr>
              <w:sym w:font="Wingdings 2" w:char="0052"/>
            </w:r>
            <w:r>
              <w:rPr>
                <w:rFonts w:cs="Times New Roman"/>
                <w:color w:val="auto"/>
                <w:sz w:val="21"/>
                <w:szCs w:val="21"/>
                <w:highlight w:val="none"/>
              </w:rPr>
              <w:t xml:space="preserve">         不达标</w:t>
            </w:r>
            <w:r>
              <w:rPr>
                <w:rFonts w:cs="Times New Roman"/>
                <w:color w:val="auto"/>
                <w:sz w:val="21"/>
                <w:szCs w:val="21"/>
                <w:highlight w:val="none"/>
              </w:rPr>
              <w:sym w:font="Wingdings 2" w:char="00A3"/>
            </w:r>
          </w:p>
        </w:tc>
      </w:tr>
      <w:tr w14:paraId="1F015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jc w:val="center"/>
        </w:trPr>
        <w:tc>
          <w:tcPr>
            <w:tcW w:w="1059" w:type="dxa"/>
            <w:vMerge w:val="restart"/>
            <w:vAlign w:val="center"/>
          </w:tcPr>
          <w:p w14:paraId="0927ABA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环境监测计划</w:t>
            </w:r>
          </w:p>
        </w:tc>
        <w:tc>
          <w:tcPr>
            <w:tcW w:w="1060" w:type="dxa"/>
            <w:vAlign w:val="center"/>
          </w:tcPr>
          <w:p w14:paraId="462AB1FA">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排放监测</w:t>
            </w:r>
          </w:p>
        </w:tc>
        <w:tc>
          <w:tcPr>
            <w:tcW w:w="6380" w:type="dxa"/>
            <w:gridSpan w:val="8"/>
            <w:vAlign w:val="center"/>
          </w:tcPr>
          <w:p w14:paraId="4D482C1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厂界监测</w:t>
            </w:r>
            <w:r>
              <w:rPr>
                <w:rFonts w:cs="Times New Roman"/>
                <w:color w:val="auto"/>
                <w:sz w:val="21"/>
                <w:szCs w:val="21"/>
                <w:highlight w:val="none"/>
              </w:rPr>
              <w:sym w:font="Wingdings 2" w:char="0052"/>
            </w:r>
            <w:r>
              <w:rPr>
                <w:rFonts w:cs="Times New Roman"/>
                <w:color w:val="auto"/>
                <w:sz w:val="21"/>
                <w:szCs w:val="21"/>
                <w:highlight w:val="none"/>
              </w:rPr>
              <w:t xml:space="preserve">   固定位置监测</w:t>
            </w:r>
            <w:r>
              <w:rPr>
                <w:rFonts w:cs="Times New Roman"/>
                <w:color w:val="auto"/>
                <w:sz w:val="21"/>
                <w:szCs w:val="21"/>
                <w:highlight w:val="none"/>
              </w:rPr>
              <w:sym w:font="Wingdings 2" w:char="00A3"/>
            </w:r>
            <w:r>
              <w:rPr>
                <w:rFonts w:cs="Times New Roman"/>
                <w:color w:val="auto"/>
                <w:sz w:val="21"/>
                <w:szCs w:val="21"/>
                <w:highlight w:val="none"/>
              </w:rPr>
              <w:t xml:space="preserve">   自动监测</w:t>
            </w:r>
            <w:r>
              <w:rPr>
                <w:rFonts w:cs="Times New Roman"/>
                <w:color w:val="auto"/>
                <w:sz w:val="21"/>
                <w:szCs w:val="21"/>
                <w:highlight w:val="none"/>
              </w:rPr>
              <w:sym w:font="Wingdings 2" w:char="00A3"/>
            </w:r>
            <w:r>
              <w:rPr>
                <w:rFonts w:cs="Times New Roman"/>
                <w:color w:val="auto"/>
                <w:sz w:val="21"/>
                <w:szCs w:val="21"/>
                <w:highlight w:val="none"/>
              </w:rPr>
              <w:t xml:space="preserve">   手动监测</w:t>
            </w:r>
            <w:r>
              <w:rPr>
                <w:rFonts w:cs="Times New Roman"/>
                <w:color w:val="auto"/>
                <w:sz w:val="21"/>
                <w:szCs w:val="21"/>
                <w:highlight w:val="none"/>
              </w:rPr>
              <w:sym w:font="Wingdings 2" w:char="00A3"/>
            </w:r>
            <w:r>
              <w:rPr>
                <w:rFonts w:cs="Times New Roman"/>
                <w:color w:val="auto"/>
                <w:sz w:val="21"/>
                <w:szCs w:val="21"/>
                <w:highlight w:val="none"/>
              </w:rPr>
              <w:t xml:space="preserve">   无监测</w:t>
            </w:r>
            <w:r>
              <w:rPr>
                <w:rFonts w:cs="Times New Roman"/>
                <w:color w:val="auto"/>
                <w:sz w:val="21"/>
                <w:szCs w:val="21"/>
                <w:highlight w:val="none"/>
              </w:rPr>
              <w:sym w:font="Wingdings 2" w:char="00A3"/>
            </w:r>
          </w:p>
        </w:tc>
      </w:tr>
      <w:tr w14:paraId="490A0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7" w:hRule="atLeast"/>
          <w:jc w:val="center"/>
        </w:trPr>
        <w:tc>
          <w:tcPr>
            <w:tcW w:w="1059" w:type="dxa"/>
            <w:vMerge w:val="continue"/>
            <w:vAlign w:val="center"/>
          </w:tcPr>
          <w:p w14:paraId="3AC58D64">
            <w:pPr>
              <w:spacing w:line="360" w:lineRule="exact"/>
              <w:ind w:firstLine="0" w:firstLineChars="0"/>
              <w:jc w:val="center"/>
              <w:rPr>
                <w:rFonts w:cs="Times New Roman"/>
                <w:color w:val="auto"/>
                <w:sz w:val="21"/>
                <w:szCs w:val="21"/>
                <w:highlight w:val="none"/>
              </w:rPr>
            </w:pPr>
          </w:p>
        </w:tc>
        <w:tc>
          <w:tcPr>
            <w:tcW w:w="1060" w:type="dxa"/>
            <w:vAlign w:val="center"/>
          </w:tcPr>
          <w:p w14:paraId="5537696F">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声环境保护目标处噪声监测</w:t>
            </w:r>
          </w:p>
        </w:tc>
        <w:tc>
          <w:tcPr>
            <w:tcW w:w="2125" w:type="dxa"/>
            <w:gridSpan w:val="3"/>
            <w:vAlign w:val="center"/>
          </w:tcPr>
          <w:p w14:paraId="581A869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监测因子：（等效连续A声级）</w:t>
            </w:r>
          </w:p>
        </w:tc>
        <w:tc>
          <w:tcPr>
            <w:tcW w:w="2127" w:type="dxa"/>
            <w:gridSpan w:val="2"/>
            <w:vAlign w:val="center"/>
          </w:tcPr>
          <w:p w14:paraId="0657924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监测点位数（4）</w:t>
            </w:r>
          </w:p>
        </w:tc>
        <w:tc>
          <w:tcPr>
            <w:tcW w:w="2128" w:type="dxa"/>
            <w:gridSpan w:val="3"/>
            <w:vAlign w:val="center"/>
          </w:tcPr>
          <w:p w14:paraId="4CE0D66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无监测</w:t>
            </w:r>
            <w:r>
              <w:rPr>
                <w:rFonts w:cs="Times New Roman"/>
                <w:color w:val="auto"/>
                <w:sz w:val="21"/>
                <w:szCs w:val="21"/>
                <w:highlight w:val="none"/>
              </w:rPr>
              <w:sym w:font="Wingdings 2" w:char="00A3"/>
            </w:r>
          </w:p>
        </w:tc>
      </w:tr>
      <w:tr w14:paraId="44C8C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59" w:type="dxa"/>
            <w:vAlign w:val="center"/>
          </w:tcPr>
          <w:p w14:paraId="430923C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评价结论</w:t>
            </w:r>
          </w:p>
        </w:tc>
        <w:tc>
          <w:tcPr>
            <w:tcW w:w="1060" w:type="dxa"/>
            <w:vAlign w:val="center"/>
          </w:tcPr>
          <w:p w14:paraId="47A88BD8">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环境影响</w:t>
            </w:r>
          </w:p>
        </w:tc>
        <w:tc>
          <w:tcPr>
            <w:tcW w:w="6380" w:type="dxa"/>
            <w:gridSpan w:val="8"/>
            <w:vAlign w:val="center"/>
          </w:tcPr>
          <w:p w14:paraId="3A7E1AC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可行</w:t>
            </w:r>
            <w:r>
              <w:rPr>
                <w:rFonts w:cs="Times New Roman"/>
                <w:color w:val="auto"/>
                <w:sz w:val="21"/>
                <w:szCs w:val="21"/>
                <w:highlight w:val="none"/>
              </w:rPr>
              <w:sym w:font="Wingdings 2" w:char="0052"/>
            </w:r>
            <w:r>
              <w:rPr>
                <w:rFonts w:cs="Times New Roman"/>
                <w:color w:val="auto"/>
                <w:sz w:val="21"/>
                <w:szCs w:val="21"/>
                <w:highlight w:val="none"/>
              </w:rPr>
              <w:t xml:space="preserve">    不可行</w:t>
            </w:r>
            <w:r>
              <w:rPr>
                <w:rFonts w:cs="Times New Roman"/>
                <w:color w:val="auto"/>
                <w:sz w:val="21"/>
                <w:szCs w:val="21"/>
                <w:highlight w:val="none"/>
              </w:rPr>
              <w:sym w:font="Wingdings 2" w:char="00A3"/>
            </w:r>
          </w:p>
        </w:tc>
      </w:tr>
      <w:tr w14:paraId="116DA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8499" w:type="dxa"/>
            <w:gridSpan w:val="10"/>
            <w:vAlign w:val="center"/>
          </w:tcPr>
          <w:p w14:paraId="588ADA18">
            <w:pPr>
              <w:spacing w:line="360" w:lineRule="exact"/>
              <w:ind w:firstLine="0" w:firstLineChars="0"/>
              <w:rPr>
                <w:rFonts w:cs="Times New Roman"/>
                <w:color w:val="auto"/>
                <w:sz w:val="21"/>
                <w:szCs w:val="21"/>
                <w:highlight w:val="none"/>
              </w:rPr>
            </w:pPr>
            <w:r>
              <w:rPr>
                <w:rFonts w:cs="Times New Roman"/>
                <w:color w:val="auto"/>
                <w:sz w:val="21"/>
                <w:szCs w:val="21"/>
                <w:highlight w:val="none"/>
              </w:rPr>
              <w:t>注：“</w:t>
            </w:r>
            <w:r>
              <w:rPr>
                <w:rFonts w:cs="Times New Roman"/>
                <w:color w:val="auto"/>
                <w:sz w:val="21"/>
                <w:szCs w:val="21"/>
                <w:highlight w:val="none"/>
              </w:rPr>
              <w:sym w:font="Wingdings 2" w:char="00A3"/>
            </w:r>
            <w:r>
              <w:rPr>
                <w:rFonts w:cs="Times New Roman"/>
                <w:color w:val="auto"/>
                <w:sz w:val="21"/>
                <w:szCs w:val="21"/>
                <w:highlight w:val="none"/>
              </w:rPr>
              <w:t>”为勾选项，可√：“（）”为内容填写项</w:t>
            </w:r>
          </w:p>
        </w:tc>
      </w:tr>
    </w:tbl>
    <w:p w14:paraId="13961161">
      <w:pPr>
        <w:pStyle w:val="2"/>
        <w:rPr>
          <w:rFonts w:cs="Times New Roman"/>
          <w:color w:val="auto"/>
          <w:sz w:val="24"/>
          <w:szCs w:val="24"/>
          <w:highlight w:val="none"/>
        </w:rPr>
        <w:sectPr>
          <w:headerReference r:id="rId14" w:type="default"/>
          <w:headerReference r:id="rId15" w:type="even"/>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761B5F9B">
      <w:pPr>
        <w:pStyle w:val="2"/>
        <w:rPr>
          <w:rFonts w:cs="Times New Roman"/>
          <w:color w:val="auto"/>
          <w:sz w:val="24"/>
          <w:szCs w:val="24"/>
          <w:highlight w:val="none"/>
        </w:rPr>
      </w:pPr>
      <w:r>
        <w:rPr>
          <w:rFonts w:cs="Times New Roman"/>
          <w:color w:val="auto"/>
          <w:sz w:val="24"/>
          <w:szCs w:val="24"/>
          <w:highlight w:val="none"/>
        </w:rPr>
        <w:t>附表4  环境风险自查表</w:t>
      </w:r>
      <w:bookmarkEnd w:id="484"/>
    </w:p>
    <w:p w14:paraId="5AC04313">
      <w:pPr>
        <w:spacing w:before="163" w:beforeLines="50" w:line="240" w:lineRule="auto"/>
        <w:ind w:firstLine="482"/>
        <w:jc w:val="center"/>
        <w:rPr>
          <w:rFonts w:cs="Times New Roman"/>
          <w:b/>
          <w:bCs/>
          <w:color w:val="auto"/>
          <w:highlight w:val="none"/>
        </w:rPr>
      </w:pPr>
      <w:r>
        <w:rPr>
          <w:rFonts w:cs="Times New Roman"/>
          <w:b/>
          <w:bCs/>
          <w:color w:val="auto"/>
          <w:highlight w:val="none"/>
        </w:rPr>
        <w:t>环境风险自查表</w:t>
      </w:r>
    </w:p>
    <w:tbl>
      <w:tblPr>
        <w:tblStyle w:val="47"/>
        <w:tblW w:w="5383"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850"/>
        <w:gridCol w:w="1119"/>
        <w:gridCol w:w="1279"/>
        <w:gridCol w:w="890"/>
        <w:gridCol w:w="327"/>
        <w:gridCol w:w="1519"/>
        <w:gridCol w:w="861"/>
        <w:gridCol w:w="143"/>
        <w:gridCol w:w="428"/>
        <w:gridCol w:w="297"/>
        <w:gridCol w:w="207"/>
        <w:gridCol w:w="29"/>
        <w:gridCol w:w="534"/>
        <w:gridCol w:w="692"/>
      </w:tblGrid>
      <w:tr w14:paraId="20815D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shd w:val="clear" w:color="auto" w:fill="auto"/>
            <w:vAlign w:val="center"/>
          </w:tcPr>
          <w:p w14:paraId="42328A2F">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工作内容</w:t>
            </w:r>
          </w:p>
        </w:tc>
        <w:tc>
          <w:tcPr>
            <w:tcW w:w="3926" w:type="pct"/>
            <w:gridSpan w:val="12"/>
            <w:shd w:val="clear" w:color="auto" w:fill="auto"/>
            <w:vAlign w:val="center"/>
          </w:tcPr>
          <w:p w14:paraId="297B90A3">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完成情况</w:t>
            </w:r>
          </w:p>
        </w:tc>
      </w:tr>
      <w:tr w14:paraId="4EC335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restart"/>
            <w:shd w:val="clear" w:color="auto" w:fill="auto"/>
            <w:vAlign w:val="center"/>
          </w:tcPr>
          <w:p w14:paraId="787C219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风</w:t>
            </w:r>
          </w:p>
          <w:p w14:paraId="206F79FB">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险</w:t>
            </w:r>
          </w:p>
          <w:p w14:paraId="0D080D5F">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调</w:t>
            </w:r>
          </w:p>
          <w:p w14:paraId="55E48338">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查</w:t>
            </w:r>
          </w:p>
        </w:tc>
        <w:tc>
          <w:tcPr>
            <w:tcW w:w="609" w:type="pct"/>
            <w:vMerge w:val="restart"/>
            <w:shd w:val="clear" w:color="auto" w:fill="auto"/>
            <w:vAlign w:val="center"/>
          </w:tcPr>
          <w:p w14:paraId="580C29A7">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危险物质</w:t>
            </w:r>
          </w:p>
        </w:tc>
        <w:tc>
          <w:tcPr>
            <w:tcW w:w="697" w:type="pct"/>
            <w:shd w:val="clear" w:color="auto" w:fill="auto"/>
            <w:vAlign w:val="center"/>
          </w:tcPr>
          <w:p w14:paraId="363A0FE9">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名称</w:t>
            </w:r>
          </w:p>
        </w:tc>
        <w:tc>
          <w:tcPr>
            <w:tcW w:w="663" w:type="pct"/>
            <w:gridSpan w:val="2"/>
            <w:shd w:val="clear" w:color="auto" w:fill="auto"/>
            <w:vAlign w:val="center"/>
          </w:tcPr>
          <w:p w14:paraId="3CD8DB05">
            <w:pPr>
              <w:spacing w:line="360" w:lineRule="exact"/>
              <w:ind w:firstLine="0" w:firstLineChars="0"/>
              <w:jc w:val="center"/>
              <w:rPr>
                <w:rFonts w:hint="eastAsia"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次氯酸钠</w:t>
            </w:r>
          </w:p>
        </w:tc>
        <w:tc>
          <w:tcPr>
            <w:tcW w:w="827" w:type="pct"/>
            <w:shd w:val="clear" w:color="auto" w:fill="auto"/>
            <w:vAlign w:val="center"/>
          </w:tcPr>
          <w:p w14:paraId="10B27BD9">
            <w:pPr>
              <w:spacing w:line="360" w:lineRule="exact"/>
              <w:ind w:firstLine="0" w:firstLineChars="0"/>
              <w:jc w:val="center"/>
              <w:rPr>
                <w:rFonts w:cs="Times New Roman"/>
                <w:snapToGrid w:val="0"/>
                <w:color w:val="auto"/>
                <w:kern w:val="0"/>
                <w:sz w:val="21"/>
                <w:szCs w:val="21"/>
                <w:highlight w:val="none"/>
              </w:rPr>
            </w:pPr>
          </w:p>
        </w:tc>
        <w:tc>
          <w:tcPr>
            <w:tcW w:w="469" w:type="pct"/>
            <w:shd w:val="clear" w:color="auto" w:fill="auto"/>
            <w:vAlign w:val="center"/>
          </w:tcPr>
          <w:p w14:paraId="4C1F5B16">
            <w:pPr>
              <w:spacing w:line="360" w:lineRule="exact"/>
              <w:ind w:firstLine="0" w:firstLineChars="0"/>
              <w:jc w:val="center"/>
              <w:rPr>
                <w:rFonts w:cs="Times New Roman"/>
                <w:snapToGrid w:val="0"/>
                <w:color w:val="auto"/>
                <w:kern w:val="0"/>
                <w:sz w:val="21"/>
                <w:szCs w:val="21"/>
                <w:highlight w:val="none"/>
              </w:rPr>
            </w:pPr>
          </w:p>
        </w:tc>
        <w:tc>
          <w:tcPr>
            <w:tcW w:w="311" w:type="pct"/>
            <w:gridSpan w:val="2"/>
            <w:shd w:val="clear" w:color="auto" w:fill="auto"/>
            <w:vAlign w:val="center"/>
          </w:tcPr>
          <w:p w14:paraId="2CD47407">
            <w:pPr>
              <w:spacing w:line="360" w:lineRule="exact"/>
              <w:ind w:firstLine="0" w:firstLineChars="0"/>
              <w:jc w:val="center"/>
              <w:rPr>
                <w:rFonts w:cs="Times New Roman"/>
                <w:snapToGrid w:val="0"/>
                <w:color w:val="auto"/>
                <w:kern w:val="0"/>
                <w:sz w:val="21"/>
                <w:szCs w:val="21"/>
                <w:highlight w:val="none"/>
              </w:rPr>
            </w:pPr>
          </w:p>
        </w:tc>
        <w:tc>
          <w:tcPr>
            <w:tcW w:w="274" w:type="pct"/>
            <w:gridSpan w:val="2"/>
            <w:shd w:val="clear" w:color="auto" w:fill="auto"/>
            <w:vAlign w:val="center"/>
          </w:tcPr>
          <w:p w14:paraId="069595F9">
            <w:pPr>
              <w:spacing w:line="360" w:lineRule="exact"/>
              <w:ind w:firstLine="0" w:firstLineChars="0"/>
              <w:jc w:val="center"/>
              <w:rPr>
                <w:rFonts w:cs="Times New Roman"/>
                <w:snapToGrid w:val="0"/>
                <w:color w:val="auto"/>
                <w:kern w:val="0"/>
                <w:sz w:val="21"/>
                <w:szCs w:val="21"/>
                <w:highlight w:val="none"/>
              </w:rPr>
            </w:pPr>
          </w:p>
        </w:tc>
        <w:tc>
          <w:tcPr>
            <w:tcW w:w="307" w:type="pct"/>
            <w:gridSpan w:val="2"/>
            <w:shd w:val="clear" w:color="auto" w:fill="auto"/>
            <w:vAlign w:val="center"/>
          </w:tcPr>
          <w:p w14:paraId="27B083CF">
            <w:pPr>
              <w:spacing w:line="360" w:lineRule="exact"/>
              <w:ind w:firstLine="0" w:firstLineChars="0"/>
              <w:jc w:val="center"/>
              <w:rPr>
                <w:rFonts w:cs="Times New Roman"/>
                <w:snapToGrid w:val="0"/>
                <w:color w:val="auto"/>
                <w:kern w:val="0"/>
                <w:sz w:val="21"/>
                <w:szCs w:val="21"/>
                <w:highlight w:val="none"/>
              </w:rPr>
            </w:pPr>
          </w:p>
        </w:tc>
        <w:tc>
          <w:tcPr>
            <w:tcW w:w="375" w:type="pct"/>
            <w:shd w:val="clear" w:color="auto" w:fill="auto"/>
            <w:vAlign w:val="center"/>
          </w:tcPr>
          <w:p w14:paraId="28A8EAFA">
            <w:pPr>
              <w:spacing w:line="360" w:lineRule="exact"/>
              <w:ind w:firstLine="0" w:firstLineChars="0"/>
              <w:jc w:val="center"/>
              <w:rPr>
                <w:rFonts w:cs="Times New Roman"/>
                <w:snapToGrid w:val="0"/>
                <w:color w:val="auto"/>
                <w:kern w:val="0"/>
                <w:sz w:val="21"/>
                <w:szCs w:val="21"/>
                <w:highlight w:val="none"/>
              </w:rPr>
            </w:pPr>
          </w:p>
        </w:tc>
      </w:tr>
      <w:tr w14:paraId="78EA57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4886F32F">
            <w:pPr>
              <w:spacing w:line="360" w:lineRule="exact"/>
              <w:ind w:firstLine="0" w:firstLineChars="0"/>
              <w:jc w:val="center"/>
              <w:rPr>
                <w:rFonts w:cs="Times New Roman"/>
                <w:snapToGrid w:val="0"/>
                <w:color w:val="auto"/>
                <w:kern w:val="0"/>
                <w:sz w:val="21"/>
                <w:szCs w:val="21"/>
                <w:highlight w:val="none"/>
              </w:rPr>
            </w:pPr>
          </w:p>
        </w:tc>
        <w:tc>
          <w:tcPr>
            <w:tcW w:w="609" w:type="pct"/>
            <w:vMerge w:val="continue"/>
            <w:shd w:val="clear" w:color="auto" w:fill="auto"/>
            <w:vAlign w:val="center"/>
          </w:tcPr>
          <w:p w14:paraId="5ABF188E">
            <w:pPr>
              <w:spacing w:line="360" w:lineRule="exact"/>
              <w:ind w:firstLine="0" w:firstLineChars="0"/>
              <w:jc w:val="center"/>
              <w:rPr>
                <w:rFonts w:cs="Times New Roman"/>
                <w:snapToGrid w:val="0"/>
                <w:color w:val="auto"/>
                <w:kern w:val="0"/>
                <w:sz w:val="21"/>
                <w:szCs w:val="21"/>
                <w:highlight w:val="none"/>
              </w:rPr>
            </w:pPr>
          </w:p>
        </w:tc>
        <w:tc>
          <w:tcPr>
            <w:tcW w:w="697" w:type="pct"/>
            <w:shd w:val="clear" w:color="auto" w:fill="auto"/>
            <w:vAlign w:val="center"/>
          </w:tcPr>
          <w:p w14:paraId="64D5ECA2">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存在总量/t</w:t>
            </w:r>
          </w:p>
        </w:tc>
        <w:tc>
          <w:tcPr>
            <w:tcW w:w="663" w:type="pct"/>
            <w:gridSpan w:val="2"/>
            <w:shd w:val="clear" w:color="auto" w:fill="auto"/>
            <w:vAlign w:val="center"/>
          </w:tcPr>
          <w:p w14:paraId="154C7B52">
            <w:pPr>
              <w:pStyle w:val="73"/>
              <w:rPr>
                <w:rFonts w:hint="eastAsia" w:eastAsia="宋体" w:cs="Times New Roman"/>
                <w:snapToGrid w:val="0"/>
                <w:color w:val="auto"/>
                <w:kern w:val="0"/>
                <w:szCs w:val="21"/>
                <w:highlight w:val="none"/>
                <w:lang w:val="en-US" w:eastAsia="zh-CN"/>
              </w:rPr>
            </w:pPr>
            <w:r>
              <w:rPr>
                <w:rFonts w:hint="eastAsia" w:cs="Times New Roman"/>
                <w:snapToGrid w:val="0"/>
                <w:color w:val="auto"/>
                <w:kern w:val="0"/>
                <w:szCs w:val="21"/>
                <w:highlight w:val="none"/>
                <w:lang w:val="en-US" w:eastAsia="zh-CN"/>
              </w:rPr>
              <w:t>2</w:t>
            </w:r>
          </w:p>
        </w:tc>
        <w:tc>
          <w:tcPr>
            <w:tcW w:w="827" w:type="pct"/>
            <w:shd w:val="clear" w:color="auto" w:fill="auto"/>
            <w:vAlign w:val="center"/>
          </w:tcPr>
          <w:p w14:paraId="22CDC413">
            <w:pPr>
              <w:pStyle w:val="73"/>
              <w:rPr>
                <w:rFonts w:cs="Times New Roman"/>
                <w:snapToGrid w:val="0"/>
                <w:color w:val="auto"/>
                <w:kern w:val="0"/>
                <w:szCs w:val="21"/>
                <w:highlight w:val="none"/>
                <w:lang w:val="en-US"/>
              </w:rPr>
            </w:pPr>
          </w:p>
        </w:tc>
        <w:tc>
          <w:tcPr>
            <w:tcW w:w="469" w:type="pct"/>
            <w:shd w:val="clear" w:color="auto" w:fill="auto"/>
            <w:vAlign w:val="center"/>
          </w:tcPr>
          <w:p w14:paraId="2826339F">
            <w:pPr>
              <w:spacing w:line="360" w:lineRule="exact"/>
              <w:ind w:firstLine="0" w:firstLineChars="0"/>
              <w:jc w:val="center"/>
              <w:rPr>
                <w:rFonts w:cs="Times New Roman"/>
                <w:snapToGrid w:val="0"/>
                <w:color w:val="auto"/>
                <w:kern w:val="0"/>
                <w:sz w:val="21"/>
                <w:szCs w:val="21"/>
                <w:highlight w:val="none"/>
              </w:rPr>
            </w:pPr>
          </w:p>
        </w:tc>
        <w:tc>
          <w:tcPr>
            <w:tcW w:w="311" w:type="pct"/>
            <w:gridSpan w:val="2"/>
            <w:shd w:val="clear" w:color="auto" w:fill="auto"/>
            <w:vAlign w:val="center"/>
          </w:tcPr>
          <w:p w14:paraId="54E2B536">
            <w:pPr>
              <w:spacing w:line="360" w:lineRule="exact"/>
              <w:ind w:firstLine="0" w:firstLineChars="0"/>
              <w:jc w:val="center"/>
              <w:rPr>
                <w:rFonts w:cs="Times New Roman"/>
                <w:snapToGrid w:val="0"/>
                <w:color w:val="auto"/>
                <w:kern w:val="0"/>
                <w:sz w:val="21"/>
                <w:szCs w:val="21"/>
                <w:highlight w:val="none"/>
              </w:rPr>
            </w:pPr>
          </w:p>
        </w:tc>
        <w:tc>
          <w:tcPr>
            <w:tcW w:w="274" w:type="pct"/>
            <w:gridSpan w:val="2"/>
            <w:shd w:val="clear" w:color="auto" w:fill="auto"/>
            <w:vAlign w:val="center"/>
          </w:tcPr>
          <w:p w14:paraId="3367C0BC">
            <w:pPr>
              <w:spacing w:line="360" w:lineRule="exact"/>
              <w:ind w:firstLine="0" w:firstLineChars="0"/>
              <w:jc w:val="center"/>
              <w:rPr>
                <w:rFonts w:cs="Times New Roman"/>
                <w:snapToGrid w:val="0"/>
                <w:color w:val="auto"/>
                <w:kern w:val="0"/>
                <w:sz w:val="21"/>
                <w:szCs w:val="21"/>
                <w:highlight w:val="none"/>
              </w:rPr>
            </w:pPr>
          </w:p>
        </w:tc>
        <w:tc>
          <w:tcPr>
            <w:tcW w:w="307" w:type="pct"/>
            <w:gridSpan w:val="2"/>
            <w:shd w:val="clear" w:color="auto" w:fill="auto"/>
            <w:vAlign w:val="center"/>
          </w:tcPr>
          <w:p w14:paraId="1FF405C2">
            <w:pPr>
              <w:spacing w:line="360" w:lineRule="exact"/>
              <w:ind w:firstLine="0" w:firstLineChars="0"/>
              <w:jc w:val="center"/>
              <w:rPr>
                <w:rFonts w:cs="Times New Roman"/>
                <w:snapToGrid w:val="0"/>
                <w:color w:val="auto"/>
                <w:kern w:val="0"/>
                <w:sz w:val="21"/>
                <w:szCs w:val="21"/>
                <w:highlight w:val="none"/>
              </w:rPr>
            </w:pPr>
          </w:p>
        </w:tc>
        <w:tc>
          <w:tcPr>
            <w:tcW w:w="375" w:type="pct"/>
            <w:shd w:val="clear" w:color="auto" w:fill="auto"/>
            <w:vAlign w:val="center"/>
          </w:tcPr>
          <w:p w14:paraId="3C428F9A">
            <w:pPr>
              <w:spacing w:line="360" w:lineRule="exact"/>
              <w:ind w:firstLine="0" w:firstLineChars="0"/>
              <w:jc w:val="center"/>
              <w:rPr>
                <w:rFonts w:cs="Times New Roman"/>
                <w:snapToGrid w:val="0"/>
                <w:color w:val="auto"/>
                <w:kern w:val="0"/>
                <w:sz w:val="21"/>
                <w:szCs w:val="21"/>
                <w:highlight w:val="none"/>
              </w:rPr>
            </w:pPr>
          </w:p>
        </w:tc>
      </w:tr>
      <w:tr w14:paraId="4AA696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7F5DE574">
            <w:pPr>
              <w:spacing w:line="360" w:lineRule="exact"/>
              <w:ind w:firstLine="0" w:firstLineChars="0"/>
              <w:jc w:val="center"/>
              <w:rPr>
                <w:rFonts w:cs="Times New Roman"/>
                <w:snapToGrid w:val="0"/>
                <w:color w:val="auto"/>
                <w:kern w:val="0"/>
                <w:sz w:val="21"/>
                <w:szCs w:val="21"/>
                <w:highlight w:val="none"/>
              </w:rPr>
            </w:pPr>
          </w:p>
        </w:tc>
        <w:tc>
          <w:tcPr>
            <w:tcW w:w="609" w:type="pct"/>
            <w:vMerge w:val="restart"/>
            <w:shd w:val="clear" w:color="auto" w:fill="auto"/>
            <w:vAlign w:val="center"/>
          </w:tcPr>
          <w:p w14:paraId="2A57BD8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环境敏感性</w:t>
            </w:r>
          </w:p>
        </w:tc>
        <w:tc>
          <w:tcPr>
            <w:tcW w:w="697" w:type="pct"/>
            <w:vMerge w:val="restart"/>
            <w:shd w:val="clear" w:color="auto" w:fill="auto"/>
            <w:vAlign w:val="center"/>
          </w:tcPr>
          <w:p w14:paraId="7C4AF1A0">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大气</w:t>
            </w:r>
          </w:p>
        </w:tc>
        <w:tc>
          <w:tcPr>
            <w:tcW w:w="1960" w:type="pct"/>
            <w:gridSpan w:val="4"/>
            <w:shd w:val="clear" w:color="auto" w:fill="auto"/>
            <w:vAlign w:val="center"/>
          </w:tcPr>
          <w:p w14:paraId="22915319">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500m范围内人口数</w:t>
            </w:r>
            <w:r>
              <w:rPr>
                <w:rFonts w:cs="Times New Roman"/>
                <w:snapToGrid w:val="0"/>
                <w:color w:val="auto"/>
                <w:kern w:val="0"/>
                <w:sz w:val="21"/>
                <w:szCs w:val="21"/>
                <w:highlight w:val="none"/>
                <w:u w:val="single"/>
              </w:rPr>
              <w:t xml:space="preserve"> / </w:t>
            </w:r>
            <w:r>
              <w:rPr>
                <w:rFonts w:cs="Times New Roman"/>
                <w:snapToGrid w:val="0"/>
                <w:color w:val="auto"/>
                <w:kern w:val="0"/>
                <w:sz w:val="21"/>
                <w:szCs w:val="21"/>
                <w:highlight w:val="none"/>
              </w:rPr>
              <w:t>人</w:t>
            </w:r>
          </w:p>
        </w:tc>
        <w:tc>
          <w:tcPr>
            <w:tcW w:w="1269" w:type="pct"/>
            <w:gridSpan w:val="7"/>
            <w:shd w:val="clear" w:color="auto" w:fill="auto"/>
            <w:vAlign w:val="center"/>
          </w:tcPr>
          <w:p w14:paraId="4E125311">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5km范围内人口数</w:t>
            </w:r>
            <w:r>
              <w:rPr>
                <w:rFonts w:hint="eastAsia" w:cs="Times New Roman"/>
                <w:snapToGrid w:val="0"/>
                <w:color w:val="auto"/>
                <w:kern w:val="0"/>
                <w:sz w:val="21"/>
                <w:szCs w:val="21"/>
                <w:highlight w:val="none"/>
                <w:u w:val="single"/>
                <w:lang w:val="en-US" w:eastAsia="zh-CN"/>
              </w:rPr>
              <w:t>5000</w:t>
            </w:r>
            <w:r>
              <w:rPr>
                <w:rFonts w:cs="Times New Roman"/>
                <w:snapToGrid w:val="0"/>
                <w:color w:val="auto"/>
                <w:kern w:val="0"/>
                <w:sz w:val="21"/>
                <w:szCs w:val="21"/>
                <w:highlight w:val="none"/>
                <w:u w:val="single"/>
              </w:rPr>
              <w:t xml:space="preserve">人   </w:t>
            </w:r>
          </w:p>
        </w:tc>
      </w:tr>
      <w:tr w14:paraId="35734E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4D8F82D0">
            <w:pPr>
              <w:spacing w:line="360" w:lineRule="exact"/>
              <w:ind w:firstLine="0" w:firstLineChars="0"/>
              <w:jc w:val="center"/>
              <w:rPr>
                <w:rFonts w:cs="Times New Roman"/>
                <w:snapToGrid w:val="0"/>
                <w:color w:val="auto"/>
                <w:kern w:val="0"/>
                <w:sz w:val="21"/>
                <w:szCs w:val="21"/>
                <w:highlight w:val="none"/>
              </w:rPr>
            </w:pPr>
          </w:p>
        </w:tc>
        <w:tc>
          <w:tcPr>
            <w:tcW w:w="609" w:type="pct"/>
            <w:vMerge w:val="continue"/>
            <w:shd w:val="clear" w:color="auto" w:fill="auto"/>
            <w:vAlign w:val="center"/>
          </w:tcPr>
          <w:p w14:paraId="494DD2F1">
            <w:pPr>
              <w:spacing w:line="360" w:lineRule="exact"/>
              <w:ind w:firstLine="0" w:firstLineChars="0"/>
              <w:jc w:val="center"/>
              <w:rPr>
                <w:rFonts w:cs="Times New Roman"/>
                <w:snapToGrid w:val="0"/>
                <w:color w:val="auto"/>
                <w:kern w:val="0"/>
                <w:sz w:val="21"/>
                <w:szCs w:val="21"/>
                <w:highlight w:val="none"/>
              </w:rPr>
            </w:pPr>
          </w:p>
        </w:tc>
        <w:tc>
          <w:tcPr>
            <w:tcW w:w="697" w:type="pct"/>
            <w:vMerge w:val="continue"/>
            <w:shd w:val="clear" w:color="auto" w:fill="auto"/>
            <w:vAlign w:val="center"/>
          </w:tcPr>
          <w:p w14:paraId="79D387F9">
            <w:pPr>
              <w:spacing w:line="360" w:lineRule="exact"/>
              <w:ind w:firstLine="0" w:firstLineChars="0"/>
              <w:jc w:val="center"/>
              <w:rPr>
                <w:rFonts w:cs="Times New Roman"/>
                <w:snapToGrid w:val="0"/>
                <w:color w:val="auto"/>
                <w:kern w:val="0"/>
                <w:sz w:val="21"/>
                <w:szCs w:val="21"/>
                <w:highlight w:val="none"/>
              </w:rPr>
            </w:pPr>
          </w:p>
        </w:tc>
        <w:tc>
          <w:tcPr>
            <w:tcW w:w="2546" w:type="pct"/>
            <w:gridSpan w:val="8"/>
            <w:shd w:val="clear" w:color="auto" w:fill="auto"/>
            <w:vAlign w:val="center"/>
          </w:tcPr>
          <w:p w14:paraId="3EFE2C61">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每公里管段周边200m范围内人口数（最大）</w:t>
            </w:r>
          </w:p>
        </w:tc>
        <w:tc>
          <w:tcPr>
            <w:tcW w:w="683" w:type="pct"/>
            <w:gridSpan w:val="3"/>
            <w:shd w:val="clear" w:color="auto" w:fill="auto"/>
            <w:vAlign w:val="center"/>
          </w:tcPr>
          <w:p w14:paraId="2F0F2A9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u w:val="single"/>
              </w:rPr>
              <w:t xml:space="preserve">      </w:t>
            </w:r>
            <w:r>
              <w:rPr>
                <w:rFonts w:cs="Times New Roman"/>
                <w:snapToGrid w:val="0"/>
                <w:color w:val="auto"/>
                <w:kern w:val="0"/>
                <w:sz w:val="21"/>
                <w:szCs w:val="21"/>
                <w:highlight w:val="none"/>
              </w:rPr>
              <w:t>人</w:t>
            </w:r>
          </w:p>
        </w:tc>
      </w:tr>
      <w:tr w14:paraId="642F68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23FFEC96">
            <w:pPr>
              <w:spacing w:line="360" w:lineRule="exact"/>
              <w:ind w:firstLine="0" w:firstLineChars="0"/>
              <w:jc w:val="center"/>
              <w:rPr>
                <w:rFonts w:cs="Times New Roman"/>
                <w:snapToGrid w:val="0"/>
                <w:color w:val="auto"/>
                <w:kern w:val="0"/>
                <w:sz w:val="21"/>
                <w:szCs w:val="21"/>
                <w:highlight w:val="none"/>
              </w:rPr>
            </w:pPr>
          </w:p>
        </w:tc>
        <w:tc>
          <w:tcPr>
            <w:tcW w:w="609" w:type="pct"/>
            <w:vMerge w:val="continue"/>
            <w:shd w:val="clear" w:color="auto" w:fill="auto"/>
            <w:vAlign w:val="center"/>
          </w:tcPr>
          <w:p w14:paraId="016D29DB">
            <w:pPr>
              <w:spacing w:line="360" w:lineRule="exact"/>
              <w:ind w:firstLine="0" w:firstLineChars="0"/>
              <w:jc w:val="center"/>
              <w:rPr>
                <w:rFonts w:cs="Times New Roman"/>
                <w:snapToGrid w:val="0"/>
                <w:color w:val="auto"/>
                <w:kern w:val="0"/>
                <w:sz w:val="21"/>
                <w:szCs w:val="21"/>
                <w:highlight w:val="none"/>
              </w:rPr>
            </w:pPr>
          </w:p>
        </w:tc>
        <w:tc>
          <w:tcPr>
            <w:tcW w:w="697" w:type="pct"/>
            <w:vMerge w:val="restart"/>
            <w:shd w:val="clear" w:color="auto" w:fill="auto"/>
            <w:vAlign w:val="center"/>
          </w:tcPr>
          <w:p w14:paraId="3654F292">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地表水</w:t>
            </w:r>
          </w:p>
        </w:tc>
        <w:tc>
          <w:tcPr>
            <w:tcW w:w="1491" w:type="pct"/>
            <w:gridSpan w:val="3"/>
            <w:shd w:val="clear" w:color="auto" w:fill="auto"/>
            <w:vAlign w:val="center"/>
          </w:tcPr>
          <w:p w14:paraId="49464ABA">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地表水功能敏感性</w:t>
            </w:r>
          </w:p>
        </w:tc>
        <w:tc>
          <w:tcPr>
            <w:tcW w:w="469" w:type="pct"/>
            <w:shd w:val="clear" w:color="auto" w:fill="auto"/>
            <w:vAlign w:val="center"/>
          </w:tcPr>
          <w:p w14:paraId="5D57674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F1 □</w:t>
            </w:r>
          </w:p>
        </w:tc>
        <w:tc>
          <w:tcPr>
            <w:tcW w:w="586" w:type="pct"/>
            <w:gridSpan w:val="4"/>
            <w:shd w:val="clear" w:color="auto" w:fill="auto"/>
            <w:vAlign w:val="center"/>
          </w:tcPr>
          <w:p w14:paraId="13B1571F">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F2 □</w:t>
            </w:r>
          </w:p>
        </w:tc>
        <w:tc>
          <w:tcPr>
            <w:tcW w:w="683" w:type="pct"/>
            <w:gridSpan w:val="3"/>
            <w:shd w:val="clear" w:color="auto" w:fill="auto"/>
            <w:vAlign w:val="center"/>
          </w:tcPr>
          <w:p w14:paraId="0B76F21C">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F3 □</w:t>
            </w:r>
          </w:p>
        </w:tc>
      </w:tr>
      <w:tr w14:paraId="38974D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3BDADC5C">
            <w:pPr>
              <w:spacing w:line="360" w:lineRule="exact"/>
              <w:ind w:firstLine="0" w:firstLineChars="0"/>
              <w:jc w:val="center"/>
              <w:rPr>
                <w:rFonts w:cs="Times New Roman"/>
                <w:snapToGrid w:val="0"/>
                <w:color w:val="auto"/>
                <w:kern w:val="0"/>
                <w:sz w:val="21"/>
                <w:szCs w:val="21"/>
                <w:highlight w:val="none"/>
              </w:rPr>
            </w:pPr>
          </w:p>
        </w:tc>
        <w:tc>
          <w:tcPr>
            <w:tcW w:w="609" w:type="pct"/>
            <w:vMerge w:val="continue"/>
            <w:shd w:val="clear" w:color="auto" w:fill="auto"/>
            <w:vAlign w:val="center"/>
          </w:tcPr>
          <w:p w14:paraId="401B7C88">
            <w:pPr>
              <w:spacing w:line="360" w:lineRule="exact"/>
              <w:ind w:firstLine="0" w:firstLineChars="0"/>
              <w:jc w:val="center"/>
              <w:rPr>
                <w:rFonts w:cs="Times New Roman"/>
                <w:snapToGrid w:val="0"/>
                <w:color w:val="auto"/>
                <w:kern w:val="0"/>
                <w:sz w:val="21"/>
                <w:szCs w:val="21"/>
                <w:highlight w:val="none"/>
              </w:rPr>
            </w:pPr>
          </w:p>
        </w:tc>
        <w:tc>
          <w:tcPr>
            <w:tcW w:w="697" w:type="pct"/>
            <w:vMerge w:val="continue"/>
            <w:shd w:val="clear" w:color="auto" w:fill="auto"/>
            <w:vAlign w:val="center"/>
          </w:tcPr>
          <w:p w14:paraId="1BA0A45B">
            <w:pPr>
              <w:spacing w:line="360" w:lineRule="exact"/>
              <w:ind w:firstLine="0" w:firstLineChars="0"/>
              <w:jc w:val="center"/>
              <w:rPr>
                <w:rFonts w:cs="Times New Roman"/>
                <w:snapToGrid w:val="0"/>
                <w:color w:val="auto"/>
                <w:kern w:val="0"/>
                <w:sz w:val="21"/>
                <w:szCs w:val="21"/>
                <w:highlight w:val="none"/>
              </w:rPr>
            </w:pPr>
          </w:p>
        </w:tc>
        <w:tc>
          <w:tcPr>
            <w:tcW w:w="1491" w:type="pct"/>
            <w:gridSpan w:val="3"/>
            <w:shd w:val="clear" w:color="auto" w:fill="auto"/>
            <w:vAlign w:val="center"/>
          </w:tcPr>
          <w:p w14:paraId="6D92D015">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环境敏感目标分级</w:t>
            </w:r>
          </w:p>
        </w:tc>
        <w:tc>
          <w:tcPr>
            <w:tcW w:w="469" w:type="pct"/>
            <w:shd w:val="clear" w:color="auto" w:fill="auto"/>
            <w:vAlign w:val="center"/>
          </w:tcPr>
          <w:p w14:paraId="482299F3">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S1 □</w:t>
            </w:r>
          </w:p>
        </w:tc>
        <w:tc>
          <w:tcPr>
            <w:tcW w:w="586" w:type="pct"/>
            <w:gridSpan w:val="4"/>
            <w:shd w:val="clear" w:color="auto" w:fill="auto"/>
            <w:vAlign w:val="center"/>
          </w:tcPr>
          <w:p w14:paraId="2B5B3A0A">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S2 □</w:t>
            </w:r>
          </w:p>
        </w:tc>
        <w:tc>
          <w:tcPr>
            <w:tcW w:w="683" w:type="pct"/>
            <w:gridSpan w:val="3"/>
            <w:shd w:val="clear" w:color="auto" w:fill="auto"/>
            <w:vAlign w:val="center"/>
          </w:tcPr>
          <w:p w14:paraId="2AF853BB">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S3 □</w:t>
            </w:r>
          </w:p>
        </w:tc>
      </w:tr>
      <w:tr w14:paraId="5BB932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4A4A796B">
            <w:pPr>
              <w:spacing w:line="360" w:lineRule="exact"/>
              <w:ind w:firstLine="0" w:firstLineChars="0"/>
              <w:jc w:val="center"/>
              <w:rPr>
                <w:rFonts w:cs="Times New Roman"/>
                <w:snapToGrid w:val="0"/>
                <w:color w:val="auto"/>
                <w:kern w:val="0"/>
                <w:sz w:val="21"/>
                <w:szCs w:val="21"/>
                <w:highlight w:val="none"/>
              </w:rPr>
            </w:pPr>
          </w:p>
        </w:tc>
        <w:tc>
          <w:tcPr>
            <w:tcW w:w="609" w:type="pct"/>
            <w:vMerge w:val="continue"/>
            <w:shd w:val="clear" w:color="auto" w:fill="auto"/>
            <w:vAlign w:val="center"/>
          </w:tcPr>
          <w:p w14:paraId="52D84DC8">
            <w:pPr>
              <w:spacing w:line="360" w:lineRule="exact"/>
              <w:ind w:firstLine="0" w:firstLineChars="0"/>
              <w:jc w:val="center"/>
              <w:rPr>
                <w:rFonts w:cs="Times New Roman"/>
                <w:snapToGrid w:val="0"/>
                <w:color w:val="auto"/>
                <w:kern w:val="0"/>
                <w:sz w:val="21"/>
                <w:szCs w:val="21"/>
                <w:highlight w:val="none"/>
              </w:rPr>
            </w:pPr>
          </w:p>
        </w:tc>
        <w:tc>
          <w:tcPr>
            <w:tcW w:w="697" w:type="pct"/>
            <w:vMerge w:val="restart"/>
            <w:shd w:val="clear" w:color="auto" w:fill="auto"/>
            <w:vAlign w:val="center"/>
          </w:tcPr>
          <w:p w14:paraId="0B3AB6B7">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地下水</w:t>
            </w:r>
          </w:p>
        </w:tc>
        <w:tc>
          <w:tcPr>
            <w:tcW w:w="1491" w:type="pct"/>
            <w:gridSpan w:val="3"/>
            <w:shd w:val="clear" w:color="auto" w:fill="auto"/>
            <w:vAlign w:val="center"/>
          </w:tcPr>
          <w:p w14:paraId="24B362F6">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地下水功能敏感性</w:t>
            </w:r>
          </w:p>
        </w:tc>
        <w:tc>
          <w:tcPr>
            <w:tcW w:w="469" w:type="pct"/>
            <w:shd w:val="clear" w:color="auto" w:fill="auto"/>
            <w:vAlign w:val="center"/>
          </w:tcPr>
          <w:p w14:paraId="3052CAFF">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G1 □</w:t>
            </w:r>
          </w:p>
        </w:tc>
        <w:tc>
          <w:tcPr>
            <w:tcW w:w="586" w:type="pct"/>
            <w:gridSpan w:val="4"/>
            <w:shd w:val="clear" w:color="auto" w:fill="auto"/>
            <w:vAlign w:val="center"/>
          </w:tcPr>
          <w:p w14:paraId="54BD6F26">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G2 □</w:t>
            </w:r>
          </w:p>
        </w:tc>
        <w:tc>
          <w:tcPr>
            <w:tcW w:w="683" w:type="pct"/>
            <w:gridSpan w:val="3"/>
            <w:shd w:val="clear" w:color="auto" w:fill="auto"/>
            <w:vAlign w:val="center"/>
          </w:tcPr>
          <w:p w14:paraId="7A3147A5">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G3 □</w:t>
            </w:r>
          </w:p>
        </w:tc>
      </w:tr>
      <w:tr w14:paraId="7E8BA3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414D72F7">
            <w:pPr>
              <w:spacing w:line="360" w:lineRule="exact"/>
              <w:ind w:firstLine="0" w:firstLineChars="0"/>
              <w:jc w:val="center"/>
              <w:rPr>
                <w:rFonts w:cs="Times New Roman"/>
                <w:snapToGrid w:val="0"/>
                <w:color w:val="auto"/>
                <w:kern w:val="0"/>
                <w:sz w:val="21"/>
                <w:szCs w:val="21"/>
                <w:highlight w:val="none"/>
              </w:rPr>
            </w:pPr>
          </w:p>
        </w:tc>
        <w:tc>
          <w:tcPr>
            <w:tcW w:w="609" w:type="pct"/>
            <w:vMerge w:val="continue"/>
            <w:shd w:val="clear" w:color="auto" w:fill="auto"/>
            <w:vAlign w:val="center"/>
          </w:tcPr>
          <w:p w14:paraId="101A46B2">
            <w:pPr>
              <w:spacing w:line="360" w:lineRule="exact"/>
              <w:ind w:firstLine="0" w:firstLineChars="0"/>
              <w:jc w:val="center"/>
              <w:rPr>
                <w:rFonts w:cs="Times New Roman"/>
                <w:snapToGrid w:val="0"/>
                <w:color w:val="auto"/>
                <w:kern w:val="0"/>
                <w:sz w:val="21"/>
                <w:szCs w:val="21"/>
                <w:highlight w:val="none"/>
              </w:rPr>
            </w:pPr>
          </w:p>
        </w:tc>
        <w:tc>
          <w:tcPr>
            <w:tcW w:w="697" w:type="pct"/>
            <w:vMerge w:val="continue"/>
            <w:shd w:val="clear" w:color="auto" w:fill="auto"/>
            <w:vAlign w:val="center"/>
          </w:tcPr>
          <w:p w14:paraId="53642735">
            <w:pPr>
              <w:spacing w:line="360" w:lineRule="exact"/>
              <w:ind w:firstLine="0" w:firstLineChars="0"/>
              <w:jc w:val="center"/>
              <w:rPr>
                <w:rFonts w:cs="Times New Roman"/>
                <w:snapToGrid w:val="0"/>
                <w:color w:val="auto"/>
                <w:kern w:val="0"/>
                <w:sz w:val="21"/>
                <w:szCs w:val="21"/>
                <w:highlight w:val="none"/>
              </w:rPr>
            </w:pPr>
          </w:p>
        </w:tc>
        <w:tc>
          <w:tcPr>
            <w:tcW w:w="1491" w:type="pct"/>
            <w:gridSpan w:val="3"/>
            <w:shd w:val="clear" w:color="auto" w:fill="auto"/>
            <w:vAlign w:val="center"/>
          </w:tcPr>
          <w:p w14:paraId="21A6D4A2">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包气带防污性能</w:t>
            </w:r>
          </w:p>
        </w:tc>
        <w:tc>
          <w:tcPr>
            <w:tcW w:w="469" w:type="pct"/>
            <w:shd w:val="clear" w:color="auto" w:fill="auto"/>
            <w:vAlign w:val="center"/>
          </w:tcPr>
          <w:p w14:paraId="37FCEF5D">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D1 □</w:t>
            </w:r>
          </w:p>
        </w:tc>
        <w:tc>
          <w:tcPr>
            <w:tcW w:w="586" w:type="pct"/>
            <w:gridSpan w:val="4"/>
            <w:shd w:val="clear" w:color="auto" w:fill="auto"/>
            <w:vAlign w:val="center"/>
          </w:tcPr>
          <w:p w14:paraId="03AB8DD8">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D2 □</w:t>
            </w:r>
          </w:p>
        </w:tc>
        <w:tc>
          <w:tcPr>
            <w:tcW w:w="683" w:type="pct"/>
            <w:gridSpan w:val="3"/>
            <w:shd w:val="clear" w:color="auto" w:fill="auto"/>
            <w:vAlign w:val="center"/>
          </w:tcPr>
          <w:p w14:paraId="573FCF42">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D3 □</w:t>
            </w:r>
          </w:p>
        </w:tc>
      </w:tr>
      <w:tr w14:paraId="47F943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vMerge w:val="restart"/>
            <w:shd w:val="clear" w:color="auto" w:fill="auto"/>
            <w:vAlign w:val="center"/>
          </w:tcPr>
          <w:p w14:paraId="0CB9A4C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物质及工艺系统</w:t>
            </w:r>
          </w:p>
          <w:p w14:paraId="6B180D13">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危险性</w:t>
            </w:r>
          </w:p>
        </w:tc>
        <w:tc>
          <w:tcPr>
            <w:tcW w:w="697" w:type="pct"/>
            <w:shd w:val="clear" w:color="auto" w:fill="auto"/>
            <w:vAlign w:val="center"/>
          </w:tcPr>
          <w:p w14:paraId="241090EB">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Q值</w:t>
            </w:r>
          </w:p>
        </w:tc>
        <w:tc>
          <w:tcPr>
            <w:tcW w:w="1491" w:type="pct"/>
            <w:gridSpan w:val="3"/>
            <w:shd w:val="clear" w:color="auto" w:fill="auto"/>
            <w:vAlign w:val="center"/>
          </w:tcPr>
          <w:p w14:paraId="6E1BCC4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Q＜1 </w:t>
            </w:r>
            <w:r>
              <w:rPr>
                <w:rFonts w:eastAsia="仿宋" w:cs="Times New Roman"/>
                <w:snapToGrid w:val="0"/>
                <w:color w:val="auto"/>
                <w:kern w:val="0"/>
                <w:sz w:val="21"/>
                <w:szCs w:val="21"/>
                <w:highlight w:val="none"/>
              </w:rPr>
              <w:t>√</w:t>
            </w:r>
          </w:p>
        </w:tc>
        <w:tc>
          <w:tcPr>
            <w:tcW w:w="469" w:type="pct"/>
            <w:shd w:val="clear" w:color="auto" w:fill="auto"/>
            <w:vAlign w:val="center"/>
          </w:tcPr>
          <w:p w14:paraId="1481825B">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1≤Q＜10 □</w:t>
            </w:r>
          </w:p>
        </w:tc>
        <w:tc>
          <w:tcPr>
            <w:tcW w:w="586" w:type="pct"/>
            <w:gridSpan w:val="4"/>
            <w:shd w:val="clear" w:color="auto" w:fill="auto"/>
            <w:vAlign w:val="center"/>
          </w:tcPr>
          <w:p w14:paraId="241C34AA">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10≤Q＜100 □</w:t>
            </w:r>
          </w:p>
        </w:tc>
        <w:tc>
          <w:tcPr>
            <w:tcW w:w="683" w:type="pct"/>
            <w:gridSpan w:val="3"/>
            <w:shd w:val="clear" w:color="auto" w:fill="auto"/>
            <w:vAlign w:val="center"/>
          </w:tcPr>
          <w:p w14:paraId="4941FE58">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Q＞100 □</w:t>
            </w:r>
          </w:p>
        </w:tc>
      </w:tr>
      <w:tr w14:paraId="0CBE88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vMerge w:val="continue"/>
            <w:shd w:val="clear" w:color="auto" w:fill="auto"/>
            <w:vAlign w:val="center"/>
          </w:tcPr>
          <w:p w14:paraId="22AC0793">
            <w:pPr>
              <w:spacing w:line="360" w:lineRule="exact"/>
              <w:ind w:firstLine="0" w:firstLineChars="0"/>
              <w:jc w:val="center"/>
              <w:rPr>
                <w:rFonts w:cs="Times New Roman"/>
                <w:snapToGrid w:val="0"/>
                <w:color w:val="auto"/>
                <w:kern w:val="0"/>
                <w:sz w:val="21"/>
                <w:szCs w:val="21"/>
                <w:highlight w:val="none"/>
              </w:rPr>
            </w:pPr>
          </w:p>
        </w:tc>
        <w:tc>
          <w:tcPr>
            <w:tcW w:w="697" w:type="pct"/>
            <w:shd w:val="clear" w:color="auto" w:fill="auto"/>
            <w:vAlign w:val="center"/>
          </w:tcPr>
          <w:p w14:paraId="35568D13">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M值</w:t>
            </w:r>
          </w:p>
        </w:tc>
        <w:tc>
          <w:tcPr>
            <w:tcW w:w="1491" w:type="pct"/>
            <w:gridSpan w:val="3"/>
            <w:shd w:val="clear" w:color="auto" w:fill="auto"/>
            <w:vAlign w:val="center"/>
          </w:tcPr>
          <w:p w14:paraId="64B83485">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M1 □</w:t>
            </w:r>
          </w:p>
        </w:tc>
        <w:tc>
          <w:tcPr>
            <w:tcW w:w="469" w:type="pct"/>
            <w:shd w:val="clear" w:color="auto" w:fill="auto"/>
            <w:vAlign w:val="center"/>
          </w:tcPr>
          <w:p w14:paraId="0DE84BB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M2 □</w:t>
            </w:r>
          </w:p>
        </w:tc>
        <w:tc>
          <w:tcPr>
            <w:tcW w:w="586" w:type="pct"/>
            <w:gridSpan w:val="4"/>
            <w:shd w:val="clear" w:color="auto" w:fill="auto"/>
            <w:vAlign w:val="center"/>
          </w:tcPr>
          <w:p w14:paraId="7F1EF2D8">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M3 □</w:t>
            </w:r>
          </w:p>
        </w:tc>
        <w:tc>
          <w:tcPr>
            <w:tcW w:w="683" w:type="pct"/>
            <w:gridSpan w:val="3"/>
            <w:shd w:val="clear" w:color="auto" w:fill="auto"/>
            <w:vAlign w:val="center"/>
          </w:tcPr>
          <w:p w14:paraId="03E97A57">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M4 □</w:t>
            </w:r>
          </w:p>
        </w:tc>
      </w:tr>
      <w:tr w14:paraId="34F375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vMerge w:val="continue"/>
            <w:shd w:val="clear" w:color="auto" w:fill="auto"/>
            <w:vAlign w:val="center"/>
          </w:tcPr>
          <w:p w14:paraId="6C90D520">
            <w:pPr>
              <w:spacing w:line="360" w:lineRule="exact"/>
              <w:ind w:firstLine="0" w:firstLineChars="0"/>
              <w:jc w:val="center"/>
              <w:rPr>
                <w:rFonts w:cs="Times New Roman"/>
                <w:snapToGrid w:val="0"/>
                <w:color w:val="auto"/>
                <w:kern w:val="0"/>
                <w:sz w:val="21"/>
                <w:szCs w:val="21"/>
                <w:highlight w:val="none"/>
              </w:rPr>
            </w:pPr>
          </w:p>
        </w:tc>
        <w:tc>
          <w:tcPr>
            <w:tcW w:w="697" w:type="pct"/>
            <w:shd w:val="clear" w:color="auto" w:fill="auto"/>
            <w:vAlign w:val="center"/>
          </w:tcPr>
          <w:p w14:paraId="51EECB32">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P值</w:t>
            </w:r>
          </w:p>
        </w:tc>
        <w:tc>
          <w:tcPr>
            <w:tcW w:w="1491" w:type="pct"/>
            <w:gridSpan w:val="3"/>
            <w:shd w:val="clear" w:color="auto" w:fill="auto"/>
            <w:vAlign w:val="center"/>
          </w:tcPr>
          <w:p w14:paraId="68862101">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P1 □</w:t>
            </w:r>
          </w:p>
        </w:tc>
        <w:tc>
          <w:tcPr>
            <w:tcW w:w="469" w:type="pct"/>
            <w:shd w:val="clear" w:color="auto" w:fill="auto"/>
            <w:vAlign w:val="center"/>
          </w:tcPr>
          <w:p w14:paraId="29A466E0">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P2 □</w:t>
            </w:r>
          </w:p>
        </w:tc>
        <w:tc>
          <w:tcPr>
            <w:tcW w:w="586" w:type="pct"/>
            <w:gridSpan w:val="4"/>
            <w:shd w:val="clear" w:color="auto" w:fill="auto"/>
            <w:vAlign w:val="center"/>
          </w:tcPr>
          <w:p w14:paraId="5AC75ACD">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P3 □</w:t>
            </w:r>
          </w:p>
        </w:tc>
        <w:tc>
          <w:tcPr>
            <w:tcW w:w="683" w:type="pct"/>
            <w:gridSpan w:val="3"/>
            <w:shd w:val="clear" w:color="auto" w:fill="auto"/>
            <w:vAlign w:val="center"/>
          </w:tcPr>
          <w:p w14:paraId="3BD6F858">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P4 □</w:t>
            </w:r>
          </w:p>
        </w:tc>
      </w:tr>
      <w:tr w14:paraId="08A111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vMerge w:val="restart"/>
            <w:shd w:val="clear" w:color="auto" w:fill="auto"/>
            <w:vAlign w:val="center"/>
          </w:tcPr>
          <w:p w14:paraId="5600D97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环境敏感程度</w:t>
            </w:r>
          </w:p>
        </w:tc>
        <w:tc>
          <w:tcPr>
            <w:tcW w:w="697" w:type="pct"/>
            <w:shd w:val="clear" w:color="auto" w:fill="auto"/>
            <w:vAlign w:val="center"/>
          </w:tcPr>
          <w:p w14:paraId="1F002985">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大气</w:t>
            </w:r>
          </w:p>
        </w:tc>
        <w:tc>
          <w:tcPr>
            <w:tcW w:w="1491" w:type="pct"/>
            <w:gridSpan w:val="3"/>
            <w:shd w:val="clear" w:color="auto" w:fill="auto"/>
            <w:vAlign w:val="center"/>
          </w:tcPr>
          <w:p w14:paraId="4A86C7F9">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E1 □</w:t>
            </w:r>
          </w:p>
        </w:tc>
        <w:tc>
          <w:tcPr>
            <w:tcW w:w="1071" w:type="pct"/>
            <w:gridSpan w:val="6"/>
            <w:shd w:val="clear" w:color="auto" w:fill="auto"/>
            <w:vAlign w:val="center"/>
          </w:tcPr>
          <w:p w14:paraId="0D50E8FB">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E2 □</w:t>
            </w:r>
          </w:p>
        </w:tc>
        <w:tc>
          <w:tcPr>
            <w:tcW w:w="667" w:type="pct"/>
            <w:gridSpan w:val="2"/>
            <w:shd w:val="clear" w:color="auto" w:fill="auto"/>
            <w:vAlign w:val="center"/>
          </w:tcPr>
          <w:p w14:paraId="37299707">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E3 □</w:t>
            </w:r>
          </w:p>
        </w:tc>
      </w:tr>
      <w:tr w14:paraId="43D508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vMerge w:val="continue"/>
            <w:shd w:val="clear" w:color="auto" w:fill="auto"/>
            <w:vAlign w:val="center"/>
          </w:tcPr>
          <w:p w14:paraId="42EBB6B7">
            <w:pPr>
              <w:spacing w:line="360" w:lineRule="exact"/>
              <w:ind w:firstLine="0" w:firstLineChars="0"/>
              <w:jc w:val="center"/>
              <w:rPr>
                <w:rFonts w:cs="Times New Roman"/>
                <w:snapToGrid w:val="0"/>
                <w:color w:val="auto"/>
                <w:kern w:val="0"/>
                <w:sz w:val="21"/>
                <w:szCs w:val="21"/>
                <w:highlight w:val="none"/>
              </w:rPr>
            </w:pPr>
          </w:p>
        </w:tc>
        <w:tc>
          <w:tcPr>
            <w:tcW w:w="697" w:type="pct"/>
            <w:shd w:val="clear" w:color="auto" w:fill="auto"/>
            <w:vAlign w:val="center"/>
          </w:tcPr>
          <w:p w14:paraId="4DBCBDF0">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地表水</w:t>
            </w:r>
          </w:p>
        </w:tc>
        <w:tc>
          <w:tcPr>
            <w:tcW w:w="1491" w:type="pct"/>
            <w:gridSpan w:val="3"/>
            <w:shd w:val="clear" w:color="auto" w:fill="auto"/>
            <w:vAlign w:val="center"/>
          </w:tcPr>
          <w:p w14:paraId="19A2ED5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E1 □</w:t>
            </w:r>
          </w:p>
        </w:tc>
        <w:tc>
          <w:tcPr>
            <w:tcW w:w="1071" w:type="pct"/>
            <w:gridSpan w:val="6"/>
            <w:shd w:val="clear" w:color="auto" w:fill="auto"/>
            <w:vAlign w:val="center"/>
          </w:tcPr>
          <w:p w14:paraId="103B24F0">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E2 □</w:t>
            </w:r>
          </w:p>
        </w:tc>
        <w:tc>
          <w:tcPr>
            <w:tcW w:w="667" w:type="pct"/>
            <w:gridSpan w:val="2"/>
            <w:shd w:val="clear" w:color="auto" w:fill="auto"/>
            <w:vAlign w:val="center"/>
          </w:tcPr>
          <w:p w14:paraId="41F64BD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E3 □</w:t>
            </w:r>
          </w:p>
        </w:tc>
      </w:tr>
      <w:tr w14:paraId="33BC95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vMerge w:val="continue"/>
            <w:shd w:val="clear" w:color="auto" w:fill="auto"/>
            <w:vAlign w:val="center"/>
          </w:tcPr>
          <w:p w14:paraId="0021AB21">
            <w:pPr>
              <w:spacing w:line="360" w:lineRule="exact"/>
              <w:ind w:firstLine="0" w:firstLineChars="0"/>
              <w:jc w:val="center"/>
              <w:rPr>
                <w:rFonts w:cs="Times New Roman"/>
                <w:snapToGrid w:val="0"/>
                <w:color w:val="auto"/>
                <w:kern w:val="0"/>
                <w:sz w:val="21"/>
                <w:szCs w:val="21"/>
                <w:highlight w:val="none"/>
              </w:rPr>
            </w:pPr>
          </w:p>
        </w:tc>
        <w:tc>
          <w:tcPr>
            <w:tcW w:w="697" w:type="pct"/>
            <w:shd w:val="clear" w:color="auto" w:fill="auto"/>
            <w:vAlign w:val="center"/>
          </w:tcPr>
          <w:p w14:paraId="3222BBB0">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地下水</w:t>
            </w:r>
          </w:p>
        </w:tc>
        <w:tc>
          <w:tcPr>
            <w:tcW w:w="1491" w:type="pct"/>
            <w:gridSpan w:val="3"/>
            <w:shd w:val="clear" w:color="auto" w:fill="auto"/>
            <w:vAlign w:val="center"/>
          </w:tcPr>
          <w:p w14:paraId="08EB9B36">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E1 □</w:t>
            </w:r>
          </w:p>
        </w:tc>
        <w:tc>
          <w:tcPr>
            <w:tcW w:w="1071" w:type="pct"/>
            <w:gridSpan w:val="6"/>
            <w:shd w:val="clear" w:color="auto" w:fill="auto"/>
            <w:vAlign w:val="center"/>
          </w:tcPr>
          <w:p w14:paraId="3EAED50F">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E2 □</w:t>
            </w:r>
          </w:p>
        </w:tc>
        <w:tc>
          <w:tcPr>
            <w:tcW w:w="667" w:type="pct"/>
            <w:gridSpan w:val="2"/>
            <w:shd w:val="clear" w:color="auto" w:fill="auto"/>
            <w:vAlign w:val="center"/>
          </w:tcPr>
          <w:p w14:paraId="66E882F6">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E3 □</w:t>
            </w:r>
          </w:p>
        </w:tc>
      </w:tr>
      <w:tr w14:paraId="5F4F8E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shd w:val="clear" w:color="auto" w:fill="auto"/>
            <w:vAlign w:val="center"/>
          </w:tcPr>
          <w:p w14:paraId="57B36B61">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环境风险潜势</w:t>
            </w:r>
          </w:p>
        </w:tc>
        <w:tc>
          <w:tcPr>
            <w:tcW w:w="1182" w:type="pct"/>
            <w:gridSpan w:val="2"/>
            <w:shd w:val="clear" w:color="auto" w:fill="auto"/>
            <w:vAlign w:val="center"/>
          </w:tcPr>
          <w:p w14:paraId="2FA806B8">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Ⅳ</w:t>
            </w:r>
            <w:r>
              <w:rPr>
                <w:rFonts w:cs="Times New Roman"/>
                <w:snapToGrid w:val="0"/>
                <w:color w:val="auto"/>
                <w:kern w:val="0"/>
                <w:sz w:val="21"/>
                <w:szCs w:val="21"/>
                <w:highlight w:val="none"/>
                <w:vertAlign w:val="superscript"/>
              </w:rPr>
              <w:t>+</w:t>
            </w:r>
            <w:r>
              <w:rPr>
                <w:rFonts w:cs="Times New Roman"/>
                <w:snapToGrid w:val="0"/>
                <w:color w:val="auto"/>
                <w:kern w:val="0"/>
                <w:sz w:val="21"/>
                <w:szCs w:val="21"/>
                <w:highlight w:val="none"/>
              </w:rPr>
              <w:t xml:space="preserve"> □</w:t>
            </w:r>
          </w:p>
        </w:tc>
        <w:tc>
          <w:tcPr>
            <w:tcW w:w="1005" w:type="pct"/>
            <w:gridSpan w:val="2"/>
            <w:shd w:val="clear" w:color="auto" w:fill="auto"/>
            <w:vAlign w:val="center"/>
          </w:tcPr>
          <w:p w14:paraId="5DC6882D">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Ⅳ □</w:t>
            </w:r>
          </w:p>
        </w:tc>
        <w:tc>
          <w:tcPr>
            <w:tcW w:w="547" w:type="pct"/>
            <w:gridSpan w:val="2"/>
            <w:shd w:val="clear" w:color="auto" w:fill="auto"/>
            <w:vAlign w:val="center"/>
          </w:tcPr>
          <w:p w14:paraId="19FD9C3D">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Ⅲ □</w:t>
            </w:r>
          </w:p>
        </w:tc>
        <w:tc>
          <w:tcPr>
            <w:tcW w:w="524" w:type="pct"/>
            <w:gridSpan w:val="4"/>
            <w:shd w:val="clear" w:color="auto" w:fill="auto"/>
            <w:vAlign w:val="center"/>
          </w:tcPr>
          <w:p w14:paraId="7A4A0FE2">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Ⅱ □</w:t>
            </w:r>
          </w:p>
        </w:tc>
        <w:tc>
          <w:tcPr>
            <w:tcW w:w="667" w:type="pct"/>
            <w:gridSpan w:val="2"/>
            <w:shd w:val="clear" w:color="auto" w:fill="auto"/>
            <w:vAlign w:val="center"/>
          </w:tcPr>
          <w:p w14:paraId="02AE034B">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I </w:t>
            </w:r>
            <w:r>
              <w:rPr>
                <w:rFonts w:eastAsia="仿宋" w:cs="Times New Roman"/>
                <w:snapToGrid w:val="0"/>
                <w:color w:val="auto"/>
                <w:kern w:val="0"/>
                <w:sz w:val="21"/>
                <w:szCs w:val="21"/>
                <w:highlight w:val="none"/>
              </w:rPr>
              <w:t>√</w:t>
            </w:r>
          </w:p>
        </w:tc>
      </w:tr>
      <w:tr w14:paraId="706E0D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shd w:val="clear" w:color="auto" w:fill="auto"/>
            <w:vAlign w:val="center"/>
          </w:tcPr>
          <w:p w14:paraId="7AE2147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评价等级</w:t>
            </w:r>
          </w:p>
        </w:tc>
        <w:tc>
          <w:tcPr>
            <w:tcW w:w="1182" w:type="pct"/>
            <w:gridSpan w:val="2"/>
            <w:shd w:val="clear" w:color="auto" w:fill="auto"/>
            <w:vAlign w:val="center"/>
          </w:tcPr>
          <w:p w14:paraId="7BEAD149">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一级 □</w:t>
            </w:r>
          </w:p>
        </w:tc>
        <w:tc>
          <w:tcPr>
            <w:tcW w:w="1005" w:type="pct"/>
            <w:gridSpan w:val="2"/>
            <w:shd w:val="clear" w:color="auto" w:fill="auto"/>
            <w:vAlign w:val="center"/>
          </w:tcPr>
          <w:p w14:paraId="5F9E3E0C">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二级 □</w:t>
            </w:r>
          </w:p>
        </w:tc>
        <w:tc>
          <w:tcPr>
            <w:tcW w:w="942" w:type="pct"/>
            <w:gridSpan w:val="4"/>
            <w:shd w:val="clear" w:color="auto" w:fill="auto"/>
            <w:vAlign w:val="center"/>
          </w:tcPr>
          <w:p w14:paraId="4BA8E9E9">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三级 □</w:t>
            </w:r>
          </w:p>
        </w:tc>
        <w:tc>
          <w:tcPr>
            <w:tcW w:w="796" w:type="pct"/>
            <w:gridSpan w:val="4"/>
            <w:shd w:val="clear" w:color="auto" w:fill="auto"/>
            <w:vAlign w:val="center"/>
          </w:tcPr>
          <w:p w14:paraId="11FE17DD">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简单分析 </w:t>
            </w:r>
            <w:r>
              <w:rPr>
                <w:rFonts w:eastAsia="仿宋" w:cs="Times New Roman"/>
                <w:snapToGrid w:val="0"/>
                <w:color w:val="auto"/>
                <w:kern w:val="0"/>
                <w:sz w:val="21"/>
                <w:szCs w:val="21"/>
                <w:highlight w:val="none"/>
              </w:rPr>
              <w:t>√</w:t>
            </w:r>
          </w:p>
        </w:tc>
      </w:tr>
      <w:tr w14:paraId="1DC017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restart"/>
            <w:shd w:val="clear" w:color="auto" w:fill="auto"/>
            <w:vAlign w:val="center"/>
          </w:tcPr>
          <w:p w14:paraId="6DD6627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风</w:t>
            </w:r>
          </w:p>
          <w:p w14:paraId="0E3459C6">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险</w:t>
            </w:r>
          </w:p>
          <w:p w14:paraId="54B2749C">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识</w:t>
            </w:r>
          </w:p>
          <w:p w14:paraId="3086169F">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别</w:t>
            </w:r>
          </w:p>
        </w:tc>
        <w:tc>
          <w:tcPr>
            <w:tcW w:w="609" w:type="pct"/>
            <w:shd w:val="clear" w:color="auto" w:fill="auto"/>
            <w:vAlign w:val="center"/>
          </w:tcPr>
          <w:p w14:paraId="317F2B1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物质危险性</w:t>
            </w:r>
          </w:p>
        </w:tc>
        <w:tc>
          <w:tcPr>
            <w:tcW w:w="2188" w:type="pct"/>
            <w:gridSpan w:val="4"/>
            <w:shd w:val="clear" w:color="auto" w:fill="auto"/>
            <w:vAlign w:val="center"/>
          </w:tcPr>
          <w:p w14:paraId="5C4E81BC">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有毒有害 </w:t>
            </w:r>
            <w:r>
              <w:rPr>
                <w:rFonts w:eastAsia="仿宋" w:cs="Times New Roman"/>
                <w:snapToGrid w:val="0"/>
                <w:color w:val="auto"/>
                <w:kern w:val="0"/>
                <w:sz w:val="21"/>
                <w:szCs w:val="21"/>
                <w:highlight w:val="none"/>
              </w:rPr>
              <w:t>√</w:t>
            </w:r>
          </w:p>
        </w:tc>
        <w:tc>
          <w:tcPr>
            <w:tcW w:w="1738" w:type="pct"/>
            <w:gridSpan w:val="8"/>
            <w:shd w:val="clear" w:color="auto" w:fill="auto"/>
            <w:vAlign w:val="center"/>
          </w:tcPr>
          <w:p w14:paraId="34429537">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易燃易爆 </w:t>
            </w:r>
            <w:r>
              <w:rPr>
                <w:rFonts w:cs="Times New Roman"/>
                <w:snapToGrid w:val="0"/>
                <w:color w:val="auto"/>
                <w:kern w:val="0"/>
                <w:sz w:val="21"/>
                <w:szCs w:val="21"/>
                <w:highlight w:val="none"/>
              </w:rPr>
              <w:sym w:font="Wingdings 2" w:char="00A3"/>
            </w:r>
          </w:p>
        </w:tc>
      </w:tr>
      <w:tr w14:paraId="5ECA9F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47C61392">
            <w:pPr>
              <w:spacing w:line="360" w:lineRule="exact"/>
              <w:ind w:firstLine="0" w:firstLineChars="0"/>
              <w:jc w:val="center"/>
              <w:rPr>
                <w:rFonts w:cs="Times New Roman"/>
                <w:snapToGrid w:val="0"/>
                <w:color w:val="auto"/>
                <w:kern w:val="0"/>
                <w:sz w:val="21"/>
                <w:szCs w:val="21"/>
                <w:highlight w:val="none"/>
              </w:rPr>
            </w:pPr>
          </w:p>
        </w:tc>
        <w:tc>
          <w:tcPr>
            <w:tcW w:w="609" w:type="pct"/>
            <w:shd w:val="clear" w:color="auto" w:fill="auto"/>
            <w:vAlign w:val="center"/>
          </w:tcPr>
          <w:p w14:paraId="0C0F9A52">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环境风险</w:t>
            </w:r>
          </w:p>
          <w:p w14:paraId="130045C7">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类型</w:t>
            </w:r>
          </w:p>
        </w:tc>
        <w:tc>
          <w:tcPr>
            <w:tcW w:w="2188" w:type="pct"/>
            <w:gridSpan w:val="4"/>
            <w:shd w:val="clear" w:color="auto" w:fill="auto"/>
            <w:vAlign w:val="center"/>
          </w:tcPr>
          <w:p w14:paraId="637A577A">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泄漏 </w:t>
            </w:r>
            <w:r>
              <w:rPr>
                <w:rFonts w:eastAsia="仿宋" w:cs="Times New Roman"/>
                <w:snapToGrid w:val="0"/>
                <w:color w:val="auto"/>
                <w:kern w:val="0"/>
                <w:sz w:val="21"/>
                <w:szCs w:val="21"/>
                <w:highlight w:val="none"/>
              </w:rPr>
              <w:t>√</w:t>
            </w:r>
            <w:r>
              <w:rPr>
                <w:rFonts w:cs="Times New Roman"/>
                <w:snapToGrid w:val="0"/>
                <w:color w:val="auto"/>
                <w:kern w:val="0"/>
                <w:sz w:val="21"/>
                <w:szCs w:val="21"/>
                <w:highlight w:val="none"/>
              </w:rPr>
              <w:t xml:space="preserve"> </w:t>
            </w:r>
          </w:p>
        </w:tc>
        <w:tc>
          <w:tcPr>
            <w:tcW w:w="1738" w:type="pct"/>
            <w:gridSpan w:val="8"/>
            <w:shd w:val="clear" w:color="auto" w:fill="auto"/>
            <w:vAlign w:val="center"/>
          </w:tcPr>
          <w:p w14:paraId="4366F306">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火灾、爆炸引发伴生/次生污染物排放 □</w:t>
            </w:r>
          </w:p>
        </w:tc>
      </w:tr>
      <w:tr w14:paraId="16D0CB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4D821EBE">
            <w:pPr>
              <w:spacing w:line="360" w:lineRule="exact"/>
              <w:ind w:firstLine="0" w:firstLineChars="0"/>
              <w:jc w:val="center"/>
              <w:rPr>
                <w:rFonts w:cs="Times New Roman"/>
                <w:snapToGrid w:val="0"/>
                <w:color w:val="auto"/>
                <w:kern w:val="0"/>
                <w:sz w:val="21"/>
                <w:szCs w:val="21"/>
                <w:highlight w:val="none"/>
              </w:rPr>
            </w:pPr>
          </w:p>
        </w:tc>
        <w:tc>
          <w:tcPr>
            <w:tcW w:w="609" w:type="pct"/>
            <w:shd w:val="clear" w:color="auto" w:fill="auto"/>
            <w:vAlign w:val="center"/>
          </w:tcPr>
          <w:p w14:paraId="2F229F4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影响途径</w:t>
            </w:r>
          </w:p>
        </w:tc>
        <w:tc>
          <w:tcPr>
            <w:tcW w:w="1182" w:type="pct"/>
            <w:gridSpan w:val="2"/>
            <w:shd w:val="clear" w:color="auto" w:fill="auto"/>
            <w:vAlign w:val="center"/>
          </w:tcPr>
          <w:p w14:paraId="4219D14D">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大气 </w:t>
            </w:r>
            <w:r>
              <w:rPr>
                <w:rFonts w:eastAsia="仿宋" w:cs="Times New Roman"/>
                <w:snapToGrid w:val="0"/>
                <w:color w:val="auto"/>
                <w:kern w:val="0"/>
                <w:sz w:val="21"/>
                <w:szCs w:val="21"/>
                <w:highlight w:val="none"/>
              </w:rPr>
              <w:t>√</w:t>
            </w:r>
          </w:p>
        </w:tc>
        <w:tc>
          <w:tcPr>
            <w:tcW w:w="1005" w:type="pct"/>
            <w:gridSpan w:val="2"/>
            <w:shd w:val="clear" w:color="auto" w:fill="auto"/>
            <w:vAlign w:val="center"/>
          </w:tcPr>
          <w:p w14:paraId="08C96796">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地表水</w:t>
            </w:r>
            <w:r>
              <w:rPr>
                <w:rFonts w:eastAsia="仿宋" w:cs="Times New Roman"/>
                <w:snapToGrid w:val="0"/>
                <w:color w:val="auto"/>
                <w:kern w:val="0"/>
                <w:sz w:val="21"/>
                <w:szCs w:val="21"/>
                <w:highlight w:val="none"/>
              </w:rPr>
              <w:t>√</w:t>
            </w:r>
          </w:p>
        </w:tc>
        <w:tc>
          <w:tcPr>
            <w:tcW w:w="1738" w:type="pct"/>
            <w:gridSpan w:val="8"/>
            <w:shd w:val="clear" w:color="auto" w:fill="auto"/>
            <w:vAlign w:val="center"/>
          </w:tcPr>
          <w:p w14:paraId="72D6EB51">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地下水 </w:t>
            </w:r>
            <w:r>
              <w:rPr>
                <w:rFonts w:eastAsia="仿宋" w:cs="Times New Roman"/>
                <w:snapToGrid w:val="0"/>
                <w:color w:val="auto"/>
                <w:kern w:val="0"/>
                <w:sz w:val="21"/>
                <w:szCs w:val="21"/>
                <w:highlight w:val="none"/>
              </w:rPr>
              <w:t>√</w:t>
            </w:r>
          </w:p>
        </w:tc>
      </w:tr>
      <w:tr w14:paraId="135DC9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shd w:val="clear" w:color="auto" w:fill="auto"/>
            <w:vAlign w:val="center"/>
          </w:tcPr>
          <w:p w14:paraId="16EE6A2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事故情形分析 </w:t>
            </w:r>
          </w:p>
        </w:tc>
        <w:tc>
          <w:tcPr>
            <w:tcW w:w="1182" w:type="pct"/>
            <w:gridSpan w:val="2"/>
            <w:shd w:val="clear" w:color="auto" w:fill="auto"/>
            <w:vAlign w:val="center"/>
          </w:tcPr>
          <w:p w14:paraId="4085696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源强设定方法</w:t>
            </w:r>
          </w:p>
        </w:tc>
        <w:tc>
          <w:tcPr>
            <w:tcW w:w="1005" w:type="pct"/>
            <w:gridSpan w:val="2"/>
            <w:shd w:val="clear" w:color="auto" w:fill="auto"/>
            <w:vAlign w:val="center"/>
          </w:tcPr>
          <w:p w14:paraId="52C0412A">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 xml:space="preserve">计算法 </w:t>
            </w:r>
            <w:r>
              <w:rPr>
                <w:rFonts w:cs="Times New Roman"/>
                <w:snapToGrid w:val="0"/>
                <w:color w:val="auto"/>
                <w:kern w:val="0"/>
                <w:sz w:val="21"/>
                <w:szCs w:val="21"/>
                <w:highlight w:val="none"/>
              </w:rPr>
              <w:sym w:font="Wingdings 2" w:char="00A3"/>
            </w:r>
          </w:p>
        </w:tc>
        <w:tc>
          <w:tcPr>
            <w:tcW w:w="942" w:type="pct"/>
            <w:gridSpan w:val="4"/>
            <w:shd w:val="clear" w:color="auto" w:fill="auto"/>
            <w:vAlign w:val="center"/>
          </w:tcPr>
          <w:p w14:paraId="33A9B738">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经验估算法 □</w:t>
            </w:r>
          </w:p>
        </w:tc>
        <w:tc>
          <w:tcPr>
            <w:tcW w:w="796" w:type="pct"/>
            <w:gridSpan w:val="4"/>
            <w:shd w:val="clear" w:color="auto" w:fill="auto"/>
            <w:vAlign w:val="center"/>
          </w:tcPr>
          <w:p w14:paraId="5DAA0D1B">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其他估算法 □</w:t>
            </w:r>
          </w:p>
        </w:tc>
      </w:tr>
      <w:tr w14:paraId="582F60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restart"/>
            <w:shd w:val="clear" w:color="auto" w:fill="auto"/>
            <w:vAlign w:val="center"/>
          </w:tcPr>
          <w:p w14:paraId="61748D80">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风险</w:t>
            </w:r>
          </w:p>
          <w:p w14:paraId="3675742A">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预测</w:t>
            </w:r>
          </w:p>
          <w:p w14:paraId="585557B5">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与</w:t>
            </w:r>
          </w:p>
          <w:p w14:paraId="1B41926A">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评价</w:t>
            </w:r>
          </w:p>
        </w:tc>
        <w:tc>
          <w:tcPr>
            <w:tcW w:w="609" w:type="pct"/>
            <w:vMerge w:val="restart"/>
            <w:shd w:val="clear" w:color="auto" w:fill="auto"/>
            <w:vAlign w:val="center"/>
          </w:tcPr>
          <w:p w14:paraId="33DF87DC">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大气</w:t>
            </w:r>
          </w:p>
        </w:tc>
        <w:tc>
          <w:tcPr>
            <w:tcW w:w="1182" w:type="pct"/>
            <w:gridSpan w:val="2"/>
            <w:shd w:val="clear" w:color="auto" w:fill="auto"/>
            <w:vAlign w:val="center"/>
          </w:tcPr>
          <w:p w14:paraId="18AF21D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预测模型</w:t>
            </w:r>
          </w:p>
        </w:tc>
        <w:tc>
          <w:tcPr>
            <w:tcW w:w="1005" w:type="pct"/>
            <w:gridSpan w:val="2"/>
            <w:shd w:val="clear" w:color="auto" w:fill="auto"/>
            <w:vAlign w:val="center"/>
          </w:tcPr>
          <w:p w14:paraId="56A55F95">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SLAB □</w:t>
            </w:r>
          </w:p>
        </w:tc>
        <w:tc>
          <w:tcPr>
            <w:tcW w:w="942" w:type="pct"/>
            <w:gridSpan w:val="4"/>
            <w:shd w:val="clear" w:color="auto" w:fill="auto"/>
            <w:vAlign w:val="center"/>
          </w:tcPr>
          <w:p w14:paraId="6C02590F">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AFTOX □</w:t>
            </w:r>
          </w:p>
        </w:tc>
        <w:tc>
          <w:tcPr>
            <w:tcW w:w="796" w:type="pct"/>
            <w:gridSpan w:val="4"/>
            <w:shd w:val="clear" w:color="auto" w:fill="auto"/>
            <w:vAlign w:val="center"/>
          </w:tcPr>
          <w:p w14:paraId="7F2483B2">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其他 □</w:t>
            </w:r>
          </w:p>
        </w:tc>
      </w:tr>
      <w:tr w14:paraId="10B128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6FC243C1">
            <w:pPr>
              <w:spacing w:line="360" w:lineRule="exact"/>
              <w:ind w:firstLine="0" w:firstLineChars="0"/>
              <w:jc w:val="center"/>
              <w:rPr>
                <w:rFonts w:cs="Times New Roman"/>
                <w:snapToGrid w:val="0"/>
                <w:color w:val="auto"/>
                <w:kern w:val="0"/>
                <w:sz w:val="21"/>
                <w:szCs w:val="21"/>
                <w:highlight w:val="none"/>
              </w:rPr>
            </w:pPr>
          </w:p>
        </w:tc>
        <w:tc>
          <w:tcPr>
            <w:tcW w:w="609" w:type="pct"/>
            <w:vMerge w:val="continue"/>
            <w:shd w:val="clear" w:color="auto" w:fill="auto"/>
            <w:vAlign w:val="center"/>
          </w:tcPr>
          <w:p w14:paraId="47C92AD0">
            <w:pPr>
              <w:spacing w:line="360" w:lineRule="exact"/>
              <w:ind w:firstLine="0" w:firstLineChars="0"/>
              <w:jc w:val="center"/>
              <w:rPr>
                <w:rFonts w:cs="Times New Roman"/>
                <w:snapToGrid w:val="0"/>
                <w:color w:val="auto"/>
                <w:kern w:val="0"/>
                <w:sz w:val="21"/>
                <w:szCs w:val="21"/>
                <w:highlight w:val="none"/>
              </w:rPr>
            </w:pPr>
          </w:p>
        </w:tc>
        <w:tc>
          <w:tcPr>
            <w:tcW w:w="1182" w:type="pct"/>
            <w:gridSpan w:val="2"/>
            <w:vMerge w:val="restart"/>
            <w:shd w:val="clear" w:color="auto" w:fill="auto"/>
            <w:vAlign w:val="center"/>
          </w:tcPr>
          <w:p w14:paraId="55E41AA6">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预测结果</w:t>
            </w:r>
          </w:p>
        </w:tc>
        <w:tc>
          <w:tcPr>
            <w:tcW w:w="2744" w:type="pct"/>
            <w:gridSpan w:val="10"/>
            <w:shd w:val="clear" w:color="auto" w:fill="auto"/>
            <w:vAlign w:val="center"/>
          </w:tcPr>
          <w:p w14:paraId="542F4279">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大气毒性终点浓度-1 最大影响范围</w:t>
            </w:r>
            <w:r>
              <w:rPr>
                <w:rFonts w:cs="Times New Roman"/>
                <w:snapToGrid w:val="0"/>
                <w:color w:val="auto"/>
                <w:kern w:val="0"/>
                <w:sz w:val="21"/>
                <w:szCs w:val="21"/>
                <w:highlight w:val="none"/>
                <w:u w:val="single"/>
              </w:rPr>
              <w:t xml:space="preserve">     </w:t>
            </w:r>
            <w:r>
              <w:rPr>
                <w:rFonts w:cs="Times New Roman"/>
                <w:snapToGrid w:val="0"/>
                <w:color w:val="auto"/>
                <w:kern w:val="0"/>
                <w:sz w:val="21"/>
                <w:szCs w:val="21"/>
                <w:highlight w:val="none"/>
              </w:rPr>
              <w:t>m</w:t>
            </w:r>
          </w:p>
        </w:tc>
      </w:tr>
      <w:tr w14:paraId="57DA6B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62E15A3C">
            <w:pPr>
              <w:spacing w:line="360" w:lineRule="exact"/>
              <w:ind w:firstLine="0" w:firstLineChars="0"/>
              <w:jc w:val="center"/>
              <w:rPr>
                <w:rFonts w:cs="Times New Roman"/>
                <w:snapToGrid w:val="0"/>
                <w:color w:val="auto"/>
                <w:kern w:val="0"/>
                <w:sz w:val="21"/>
                <w:szCs w:val="21"/>
                <w:highlight w:val="none"/>
              </w:rPr>
            </w:pPr>
          </w:p>
        </w:tc>
        <w:tc>
          <w:tcPr>
            <w:tcW w:w="609" w:type="pct"/>
            <w:vMerge w:val="continue"/>
            <w:shd w:val="clear" w:color="auto" w:fill="auto"/>
            <w:vAlign w:val="center"/>
          </w:tcPr>
          <w:p w14:paraId="632BB176">
            <w:pPr>
              <w:spacing w:line="360" w:lineRule="exact"/>
              <w:ind w:firstLine="0" w:firstLineChars="0"/>
              <w:jc w:val="center"/>
              <w:rPr>
                <w:rFonts w:cs="Times New Roman"/>
                <w:snapToGrid w:val="0"/>
                <w:color w:val="auto"/>
                <w:kern w:val="0"/>
                <w:sz w:val="21"/>
                <w:szCs w:val="21"/>
                <w:highlight w:val="none"/>
              </w:rPr>
            </w:pPr>
          </w:p>
        </w:tc>
        <w:tc>
          <w:tcPr>
            <w:tcW w:w="1182" w:type="pct"/>
            <w:gridSpan w:val="2"/>
            <w:vMerge w:val="continue"/>
            <w:shd w:val="clear" w:color="auto" w:fill="auto"/>
            <w:vAlign w:val="center"/>
          </w:tcPr>
          <w:p w14:paraId="02A58D30">
            <w:pPr>
              <w:spacing w:line="360" w:lineRule="exact"/>
              <w:ind w:firstLine="0" w:firstLineChars="0"/>
              <w:jc w:val="center"/>
              <w:rPr>
                <w:rFonts w:cs="Times New Roman"/>
                <w:snapToGrid w:val="0"/>
                <w:color w:val="auto"/>
                <w:kern w:val="0"/>
                <w:sz w:val="21"/>
                <w:szCs w:val="21"/>
                <w:highlight w:val="none"/>
              </w:rPr>
            </w:pPr>
          </w:p>
        </w:tc>
        <w:tc>
          <w:tcPr>
            <w:tcW w:w="2744" w:type="pct"/>
            <w:gridSpan w:val="10"/>
            <w:shd w:val="clear" w:color="auto" w:fill="auto"/>
            <w:vAlign w:val="center"/>
          </w:tcPr>
          <w:p w14:paraId="3D204130">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大气毒性终点浓度-2 最大影响范围</w:t>
            </w:r>
            <w:r>
              <w:rPr>
                <w:rFonts w:cs="Times New Roman"/>
                <w:snapToGrid w:val="0"/>
                <w:color w:val="auto"/>
                <w:kern w:val="0"/>
                <w:sz w:val="21"/>
                <w:szCs w:val="21"/>
                <w:highlight w:val="none"/>
                <w:u w:val="single"/>
              </w:rPr>
              <w:t xml:space="preserve">     </w:t>
            </w:r>
            <w:r>
              <w:rPr>
                <w:rFonts w:cs="Times New Roman"/>
                <w:snapToGrid w:val="0"/>
                <w:color w:val="auto"/>
                <w:kern w:val="0"/>
                <w:sz w:val="21"/>
                <w:szCs w:val="21"/>
                <w:highlight w:val="none"/>
              </w:rPr>
              <w:t>m</w:t>
            </w:r>
          </w:p>
        </w:tc>
      </w:tr>
      <w:tr w14:paraId="7339B9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5F04FF0E">
            <w:pPr>
              <w:spacing w:line="360" w:lineRule="exact"/>
              <w:ind w:firstLine="0" w:firstLineChars="0"/>
              <w:jc w:val="center"/>
              <w:rPr>
                <w:rFonts w:cs="Times New Roman"/>
                <w:snapToGrid w:val="0"/>
                <w:color w:val="auto"/>
                <w:kern w:val="0"/>
                <w:sz w:val="21"/>
                <w:szCs w:val="21"/>
                <w:highlight w:val="none"/>
              </w:rPr>
            </w:pPr>
          </w:p>
        </w:tc>
        <w:tc>
          <w:tcPr>
            <w:tcW w:w="609" w:type="pct"/>
            <w:shd w:val="clear" w:color="auto" w:fill="auto"/>
            <w:vAlign w:val="center"/>
          </w:tcPr>
          <w:p w14:paraId="696E70C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地表水</w:t>
            </w:r>
          </w:p>
        </w:tc>
        <w:tc>
          <w:tcPr>
            <w:tcW w:w="3926" w:type="pct"/>
            <w:gridSpan w:val="12"/>
            <w:shd w:val="clear" w:color="auto" w:fill="auto"/>
            <w:vAlign w:val="center"/>
          </w:tcPr>
          <w:p w14:paraId="4CBA598D">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最近环境敏感目标</w:t>
            </w:r>
            <w:r>
              <w:rPr>
                <w:rFonts w:cs="Times New Roman"/>
                <w:snapToGrid w:val="0"/>
                <w:color w:val="auto"/>
                <w:kern w:val="0"/>
                <w:sz w:val="21"/>
                <w:szCs w:val="21"/>
                <w:highlight w:val="none"/>
                <w:u w:val="single"/>
              </w:rPr>
              <w:t xml:space="preserve">      </w:t>
            </w:r>
            <w:r>
              <w:rPr>
                <w:rFonts w:cs="Times New Roman"/>
                <w:snapToGrid w:val="0"/>
                <w:color w:val="auto"/>
                <w:kern w:val="0"/>
                <w:sz w:val="21"/>
                <w:szCs w:val="21"/>
                <w:highlight w:val="none"/>
              </w:rPr>
              <w:t>，到达时间</w:t>
            </w:r>
            <w:r>
              <w:rPr>
                <w:rFonts w:cs="Times New Roman"/>
                <w:snapToGrid w:val="0"/>
                <w:color w:val="auto"/>
                <w:kern w:val="0"/>
                <w:sz w:val="21"/>
                <w:szCs w:val="21"/>
                <w:highlight w:val="none"/>
                <w:u w:val="single"/>
              </w:rPr>
              <w:t xml:space="preserve">      </w:t>
            </w:r>
            <w:r>
              <w:rPr>
                <w:rFonts w:cs="Times New Roman"/>
                <w:snapToGrid w:val="0"/>
                <w:color w:val="auto"/>
                <w:kern w:val="0"/>
                <w:sz w:val="21"/>
                <w:szCs w:val="21"/>
                <w:highlight w:val="none"/>
              </w:rPr>
              <w:t>h</w:t>
            </w:r>
          </w:p>
        </w:tc>
      </w:tr>
      <w:tr w14:paraId="35F9C8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5902D50D">
            <w:pPr>
              <w:spacing w:line="360" w:lineRule="exact"/>
              <w:ind w:firstLine="0" w:firstLineChars="0"/>
              <w:jc w:val="center"/>
              <w:rPr>
                <w:rFonts w:cs="Times New Roman"/>
                <w:snapToGrid w:val="0"/>
                <w:color w:val="auto"/>
                <w:kern w:val="0"/>
                <w:sz w:val="21"/>
                <w:szCs w:val="21"/>
                <w:highlight w:val="none"/>
              </w:rPr>
            </w:pPr>
          </w:p>
        </w:tc>
        <w:tc>
          <w:tcPr>
            <w:tcW w:w="609" w:type="pct"/>
            <w:vMerge w:val="restart"/>
            <w:shd w:val="clear" w:color="auto" w:fill="auto"/>
            <w:vAlign w:val="center"/>
          </w:tcPr>
          <w:p w14:paraId="75E5D1AD">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地下水</w:t>
            </w:r>
          </w:p>
        </w:tc>
        <w:tc>
          <w:tcPr>
            <w:tcW w:w="3926" w:type="pct"/>
            <w:gridSpan w:val="12"/>
            <w:shd w:val="clear" w:color="auto" w:fill="auto"/>
            <w:vAlign w:val="center"/>
          </w:tcPr>
          <w:p w14:paraId="656D06E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下游厂区边界到达时间</w:t>
            </w:r>
            <w:r>
              <w:rPr>
                <w:rFonts w:cs="Times New Roman"/>
                <w:snapToGrid w:val="0"/>
                <w:color w:val="auto"/>
                <w:kern w:val="0"/>
                <w:sz w:val="21"/>
                <w:szCs w:val="21"/>
                <w:highlight w:val="none"/>
                <w:u w:val="single"/>
              </w:rPr>
              <w:t xml:space="preserve">      </w:t>
            </w:r>
            <w:r>
              <w:rPr>
                <w:rFonts w:cs="Times New Roman"/>
                <w:snapToGrid w:val="0"/>
                <w:color w:val="auto"/>
                <w:kern w:val="0"/>
                <w:sz w:val="21"/>
                <w:szCs w:val="21"/>
                <w:highlight w:val="none"/>
              </w:rPr>
              <w:t>d</w:t>
            </w:r>
          </w:p>
        </w:tc>
      </w:tr>
      <w:tr w14:paraId="171BCE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463" w:type="pct"/>
            <w:vMerge w:val="continue"/>
            <w:shd w:val="clear" w:color="auto" w:fill="auto"/>
            <w:vAlign w:val="center"/>
          </w:tcPr>
          <w:p w14:paraId="43A2F51C">
            <w:pPr>
              <w:spacing w:line="360" w:lineRule="exact"/>
              <w:ind w:firstLine="0" w:firstLineChars="0"/>
              <w:jc w:val="center"/>
              <w:rPr>
                <w:rFonts w:cs="Times New Roman"/>
                <w:snapToGrid w:val="0"/>
                <w:color w:val="auto"/>
                <w:kern w:val="0"/>
                <w:sz w:val="21"/>
                <w:szCs w:val="21"/>
                <w:highlight w:val="none"/>
              </w:rPr>
            </w:pPr>
          </w:p>
        </w:tc>
        <w:tc>
          <w:tcPr>
            <w:tcW w:w="609" w:type="pct"/>
            <w:vMerge w:val="continue"/>
            <w:shd w:val="clear" w:color="auto" w:fill="auto"/>
            <w:vAlign w:val="center"/>
          </w:tcPr>
          <w:p w14:paraId="761D5187">
            <w:pPr>
              <w:spacing w:line="360" w:lineRule="exact"/>
              <w:ind w:firstLine="0" w:firstLineChars="0"/>
              <w:jc w:val="center"/>
              <w:rPr>
                <w:rFonts w:cs="Times New Roman"/>
                <w:snapToGrid w:val="0"/>
                <w:color w:val="auto"/>
                <w:kern w:val="0"/>
                <w:sz w:val="21"/>
                <w:szCs w:val="21"/>
                <w:highlight w:val="none"/>
              </w:rPr>
            </w:pPr>
          </w:p>
        </w:tc>
        <w:tc>
          <w:tcPr>
            <w:tcW w:w="3926" w:type="pct"/>
            <w:gridSpan w:val="12"/>
            <w:shd w:val="clear" w:color="auto" w:fill="auto"/>
            <w:vAlign w:val="center"/>
          </w:tcPr>
          <w:p w14:paraId="5CFB9148">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最近环境敏感目标</w:t>
            </w:r>
            <w:r>
              <w:rPr>
                <w:rFonts w:cs="Times New Roman"/>
                <w:snapToGrid w:val="0"/>
                <w:color w:val="auto"/>
                <w:kern w:val="0"/>
                <w:sz w:val="21"/>
                <w:szCs w:val="21"/>
                <w:highlight w:val="none"/>
                <w:u w:val="single"/>
              </w:rPr>
              <w:t xml:space="preserve">      </w:t>
            </w:r>
            <w:r>
              <w:rPr>
                <w:rFonts w:cs="Times New Roman"/>
                <w:snapToGrid w:val="0"/>
                <w:color w:val="auto"/>
                <w:kern w:val="0"/>
                <w:sz w:val="21"/>
                <w:szCs w:val="21"/>
                <w:highlight w:val="none"/>
              </w:rPr>
              <w:t>，到达时间</w:t>
            </w:r>
            <w:r>
              <w:rPr>
                <w:rFonts w:cs="Times New Roman"/>
                <w:snapToGrid w:val="0"/>
                <w:color w:val="auto"/>
                <w:kern w:val="0"/>
                <w:sz w:val="21"/>
                <w:szCs w:val="21"/>
                <w:highlight w:val="none"/>
                <w:u w:val="single"/>
              </w:rPr>
              <w:t xml:space="preserve">      </w:t>
            </w:r>
            <w:r>
              <w:rPr>
                <w:rFonts w:cs="Times New Roman"/>
                <w:snapToGrid w:val="0"/>
                <w:color w:val="auto"/>
                <w:kern w:val="0"/>
                <w:sz w:val="21"/>
                <w:szCs w:val="21"/>
                <w:highlight w:val="none"/>
              </w:rPr>
              <w:t>d</w:t>
            </w:r>
          </w:p>
        </w:tc>
      </w:tr>
      <w:tr w14:paraId="148C02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064" w:hRule="atLeast"/>
          <w:jc w:val="center"/>
        </w:trPr>
        <w:tc>
          <w:tcPr>
            <w:tcW w:w="1073" w:type="pct"/>
            <w:gridSpan w:val="2"/>
            <w:shd w:val="clear" w:color="auto" w:fill="auto"/>
            <w:vAlign w:val="center"/>
          </w:tcPr>
          <w:p w14:paraId="35E9BBC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重点风险防范措施</w:t>
            </w:r>
          </w:p>
        </w:tc>
        <w:tc>
          <w:tcPr>
            <w:tcW w:w="3926" w:type="pct"/>
            <w:gridSpan w:val="12"/>
            <w:shd w:val="clear" w:color="auto" w:fill="auto"/>
            <w:vAlign w:val="center"/>
          </w:tcPr>
          <w:p w14:paraId="699A89E6">
            <w:pPr>
              <w:pStyle w:val="117"/>
              <w:adjustRightInd w:val="0"/>
              <w:snapToGrid w:val="0"/>
              <w:spacing w:line="360" w:lineRule="exact"/>
              <w:ind w:firstLine="422"/>
              <w:rPr>
                <w:rFonts w:cs="Times New Roman"/>
                <w:b/>
                <w:bCs/>
                <w:snapToGrid w:val="0"/>
                <w:color w:val="auto"/>
                <w:sz w:val="21"/>
                <w:szCs w:val="21"/>
                <w:highlight w:val="none"/>
              </w:rPr>
            </w:pPr>
            <w:r>
              <w:rPr>
                <w:rFonts w:cs="Times New Roman"/>
                <w:b/>
                <w:bCs/>
                <w:snapToGrid w:val="0"/>
                <w:color w:val="auto"/>
                <w:sz w:val="21"/>
                <w:szCs w:val="21"/>
                <w:highlight w:val="none"/>
              </w:rPr>
              <w:t>1、地表水环境风险防范措施</w:t>
            </w:r>
          </w:p>
          <w:p w14:paraId="781CA90E">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1）事故池及污水处理站各个池体均为地埋式，加盖密闭，避免雨水进入；</w:t>
            </w:r>
          </w:p>
          <w:p w14:paraId="44E57F2D">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2）沿厂区边界设置截洪沟，以防暴雨冲击；</w:t>
            </w:r>
          </w:p>
          <w:p w14:paraId="5B4A45C2">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3）密切关注天气变化情况，如有强降雨来临，应提前准备防雨防洪等拦截设置。</w:t>
            </w:r>
          </w:p>
          <w:p w14:paraId="38B6B8C8">
            <w:pPr>
              <w:pStyle w:val="117"/>
              <w:adjustRightInd w:val="0"/>
              <w:snapToGrid w:val="0"/>
              <w:spacing w:line="360" w:lineRule="exact"/>
              <w:ind w:firstLine="422"/>
              <w:rPr>
                <w:rFonts w:cs="Times New Roman"/>
                <w:snapToGrid w:val="0"/>
                <w:color w:val="auto"/>
                <w:sz w:val="21"/>
                <w:szCs w:val="21"/>
                <w:highlight w:val="none"/>
              </w:rPr>
            </w:pPr>
            <w:r>
              <w:rPr>
                <w:rFonts w:cs="Times New Roman"/>
                <w:b/>
                <w:bCs/>
                <w:color w:val="auto"/>
                <w:sz w:val="21"/>
                <w:szCs w:val="21"/>
                <w:highlight w:val="none"/>
              </w:rPr>
              <w:t>2、地下水环境及土壤环境风险防范措施</w:t>
            </w:r>
          </w:p>
          <w:p w14:paraId="7E2BD763">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1）</w:t>
            </w:r>
            <w:r>
              <w:rPr>
                <w:rFonts w:cs="Times New Roman"/>
                <w:snapToGrid w:val="0"/>
                <w:color w:val="auto"/>
                <w:kern w:val="0"/>
                <w:sz w:val="21"/>
                <w:szCs w:val="21"/>
                <w:highlight w:val="none"/>
              </w:rPr>
              <w:t>加强施工期的管理，提高施工质量，确保管线、池体的工程质量，减少泄漏事故的发生；发生泄漏事故时应及时采取措施，将影响将至最低；</w:t>
            </w:r>
          </w:p>
          <w:p w14:paraId="57C9786D">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2）分区防渗</w:t>
            </w:r>
          </w:p>
          <w:p w14:paraId="35203A94">
            <w:pPr>
              <w:pStyle w:val="117"/>
              <w:adjustRightInd w:val="0"/>
              <w:snapToGrid w:val="0"/>
              <w:spacing w:line="360" w:lineRule="exact"/>
              <w:ind w:firstLine="420"/>
              <w:rPr>
                <w:rFonts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rPr>
              <w:t>危险废物暂存点</w:t>
            </w:r>
            <w:r>
              <w:rPr>
                <w:rFonts w:ascii="Times New Roman" w:hAnsi="Times New Roman" w:eastAsia="宋体" w:cs="Times New Roman"/>
                <w:snapToGrid w:val="0"/>
                <w:color w:val="auto"/>
                <w:kern w:val="0"/>
                <w:sz w:val="21"/>
                <w:szCs w:val="21"/>
                <w:highlight w:val="none"/>
              </w:rPr>
              <w:t>按重点防渗区采取防</w:t>
            </w:r>
            <w:r>
              <w:rPr>
                <w:rFonts w:cs="Times New Roman"/>
                <w:snapToGrid w:val="0"/>
                <w:color w:val="auto"/>
                <w:kern w:val="0"/>
                <w:sz w:val="21"/>
                <w:szCs w:val="21"/>
                <w:highlight w:val="none"/>
              </w:rPr>
              <w:t>渗措施。</w:t>
            </w:r>
            <w:r>
              <w:rPr>
                <w:rFonts w:hint="eastAsia" w:cs="Times New Roman"/>
                <w:snapToGrid w:val="0"/>
                <w:color w:val="auto"/>
                <w:kern w:val="0"/>
                <w:sz w:val="21"/>
                <w:szCs w:val="21"/>
                <w:highlight w:val="none"/>
                <w:lang w:eastAsia="zh-CN"/>
              </w:rPr>
              <w:t>参照《危险废物贮存污染控制标准》（GB18597-20</w:t>
            </w:r>
            <w:r>
              <w:rPr>
                <w:rFonts w:hint="eastAsia" w:cs="Times New Roman"/>
                <w:snapToGrid w:val="0"/>
                <w:color w:val="auto"/>
                <w:kern w:val="0"/>
                <w:sz w:val="21"/>
                <w:szCs w:val="21"/>
                <w:highlight w:val="none"/>
                <w:lang w:val="en-US" w:eastAsia="zh-CN"/>
              </w:rPr>
              <w:t>23</w:t>
            </w:r>
            <w:r>
              <w:rPr>
                <w:rFonts w:hint="eastAsia" w:cs="Times New Roman"/>
                <w:snapToGrid w:val="0"/>
                <w:color w:val="auto"/>
                <w:kern w:val="0"/>
                <w:sz w:val="21"/>
                <w:szCs w:val="21"/>
                <w:highlight w:val="none"/>
                <w:lang w:eastAsia="zh-CN"/>
              </w:rPr>
              <w:t>）执行，基础必须防渗，防渗层为至少1m厚粘土层（渗透系数≤10</w:t>
            </w:r>
            <w:r>
              <w:rPr>
                <w:rFonts w:hint="eastAsia" w:cs="Times New Roman"/>
                <w:snapToGrid w:val="0"/>
                <w:color w:val="auto"/>
                <w:kern w:val="0"/>
                <w:sz w:val="21"/>
                <w:szCs w:val="21"/>
                <w:highlight w:val="none"/>
                <w:vertAlign w:val="superscript"/>
                <w:lang w:eastAsia="zh-CN"/>
              </w:rPr>
              <w:t>-7</w:t>
            </w:r>
            <w:r>
              <w:rPr>
                <w:rFonts w:hint="eastAsia" w:cs="Times New Roman"/>
                <w:snapToGrid w:val="0"/>
                <w:color w:val="auto"/>
                <w:kern w:val="0"/>
                <w:sz w:val="21"/>
                <w:szCs w:val="21"/>
                <w:highlight w:val="none"/>
                <w:lang w:eastAsia="zh-CN"/>
              </w:rPr>
              <w:t>cm/s），或2mm厚高密度聚乙烯，或至少2mm厚的其它人工材料，渗透系数≤10</w:t>
            </w:r>
            <w:r>
              <w:rPr>
                <w:rFonts w:hint="eastAsia" w:cs="Times New Roman"/>
                <w:snapToGrid w:val="0"/>
                <w:color w:val="auto"/>
                <w:kern w:val="0"/>
                <w:sz w:val="21"/>
                <w:szCs w:val="21"/>
                <w:highlight w:val="none"/>
                <w:vertAlign w:val="superscript"/>
                <w:lang w:eastAsia="zh-CN"/>
              </w:rPr>
              <w:t>-10</w:t>
            </w:r>
            <w:r>
              <w:rPr>
                <w:rFonts w:hint="eastAsia" w:cs="Times New Roman"/>
                <w:snapToGrid w:val="0"/>
                <w:color w:val="auto"/>
                <w:kern w:val="0"/>
                <w:sz w:val="21"/>
                <w:szCs w:val="21"/>
                <w:highlight w:val="none"/>
                <w:lang w:eastAsia="zh-CN"/>
              </w:rPr>
              <w:t>cm/s</w:t>
            </w:r>
            <w:r>
              <w:rPr>
                <w:rFonts w:cs="Times New Roman"/>
                <w:snapToGrid w:val="0"/>
                <w:color w:val="auto"/>
                <w:kern w:val="0"/>
                <w:sz w:val="21"/>
                <w:szCs w:val="21"/>
                <w:highlight w:val="none"/>
              </w:rPr>
              <w:t>；</w:t>
            </w:r>
          </w:p>
          <w:p w14:paraId="2A3795DE">
            <w:pPr>
              <w:pStyle w:val="117"/>
              <w:adjustRightInd w:val="0"/>
              <w:snapToGrid w:val="0"/>
              <w:spacing w:line="360" w:lineRule="exact"/>
              <w:ind w:firstLine="420"/>
              <w:rPr>
                <w:rFonts w:cs="Times New Roman"/>
                <w:snapToGrid w:val="0"/>
                <w:color w:val="auto"/>
                <w:kern w:val="0"/>
                <w:sz w:val="21"/>
                <w:szCs w:val="21"/>
                <w:highlight w:val="none"/>
              </w:rPr>
            </w:pPr>
            <w:r>
              <w:rPr>
                <w:rFonts w:hint="eastAsia" w:cs="Times New Roman"/>
                <w:color w:val="auto"/>
                <w:sz w:val="21"/>
                <w:szCs w:val="21"/>
                <w:highlight w:val="none"/>
                <w:lang w:eastAsia="zh-CN"/>
              </w:rPr>
              <w:t>生产车间（包含冷库）、隔离圈、污水处理站、事故池及固体废物暂存间按一般防渗区采取防渗措施。基础防渗</w:t>
            </w:r>
            <w:r>
              <w:rPr>
                <w:rFonts w:cs="Times New Roman"/>
                <w:snapToGrid w:val="0"/>
                <w:color w:val="auto"/>
                <w:kern w:val="0"/>
                <w:sz w:val="21"/>
                <w:szCs w:val="21"/>
                <w:highlight w:val="none"/>
              </w:rPr>
              <w:t>，</w:t>
            </w:r>
            <w:r>
              <w:rPr>
                <w:rFonts w:cs="Times New Roman"/>
                <w:snapToGrid w:val="0"/>
                <w:color w:val="auto"/>
                <w:kern w:val="0"/>
                <w:sz w:val="21"/>
                <w:szCs w:val="21"/>
                <w:highlight w:val="none"/>
                <w:lang w:val="zh-CN"/>
              </w:rPr>
              <w:t>防渗层为至少1m厚粘土层或2mm厚高密度聚乙烯，</w:t>
            </w:r>
            <w:r>
              <w:rPr>
                <w:rFonts w:cs="Times New Roman"/>
                <w:snapToGrid w:val="0"/>
                <w:color w:val="auto"/>
                <w:kern w:val="0"/>
                <w:sz w:val="21"/>
                <w:szCs w:val="21"/>
                <w:highlight w:val="none"/>
              </w:rPr>
              <w:t>需满足等效黏土防渗层Mb≥1.5m，K≤1×10</w:t>
            </w:r>
            <w:r>
              <w:rPr>
                <w:rFonts w:cs="Times New Roman"/>
                <w:snapToGrid w:val="0"/>
                <w:color w:val="auto"/>
                <w:kern w:val="0"/>
                <w:sz w:val="21"/>
                <w:szCs w:val="21"/>
                <w:highlight w:val="none"/>
                <w:vertAlign w:val="superscript"/>
              </w:rPr>
              <w:t>-7</w:t>
            </w:r>
            <w:r>
              <w:rPr>
                <w:rFonts w:cs="Times New Roman"/>
                <w:snapToGrid w:val="0"/>
                <w:color w:val="auto"/>
                <w:kern w:val="0"/>
                <w:sz w:val="21"/>
                <w:szCs w:val="21"/>
                <w:highlight w:val="none"/>
              </w:rPr>
              <w:t>cm/s的要求，在做好基层防渗的基础上进行水泥硬化；</w:t>
            </w:r>
          </w:p>
          <w:p w14:paraId="6F235C6B">
            <w:pPr>
              <w:pStyle w:val="117"/>
              <w:adjustRightInd w:val="0"/>
              <w:snapToGrid w:val="0"/>
              <w:spacing w:line="360" w:lineRule="exact"/>
              <w:ind w:firstLine="420"/>
              <w:rPr>
                <w:rFonts w:cs="Times New Roman"/>
                <w:snapToGrid w:val="0"/>
                <w:color w:val="auto"/>
                <w:kern w:val="0"/>
                <w:sz w:val="21"/>
                <w:szCs w:val="21"/>
                <w:highlight w:val="none"/>
              </w:rPr>
            </w:pPr>
            <w:r>
              <w:rPr>
                <w:rFonts w:cs="Times New Roman"/>
                <w:snapToGrid w:val="0"/>
                <w:color w:val="auto"/>
                <w:kern w:val="0"/>
                <w:sz w:val="21"/>
                <w:szCs w:val="21"/>
                <w:highlight w:val="none"/>
              </w:rPr>
              <w:t>其他建筑物及道路采取简单防渗，对其地面采用混凝土进行一般地面硬化；</w:t>
            </w:r>
          </w:p>
          <w:p w14:paraId="167FA7BB">
            <w:pPr>
              <w:pStyle w:val="117"/>
              <w:adjustRightInd w:val="0"/>
              <w:snapToGrid w:val="0"/>
              <w:spacing w:line="360" w:lineRule="exact"/>
              <w:ind w:firstLine="420"/>
              <w:rPr>
                <w:rFonts w:cs="Times New Roman"/>
                <w:snapToGrid w:val="0"/>
                <w:color w:val="auto"/>
                <w:kern w:val="0"/>
                <w:sz w:val="21"/>
                <w:szCs w:val="21"/>
                <w:highlight w:val="none"/>
              </w:rPr>
            </w:pPr>
            <w:r>
              <w:rPr>
                <w:rFonts w:cs="Times New Roman"/>
                <w:snapToGrid w:val="0"/>
                <w:color w:val="auto"/>
                <w:kern w:val="0"/>
                <w:sz w:val="21"/>
                <w:szCs w:val="21"/>
                <w:highlight w:val="none"/>
              </w:rPr>
              <w:t>污水管道采取防渗漏措施；</w:t>
            </w:r>
          </w:p>
          <w:p w14:paraId="55C39264">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3）要有专人管理污水处理设备，发现设备不能正常运转，立刻停止生产，组织人员抢修，待设备正常运转后，方可生产；</w:t>
            </w:r>
          </w:p>
          <w:p w14:paraId="6A722592">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4）加强和强化公司安全检查和巡查体系的建立，定期、定点、定向的对公司所有存在安全隐患和环境风险隐患的设备设施进行安全排出和检查。对排查出的风险隐患要得到及时的处理，并作相关的记录，以便做到风险防范有帐可查；</w:t>
            </w:r>
          </w:p>
          <w:p w14:paraId="5ACF0A6B">
            <w:pPr>
              <w:pStyle w:val="117"/>
              <w:adjustRightInd w:val="0"/>
              <w:snapToGrid w:val="0"/>
              <w:spacing w:line="360" w:lineRule="exact"/>
              <w:ind w:firstLine="420"/>
              <w:rPr>
                <w:rFonts w:cs="Times New Roman"/>
                <w:snapToGrid w:val="0"/>
                <w:color w:val="auto"/>
                <w:kern w:val="0"/>
                <w:sz w:val="21"/>
                <w:szCs w:val="21"/>
                <w:highlight w:val="none"/>
              </w:rPr>
            </w:pPr>
            <w:r>
              <w:rPr>
                <w:rFonts w:cs="Times New Roman"/>
                <w:snapToGrid w:val="0"/>
                <w:color w:val="auto"/>
                <w:sz w:val="21"/>
                <w:szCs w:val="21"/>
                <w:highlight w:val="none"/>
              </w:rPr>
              <w:t>5）</w:t>
            </w:r>
            <w:r>
              <w:rPr>
                <w:rFonts w:cs="Times New Roman"/>
                <w:snapToGrid w:val="0"/>
                <w:color w:val="auto"/>
                <w:kern w:val="0"/>
                <w:sz w:val="21"/>
                <w:szCs w:val="21"/>
                <w:highlight w:val="none"/>
              </w:rPr>
              <w:t>设置事故池，有效容积为</w:t>
            </w:r>
            <w:r>
              <w:rPr>
                <w:rFonts w:hint="eastAsia" w:cs="Times New Roman"/>
                <w:snapToGrid w:val="0"/>
                <w:color w:val="auto"/>
                <w:kern w:val="0"/>
                <w:sz w:val="21"/>
                <w:szCs w:val="21"/>
                <w:highlight w:val="none"/>
                <w:lang w:val="en-US" w:eastAsia="zh-CN"/>
              </w:rPr>
              <w:t>300</w:t>
            </w:r>
            <w:r>
              <w:rPr>
                <w:rFonts w:cs="Times New Roman"/>
                <w:snapToGrid w:val="0"/>
                <w:color w:val="auto"/>
                <w:kern w:val="0"/>
                <w:sz w:val="21"/>
                <w:szCs w:val="21"/>
                <w:highlight w:val="none"/>
              </w:rPr>
              <w:t>m</w:t>
            </w:r>
            <w:r>
              <w:rPr>
                <w:rFonts w:cs="Times New Roman"/>
                <w:snapToGrid w:val="0"/>
                <w:color w:val="auto"/>
                <w:kern w:val="0"/>
                <w:sz w:val="21"/>
                <w:szCs w:val="21"/>
                <w:highlight w:val="none"/>
                <w:vertAlign w:val="superscript"/>
              </w:rPr>
              <w:t>3</w:t>
            </w:r>
            <w:r>
              <w:rPr>
                <w:rFonts w:cs="Times New Roman"/>
                <w:snapToGrid w:val="0"/>
                <w:color w:val="auto"/>
                <w:kern w:val="0"/>
                <w:sz w:val="21"/>
                <w:szCs w:val="21"/>
                <w:highlight w:val="none"/>
              </w:rPr>
              <w:t>，尺寸</w:t>
            </w:r>
            <w:r>
              <w:rPr>
                <w:rFonts w:hint="eastAsia" w:cs="Times New Roman"/>
                <w:snapToGrid w:val="0"/>
                <w:color w:val="auto"/>
                <w:kern w:val="0"/>
                <w:sz w:val="21"/>
                <w:szCs w:val="21"/>
                <w:highlight w:val="none"/>
                <w:lang w:val="en-US" w:eastAsia="zh-CN"/>
              </w:rPr>
              <w:t>10</w:t>
            </w:r>
            <w:r>
              <w:rPr>
                <w:rFonts w:cs="Times New Roman"/>
                <w:snapToGrid w:val="0"/>
                <w:color w:val="auto"/>
                <w:kern w:val="0"/>
                <w:sz w:val="21"/>
                <w:szCs w:val="21"/>
                <w:highlight w:val="none"/>
              </w:rPr>
              <w:t>m×</w:t>
            </w:r>
            <w:r>
              <w:rPr>
                <w:rFonts w:hint="eastAsia" w:cs="Times New Roman"/>
                <w:snapToGrid w:val="0"/>
                <w:color w:val="auto"/>
                <w:kern w:val="0"/>
                <w:sz w:val="21"/>
                <w:szCs w:val="21"/>
                <w:highlight w:val="none"/>
                <w:lang w:val="en-US" w:eastAsia="zh-CN"/>
              </w:rPr>
              <w:t>7.5</w:t>
            </w:r>
            <w:r>
              <w:rPr>
                <w:rFonts w:cs="Times New Roman"/>
                <w:snapToGrid w:val="0"/>
                <w:color w:val="auto"/>
                <w:kern w:val="0"/>
                <w:sz w:val="21"/>
                <w:szCs w:val="21"/>
                <w:highlight w:val="none"/>
              </w:rPr>
              <w:t>m×4m，可容纳1天的废水，位于污水处理站内，在污水处理系统检修或出现故障时存放废水，检修正常后将事故池存水引入厂区内污水处理站处理达标后排放。</w:t>
            </w:r>
          </w:p>
          <w:p w14:paraId="67C49C59">
            <w:pPr>
              <w:pStyle w:val="117"/>
              <w:adjustRightInd w:val="0"/>
              <w:snapToGrid w:val="0"/>
              <w:spacing w:line="360" w:lineRule="exact"/>
              <w:ind w:firstLine="422"/>
              <w:rPr>
                <w:rFonts w:cs="Times New Roman"/>
                <w:b/>
                <w:bCs/>
                <w:color w:val="auto"/>
                <w:sz w:val="21"/>
                <w:szCs w:val="21"/>
                <w:highlight w:val="none"/>
              </w:rPr>
            </w:pPr>
            <w:r>
              <w:rPr>
                <w:rFonts w:cs="Times New Roman"/>
                <w:b/>
                <w:bCs/>
                <w:color w:val="auto"/>
                <w:sz w:val="21"/>
                <w:szCs w:val="21"/>
                <w:highlight w:val="none"/>
              </w:rPr>
              <w:t>3、大气环境风险防范措施</w:t>
            </w:r>
          </w:p>
          <w:p w14:paraId="3BF762A2">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（1）</w:t>
            </w:r>
            <w:r>
              <w:rPr>
                <w:rFonts w:hint="eastAsia" w:cs="Times New Roman"/>
                <w:color w:val="auto"/>
                <w:sz w:val="21"/>
                <w:szCs w:val="21"/>
                <w:highlight w:val="none"/>
                <w:lang w:val="en-US" w:eastAsia="zh-CN"/>
              </w:rPr>
              <w:t>次氯酸钠</w:t>
            </w:r>
            <w:r>
              <w:rPr>
                <w:rFonts w:cs="Times New Roman"/>
                <w:color w:val="auto"/>
                <w:sz w:val="21"/>
                <w:szCs w:val="21"/>
                <w:highlight w:val="none"/>
              </w:rPr>
              <w:t>泄漏风险防范措施</w:t>
            </w:r>
          </w:p>
          <w:p w14:paraId="5FE580E3">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1）泄漏应急处理</w:t>
            </w:r>
          </w:p>
          <w:p w14:paraId="458CBF04">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疏散泄漏污染区人员至上风处，并隔离直至气体散尽。应急处理人员戴正压自给式呼吸器，穿化学防护服、切断火源、喷洒雾状水稀释，抽排(室内)或强力通风(室外)，漏气容器不能再用，且要经过技术处理以清除可能剩下的气体。</w:t>
            </w:r>
          </w:p>
          <w:p w14:paraId="64D4FEA5">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2）防护措施</w:t>
            </w:r>
          </w:p>
          <w:p w14:paraId="3BD8CB06">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呼吸系统防护：空气中浓度较高时，应该佩戴防毒面具。紧急事态抢救或撤离时，建议佩戴正压自给式呼吸器。</w:t>
            </w:r>
          </w:p>
          <w:p w14:paraId="5410C9FF">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眼睛防护：带化学安全防护眼镜。</w:t>
            </w:r>
          </w:p>
          <w:p w14:paraId="3FD48130">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身体防护：穿防腐工作服。</w:t>
            </w:r>
          </w:p>
          <w:p w14:paraId="668CA543">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手防护：可能接触毒物时</w:t>
            </w:r>
            <w:r>
              <w:rPr>
                <w:rFonts w:hint="eastAsia" w:cs="Times New Roman"/>
                <w:color w:val="auto"/>
                <w:sz w:val="21"/>
                <w:szCs w:val="21"/>
                <w:highlight w:val="none"/>
              </w:rPr>
              <w:t>，</w:t>
            </w:r>
            <w:r>
              <w:rPr>
                <w:rFonts w:cs="Times New Roman"/>
                <w:color w:val="auto"/>
                <w:sz w:val="21"/>
                <w:szCs w:val="21"/>
                <w:highlight w:val="none"/>
              </w:rPr>
              <w:t>戴防化学品手套。</w:t>
            </w:r>
          </w:p>
          <w:p w14:paraId="38F2C5B7">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其它：工作现场禁止吸烟。工作后，淋浴更衣。保持良好的卫生习惯。</w:t>
            </w:r>
          </w:p>
          <w:p w14:paraId="36113C04">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3）急救措施</w:t>
            </w:r>
          </w:p>
          <w:p w14:paraId="2E458F4E">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皮肤接触：脱去污染的衣着，立即用大量流动清水彻底冲洗至少15分钟。就医。</w:t>
            </w:r>
          </w:p>
          <w:p w14:paraId="603F7EDB">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眼睛接触：立即翻开上下眼睑</w:t>
            </w:r>
            <w:r>
              <w:rPr>
                <w:rFonts w:hint="eastAsia" w:cs="Times New Roman"/>
                <w:color w:val="auto"/>
                <w:sz w:val="21"/>
                <w:szCs w:val="21"/>
                <w:highlight w:val="none"/>
              </w:rPr>
              <w:t>，</w:t>
            </w:r>
            <w:r>
              <w:rPr>
                <w:rFonts w:cs="Times New Roman"/>
                <w:color w:val="auto"/>
                <w:sz w:val="21"/>
                <w:szCs w:val="21"/>
                <w:highlight w:val="none"/>
              </w:rPr>
              <w:t>用流动清水或生理盐水冲洗至少15分钟。就医。</w:t>
            </w:r>
          </w:p>
          <w:p w14:paraId="34E28F71">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吸入：迅速脱离现场至空气新鲜处。保持呼吸通畅。呼吸困难时给输氧。呼吸停止时，即进行人工呼吸。就医。</w:t>
            </w:r>
          </w:p>
          <w:p w14:paraId="63F3E103">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食入：误服者漱口，饮牛奶或蛋清。就医。</w:t>
            </w:r>
          </w:p>
          <w:p w14:paraId="415471A5">
            <w:pPr>
              <w:pStyle w:val="117"/>
              <w:adjustRightInd w:val="0"/>
              <w:snapToGrid w:val="0"/>
              <w:spacing w:line="360" w:lineRule="exact"/>
              <w:ind w:firstLine="420"/>
              <w:rPr>
                <w:rFonts w:cs="Times New Roman"/>
                <w:color w:val="auto"/>
                <w:sz w:val="21"/>
                <w:szCs w:val="21"/>
                <w:highlight w:val="none"/>
              </w:rPr>
            </w:pPr>
            <w:r>
              <w:rPr>
                <w:rFonts w:cs="Times New Roman"/>
                <w:color w:val="auto"/>
                <w:sz w:val="21"/>
                <w:szCs w:val="21"/>
                <w:highlight w:val="none"/>
              </w:rPr>
              <w:t>灭火方法：切断气源。喷水冷却容器，可能的话将容器从火场移至空旷处。</w:t>
            </w:r>
          </w:p>
          <w:p w14:paraId="0CCB293A">
            <w:pPr>
              <w:pStyle w:val="117"/>
              <w:adjustRightInd w:val="0"/>
              <w:snapToGrid w:val="0"/>
              <w:spacing w:line="360" w:lineRule="exact"/>
              <w:ind w:firstLine="422"/>
              <w:rPr>
                <w:rFonts w:cs="Times New Roman"/>
                <w:b/>
                <w:bCs/>
                <w:color w:val="auto"/>
                <w:sz w:val="21"/>
                <w:szCs w:val="21"/>
                <w:highlight w:val="none"/>
              </w:rPr>
            </w:pPr>
            <w:r>
              <w:rPr>
                <w:rFonts w:cs="Times New Roman"/>
                <w:b/>
                <w:bCs/>
                <w:color w:val="auto"/>
                <w:sz w:val="21"/>
                <w:szCs w:val="21"/>
                <w:highlight w:val="none"/>
              </w:rPr>
              <w:t>4、其他风险防范措施</w:t>
            </w:r>
          </w:p>
          <w:p w14:paraId="17D6D050">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1）为降低风险事故发生概率，企业应建立一套完善的安全管理制度，执行风险、工业安全卫生、劳动保护、环保、消防等相关规定；</w:t>
            </w:r>
          </w:p>
          <w:p w14:paraId="3F8DA495">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2）加强对职工的安全教育及技术培训，提高职工的安全防护及环保意识，防患于未然；</w:t>
            </w:r>
          </w:p>
          <w:p w14:paraId="1DAF9A7E">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3）应设有安全生产监督员，专门负责安全方面的检查监督工作，能处理突发事故，由监督员严格执行制定的各项安全生产规章制度；</w:t>
            </w:r>
          </w:p>
          <w:p w14:paraId="08C6ED41">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4）确保所购设备及设施的安全性，根据生产工艺选用合理材质的设备、设施；</w:t>
            </w:r>
          </w:p>
          <w:p w14:paraId="5B44B74D">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5）企业必须设置强有力的安全生产管理机构，根据安全管理工作的需要，配备必要的人员进行安全管理工作，建立健全安生产责任制，制定并教育全体职工遵守《安全生产规程》；</w:t>
            </w:r>
          </w:p>
          <w:p w14:paraId="03D58706">
            <w:pPr>
              <w:pStyle w:val="117"/>
              <w:adjustRightInd w:val="0"/>
              <w:snapToGrid w:val="0"/>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6）加强对周围水环境的监测，对废水的泄露要及时掌握，防止废水的泄露对周围水环境造成危害；</w:t>
            </w:r>
          </w:p>
          <w:p w14:paraId="4C34D116">
            <w:pPr>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7）强化岗位责任制，严格各项操作规程和奖惩制度，除设置专门环保机构外，各生产单位都要设专人具体负责本单位的安全和环保问题，对易发事故的各生产环节必须经常检查，杜绝事故隐患，发现问题及时处置并立即向有关部门报告；</w:t>
            </w:r>
          </w:p>
          <w:p w14:paraId="351A9E24">
            <w:pPr>
              <w:spacing w:line="360" w:lineRule="exact"/>
              <w:ind w:firstLine="420"/>
              <w:rPr>
                <w:rFonts w:cs="Times New Roman"/>
                <w:snapToGrid w:val="0"/>
                <w:color w:val="auto"/>
                <w:sz w:val="21"/>
                <w:szCs w:val="21"/>
                <w:highlight w:val="none"/>
              </w:rPr>
            </w:pPr>
            <w:r>
              <w:rPr>
                <w:rFonts w:cs="Times New Roman"/>
                <w:snapToGrid w:val="0"/>
                <w:color w:val="auto"/>
                <w:sz w:val="21"/>
                <w:szCs w:val="21"/>
                <w:highlight w:val="none"/>
              </w:rPr>
              <w:t>8）加强和强化安全检查和巡查体系的建立，定期、定点、定向的对公司所有存在安全隐患和环境风险隐患的设备设施进行安全排出和检查。对排查出的风险隐患要得到及时的处理，并作相关的记录，以便做到风险防范有帐可查；</w:t>
            </w:r>
          </w:p>
          <w:p w14:paraId="398DD10E">
            <w:pPr>
              <w:shd w:val="clear"/>
              <w:spacing w:line="360" w:lineRule="exact"/>
              <w:ind w:firstLine="420"/>
              <w:rPr>
                <w:rFonts w:hint="eastAsia" w:ascii="Times New Roman" w:hAnsi="Times New Roman" w:eastAsia="宋体" w:cs="Times New Roman"/>
                <w:snapToGrid w:val="0"/>
                <w:color w:val="auto"/>
                <w:sz w:val="21"/>
                <w:szCs w:val="21"/>
                <w:highlight w:val="none"/>
                <w:lang w:eastAsia="zh-CN"/>
              </w:rPr>
            </w:pPr>
            <w:r>
              <w:rPr>
                <w:rFonts w:ascii="Times New Roman" w:hAnsi="Times New Roman" w:eastAsia="宋体" w:cs="Times New Roman"/>
                <w:snapToGrid w:val="0"/>
                <w:color w:val="auto"/>
                <w:sz w:val="21"/>
                <w:szCs w:val="21"/>
                <w:highlight w:val="none"/>
              </w:rPr>
              <w:t>9）进厂检疫</w:t>
            </w:r>
            <w:r>
              <w:rPr>
                <w:rFonts w:hint="eastAsia" w:ascii="Times New Roman" w:hAnsi="Times New Roman" w:eastAsia="宋体" w:cs="Times New Roman"/>
                <w:snapToGrid w:val="0"/>
                <w:color w:val="auto"/>
                <w:sz w:val="21"/>
                <w:szCs w:val="21"/>
                <w:highlight w:val="none"/>
                <w:lang w:eastAsia="zh-CN"/>
              </w:rPr>
              <w:t>，</w:t>
            </w:r>
            <w:r>
              <w:rPr>
                <w:rFonts w:ascii="Times New Roman" w:hAnsi="Times New Roman" w:eastAsia="宋体" w:cs="Times New Roman"/>
                <w:snapToGrid w:val="0"/>
                <w:color w:val="auto"/>
                <w:sz w:val="21"/>
                <w:szCs w:val="21"/>
                <w:highlight w:val="none"/>
              </w:rPr>
              <w:t>在</w:t>
            </w:r>
            <w:r>
              <w:rPr>
                <w:rFonts w:hint="eastAsia" w:ascii="Times New Roman" w:hAnsi="Times New Roman" w:eastAsia="宋体" w:cs="Times New Roman"/>
                <w:snapToGrid w:val="0"/>
                <w:color w:val="auto"/>
                <w:sz w:val="21"/>
                <w:szCs w:val="21"/>
                <w:highlight w:val="none"/>
                <w:lang w:val="en-US" w:eastAsia="zh-CN"/>
              </w:rPr>
              <w:t>牛、羊</w:t>
            </w:r>
            <w:r>
              <w:rPr>
                <w:rFonts w:ascii="Times New Roman" w:hAnsi="Times New Roman" w:eastAsia="宋体" w:cs="Times New Roman"/>
                <w:snapToGrid w:val="0"/>
                <w:color w:val="auto"/>
                <w:sz w:val="21"/>
                <w:szCs w:val="21"/>
                <w:highlight w:val="none"/>
              </w:rPr>
              <w:t>未卸车之前，检疫员向押运员索取检疫证或防疫注射证，以便了解产地疫情</w:t>
            </w:r>
            <w:r>
              <w:rPr>
                <w:rFonts w:hint="eastAsia" w:cs="Times New Roman"/>
                <w:snapToGrid w:val="0"/>
                <w:color w:val="auto"/>
                <w:sz w:val="21"/>
                <w:szCs w:val="21"/>
                <w:highlight w:val="none"/>
                <w:lang w:eastAsia="zh-CN"/>
              </w:rPr>
              <w:t>；</w:t>
            </w:r>
          </w:p>
          <w:p w14:paraId="085D13C7">
            <w:pPr>
              <w:shd w:val="clear"/>
              <w:spacing w:line="360" w:lineRule="exact"/>
              <w:ind w:firstLine="420"/>
              <w:rPr>
                <w:rFonts w:hint="default" w:eastAsia="宋体" w:cs="Times New Roman"/>
                <w:snapToGrid w:val="0"/>
                <w:color w:val="auto"/>
                <w:sz w:val="21"/>
                <w:szCs w:val="21"/>
                <w:highlight w:val="none"/>
                <w:lang w:val="en-US" w:eastAsia="zh-CN"/>
              </w:rPr>
            </w:pPr>
            <w:r>
              <w:rPr>
                <w:rFonts w:ascii="Times New Roman" w:hAnsi="Times New Roman" w:eastAsia="宋体" w:cs="Times New Roman"/>
                <w:snapToGrid w:val="0"/>
                <w:color w:val="auto"/>
                <w:sz w:val="21"/>
                <w:szCs w:val="21"/>
                <w:highlight w:val="none"/>
              </w:rPr>
              <w:t>10）当确诊疫病时，及时封锁，上报疫情。同时立即采取措施，就地扑灭，确保人畜的安全</w:t>
            </w:r>
            <w:r>
              <w:rPr>
                <w:rFonts w:hint="eastAsia" w:cs="Times New Roman"/>
                <w:snapToGrid w:val="0"/>
                <w:color w:val="auto"/>
                <w:sz w:val="21"/>
                <w:szCs w:val="21"/>
                <w:highlight w:val="none"/>
                <w:lang w:eastAsia="zh-CN"/>
              </w:rPr>
              <w:t>。</w:t>
            </w:r>
            <w:r>
              <w:rPr>
                <w:rFonts w:hint="eastAsia" w:cs="Times New Roman"/>
                <w:snapToGrid w:val="0"/>
                <w:color w:val="auto"/>
                <w:sz w:val="21"/>
                <w:szCs w:val="21"/>
                <w:highlight w:val="none"/>
                <w:lang w:val="en-US" w:eastAsia="zh-CN"/>
              </w:rPr>
              <w:t>项目建设初期应预留消杀资金，以应对疫病时期，</w:t>
            </w:r>
          </w:p>
          <w:p w14:paraId="750F4F9A">
            <w:pPr>
              <w:spacing w:line="360" w:lineRule="exact"/>
              <w:ind w:firstLine="420"/>
              <w:rPr>
                <w:rFonts w:hint="default" w:cs="Times New Roman"/>
                <w:snapToGrid w:val="0"/>
                <w:color w:val="auto"/>
                <w:sz w:val="21"/>
                <w:szCs w:val="21"/>
                <w:highlight w:val="none"/>
                <w:lang w:val="en-US" w:eastAsia="zh-CN"/>
              </w:rPr>
            </w:pPr>
            <w:r>
              <w:rPr>
                <w:rFonts w:hint="eastAsia" w:cs="Times New Roman"/>
                <w:snapToGrid w:val="0"/>
                <w:color w:val="auto"/>
                <w:sz w:val="21"/>
                <w:szCs w:val="21"/>
                <w:highlight w:val="none"/>
                <w:lang w:val="en-US" w:eastAsia="zh-CN"/>
              </w:rPr>
              <w:t>11）疫情状态下，对隔离圈、急宰间进行消毒，消毒频率为3-5次/天，连续7天。</w:t>
            </w:r>
          </w:p>
          <w:p w14:paraId="731961BE">
            <w:pPr>
              <w:spacing w:line="360" w:lineRule="exact"/>
              <w:ind w:firstLine="0" w:firstLineChars="0"/>
              <w:rPr>
                <w:rFonts w:cs="Times New Roman"/>
                <w:snapToGrid w:val="0"/>
                <w:color w:val="auto"/>
                <w:kern w:val="0"/>
                <w:sz w:val="21"/>
                <w:szCs w:val="21"/>
                <w:highlight w:val="none"/>
                <w:lang w:val="zh-CN"/>
              </w:rPr>
            </w:pPr>
            <w:r>
              <w:rPr>
                <w:rFonts w:hint="eastAsia" w:cs="Times New Roman"/>
                <w:snapToGrid w:val="0"/>
                <w:color w:val="auto"/>
                <w:sz w:val="21"/>
                <w:szCs w:val="21"/>
                <w:highlight w:val="none"/>
                <w:lang w:val="en-US" w:eastAsia="zh-CN"/>
              </w:rPr>
              <w:t>12）</w:t>
            </w:r>
            <w:r>
              <w:rPr>
                <w:rFonts w:cs="Times New Roman"/>
                <w:snapToGrid w:val="0"/>
                <w:color w:val="auto"/>
                <w:sz w:val="21"/>
                <w:szCs w:val="21"/>
                <w:highlight w:val="none"/>
              </w:rPr>
              <w:t>应编制突发事件应急预案，并定期开展演练。</w:t>
            </w:r>
          </w:p>
        </w:tc>
      </w:tr>
      <w:tr w14:paraId="254C31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073" w:type="pct"/>
            <w:gridSpan w:val="2"/>
            <w:shd w:val="clear" w:color="auto" w:fill="auto"/>
            <w:vAlign w:val="center"/>
          </w:tcPr>
          <w:p w14:paraId="6897757E">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评价结论与建议</w:t>
            </w:r>
          </w:p>
        </w:tc>
        <w:tc>
          <w:tcPr>
            <w:tcW w:w="3926" w:type="pct"/>
            <w:gridSpan w:val="12"/>
            <w:shd w:val="clear" w:color="auto" w:fill="auto"/>
            <w:vAlign w:val="center"/>
          </w:tcPr>
          <w:p w14:paraId="1972582F">
            <w:pPr>
              <w:spacing w:line="360" w:lineRule="exact"/>
              <w:ind w:firstLine="0" w:firstLineChars="0"/>
              <w:rPr>
                <w:rFonts w:cs="Times New Roman"/>
                <w:snapToGrid w:val="0"/>
                <w:color w:val="auto"/>
                <w:kern w:val="0"/>
                <w:sz w:val="21"/>
                <w:szCs w:val="21"/>
                <w:highlight w:val="none"/>
              </w:rPr>
            </w:pPr>
            <w:r>
              <w:rPr>
                <w:rFonts w:cs="Times New Roman"/>
                <w:snapToGrid w:val="0"/>
                <w:color w:val="auto"/>
                <w:kern w:val="0"/>
                <w:sz w:val="21"/>
                <w:szCs w:val="21"/>
                <w:highlight w:val="none"/>
              </w:rPr>
              <w:t>在严格落实应急措施后，可将风险发生的概率和影响后果降到最低限度。一旦发生事故，及时采取应急措施，可将对大气和地下水的影响降到最低限度，其风险水平可以被接受。</w:t>
            </w:r>
          </w:p>
        </w:tc>
      </w:tr>
      <w:tr w14:paraId="51E53E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000" w:type="pct"/>
            <w:gridSpan w:val="14"/>
            <w:shd w:val="clear" w:color="auto" w:fill="auto"/>
            <w:vAlign w:val="center"/>
          </w:tcPr>
          <w:p w14:paraId="436D0414">
            <w:pPr>
              <w:spacing w:line="360" w:lineRule="exact"/>
              <w:ind w:firstLine="0" w:firstLineChars="0"/>
              <w:jc w:val="center"/>
              <w:rPr>
                <w:rFonts w:cs="Times New Roman"/>
                <w:snapToGrid w:val="0"/>
                <w:color w:val="auto"/>
                <w:kern w:val="0"/>
                <w:sz w:val="21"/>
                <w:szCs w:val="21"/>
                <w:highlight w:val="none"/>
              </w:rPr>
            </w:pPr>
            <w:r>
              <w:rPr>
                <w:rFonts w:cs="Times New Roman"/>
                <w:snapToGrid w:val="0"/>
                <w:color w:val="auto"/>
                <w:kern w:val="0"/>
                <w:sz w:val="21"/>
                <w:szCs w:val="21"/>
                <w:highlight w:val="none"/>
              </w:rPr>
              <w:t>注：“□”为勾选项，“√”为填写项。</w:t>
            </w:r>
          </w:p>
        </w:tc>
      </w:tr>
    </w:tbl>
    <w:p w14:paraId="118BBFD3">
      <w:pPr>
        <w:tabs>
          <w:tab w:val="left" w:pos="2880"/>
        </w:tabs>
        <w:ind w:firstLine="0" w:firstLineChars="0"/>
        <w:rPr>
          <w:rFonts w:cs="Times New Roman"/>
          <w:color w:val="auto"/>
          <w:szCs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3D185102">
      <w:pPr>
        <w:pStyle w:val="2"/>
        <w:rPr>
          <w:rFonts w:cs="Times New Roman"/>
          <w:color w:val="auto"/>
          <w:sz w:val="24"/>
          <w:szCs w:val="24"/>
          <w:highlight w:val="none"/>
        </w:rPr>
      </w:pPr>
      <w:r>
        <w:rPr>
          <w:rFonts w:cs="Times New Roman"/>
          <w:color w:val="auto"/>
          <w:sz w:val="24"/>
          <w:szCs w:val="24"/>
          <w:highlight w:val="none"/>
        </w:rPr>
        <w:t>附表5  生态影响评价自查表</w:t>
      </w:r>
    </w:p>
    <w:p w14:paraId="519EEE55">
      <w:pPr>
        <w:pStyle w:val="78"/>
        <w:spacing w:before="163" w:beforeLines="50" w:line="240" w:lineRule="auto"/>
        <w:ind w:left="0" w:leftChars="0" w:firstLine="0" w:firstLineChars="0"/>
        <w:jc w:val="center"/>
        <w:rPr>
          <w:rFonts w:cs="Times New Roman"/>
          <w:color w:val="auto"/>
          <w:highlight w:val="none"/>
        </w:rPr>
      </w:pPr>
      <w:r>
        <w:rPr>
          <w:rFonts w:cs="Times New Roman"/>
          <w:b/>
          <w:bCs/>
          <w:color w:val="auto"/>
          <w:highlight w:val="none"/>
        </w:rPr>
        <w:t>生态影响评价自查表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3"/>
        <w:gridCol w:w="1676"/>
        <w:gridCol w:w="5783"/>
      </w:tblGrid>
      <w:tr w14:paraId="2FAFD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64" w:type="dxa"/>
            <w:gridSpan w:val="2"/>
            <w:vAlign w:val="center"/>
          </w:tcPr>
          <w:p w14:paraId="679817A7">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工作内容</w:t>
            </w:r>
          </w:p>
        </w:tc>
        <w:tc>
          <w:tcPr>
            <w:tcW w:w="6116" w:type="dxa"/>
            <w:vAlign w:val="center"/>
          </w:tcPr>
          <w:p w14:paraId="3A2C183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自查项目</w:t>
            </w:r>
          </w:p>
        </w:tc>
      </w:tr>
      <w:tr w14:paraId="46E71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restart"/>
            <w:vAlign w:val="center"/>
          </w:tcPr>
          <w:p w14:paraId="315C917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生态影响识别</w:t>
            </w:r>
          </w:p>
        </w:tc>
        <w:tc>
          <w:tcPr>
            <w:tcW w:w="1759" w:type="dxa"/>
            <w:vAlign w:val="center"/>
          </w:tcPr>
          <w:p w14:paraId="137D8AB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生态保护目标</w:t>
            </w:r>
          </w:p>
        </w:tc>
        <w:tc>
          <w:tcPr>
            <w:tcW w:w="6116" w:type="dxa"/>
            <w:vAlign w:val="center"/>
          </w:tcPr>
          <w:p w14:paraId="3BE3D9BA">
            <w:pPr>
              <w:spacing w:line="360" w:lineRule="exact"/>
              <w:ind w:firstLine="0" w:firstLineChars="0"/>
              <w:rPr>
                <w:rFonts w:cs="Times New Roman"/>
                <w:color w:val="auto"/>
                <w:sz w:val="21"/>
                <w:szCs w:val="21"/>
                <w:highlight w:val="none"/>
              </w:rPr>
            </w:pPr>
            <w:r>
              <w:rPr>
                <w:rFonts w:cs="Times New Roman"/>
                <w:color w:val="auto"/>
                <w:sz w:val="21"/>
                <w:szCs w:val="21"/>
                <w:highlight w:val="none"/>
              </w:rPr>
              <w:t>重要物种□；国家公园□；自然保护区□；自然公园□；世界自然遗产□；生态保护 红线□；重要生境□；其他具有重要生态功能、对保护生物多样性具有重要意义的区域□；其他</w:t>
            </w:r>
            <w:r>
              <w:rPr>
                <w:rFonts w:cs="Times New Roman"/>
                <w:color w:val="auto"/>
                <w:sz w:val="21"/>
                <w:szCs w:val="21"/>
                <w:highlight w:val="none"/>
              </w:rPr>
              <w:sym w:font="Wingdings 2" w:char="0052"/>
            </w:r>
          </w:p>
        </w:tc>
      </w:tr>
      <w:tr w14:paraId="44FBC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continue"/>
            <w:vAlign w:val="center"/>
          </w:tcPr>
          <w:p w14:paraId="4568BC45">
            <w:pPr>
              <w:spacing w:line="360" w:lineRule="exact"/>
              <w:ind w:firstLine="0" w:firstLineChars="0"/>
              <w:jc w:val="center"/>
              <w:rPr>
                <w:rFonts w:cs="Times New Roman"/>
                <w:color w:val="auto"/>
                <w:sz w:val="21"/>
                <w:szCs w:val="21"/>
                <w:highlight w:val="none"/>
              </w:rPr>
            </w:pPr>
          </w:p>
        </w:tc>
        <w:tc>
          <w:tcPr>
            <w:tcW w:w="1759" w:type="dxa"/>
            <w:vAlign w:val="center"/>
          </w:tcPr>
          <w:p w14:paraId="1FB36630">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影响方式</w:t>
            </w:r>
          </w:p>
        </w:tc>
        <w:tc>
          <w:tcPr>
            <w:tcW w:w="6116" w:type="dxa"/>
            <w:vAlign w:val="center"/>
          </w:tcPr>
          <w:p w14:paraId="6207958F">
            <w:pPr>
              <w:spacing w:line="360" w:lineRule="exact"/>
              <w:ind w:firstLine="0" w:firstLineChars="0"/>
              <w:rPr>
                <w:rFonts w:cs="Times New Roman"/>
                <w:color w:val="auto"/>
                <w:sz w:val="21"/>
                <w:szCs w:val="21"/>
                <w:highlight w:val="none"/>
              </w:rPr>
            </w:pPr>
            <w:r>
              <w:rPr>
                <w:rFonts w:cs="Times New Roman"/>
                <w:color w:val="auto"/>
                <w:sz w:val="21"/>
                <w:szCs w:val="21"/>
                <w:highlight w:val="none"/>
              </w:rPr>
              <w:t>工程占用</w:t>
            </w:r>
            <w:r>
              <w:rPr>
                <w:rFonts w:cs="Times New Roman"/>
                <w:color w:val="auto"/>
                <w:sz w:val="21"/>
                <w:szCs w:val="21"/>
                <w:highlight w:val="none"/>
              </w:rPr>
              <w:sym w:font="Wingdings 2" w:char="0052"/>
            </w:r>
            <w:r>
              <w:rPr>
                <w:rFonts w:cs="Times New Roman"/>
                <w:color w:val="auto"/>
                <w:sz w:val="21"/>
                <w:szCs w:val="21"/>
                <w:highlight w:val="none"/>
              </w:rPr>
              <w:t>；施工活动干扰</w:t>
            </w:r>
            <w:r>
              <w:rPr>
                <w:rFonts w:cs="Times New Roman"/>
                <w:color w:val="auto"/>
                <w:sz w:val="21"/>
                <w:szCs w:val="21"/>
                <w:highlight w:val="none"/>
              </w:rPr>
              <w:sym w:font="Wingdings 2" w:char="0052"/>
            </w:r>
            <w:r>
              <w:rPr>
                <w:rFonts w:cs="Times New Roman"/>
                <w:color w:val="auto"/>
                <w:sz w:val="21"/>
                <w:szCs w:val="21"/>
                <w:highlight w:val="none"/>
              </w:rPr>
              <w:t>；改变环境条件□；其他□</w:t>
            </w:r>
          </w:p>
        </w:tc>
      </w:tr>
      <w:tr w14:paraId="33116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continue"/>
            <w:vAlign w:val="center"/>
          </w:tcPr>
          <w:p w14:paraId="1C55EF71">
            <w:pPr>
              <w:spacing w:line="360" w:lineRule="exact"/>
              <w:ind w:firstLine="0" w:firstLineChars="0"/>
              <w:jc w:val="center"/>
              <w:rPr>
                <w:rFonts w:cs="Times New Roman"/>
                <w:color w:val="auto"/>
                <w:sz w:val="21"/>
                <w:szCs w:val="21"/>
                <w:highlight w:val="none"/>
              </w:rPr>
            </w:pPr>
          </w:p>
        </w:tc>
        <w:tc>
          <w:tcPr>
            <w:tcW w:w="1759" w:type="dxa"/>
            <w:vAlign w:val="center"/>
          </w:tcPr>
          <w:p w14:paraId="3085FD0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评价因子</w:t>
            </w:r>
          </w:p>
        </w:tc>
        <w:tc>
          <w:tcPr>
            <w:tcW w:w="6116" w:type="dxa"/>
            <w:vAlign w:val="center"/>
          </w:tcPr>
          <w:p w14:paraId="56DEFC54">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物种□（ ） </w:t>
            </w:r>
          </w:p>
          <w:p w14:paraId="3F9C280E">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生境□（ ） </w:t>
            </w:r>
          </w:p>
          <w:p w14:paraId="6E657E6B">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生物群落□（ ） </w:t>
            </w:r>
          </w:p>
          <w:p w14:paraId="500DAA73">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生态系统□（ ） </w:t>
            </w:r>
          </w:p>
          <w:p w14:paraId="277FDEC7">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生物多样性□（ ） </w:t>
            </w:r>
          </w:p>
          <w:p w14:paraId="5EB782AD">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生态敏感区□（ ） </w:t>
            </w:r>
          </w:p>
          <w:p w14:paraId="4869EB4B">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自然景观□（ ） </w:t>
            </w:r>
          </w:p>
          <w:p w14:paraId="70939B31">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自然遗迹□（ ） </w:t>
            </w:r>
          </w:p>
          <w:p w14:paraId="66553C3F">
            <w:pPr>
              <w:spacing w:line="360" w:lineRule="exact"/>
              <w:ind w:firstLine="0" w:firstLineChars="0"/>
              <w:rPr>
                <w:rFonts w:cs="Times New Roman"/>
                <w:color w:val="auto"/>
                <w:sz w:val="21"/>
                <w:szCs w:val="21"/>
                <w:highlight w:val="none"/>
              </w:rPr>
            </w:pPr>
            <w:r>
              <w:rPr>
                <w:rFonts w:cs="Times New Roman"/>
                <w:color w:val="auto"/>
                <w:sz w:val="21"/>
                <w:szCs w:val="21"/>
                <w:highlight w:val="none"/>
              </w:rPr>
              <w:t>其他□（ ）</w:t>
            </w:r>
          </w:p>
        </w:tc>
      </w:tr>
      <w:tr w14:paraId="040E4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64" w:type="dxa"/>
            <w:gridSpan w:val="2"/>
            <w:vAlign w:val="center"/>
          </w:tcPr>
          <w:p w14:paraId="70CE21A5">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评价等级</w:t>
            </w:r>
          </w:p>
        </w:tc>
        <w:tc>
          <w:tcPr>
            <w:tcW w:w="6116" w:type="dxa"/>
            <w:vAlign w:val="center"/>
          </w:tcPr>
          <w:p w14:paraId="30F62741">
            <w:pPr>
              <w:spacing w:line="360" w:lineRule="exact"/>
              <w:ind w:firstLine="0" w:firstLineChars="0"/>
              <w:rPr>
                <w:rFonts w:cs="Times New Roman"/>
                <w:color w:val="auto"/>
                <w:sz w:val="21"/>
                <w:szCs w:val="21"/>
                <w:highlight w:val="none"/>
              </w:rPr>
            </w:pPr>
            <w:r>
              <w:rPr>
                <w:rFonts w:cs="Times New Roman"/>
                <w:color w:val="auto"/>
                <w:sz w:val="21"/>
                <w:szCs w:val="21"/>
                <w:highlight w:val="none"/>
              </w:rPr>
              <w:t>一级□ 二级□ 三级□ 生态影响简单分析</w:t>
            </w:r>
            <w:r>
              <w:rPr>
                <w:rFonts w:cs="Times New Roman"/>
                <w:color w:val="auto"/>
                <w:sz w:val="21"/>
                <w:szCs w:val="21"/>
                <w:highlight w:val="none"/>
              </w:rPr>
              <w:sym w:font="Wingdings 2" w:char="0052"/>
            </w:r>
          </w:p>
        </w:tc>
      </w:tr>
      <w:tr w14:paraId="51F1A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64" w:type="dxa"/>
            <w:gridSpan w:val="2"/>
            <w:vAlign w:val="center"/>
          </w:tcPr>
          <w:p w14:paraId="1BF09B5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评价范围</w:t>
            </w:r>
          </w:p>
        </w:tc>
        <w:tc>
          <w:tcPr>
            <w:tcW w:w="6116" w:type="dxa"/>
            <w:vAlign w:val="center"/>
          </w:tcPr>
          <w:p w14:paraId="258D1659">
            <w:pPr>
              <w:spacing w:line="360" w:lineRule="exact"/>
              <w:ind w:firstLine="0" w:firstLineChars="0"/>
              <w:rPr>
                <w:rFonts w:cs="Times New Roman"/>
                <w:color w:val="auto"/>
                <w:sz w:val="21"/>
                <w:szCs w:val="21"/>
                <w:highlight w:val="none"/>
              </w:rPr>
            </w:pPr>
            <w:r>
              <w:rPr>
                <w:rFonts w:cs="Times New Roman"/>
                <w:color w:val="auto"/>
                <w:sz w:val="21"/>
                <w:szCs w:val="21"/>
                <w:highlight w:val="none"/>
              </w:rPr>
              <w:t>陆域面积：（ ）km</w:t>
            </w:r>
            <w:r>
              <w:rPr>
                <w:rFonts w:cs="Times New Roman"/>
                <w:color w:val="auto"/>
                <w:sz w:val="21"/>
                <w:szCs w:val="21"/>
                <w:highlight w:val="none"/>
                <w:vertAlign w:val="superscript"/>
              </w:rPr>
              <w:t>2</w:t>
            </w:r>
            <w:r>
              <w:rPr>
                <w:rFonts w:cs="Times New Roman"/>
                <w:color w:val="auto"/>
                <w:sz w:val="21"/>
                <w:szCs w:val="21"/>
                <w:highlight w:val="none"/>
              </w:rPr>
              <w:t>；水域面积：（ ）km</w:t>
            </w:r>
            <w:r>
              <w:rPr>
                <w:rFonts w:cs="Times New Roman"/>
                <w:color w:val="auto"/>
                <w:sz w:val="21"/>
                <w:szCs w:val="21"/>
                <w:highlight w:val="none"/>
                <w:vertAlign w:val="superscript"/>
              </w:rPr>
              <w:t>2</w:t>
            </w:r>
          </w:p>
        </w:tc>
      </w:tr>
      <w:tr w14:paraId="1950A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restart"/>
            <w:vAlign w:val="center"/>
          </w:tcPr>
          <w:p w14:paraId="20D4523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生态现状调查与评价</w:t>
            </w:r>
          </w:p>
        </w:tc>
        <w:tc>
          <w:tcPr>
            <w:tcW w:w="1759" w:type="dxa"/>
            <w:vAlign w:val="center"/>
          </w:tcPr>
          <w:p w14:paraId="21878672">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调查方法</w:t>
            </w:r>
          </w:p>
        </w:tc>
        <w:tc>
          <w:tcPr>
            <w:tcW w:w="6116" w:type="dxa"/>
            <w:vAlign w:val="center"/>
          </w:tcPr>
          <w:p w14:paraId="63287977">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资料收集□；遥感调查□；调查样方、样线□；调查点位、断面□；专家和公众咨询法□；其他□ </w:t>
            </w:r>
          </w:p>
        </w:tc>
      </w:tr>
      <w:tr w14:paraId="7DC11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continue"/>
            <w:vAlign w:val="center"/>
          </w:tcPr>
          <w:p w14:paraId="754AE845">
            <w:pPr>
              <w:spacing w:line="360" w:lineRule="exact"/>
              <w:ind w:firstLine="0" w:firstLineChars="0"/>
              <w:jc w:val="center"/>
              <w:rPr>
                <w:rFonts w:cs="Times New Roman"/>
                <w:color w:val="auto"/>
                <w:sz w:val="21"/>
                <w:szCs w:val="21"/>
                <w:highlight w:val="none"/>
              </w:rPr>
            </w:pPr>
          </w:p>
        </w:tc>
        <w:tc>
          <w:tcPr>
            <w:tcW w:w="1759" w:type="dxa"/>
            <w:vAlign w:val="center"/>
          </w:tcPr>
          <w:p w14:paraId="78F9644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调查时间</w:t>
            </w:r>
          </w:p>
        </w:tc>
        <w:tc>
          <w:tcPr>
            <w:tcW w:w="6116" w:type="dxa"/>
            <w:vAlign w:val="center"/>
          </w:tcPr>
          <w:p w14:paraId="3250F45D">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春季□；夏季□；秋季□；冬季□ </w:t>
            </w:r>
          </w:p>
          <w:p w14:paraId="0DFFFD91">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丰水期□；枯水期□；平水期□ </w:t>
            </w:r>
          </w:p>
        </w:tc>
      </w:tr>
      <w:tr w14:paraId="3E8BE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continue"/>
            <w:vAlign w:val="center"/>
          </w:tcPr>
          <w:p w14:paraId="7A4D13D7">
            <w:pPr>
              <w:spacing w:line="360" w:lineRule="exact"/>
              <w:ind w:firstLine="0" w:firstLineChars="0"/>
              <w:jc w:val="center"/>
              <w:rPr>
                <w:rFonts w:cs="Times New Roman"/>
                <w:color w:val="auto"/>
                <w:sz w:val="21"/>
                <w:szCs w:val="21"/>
                <w:highlight w:val="none"/>
              </w:rPr>
            </w:pPr>
          </w:p>
        </w:tc>
        <w:tc>
          <w:tcPr>
            <w:tcW w:w="1759" w:type="dxa"/>
            <w:vAlign w:val="center"/>
          </w:tcPr>
          <w:p w14:paraId="1FE9D8C9">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所在区域的生态问题</w:t>
            </w:r>
          </w:p>
        </w:tc>
        <w:tc>
          <w:tcPr>
            <w:tcW w:w="6116" w:type="dxa"/>
            <w:vAlign w:val="center"/>
          </w:tcPr>
          <w:p w14:paraId="2734E8FE">
            <w:pPr>
              <w:spacing w:line="360" w:lineRule="exact"/>
              <w:ind w:firstLine="0" w:firstLineChars="0"/>
              <w:rPr>
                <w:rFonts w:cs="Times New Roman"/>
                <w:color w:val="auto"/>
                <w:sz w:val="21"/>
                <w:szCs w:val="21"/>
                <w:highlight w:val="none"/>
              </w:rPr>
            </w:pPr>
            <w:r>
              <w:rPr>
                <w:rFonts w:cs="Times New Roman"/>
                <w:color w:val="auto"/>
                <w:sz w:val="21"/>
                <w:szCs w:val="21"/>
                <w:highlight w:val="none"/>
              </w:rPr>
              <w:t>水土流失□；沙漠化□；石漠化□；盐渍化□；生物入侵□；污染危害□；其他□</w:t>
            </w:r>
          </w:p>
        </w:tc>
      </w:tr>
      <w:tr w14:paraId="6286A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continue"/>
            <w:vAlign w:val="center"/>
          </w:tcPr>
          <w:p w14:paraId="5C9E6B2B">
            <w:pPr>
              <w:spacing w:line="360" w:lineRule="exact"/>
              <w:ind w:firstLine="0" w:firstLineChars="0"/>
              <w:jc w:val="center"/>
              <w:rPr>
                <w:rFonts w:cs="Times New Roman"/>
                <w:color w:val="auto"/>
                <w:sz w:val="21"/>
                <w:szCs w:val="21"/>
                <w:highlight w:val="none"/>
              </w:rPr>
            </w:pPr>
          </w:p>
        </w:tc>
        <w:tc>
          <w:tcPr>
            <w:tcW w:w="1759" w:type="dxa"/>
            <w:vAlign w:val="center"/>
          </w:tcPr>
          <w:p w14:paraId="00EB0BE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评价内容</w:t>
            </w:r>
          </w:p>
        </w:tc>
        <w:tc>
          <w:tcPr>
            <w:tcW w:w="6116" w:type="dxa"/>
            <w:vAlign w:val="center"/>
          </w:tcPr>
          <w:p w14:paraId="2A786221">
            <w:pPr>
              <w:spacing w:line="360" w:lineRule="exact"/>
              <w:ind w:firstLine="0" w:firstLineChars="0"/>
              <w:rPr>
                <w:rFonts w:cs="Times New Roman"/>
                <w:color w:val="auto"/>
                <w:sz w:val="21"/>
                <w:szCs w:val="21"/>
                <w:highlight w:val="none"/>
              </w:rPr>
            </w:pPr>
            <w:r>
              <w:rPr>
                <w:rFonts w:cs="Times New Roman"/>
                <w:color w:val="auto"/>
                <w:sz w:val="21"/>
                <w:szCs w:val="21"/>
                <w:highlight w:val="none"/>
              </w:rPr>
              <w:t>植被/植物群落□；土地利用□；生态系统□；生物多样性□；重要物种□；生态敏感区□；其他□</w:t>
            </w:r>
          </w:p>
        </w:tc>
      </w:tr>
      <w:tr w14:paraId="17BD8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restart"/>
            <w:vAlign w:val="center"/>
          </w:tcPr>
          <w:p w14:paraId="280810A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生态影响预测与评价</w:t>
            </w:r>
          </w:p>
        </w:tc>
        <w:tc>
          <w:tcPr>
            <w:tcW w:w="1759" w:type="dxa"/>
            <w:vAlign w:val="center"/>
          </w:tcPr>
          <w:p w14:paraId="2929482D">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评价方法</w:t>
            </w:r>
          </w:p>
        </w:tc>
        <w:tc>
          <w:tcPr>
            <w:tcW w:w="6116" w:type="dxa"/>
            <w:vAlign w:val="center"/>
          </w:tcPr>
          <w:p w14:paraId="5CD14482">
            <w:pPr>
              <w:spacing w:line="360" w:lineRule="exact"/>
              <w:ind w:firstLine="0" w:firstLineChars="0"/>
              <w:rPr>
                <w:rFonts w:cs="Times New Roman"/>
                <w:color w:val="auto"/>
                <w:sz w:val="21"/>
                <w:szCs w:val="21"/>
                <w:highlight w:val="none"/>
              </w:rPr>
            </w:pPr>
            <w:r>
              <w:rPr>
                <w:rFonts w:cs="Times New Roman"/>
                <w:color w:val="auto"/>
                <w:sz w:val="21"/>
                <w:szCs w:val="21"/>
                <w:highlight w:val="none"/>
              </w:rPr>
              <w:t>定性□；定性和定量□</w:t>
            </w:r>
          </w:p>
        </w:tc>
      </w:tr>
      <w:tr w14:paraId="6C0EA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continue"/>
            <w:vAlign w:val="center"/>
          </w:tcPr>
          <w:p w14:paraId="185685D1">
            <w:pPr>
              <w:spacing w:line="360" w:lineRule="exact"/>
              <w:ind w:firstLine="0" w:firstLineChars="0"/>
              <w:jc w:val="center"/>
              <w:rPr>
                <w:rFonts w:cs="Times New Roman"/>
                <w:color w:val="auto"/>
                <w:sz w:val="21"/>
                <w:szCs w:val="21"/>
                <w:highlight w:val="none"/>
              </w:rPr>
            </w:pPr>
          </w:p>
        </w:tc>
        <w:tc>
          <w:tcPr>
            <w:tcW w:w="1759" w:type="dxa"/>
            <w:vAlign w:val="center"/>
          </w:tcPr>
          <w:p w14:paraId="3019612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评价内容</w:t>
            </w:r>
          </w:p>
        </w:tc>
        <w:tc>
          <w:tcPr>
            <w:tcW w:w="6116" w:type="dxa"/>
            <w:vAlign w:val="center"/>
          </w:tcPr>
          <w:p w14:paraId="2525F6DD">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植被/植物群落□；土地利用□；生态系统□；生物多样性□；重要物种□；生态敏感区□；生物入侵风险□；其他□ </w:t>
            </w:r>
          </w:p>
        </w:tc>
      </w:tr>
      <w:tr w14:paraId="6C129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restart"/>
            <w:vAlign w:val="center"/>
          </w:tcPr>
          <w:p w14:paraId="6033006B">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生态保护对策措施</w:t>
            </w:r>
          </w:p>
        </w:tc>
        <w:tc>
          <w:tcPr>
            <w:tcW w:w="1759" w:type="dxa"/>
            <w:vAlign w:val="center"/>
          </w:tcPr>
          <w:p w14:paraId="26B94D81">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对策措施</w:t>
            </w:r>
          </w:p>
        </w:tc>
        <w:tc>
          <w:tcPr>
            <w:tcW w:w="6116" w:type="dxa"/>
            <w:vAlign w:val="center"/>
          </w:tcPr>
          <w:p w14:paraId="33FD8561">
            <w:pPr>
              <w:spacing w:line="360" w:lineRule="exact"/>
              <w:ind w:firstLine="0" w:firstLineChars="0"/>
              <w:rPr>
                <w:rFonts w:cs="Times New Roman"/>
                <w:color w:val="auto"/>
                <w:sz w:val="21"/>
                <w:szCs w:val="21"/>
                <w:highlight w:val="none"/>
              </w:rPr>
            </w:pPr>
            <w:r>
              <w:rPr>
                <w:rFonts w:cs="Times New Roman"/>
                <w:color w:val="auto"/>
                <w:sz w:val="21"/>
                <w:szCs w:val="21"/>
                <w:highlight w:val="none"/>
              </w:rPr>
              <w:t>避让□；减缓□；生态修复□；生态补偿□；科研□；其他□</w:t>
            </w:r>
          </w:p>
        </w:tc>
      </w:tr>
      <w:tr w14:paraId="5E629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continue"/>
            <w:vAlign w:val="center"/>
          </w:tcPr>
          <w:p w14:paraId="6B8D49E6">
            <w:pPr>
              <w:spacing w:line="360" w:lineRule="exact"/>
              <w:ind w:firstLine="0" w:firstLineChars="0"/>
              <w:jc w:val="center"/>
              <w:rPr>
                <w:rFonts w:cs="Times New Roman"/>
                <w:color w:val="auto"/>
                <w:sz w:val="21"/>
                <w:szCs w:val="21"/>
                <w:highlight w:val="none"/>
              </w:rPr>
            </w:pPr>
          </w:p>
        </w:tc>
        <w:tc>
          <w:tcPr>
            <w:tcW w:w="1759" w:type="dxa"/>
            <w:vAlign w:val="center"/>
          </w:tcPr>
          <w:p w14:paraId="10146864">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生态监测计划</w:t>
            </w:r>
          </w:p>
        </w:tc>
        <w:tc>
          <w:tcPr>
            <w:tcW w:w="6116" w:type="dxa"/>
            <w:vAlign w:val="center"/>
          </w:tcPr>
          <w:p w14:paraId="3EEE60D3">
            <w:pPr>
              <w:spacing w:line="360" w:lineRule="exact"/>
              <w:ind w:firstLine="0" w:firstLineChars="0"/>
              <w:rPr>
                <w:rFonts w:cs="Times New Roman"/>
                <w:color w:val="auto"/>
                <w:sz w:val="21"/>
                <w:szCs w:val="21"/>
                <w:highlight w:val="none"/>
              </w:rPr>
            </w:pPr>
            <w:r>
              <w:rPr>
                <w:rFonts w:cs="Times New Roman"/>
                <w:color w:val="auto"/>
                <w:sz w:val="21"/>
                <w:szCs w:val="21"/>
                <w:highlight w:val="none"/>
              </w:rPr>
              <w:t xml:space="preserve">全生命周期□；长期跟踪□；常规□；无□ </w:t>
            </w:r>
          </w:p>
        </w:tc>
      </w:tr>
      <w:tr w14:paraId="44785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Merge w:val="continue"/>
            <w:vAlign w:val="center"/>
          </w:tcPr>
          <w:p w14:paraId="57DC2D4D">
            <w:pPr>
              <w:spacing w:line="360" w:lineRule="exact"/>
              <w:ind w:firstLine="0" w:firstLineChars="0"/>
              <w:jc w:val="center"/>
              <w:rPr>
                <w:rFonts w:cs="Times New Roman"/>
                <w:color w:val="auto"/>
                <w:sz w:val="21"/>
                <w:szCs w:val="21"/>
                <w:highlight w:val="none"/>
              </w:rPr>
            </w:pPr>
          </w:p>
        </w:tc>
        <w:tc>
          <w:tcPr>
            <w:tcW w:w="1759" w:type="dxa"/>
            <w:vAlign w:val="center"/>
          </w:tcPr>
          <w:p w14:paraId="3DCE9DE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环境管理</w:t>
            </w:r>
          </w:p>
        </w:tc>
        <w:tc>
          <w:tcPr>
            <w:tcW w:w="6116" w:type="dxa"/>
            <w:vAlign w:val="center"/>
          </w:tcPr>
          <w:p w14:paraId="7F99A029">
            <w:pPr>
              <w:spacing w:line="360" w:lineRule="exact"/>
              <w:ind w:firstLine="0" w:firstLineChars="0"/>
              <w:rPr>
                <w:rFonts w:cs="Times New Roman"/>
                <w:color w:val="auto"/>
                <w:sz w:val="21"/>
                <w:szCs w:val="21"/>
                <w:highlight w:val="none"/>
              </w:rPr>
            </w:pPr>
            <w:r>
              <w:rPr>
                <w:rFonts w:cs="Times New Roman"/>
                <w:color w:val="auto"/>
                <w:sz w:val="21"/>
                <w:szCs w:val="21"/>
                <w:highlight w:val="none"/>
              </w:rPr>
              <w:t>环境监理□；环境影响后评价□；其他□</w:t>
            </w:r>
          </w:p>
        </w:tc>
      </w:tr>
      <w:tr w14:paraId="7CA65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5" w:type="dxa"/>
            <w:vAlign w:val="center"/>
          </w:tcPr>
          <w:p w14:paraId="68500F9C">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评价结论</w:t>
            </w:r>
          </w:p>
        </w:tc>
        <w:tc>
          <w:tcPr>
            <w:tcW w:w="1759" w:type="dxa"/>
            <w:vAlign w:val="center"/>
          </w:tcPr>
          <w:p w14:paraId="1829358E">
            <w:pPr>
              <w:spacing w:line="360" w:lineRule="exact"/>
              <w:ind w:firstLine="0" w:firstLineChars="0"/>
              <w:jc w:val="center"/>
              <w:rPr>
                <w:rFonts w:cs="Times New Roman"/>
                <w:color w:val="auto"/>
                <w:sz w:val="21"/>
                <w:szCs w:val="21"/>
                <w:highlight w:val="none"/>
              </w:rPr>
            </w:pPr>
            <w:r>
              <w:rPr>
                <w:rFonts w:cs="Times New Roman"/>
                <w:color w:val="auto"/>
                <w:sz w:val="21"/>
                <w:szCs w:val="21"/>
                <w:highlight w:val="none"/>
              </w:rPr>
              <w:t>生态影响</w:t>
            </w:r>
          </w:p>
        </w:tc>
        <w:tc>
          <w:tcPr>
            <w:tcW w:w="6116" w:type="dxa"/>
            <w:vAlign w:val="center"/>
          </w:tcPr>
          <w:p w14:paraId="2CB3B396">
            <w:pPr>
              <w:spacing w:line="360" w:lineRule="exact"/>
              <w:ind w:firstLine="0" w:firstLineChars="0"/>
              <w:rPr>
                <w:rFonts w:cs="Times New Roman"/>
                <w:color w:val="auto"/>
                <w:sz w:val="21"/>
                <w:szCs w:val="21"/>
                <w:highlight w:val="none"/>
              </w:rPr>
            </w:pPr>
            <w:r>
              <w:rPr>
                <w:rFonts w:cs="Times New Roman"/>
                <w:color w:val="auto"/>
                <w:sz w:val="21"/>
                <w:szCs w:val="21"/>
                <w:highlight w:val="none"/>
              </w:rPr>
              <w:t>可行</w:t>
            </w:r>
            <w:r>
              <w:rPr>
                <w:rFonts w:cs="Times New Roman"/>
                <w:color w:val="auto"/>
                <w:sz w:val="21"/>
                <w:szCs w:val="21"/>
                <w:highlight w:val="none"/>
              </w:rPr>
              <w:sym w:font="Wingdings 2" w:char="0052"/>
            </w:r>
            <w:r>
              <w:rPr>
                <w:rFonts w:cs="Times New Roman"/>
                <w:color w:val="auto"/>
                <w:sz w:val="21"/>
                <w:szCs w:val="21"/>
                <w:highlight w:val="none"/>
              </w:rPr>
              <w:t xml:space="preserve">；不可行□ </w:t>
            </w:r>
          </w:p>
        </w:tc>
      </w:tr>
      <w:tr w14:paraId="1C5FE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0" w:type="dxa"/>
            <w:gridSpan w:val="3"/>
            <w:vAlign w:val="center"/>
          </w:tcPr>
          <w:p w14:paraId="394E73AC">
            <w:pPr>
              <w:spacing w:line="360" w:lineRule="exact"/>
              <w:ind w:firstLine="0" w:firstLineChars="0"/>
              <w:rPr>
                <w:rFonts w:cs="Times New Roman"/>
                <w:color w:val="auto"/>
                <w:sz w:val="21"/>
                <w:szCs w:val="21"/>
                <w:highlight w:val="none"/>
              </w:rPr>
            </w:pPr>
            <w:r>
              <w:rPr>
                <w:rFonts w:cs="Times New Roman"/>
                <w:color w:val="auto"/>
                <w:sz w:val="21"/>
                <w:szCs w:val="21"/>
                <w:highlight w:val="none"/>
              </w:rPr>
              <w:t>注：“</w:t>
            </w:r>
            <w:r>
              <w:rPr>
                <w:rFonts w:cs="Times New Roman"/>
                <w:color w:val="auto"/>
                <w:sz w:val="21"/>
                <w:szCs w:val="21"/>
                <w:highlight w:val="none"/>
              </w:rPr>
              <w:sym w:font="Wingdings 2" w:char="00A3"/>
            </w:r>
            <w:r>
              <w:rPr>
                <w:rFonts w:cs="Times New Roman"/>
                <w:color w:val="auto"/>
                <w:sz w:val="21"/>
                <w:szCs w:val="21"/>
                <w:highlight w:val="none"/>
              </w:rPr>
              <w:t>”为勾选项，可√：“（）”为内容填写项</w:t>
            </w:r>
          </w:p>
        </w:tc>
      </w:tr>
    </w:tbl>
    <w:p w14:paraId="5C1C55D5">
      <w:pPr>
        <w:rPr>
          <w:rFonts w:cs="Times New Roman"/>
          <w:color w:val="auto"/>
          <w:szCs w:val="24"/>
          <w:highlight w:val="none"/>
        </w:rPr>
      </w:pPr>
    </w:p>
    <w:p w14:paraId="7C8C3A25">
      <w:pPr>
        <w:pStyle w:val="36"/>
        <w:ind w:left="0"/>
        <w:rPr>
          <w:color w:val="auto"/>
          <w:highlight w:val="none"/>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AndChar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4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美黑简体">
    <w:altName w:val="宋体"/>
    <w:panose1 w:val="00000000000000000000"/>
    <w:charset w:val="86"/>
    <w:family w:val="script"/>
    <w:pitch w:val="default"/>
    <w:sig w:usb0="00000000" w:usb1="00000000" w:usb2="00000010" w:usb3="00000000" w:csb0="00040000" w:csb1="00000000"/>
  </w:font>
  <w:font w:name="Adobe 宋体 Std L">
    <w:altName w:val="宋体"/>
    <w:panose1 w:val="02020300000000000000"/>
    <w:charset w:val="86"/>
    <w:family w:val="auto"/>
    <w:pitch w:val="default"/>
    <w:sig w:usb0="00000000" w:usb1="00000000" w:usb2="00000016" w:usb3="00000000" w:csb0="00060007"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Microsoft YaHei UI">
    <w:panose1 w:val="020B0503020204020204"/>
    <w:charset w:val="86"/>
    <w:family w:val="swiss"/>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3F" w:usb3="00000000" w:csb0="603F01FF" w:csb1="FFFF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汉仪仿宋简">
    <w:altName w:val="仿宋"/>
    <w:panose1 w:val="02010600000101010101"/>
    <w:charset w:val="86"/>
    <w:family w:val="decorative"/>
    <w:pitch w:val="default"/>
    <w:sig w:usb0="00000000" w:usb1="00000000" w:usb2="00000012" w:usb3="00000000" w:csb0="00020001" w:csb1="00000000"/>
  </w:font>
  <w:font w:name="新宋体">
    <w:panose1 w:val="02010609030101010101"/>
    <w:charset w:val="86"/>
    <w:family w:val="modern"/>
    <w:pitch w:val="default"/>
    <w:sig w:usb0="00000203" w:usb1="288F0000" w:usb2="00000006" w:usb3="00000000" w:csb0="00040001" w:csb1="00000000"/>
  </w:font>
  <w:font w:name="Verdana">
    <w:panose1 w:val="020B0604030504040204"/>
    <w:charset w:val="00"/>
    <w:family w:val="swiss"/>
    <w:pitch w:val="default"/>
    <w:sig w:usb0="A00006FF" w:usb1="4000205B" w:usb2="00000010" w:usb3="00000000" w:csb0="2000019F" w:csb1="00000000"/>
  </w:font>
  <w:font w:name="等线">
    <w:panose1 w:val="02010600030101010101"/>
    <w:charset w:val="86"/>
    <w:family w:val="auto"/>
    <w:pitch w:val="default"/>
    <w:sig w:usb0="A00002BF" w:usb1="38CF7CFA" w:usb2="00000016" w:usb3="00000000" w:csb0="0004000F" w:csb1="00000000"/>
  </w:font>
  <w:font w:name="Wingdings 2">
    <w:altName w:val="Wingdings"/>
    <w:panose1 w:val="05020102010507070707"/>
    <w:charset w:val="02"/>
    <w:family w:val="decorative"/>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Kingsoft UE">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9D9E35">
    <w:pPr>
      <w:pStyle w:val="29"/>
      <w:ind w:firstLine="360"/>
    </w:pPr>
    <w: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C0CE2F3">
                          <w:pPr>
                            <w:pStyle w:val="29"/>
                            <w:ind w:firstLine="360"/>
                          </w:pP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M2dPQ/IAQAAmQMAAA4AAAAAAAAAAQAgAAAAHgEAAGRycy9lMm9Eb2Mu&#10;eG1sUEsFBgAAAAAGAAYAWQEAAFgFAAAAAA==&#10;">
              <v:fill on="f" focussize="0,0"/>
              <v:stroke on="f"/>
              <v:imagedata o:title=""/>
              <o:lock v:ext="edit" aspectratio="f"/>
              <v:textbox inset="0mm,0mm,0mm,0mm" style="mso-fit-shape-to-text:t;">
                <w:txbxContent>
                  <w:p w14:paraId="1C0CE2F3">
                    <w:pPr>
                      <w:pStyle w:val="29"/>
                      <w:ind w:firstLine="360"/>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17B6D0">
    <w:pPr>
      <w:pStyle w:val="29"/>
      <w:tabs>
        <w:tab w:val="left" w:pos="3960"/>
        <w:tab w:val="center" w:pos="4333"/>
        <w:tab w:val="left" w:pos="5049"/>
      </w:tabs>
      <w:ind w:firstLine="0" w:firstLineChars="0"/>
      <w:rPr>
        <w:rFonts w:eastAsia="仿宋"/>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B1EBE8">
    <w:pPr>
      <w:pStyle w:val="29"/>
      <w:tabs>
        <w:tab w:val="left" w:pos="3960"/>
        <w:tab w:val="center" w:pos="4333"/>
        <w:tab w:val="left" w:pos="5049"/>
      </w:tabs>
      <w:ind w:firstLine="0" w:firstLineChars="0"/>
      <w:jc w:val="center"/>
    </w:pPr>
    <w:r>
      <w:rPr>
        <w:sz w:val="18"/>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36C040">
                          <w:pPr>
                            <w:pStyle w:val="29"/>
                            <w:tabs>
                              <w:tab w:val="left" w:pos="3960"/>
                              <w:tab w:val="center" w:pos="4333"/>
                              <w:tab w:val="left" w:pos="5049"/>
                            </w:tabs>
                            <w:ind w:firstLine="0" w:firstLineChars="0"/>
                            <w:jc w:val="center"/>
                          </w:pPr>
                          <w:sdt>
                            <w:sdtPr>
                              <w:id w:val="2011942250"/>
                            </w:sdtPr>
                            <w:sdtContent>
                              <w:r>
                                <w:fldChar w:fldCharType="begin"/>
                              </w:r>
                              <w:r>
                                <w:instrText xml:space="preserve">PAGE   \* MERGEFORMAT</w:instrText>
                              </w:r>
                              <w:r>
                                <w:fldChar w:fldCharType="separate"/>
                              </w:r>
                              <w:r>
                                <w:rPr>
                                  <w:lang w:val="zh-CN"/>
                                </w:rPr>
                                <w:t>156</w:t>
                              </w:r>
                              <w:r>
                                <w:fldChar w:fldCharType="end"/>
                              </w:r>
                            </w:sdtContent>
                          </w:sdt>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wOCwQz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wOCwQzAgAAZQQAAA4AAAAAAAAAAQAgAAAAHwEAAGRycy9lMm9Eb2MueG1sUEsF&#10;BgAAAAAGAAYAWQEAAMQFAAAAAA==&#10;">
              <v:fill on="f" focussize="0,0"/>
              <v:stroke on="f" weight="0.5pt"/>
              <v:imagedata o:title=""/>
              <o:lock v:ext="edit" aspectratio="f"/>
              <v:textbox inset="0mm,0mm,0mm,0mm" style="mso-fit-shape-to-text:t;">
                <w:txbxContent>
                  <w:p w14:paraId="7E36C040">
                    <w:pPr>
                      <w:pStyle w:val="29"/>
                      <w:tabs>
                        <w:tab w:val="left" w:pos="3960"/>
                        <w:tab w:val="center" w:pos="4333"/>
                        <w:tab w:val="left" w:pos="5049"/>
                      </w:tabs>
                      <w:ind w:firstLine="0" w:firstLineChars="0"/>
                      <w:jc w:val="center"/>
                    </w:pPr>
                    <w:sdt>
                      <w:sdtPr>
                        <w:id w:val="2011942250"/>
                      </w:sdtPr>
                      <w:sdtContent>
                        <w:r>
                          <w:fldChar w:fldCharType="begin"/>
                        </w:r>
                        <w:r>
                          <w:instrText xml:space="preserve">PAGE   \* MERGEFORMAT</w:instrText>
                        </w:r>
                        <w:r>
                          <w:fldChar w:fldCharType="separate"/>
                        </w:r>
                        <w:r>
                          <w:rPr>
                            <w:lang w:val="zh-CN"/>
                          </w:rPr>
                          <w:t>156</w:t>
                        </w:r>
                        <w:r>
                          <w:fldChar w:fldCharType="end"/>
                        </w:r>
                      </w:sdtContent>
                    </w:sdt>
                  </w:p>
                </w:txbxContent>
              </v:textbox>
            </v:shape>
          </w:pict>
        </mc:Fallback>
      </mc:AlternateContent>
    </w:r>
  </w:p>
  <w:p w14:paraId="66ACDDDD">
    <w:pPr>
      <w:pStyle w:val="29"/>
      <w:tabs>
        <w:tab w:val="left" w:pos="3960"/>
        <w:tab w:val="center" w:pos="4333"/>
        <w:tab w:val="left" w:pos="5049"/>
      </w:tabs>
      <w:ind w:firstLine="0" w:firstLineChars="0"/>
      <w:rPr>
        <w:rFonts w:eastAsia="仿宋"/>
        <w:b/>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6359F3">
    <w:pPr>
      <w:pStyle w:val="29"/>
      <w:tabs>
        <w:tab w:val="left" w:pos="3960"/>
        <w:tab w:val="center" w:pos="4333"/>
        <w:tab w:val="left" w:pos="5049"/>
      </w:tabs>
      <w:ind w:firstLine="0" w:firstLineChars="0"/>
      <w:jc w:val="center"/>
    </w:pPr>
    <w:r>
      <w:rPr>
        <w:sz w:val="18"/>
      </w:rP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7386CF">
                          <w:pPr>
                            <w:pStyle w:val="29"/>
                            <w:tabs>
                              <w:tab w:val="left" w:pos="3960"/>
                              <w:tab w:val="center" w:pos="4333"/>
                              <w:tab w:val="left" w:pos="5049"/>
                            </w:tabs>
                            <w:ind w:firstLine="0" w:firstLineChars="0"/>
                            <w:jc w:val="center"/>
                          </w:pPr>
                          <w:sdt>
                            <w:sdtPr>
                              <w:id w:val="147479743"/>
                            </w:sdtPr>
                            <w:sdtContent>
                              <w:r>
                                <w:fldChar w:fldCharType="begin"/>
                              </w:r>
                              <w:r>
                                <w:instrText xml:space="preserve">PAGE   \* MERGEFORMAT</w:instrText>
                              </w:r>
                              <w:r>
                                <w:fldChar w:fldCharType="separate"/>
                              </w:r>
                              <w:r>
                                <w:rPr>
                                  <w:lang w:val="zh-CN"/>
                                </w:rPr>
                                <w:t>156</w:t>
                              </w:r>
                              <w:r>
                                <w:fldChar w:fldCharType="end"/>
                              </w:r>
                            </w:sdtContent>
                          </w:sdt>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71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14:paraId="027386CF">
                    <w:pPr>
                      <w:pStyle w:val="29"/>
                      <w:tabs>
                        <w:tab w:val="left" w:pos="3960"/>
                        <w:tab w:val="center" w:pos="4333"/>
                        <w:tab w:val="left" w:pos="5049"/>
                      </w:tabs>
                      <w:ind w:firstLine="0" w:firstLineChars="0"/>
                      <w:jc w:val="center"/>
                    </w:pPr>
                    <w:sdt>
                      <w:sdtPr>
                        <w:id w:val="147479743"/>
                      </w:sdtPr>
                      <w:sdtContent>
                        <w:r>
                          <w:fldChar w:fldCharType="begin"/>
                        </w:r>
                        <w:r>
                          <w:instrText xml:space="preserve">PAGE   \* MERGEFORMAT</w:instrText>
                        </w:r>
                        <w:r>
                          <w:fldChar w:fldCharType="separate"/>
                        </w:r>
                        <w:r>
                          <w:rPr>
                            <w:lang w:val="zh-CN"/>
                          </w:rPr>
                          <w:t>156</w:t>
                        </w:r>
                        <w:r>
                          <w:fldChar w:fldCharType="end"/>
                        </w:r>
                      </w:sdtContent>
                    </w:sdt>
                  </w:p>
                </w:txbxContent>
              </v:textbox>
            </v:shape>
          </w:pict>
        </mc:Fallback>
      </mc:AlternateContent>
    </w:r>
  </w:p>
  <w:p w14:paraId="35F7BF6D">
    <w:pPr>
      <w:pStyle w:val="29"/>
      <w:tabs>
        <w:tab w:val="left" w:pos="3960"/>
        <w:tab w:val="center" w:pos="4333"/>
        <w:tab w:val="left" w:pos="5049"/>
      </w:tabs>
      <w:ind w:firstLine="0" w:firstLineChars="0"/>
      <w:rPr>
        <w:rFonts w:eastAsia="仿宋"/>
        <w:b/>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389BC6">
    <w:pPr>
      <w:pStyle w:val="29"/>
      <w:tabs>
        <w:tab w:val="left" w:pos="3960"/>
        <w:tab w:val="center" w:pos="4333"/>
        <w:tab w:val="left" w:pos="5049"/>
      </w:tabs>
      <w:ind w:firstLine="0" w:firstLineChars="0"/>
      <w:rPr>
        <w:rFonts w:eastAsia="仿宋"/>
        <w:b/>
      </w:rPr>
    </w:pPr>
    <w:r>
      <w:rPr>
        <w:sz w:val="18"/>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422048">
                          <w:pPr>
                            <w:pStyle w:val="29"/>
                          </w:pPr>
                          <w:r>
                            <w:fldChar w:fldCharType="begin"/>
                          </w:r>
                          <w:r>
                            <w:instrText xml:space="preserve"> PAGE  \* MERGEFORMAT </w:instrText>
                          </w:r>
                          <w:r>
                            <w:fldChar w:fldCharType="separate"/>
                          </w:r>
                          <w:r>
                            <w:t>192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DM2Xo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DM2XozAgAAZQQAAA4AAAAAAAAAAQAgAAAAHwEAAGRycy9lMm9Eb2MueG1sUEsF&#10;BgAAAAAGAAYAWQEAAMQFAAAAAA==&#10;">
              <v:fill on="f" focussize="0,0"/>
              <v:stroke on="f" weight="0.5pt"/>
              <v:imagedata o:title=""/>
              <o:lock v:ext="edit" aspectratio="f"/>
              <v:textbox inset="0mm,0mm,0mm,0mm" style="mso-fit-shape-to-text:t;">
                <w:txbxContent>
                  <w:p w14:paraId="3C422048">
                    <w:pPr>
                      <w:pStyle w:val="29"/>
                    </w:pPr>
                    <w:r>
                      <w:fldChar w:fldCharType="begin"/>
                    </w:r>
                    <w:r>
                      <w:instrText xml:space="preserve"> PAGE  \* MERGEFORMAT </w:instrText>
                    </w:r>
                    <w:r>
                      <w:fldChar w:fldCharType="separate"/>
                    </w:r>
                    <w:r>
                      <w:t>192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0E0BFE">
    <w:pPr>
      <w:pStyle w:val="29"/>
      <w:ind w:firstLine="361"/>
      <w:rPr>
        <w:rFonts w:ascii="仿宋" w:hAnsi="仿宋" w:eastAsia="仿宋"/>
        <w:b/>
      </w:rPr>
    </w:pPr>
    <w:r>
      <w:rPr>
        <w:sz w:val="18"/>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4326B8">
                          <w:pPr>
                            <w:pStyle w:val="29"/>
                          </w:pPr>
                          <w:r>
                            <w:fldChar w:fldCharType="begin"/>
                          </w:r>
                          <w:r>
                            <w:instrText xml:space="preserve"> PAGE  \* MERGEFORMAT </w:instrText>
                          </w:r>
                          <w:r>
                            <w:fldChar w:fldCharType="separate"/>
                          </w:r>
                          <w:r>
                            <w:t>238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twR+Y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LcEfmNAIAAGUEAAAOAAAAAAAAAAEAIAAAAB8BAABkcnMvZTJvRG9jLnhtbFBL&#10;BQYAAAAABgAGAFkBAADFBQAAAAA=&#10;">
              <v:fill on="f" focussize="0,0"/>
              <v:stroke on="f" weight="0.5pt"/>
              <v:imagedata o:title=""/>
              <o:lock v:ext="edit" aspectratio="f"/>
              <v:textbox inset="0mm,0mm,0mm,0mm" style="mso-fit-shape-to-text:t;">
                <w:txbxContent>
                  <w:p w14:paraId="794326B8">
                    <w:pPr>
                      <w:pStyle w:val="29"/>
                    </w:pPr>
                    <w:r>
                      <w:fldChar w:fldCharType="begin"/>
                    </w:r>
                    <w:r>
                      <w:instrText xml:space="preserve"> PAGE  \* MERGEFORMAT </w:instrText>
                    </w:r>
                    <w:r>
                      <w:fldChar w:fldCharType="separate"/>
                    </w:r>
                    <w:r>
                      <w:t>238</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58339F">
    <w:pPr>
      <w:pStyle w:val="30"/>
      <w:ind w:firstLine="360"/>
      <w:jc w:val="right"/>
      <w:rPr>
        <w:rFonts w:eastAsia="仿宋" w:cs="Times New Roman"/>
        <w:b/>
      </w:rPr>
    </w:pPr>
    <w:r>
      <w:rPr>
        <w:rFonts w:hint="eastAsia" w:cs="Times New Roman"/>
        <w:szCs w:val="24"/>
        <w:lang w:val="en-US" w:eastAsia="zh-CN"/>
      </w:rPr>
      <w:t>双鸭山市兴昌屠宰有限公司</w:t>
    </w:r>
    <w:r>
      <w:rPr>
        <w:rFonts w:hint="eastAsia" w:cs="Times New Roman"/>
        <w:szCs w:val="24"/>
      </w:rPr>
      <w:t>建设项目环境影响报告书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A72F81">
    <w:pP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34D142">
    <w:pPr>
      <w:pStyle w:val="30"/>
      <w:ind w:firstLine="360"/>
      <w:rPr>
        <w:rFonts w:ascii="宋体" w:hAnsi="宋体" w:cs="宋体"/>
        <w:bCs/>
      </w:rPr>
    </w:pPr>
    <w:r>
      <w:rPr>
        <w:rFonts w:hint="eastAsia" w:ascii="宋体" w:hAnsi="宋体" w:cs="宋体"/>
        <w:bCs/>
        <w:lang w:eastAsia="zh-CN"/>
      </w:rPr>
      <w:t>双鸭山市兴昌屠宰有限公司建设项目</w:t>
    </w:r>
    <w:r>
      <w:rPr>
        <w:rFonts w:hint="eastAsia" w:ascii="宋体" w:hAnsi="宋体" w:cs="宋体"/>
        <w:bCs/>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CB9FE">
    <w:pPr>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BB93BE"/>
  <w:p w14:paraId="57250CC3">
    <w:pPr>
      <w:ind w:left="284"/>
      <w:rPr>
        <w:rFonts w:ascii="黑体" w:hAnsi="黑体" w:eastAsia="黑体"/>
      </w:rPr>
    </w:pPr>
    <w:r>
      <w:rPr>
        <w:rFonts w:hint="eastAsia" w:ascii="黑体" w:hAnsi="黑体" w:eastAsia="黑体"/>
      </w:rPr>
      <w:t>HJ 2.3—2018</w:t>
    </w:r>
  </w:p>
  <w:p w14:paraId="77AF87A6">
    <w:pPr>
      <w:ind w:left="284" w:right="120" w:rightChars="5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87D7BC"/>
    <w:multiLevelType w:val="singleLevel"/>
    <w:tmpl w:val="8587D7BC"/>
    <w:lvl w:ilvl="0" w:tentative="0">
      <w:start w:val="1"/>
      <w:numFmt w:val="decimal"/>
      <w:suff w:val="nothing"/>
      <w:lvlText w:val="%1、"/>
      <w:lvlJc w:val="left"/>
    </w:lvl>
  </w:abstractNum>
  <w:abstractNum w:abstractNumId="1">
    <w:nsid w:val="BE8AF6FF"/>
    <w:multiLevelType w:val="singleLevel"/>
    <w:tmpl w:val="BE8AF6FF"/>
    <w:lvl w:ilvl="0" w:tentative="0">
      <w:start w:val="2"/>
      <w:numFmt w:val="decimal"/>
      <w:suff w:val="nothing"/>
      <w:lvlText w:val="%1、"/>
      <w:lvlJc w:val="left"/>
    </w:lvl>
  </w:abstractNum>
  <w:abstractNum w:abstractNumId="2">
    <w:nsid w:val="D114E80B"/>
    <w:multiLevelType w:val="singleLevel"/>
    <w:tmpl w:val="D114E80B"/>
    <w:lvl w:ilvl="0" w:tentative="0">
      <w:start w:val="2"/>
      <w:numFmt w:val="decimal"/>
      <w:suff w:val="nothing"/>
      <w:lvlText w:val="（%1）"/>
      <w:lvlJc w:val="left"/>
    </w:lvl>
  </w:abstractNum>
  <w:abstractNum w:abstractNumId="3">
    <w:nsid w:val="EF1D8A10"/>
    <w:multiLevelType w:val="singleLevel"/>
    <w:tmpl w:val="EF1D8A10"/>
    <w:lvl w:ilvl="0" w:tentative="0">
      <w:start w:val="8"/>
      <w:numFmt w:val="decimal"/>
      <w:suff w:val="nothing"/>
      <w:lvlText w:val="（%1）"/>
      <w:lvlJc w:val="left"/>
    </w:lvl>
  </w:abstractNum>
  <w:abstractNum w:abstractNumId="4">
    <w:nsid w:val="0000000F"/>
    <w:multiLevelType w:val="multilevel"/>
    <w:tmpl w:val="0000000F"/>
    <w:lvl w:ilvl="0" w:tentative="0">
      <w:start w:val="1"/>
      <w:numFmt w:val="decimal"/>
      <w:lvlText w:val="%1."/>
      <w:lvlJc w:val="left"/>
      <w:pPr>
        <w:tabs>
          <w:tab w:val="left" w:pos="360"/>
        </w:tabs>
        <w:ind w:left="360" w:hanging="360"/>
      </w:pPr>
      <w:rPr>
        <w:rFonts w:hint="eastAsia"/>
      </w:rPr>
    </w:lvl>
    <w:lvl w:ilvl="1" w:tentative="0">
      <w:start w:val="1"/>
      <w:numFmt w:val="lowerLetter"/>
      <w:pStyle w:val="382"/>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0000011"/>
    <w:multiLevelType w:val="multilevel"/>
    <w:tmpl w:val="00000011"/>
    <w:lvl w:ilvl="0" w:tentative="0">
      <w:start w:val="1"/>
      <w:numFmt w:val="decimalEnclosedCircle"/>
      <w:pStyle w:val="246"/>
      <w:lvlText w:val="%1"/>
      <w:lvlJc w:val="left"/>
      <w:pPr>
        <w:tabs>
          <w:tab w:val="left" w:pos="780"/>
        </w:tabs>
        <w:ind w:left="780" w:hanging="360"/>
      </w:pPr>
      <w:rPr>
        <w:rFonts w:hint="eastAsia"/>
      </w:rPr>
    </w:lvl>
    <w:lvl w:ilvl="1" w:tentative="0">
      <w:start w:val="1"/>
      <w:numFmt w:val="lowerLetter"/>
      <w:pStyle w:val="238"/>
      <w:lvlText w:val="%2)"/>
      <w:lvlJc w:val="left"/>
      <w:pPr>
        <w:tabs>
          <w:tab w:val="left" w:pos="1260"/>
        </w:tabs>
        <w:ind w:left="1260" w:hanging="420"/>
      </w:pPr>
    </w:lvl>
    <w:lvl w:ilvl="2" w:tentative="0">
      <w:start w:val="1"/>
      <w:numFmt w:val="lowerRoman"/>
      <w:pStyle w:val="262"/>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6">
    <w:nsid w:val="00000013"/>
    <w:multiLevelType w:val="multilevel"/>
    <w:tmpl w:val="00000013"/>
    <w:lvl w:ilvl="0" w:tentative="0">
      <w:start w:val="1"/>
      <w:numFmt w:val="decimal"/>
      <w:pStyle w:val="376"/>
      <w:lvlText w:val="%1．"/>
      <w:lvlJc w:val="left"/>
      <w:pPr>
        <w:tabs>
          <w:tab w:val="left" w:pos="720"/>
        </w:tabs>
        <w:ind w:left="720" w:hanging="720"/>
      </w:pPr>
      <w:rPr>
        <w:rFonts w:hint="default" w:ascii="宋体" w:hAnsi="Courier New" w:eastAsia="宋体"/>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05CBA2A4"/>
    <w:multiLevelType w:val="singleLevel"/>
    <w:tmpl w:val="05CBA2A4"/>
    <w:lvl w:ilvl="0" w:tentative="0">
      <w:start w:val="5"/>
      <w:numFmt w:val="decimal"/>
      <w:suff w:val="nothing"/>
      <w:lvlText w:val="%1、"/>
      <w:lvlJc w:val="left"/>
    </w:lvl>
  </w:abstractNum>
  <w:abstractNum w:abstractNumId="8">
    <w:nsid w:val="14046C10"/>
    <w:multiLevelType w:val="singleLevel"/>
    <w:tmpl w:val="14046C10"/>
    <w:lvl w:ilvl="0" w:tentative="0">
      <w:start w:val="1"/>
      <w:numFmt w:val="decimal"/>
      <w:suff w:val="nothing"/>
      <w:lvlText w:val="（%1）"/>
      <w:lvlJc w:val="left"/>
    </w:lvl>
  </w:abstractNum>
  <w:abstractNum w:abstractNumId="9">
    <w:nsid w:val="3B808C7A"/>
    <w:multiLevelType w:val="singleLevel"/>
    <w:tmpl w:val="3B808C7A"/>
    <w:lvl w:ilvl="0" w:tentative="0">
      <w:start w:val="1"/>
      <w:numFmt w:val="decimal"/>
      <w:suff w:val="nothing"/>
      <w:lvlText w:val="（%1）"/>
      <w:lvlJc w:val="left"/>
      <w:rPr>
        <w:rFonts w:hint="default"/>
        <w:color w:val="auto"/>
      </w:rPr>
    </w:lvl>
  </w:abstractNum>
  <w:abstractNum w:abstractNumId="10">
    <w:nsid w:val="3D92F198"/>
    <w:multiLevelType w:val="singleLevel"/>
    <w:tmpl w:val="3D92F198"/>
    <w:lvl w:ilvl="0" w:tentative="0">
      <w:start w:val="1"/>
      <w:numFmt w:val="upperLetter"/>
      <w:suff w:val="nothing"/>
      <w:lvlText w:val="%1、"/>
      <w:lvlJc w:val="left"/>
    </w:lvl>
  </w:abstractNum>
  <w:abstractNum w:abstractNumId="11">
    <w:nsid w:val="461C27EA"/>
    <w:multiLevelType w:val="singleLevel"/>
    <w:tmpl w:val="461C27EA"/>
    <w:lvl w:ilvl="0" w:tentative="0">
      <w:start w:val="1"/>
      <w:numFmt w:val="decimal"/>
      <w:suff w:val="nothing"/>
      <w:lvlText w:val="%1、"/>
      <w:lvlJc w:val="left"/>
    </w:lvl>
  </w:abstractNum>
  <w:abstractNum w:abstractNumId="12">
    <w:nsid w:val="50CA9BA9"/>
    <w:multiLevelType w:val="singleLevel"/>
    <w:tmpl w:val="50CA9BA9"/>
    <w:lvl w:ilvl="0" w:tentative="0">
      <w:start w:val="1"/>
      <w:numFmt w:val="decimal"/>
      <w:suff w:val="nothing"/>
      <w:lvlText w:val="%1、"/>
      <w:lvlJc w:val="left"/>
    </w:lvl>
  </w:abstractNum>
  <w:abstractNum w:abstractNumId="13">
    <w:nsid w:val="5E503188"/>
    <w:multiLevelType w:val="singleLevel"/>
    <w:tmpl w:val="5E503188"/>
    <w:lvl w:ilvl="0" w:tentative="0">
      <w:start w:val="2"/>
      <w:numFmt w:val="upperLetter"/>
      <w:suff w:val="nothing"/>
      <w:lvlText w:val="%1、"/>
      <w:lvlJc w:val="left"/>
      <w:rPr>
        <w:rFonts w:hint="default"/>
        <w:b w:val="0"/>
        <w:bCs w:val="0"/>
      </w:rPr>
    </w:lvl>
  </w:abstractNum>
  <w:abstractNum w:abstractNumId="14">
    <w:nsid w:val="70DEC2FD"/>
    <w:multiLevelType w:val="singleLevel"/>
    <w:tmpl w:val="70DEC2FD"/>
    <w:lvl w:ilvl="0" w:tentative="0">
      <w:start w:val="1"/>
      <w:numFmt w:val="bullet"/>
      <w:pStyle w:val="24"/>
      <w:lvlText w:val=""/>
      <w:lvlJc w:val="left"/>
      <w:pPr>
        <w:tabs>
          <w:tab w:val="left" w:pos="2040"/>
        </w:tabs>
        <w:ind w:left="2040" w:hanging="360"/>
      </w:pPr>
      <w:rPr>
        <w:rFonts w:hint="default" w:ascii="Wingdings" w:hAnsi="Wingdings"/>
      </w:rPr>
    </w:lvl>
  </w:abstractNum>
  <w:num w:numId="1">
    <w:abstractNumId w:val="14"/>
  </w:num>
  <w:num w:numId="2">
    <w:abstractNumId w:val="5"/>
  </w:num>
  <w:num w:numId="3">
    <w:abstractNumId w:val="6"/>
  </w:num>
  <w:num w:numId="4">
    <w:abstractNumId w:val="4"/>
  </w:num>
  <w:num w:numId="5">
    <w:abstractNumId w:val="1"/>
  </w:num>
  <w:num w:numId="6">
    <w:abstractNumId w:val="0"/>
  </w:num>
  <w:num w:numId="7">
    <w:abstractNumId w:val="11"/>
  </w:num>
  <w:num w:numId="8">
    <w:abstractNumId w:val="10"/>
  </w:num>
  <w:num w:numId="9">
    <w:abstractNumId w:val="13"/>
  </w:num>
  <w:num w:numId="10">
    <w:abstractNumId w:val="2"/>
  </w:num>
  <w:num w:numId="11">
    <w:abstractNumId w:val="3"/>
  </w:num>
  <w:num w:numId="12">
    <w:abstractNumId w:val="7"/>
  </w:num>
  <w:num w:numId="13">
    <w:abstractNumId w:val="12"/>
  </w:num>
  <w:num w:numId="14">
    <w:abstractNumId w:val="9"/>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hideSpellingErrors/>
  <w:hideGrammaticalErrors/>
  <w:documentProtection w:enforcement="0"/>
  <w:defaultTabStop w:val="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k2MDNiMDNlYTVkZmQxMmFlNzdhMzZiYjJlOTlmM2UifQ=="/>
  </w:docVars>
  <w:rsids>
    <w:rsidRoot w:val="003B39DD"/>
    <w:rsid w:val="00000A5B"/>
    <w:rsid w:val="00002D5C"/>
    <w:rsid w:val="00003690"/>
    <w:rsid w:val="00007623"/>
    <w:rsid w:val="0001180B"/>
    <w:rsid w:val="00013359"/>
    <w:rsid w:val="00015911"/>
    <w:rsid w:val="00015A47"/>
    <w:rsid w:val="000208B3"/>
    <w:rsid w:val="00020E8A"/>
    <w:rsid w:val="00023272"/>
    <w:rsid w:val="00025644"/>
    <w:rsid w:val="0002649E"/>
    <w:rsid w:val="0002684F"/>
    <w:rsid w:val="00030DB4"/>
    <w:rsid w:val="00031AE2"/>
    <w:rsid w:val="0003225E"/>
    <w:rsid w:val="0003263A"/>
    <w:rsid w:val="00033520"/>
    <w:rsid w:val="000352A3"/>
    <w:rsid w:val="00035ED4"/>
    <w:rsid w:val="000362A7"/>
    <w:rsid w:val="0003742D"/>
    <w:rsid w:val="00041EA2"/>
    <w:rsid w:val="00043FF0"/>
    <w:rsid w:val="00046054"/>
    <w:rsid w:val="00046A3D"/>
    <w:rsid w:val="00046F70"/>
    <w:rsid w:val="0005170A"/>
    <w:rsid w:val="00051845"/>
    <w:rsid w:val="00052359"/>
    <w:rsid w:val="00052425"/>
    <w:rsid w:val="000530E2"/>
    <w:rsid w:val="0005363F"/>
    <w:rsid w:val="000539BA"/>
    <w:rsid w:val="00053FBD"/>
    <w:rsid w:val="000540C3"/>
    <w:rsid w:val="0005639F"/>
    <w:rsid w:val="00056643"/>
    <w:rsid w:val="00056923"/>
    <w:rsid w:val="00057A18"/>
    <w:rsid w:val="00061081"/>
    <w:rsid w:val="00061A46"/>
    <w:rsid w:val="00062BE5"/>
    <w:rsid w:val="000635C1"/>
    <w:rsid w:val="0006551D"/>
    <w:rsid w:val="00065BFF"/>
    <w:rsid w:val="0007043C"/>
    <w:rsid w:val="00074521"/>
    <w:rsid w:val="000764A4"/>
    <w:rsid w:val="00076EE6"/>
    <w:rsid w:val="00080E44"/>
    <w:rsid w:val="000811B2"/>
    <w:rsid w:val="00081AE3"/>
    <w:rsid w:val="00081C1C"/>
    <w:rsid w:val="00081E2F"/>
    <w:rsid w:val="000839ED"/>
    <w:rsid w:val="00083D7C"/>
    <w:rsid w:val="00084C4F"/>
    <w:rsid w:val="00084E24"/>
    <w:rsid w:val="0008542C"/>
    <w:rsid w:val="00086427"/>
    <w:rsid w:val="000873AF"/>
    <w:rsid w:val="00091270"/>
    <w:rsid w:val="000920A4"/>
    <w:rsid w:val="000934EE"/>
    <w:rsid w:val="000962BC"/>
    <w:rsid w:val="0009691A"/>
    <w:rsid w:val="00097720"/>
    <w:rsid w:val="000A03C8"/>
    <w:rsid w:val="000A1209"/>
    <w:rsid w:val="000A2D81"/>
    <w:rsid w:val="000A4125"/>
    <w:rsid w:val="000A41A8"/>
    <w:rsid w:val="000A4783"/>
    <w:rsid w:val="000A4FB8"/>
    <w:rsid w:val="000A718C"/>
    <w:rsid w:val="000A718F"/>
    <w:rsid w:val="000B1235"/>
    <w:rsid w:val="000B196E"/>
    <w:rsid w:val="000B2239"/>
    <w:rsid w:val="000B2C99"/>
    <w:rsid w:val="000B5F3B"/>
    <w:rsid w:val="000C060D"/>
    <w:rsid w:val="000C0D62"/>
    <w:rsid w:val="000C43CA"/>
    <w:rsid w:val="000C4D7F"/>
    <w:rsid w:val="000C52A1"/>
    <w:rsid w:val="000C5EE9"/>
    <w:rsid w:val="000C5F82"/>
    <w:rsid w:val="000C6BBD"/>
    <w:rsid w:val="000D2103"/>
    <w:rsid w:val="000D276C"/>
    <w:rsid w:val="000D62D7"/>
    <w:rsid w:val="000D741B"/>
    <w:rsid w:val="000E0EAD"/>
    <w:rsid w:val="000E1190"/>
    <w:rsid w:val="000E3C4C"/>
    <w:rsid w:val="000E4B67"/>
    <w:rsid w:val="000E53EC"/>
    <w:rsid w:val="000E5592"/>
    <w:rsid w:val="000E6F21"/>
    <w:rsid w:val="000F2423"/>
    <w:rsid w:val="000F40EA"/>
    <w:rsid w:val="000F42FD"/>
    <w:rsid w:val="000F6969"/>
    <w:rsid w:val="001003F0"/>
    <w:rsid w:val="001004E3"/>
    <w:rsid w:val="0010314C"/>
    <w:rsid w:val="0010644A"/>
    <w:rsid w:val="00114118"/>
    <w:rsid w:val="00115FC0"/>
    <w:rsid w:val="001175ED"/>
    <w:rsid w:val="0012018F"/>
    <w:rsid w:val="00120ED9"/>
    <w:rsid w:val="001228D1"/>
    <w:rsid w:val="00124245"/>
    <w:rsid w:val="001258FF"/>
    <w:rsid w:val="00127100"/>
    <w:rsid w:val="0012748A"/>
    <w:rsid w:val="00134200"/>
    <w:rsid w:val="001347DA"/>
    <w:rsid w:val="00136360"/>
    <w:rsid w:val="00137063"/>
    <w:rsid w:val="00150627"/>
    <w:rsid w:val="001507AA"/>
    <w:rsid w:val="00153E39"/>
    <w:rsid w:val="00154B78"/>
    <w:rsid w:val="00163715"/>
    <w:rsid w:val="001642FC"/>
    <w:rsid w:val="00164524"/>
    <w:rsid w:val="00164734"/>
    <w:rsid w:val="00167645"/>
    <w:rsid w:val="00174367"/>
    <w:rsid w:val="00175715"/>
    <w:rsid w:val="001758A3"/>
    <w:rsid w:val="00180AE5"/>
    <w:rsid w:val="0018274C"/>
    <w:rsid w:val="001836DA"/>
    <w:rsid w:val="00184741"/>
    <w:rsid w:val="001859E2"/>
    <w:rsid w:val="00186CB4"/>
    <w:rsid w:val="001908FA"/>
    <w:rsid w:val="00190CB3"/>
    <w:rsid w:val="001917C5"/>
    <w:rsid w:val="00193EBE"/>
    <w:rsid w:val="00194CB4"/>
    <w:rsid w:val="00195080"/>
    <w:rsid w:val="001A0045"/>
    <w:rsid w:val="001A011E"/>
    <w:rsid w:val="001A14AC"/>
    <w:rsid w:val="001A290C"/>
    <w:rsid w:val="001A3A4A"/>
    <w:rsid w:val="001A5DBE"/>
    <w:rsid w:val="001B31C0"/>
    <w:rsid w:val="001B3274"/>
    <w:rsid w:val="001B3BED"/>
    <w:rsid w:val="001B4612"/>
    <w:rsid w:val="001B5238"/>
    <w:rsid w:val="001B6664"/>
    <w:rsid w:val="001B6890"/>
    <w:rsid w:val="001B795B"/>
    <w:rsid w:val="001C0DBE"/>
    <w:rsid w:val="001C2177"/>
    <w:rsid w:val="001C21B4"/>
    <w:rsid w:val="001C2601"/>
    <w:rsid w:val="001C3F4F"/>
    <w:rsid w:val="001C4AAA"/>
    <w:rsid w:val="001C4D7E"/>
    <w:rsid w:val="001C5A2F"/>
    <w:rsid w:val="001C6675"/>
    <w:rsid w:val="001C7C4B"/>
    <w:rsid w:val="001D025E"/>
    <w:rsid w:val="001D0FC6"/>
    <w:rsid w:val="001D1D2C"/>
    <w:rsid w:val="001D2014"/>
    <w:rsid w:val="001D3179"/>
    <w:rsid w:val="001D4983"/>
    <w:rsid w:val="001D4F34"/>
    <w:rsid w:val="001D7092"/>
    <w:rsid w:val="001D7784"/>
    <w:rsid w:val="001D7820"/>
    <w:rsid w:val="001E1AD8"/>
    <w:rsid w:val="001E1ED9"/>
    <w:rsid w:val="001E4395"/>
    <w:rsid w:val="001E4724"/>
    <w:rsid w:val="001E4BF4"/>
    <w:rsid w:val="001E4DBE"/>
    <w:rsid w:val="001E511D"/>
    <w:rsid w:val="001E7A10"/>
    <w:rsid w:val="001F3C51"/>
    <w:rsid w:val="001F4FAF"/>
    <w:rsid w:val="001F529F"/>
    <w:rsid w:val="001F746B"/>
    <w:rsid w:val="00202FF6"/>
    <w:rsid w:val="0020709C"/>
    <w:rsid w:val="002110D2"/>
    <w:rsid w:val="00213401"/>
    <w:rsid w:val="00213A71"/>
    <w:rsid w:val="00213D1C"/>
    <w:rsid w:val="002163BA"/>
    <w:rsid w:val="0021796B"/>
    <w:rsid w:val="0022036C"/>
    <w:rsid w:val="0022431F"/>
    <w:rsid w:val="00224325"/>
    <w:rsid w:val="002247BA"/>
    <w:rsid w:val="00231666"/>
    <w:rsid w:val="002316E1"/>
    <w:rsid w:val="00231D95"/>
    <w:rsid w:val="00234840"/>
    <w:rsid w:val="00236A89"/>
    <w:rsid w:val="00236BBE"/>
    <w:rsid w:val="00236E5D"/>
    <w:rsid w:val="00241495"/>
    <w:rsid w:val="00243BAE"/>
    <w:rsid w:val="00243F6A"/>
    <w:rsid w:val="00245DE8"/>
    <w:rsid w:val="0024654B"/>
    <w:rsid w:val="00247A18"/>
    <w:rsid w:val="00247DC2"/>
    <w:rsid w:val="00250729"/>
    <w:rsid w:val="0025254A"/>
    <w:rsid w:val="00256B9A"/>
    <w:rsid w:val="00260187"/>
    <w:rsid w:val="002602A5"/>
    <w:rsid w:val="0026035C"/>
    <w:rsid w:val="0026044B"/>
    <w:rsid w:val="00260507"/>
    <w:rsid w:val="002609F8"/>
    <w:rsid w:val="0026128F"/>
    <w:rsid w:val="00262C23"/>
    <w:rsid w:val="002630BB"/>
    <w:rsid w:val="00263968"/>
    <w:rsid w:val="00264D74"/>
    <w:rsid w:val="00265D76"/>
    <w:rsid w:val="00265FC6"/>
    <w:rsid w:val="00267040"/>
    <w:rsid w:val="002705B6"/>
    <w:rsid w:val="00271806"/>
    <w:rsid w:val="00273F9F"/>
    <w:rsid w:val="0028059F"/>
    <w:rsid w:val="00280EB9"/>
    <w:rsid w:val="002811B9"/>
    <w:rsid w:val="00282E29"/>
    <w:rsid w:val="002831EB"/>
    <w:rsid w:val="00284E0F"/>
    <w:rsid w:val="00285837"/>
    <w:rsid w:val="00285894"/>
    <w:rsid w:val="00285ABD"/>
    <w:rsid w:val="002874F1"/>
    <w:rsid w:val="00290E55"/>
    <w:rsid w:val="00292101"/>
    <w:rsid w:val="0029237F"/>
    <w:rsid w:val="00292BAB"/>
    <w:rsid w:val="002939B5"/>
    <w:rsid w:val="00294D97"/>
    <w:rsid w:val="00296400"/>
    <w:rsid w:val="00296AAC"/>
    <w:rsid w:val="00297448"/>
    <w:rsid w:val="002A26C0"/>
    <w:rsid w:val="002A3023"/>
    <w:rsid w:val="002A4823"/>
    <w:rsid w:val="002A4F7F"/>
    <w:rsid w:val="002A65C1"/>
    <w:rsid w:val="002B0ECE"/>
    <w:rsid w:val="002B2989"/>
    <w:rsid w:val="002B4102"/>
    <w:rsid w:val="002B5AE3"/>
    <w:rsid w:val="002B7982"/>
    <w:rsid w:val="002B7C43"/>
    <w:rsid w:val="002C0A74"/>
    <w:rsid w:val="002C1222"/>
    <w:rsid w:val="002C16AE"/>
    <w:rsid w:val="002C289E"/>
    <w:rsid w:val="002C2D47"/>
    <w:rsid w:val="002C3100"/>
    <w:rsid w:val="002C4A3F"/>
    <w:rsid w:val="002C5146"/>
    <w:rsid w:val="002C5684"/>
    <w:rsid w:val="002C569D"/>
    <w:rsid w:val="002C6AD8"/>
    <w:rsid w:val="002D24C7"/>
    <w:rsid w:val="002D459C"/>
    <w:rsid w:val="002D5E27"/>
    <w:rsid w:val="002D5F37"/>
    <w:rsid w:val="002D6173"/>
    <w:rsid w:val="002E373A"/>
    <w:rsid w:val="002E51B5"/>
    <w:rsid w:val="002E547F"/>
    <w:rsid w:val="002E5F5E"/>
    <w:rsid w:val="002F047C"/>
    <w:rsid w:val="002F2061"/>
    <w:rsid w:val="002F2321"/>
    <w:rsid w:val="002F41F9"/>
    <w:rsid w:val="002F5B82"/>
    <w:rsid w:val="002F7995"/>
    <w:rsid w:val="002F799C"/>
    <w:rsid w:val="00302282"/>
    <w:rsid w:val="003028D0"/>
    <w:rsid w:val="00304642"/>
    <w:rsid w:val="003121D9"/>
    <w:rsid w:val="00312744"/>
    <w:rsid w:val="003136EE"/>
    <w:rsid w:val="00313EB5"/>
    <w:rsid w:val="00314C27"/>
    <w:rsid w:val="003161EE"/>
    <w:rsid w:val="00316E21"/>
    <w:rsid w:val="00317119"/>
    <w:rsid w:val="00321B17"/>
    <w:rsid w:val="0032577C"/>
    <w:rsid w:val="00326856"/>
    <w:rsid w:val="00330214"/>
    <w:rsid w:val="003335F4"/>
    <w:rsid w:val="003336C5"/>
    <w:rsid w:val="003345EA"/>
    <w:rsid w:val="00340EF7"/>
    <w:rsid w:val="003413A2"/>
    <w:rsid w:val="00342989"/>
    <w:rsid w:val="00344245"/>
    <w:rsid w:val="00345FC5"/>
    <w:rsid w:val="003469E5"/>
    <w:rsid w:val="00351EC4"/>
    <w:rsid w:val="0035429E"/>
    <w:rsid w:val="003577BC"/>
    <w:rsid w:val="00357F2C"/>
    <w:rsid w:val="00363E20"/>
    <w:rsid w:val="00365216"/>
    <w:rsid w:val="00366119"/>
    <w:rsid w:val="0036654D"/>
    <w:rsid w:val="00366E92"/>
    <w:rsid w:val="00366F7A"/>
    <w:rsid w:val="003679DB"/>
    <w:rsid w:val="00370365"/>
    <w:rsid w:val="00372890"/>
    <w:rsid w:val="00373246"/>
    <w:rsid w:val="00380821"/>
    <w:rsid w:val="00380A6E"/>
    <w:rsid w:val="00381C67"/>
    <w:rsid w:val="003823F8"/>
    <w:rsid w:val="0038318D"/>
    <w:rsid w:val="0038361F"/>
    <w:rsid w:val="0038372F"/>
    <w:rsid w:val="0038459E"/>
    <w:rsid w:val="00386A75"/>
    <w:rsid w:val="00386B42"/>
    <w:rsid w:val="003875FE"/>
    <w:rsid w:val="00387997"/>
    <w:rsid w:val="00391050"/>
    <w:rsid w:val="0039119F"/>
    <w:rsid w:val="00393C14"/>
    <w:rsid w:val="003A17E5"/>
    <w:rsid w:val="003A1B92"/>
    <w:rsid w:val="003A3785"/>
    <w:rsid w:val="003A3FD4"/>
    <w:rsid w:val="003A457A"/>
    <w:rsid w:val="003A49F7"/>
    <w:rsid w:val="003A616F"/>
    <w:rsid w:val="003B0161"/>
    <w:rsid w:val="003B2E1D"/>
    <w:rsid w:val="003B39DD"/>
    <w:rsid w:val="003B4A75"/>
    <w:rsid w:val="003B5B7E"/>
    <w:rsid w:val="003B5E82"/>
    <w:rsid w:val="003B6D24"/>
    <w:rsid w:val="003C0080"/>
    <w:rsid w:val="003C00D6"/>
    <w:rsid w:val="003C149E"/>
    <w:rsid w:val="003C21C6"/>
    <w:rsid w:val="003C2B0D"/>
    <w:rsid w:val="003C2B84"/>
    <w:rsid w:val="003C522D"/>
    <w:rsid w:val="003D1104"/>
    <w:rsid w:val="003D1D53"/>
    <w:rsid w:val="003D1DB7"/>
    <w:rsid w:val="003D24D5"/>
    <w:rsid w:val="003D250E"/>
    <w:rsid w:val="003D283E"/>
    <w:rsid w:val="003D562D"/>
    <w:rsid w:val="003E0ADB"/>
    <w:rsid w:val="003E2230"/>
    <w:rsid w:val="003E44EA"/>
    <w:rsid w:val="003E5129"/>
    <w:rsid w:val="003E67DB"/>
    <w:rsid w:val="003E7CC6"/>
    <w:rsid w:val="003F5A53"/>
    <w:rsid w:val="00401509"/>
    <w:rsid w:val="004032C9"/>
    <w:rsid w:val="00403C26"/>
    <w:rsid w:val="00406BE2"/>
    <w:rsid w:val="004071B0"/>
    <w:rsid w:val="00407ED6"/>
    <w:rsid w:val="0041081B"/>
    <w:rsid w:val="00411C27"/>
    <w:rsid w:val="004121F2"/>
    <w:rsid w:val="0041284B"/>
    <w:rsid w:val="00414A61"/>
    <w:rsid w:val="00415A98"/>
    <w:rsid w:val="004215EE"/>
    <w:rsid w:val="0042222F"/>
    <w:rsid w:val="00424A30"/>
    <w:rsid w:val="00426C9A"/>
    <w:rsid w:val="00432920"/>
    <w:rsid w:val="00435676"/>
    <w:rsid w:val="00435878"/>
    <w:rsid w:val="00435914"/>
    <w:rsid w:val="00435CE0"/>
    <w:rsid w:val="00435E90"/>
    <w:rsid w:val="004403AA"/>
    <w:rsid w:val="00441014"/>
    <w:rsid w:val="00441CF6"/>
    <w:rsid w:val="00442381"/>
    <w:rsid w:val="0044281A"/>
    <w:rsid w:val="00443137"/>
    <w:rsid w:val="00444EA9"/>
    <w:rsid w:val="00446047"/>
    <w:rsid w:val="004509B3"/>
    <w:rsid w:val="00452986"/>
    <w:rsid w:val="004552BF"/>
    <w:rsid w:val="004569FA"/>
    <w:rsid w:val="004572E0"/>
    <w:rsid w:val="00457C7C"/>
    <w:rsid w:val="004609F5"/>
    <w:rsid w:val="0046297B"/>
    <w:rsid w:val="00463117"/>
    <w:rsid w:val="00463BDF"/>
    <w:rsid w:val="0046767E"/>
    <w:rsid w:val="00474953"/>
    <w:rsid w:val="0047674D"/>
    <w:rsid w:val="00477EF5"/>
    <w:rsid w:val="0048071C"/>
    <w:rsid w:val="00481310"/>
    <w:rsid w:val="00483E9A"/>
    <w:rsid w:val="00485706"/>
    <w:rsid w:val="00486793"/>
    <w:rsid w:val="00486CAE"/>
    <w:rsid w:val="004876EA"/>
    <w:rsid w:val="00487904"/>
    <w:rsid w:val="00495AC5"/>
    <w:rsid w:val="00496293"/>
    <w:rsid w:val="00497399"/>
    <w:rsid w:val="004A29D1"/>
    <w:rsid w:val="004A3DED"/>
    <w:rsid w:val="004A4EB2"/>
    <w:rsid w:val="004A53DC"/>
    <w:rsid w:val="004A6234"/>
    <w:rsid w:val="004A6FD4"/>
    <w:rsid w:val="004A72BC"/>
    <w:rsid w:val="004A765B"/>
    <w:rsid w:val="004B6F17"/>
    <w:rsid w:val="004B7270"/>
    <w:rsid w:val="004B78C9"/>
    <w:rsid w:val="004B7A2A"/>
    <w:rsid w:val="004C2D40"/>
    <w:rsid w:val="004C32A2"/>
    <w:rsid w:val="004C4853"/>
    <w:rsid w:val="004C5325"/>
    <w:rsid w:val="004C5AB7"/>
    <w:rsid w:val="004C6642"/>
    <w:rsid w:val="004C7B50"/>
    <w:rsid w:val="004D0459"/>
    <w:rsid w:val="004D3585"/>
    <w:rsid w:val="004D37B4"/>
    <w:rsid w:val="004D652C"/>
    <w:rsid w:val="004D7F42"/>
    <w:rsid w:val="004E08FE"/>
    <w:rsid w:val="004E1C26"/>
    <w:rsid w:val="004E271C"/>
    <w:rsid w:val="004E39BA"/>
    <w:rsid w:val="004E3E25"/>
    <w:rsid w:val="004E4F17"/>
    <w:rsid w:val="004E4FB5"/>
    <w:rsid w:val="004E7B75"/>
    <w:rsid w:val="004E7FD4"/>
    <w:rsid w:val="004F1906"/>
    <w:rsid w:val="004F191D"/>
    <w:rsid w:val="004F5D68"/>
    <w:rsid w:val="004F6561"/>
    <w:rsid w:val="004F6FCB"/>
    <w:rsid w:val="004F7567"/>
    <w:rsid w:val="005009EA"/>
    <w:rsid w:val="00501325"/>
    <w:rsid w:val="00502727"/>
    <w:rsid w:val="00503AF0"/>
    <w:rsid w:val="0050692F"/>
    <w:rsid w:val="005077D2"/>
    <w:rsid w:val="00514AE2"/>
    <w:rsid w:val="005150F3"/>
    <w:rsid w:val="00515BC5"/>
    <w:rsid w:val="00515C4E"/>
    <w:rsid w:val="00516538"/>
    <w:rsid w:val="0051759C"/>
    <w:rsid w:val="0052156E"/>
    <w:rsid w:val="005229E7"/>
    <w:rsid w:val="00530E3B"/>
    <w:rsid w:val="005330E3"/>
    <w:rsid w:val="005336AB"/>
    <w:rsid w:val="00533DF0"/>
    <w:rsid w:val="0053410A"/>
    <w:rsid w:val="005341DB"/>
    <w:rsid w:val="00534988"/>
    <w:rsid w:val="0053528C"/>
    <w:rsid w:val="0053563B"/>
    <w:rsid w:val="00535E80"/>
    <w:rsid w:val="00537061"/>
    <w:rsid w:val="00542803"/>
    <w:rsid w:val="0054659C"/>
    <w:rsid w:val="00551A28"/>
    <w:rsid w:val="005611CC"/>
    <w:rsid w:val="005615FC"/>
    <w:rsid w:val="00563955"/>
    <w:rsid w:val="00563B5C"/>
    <w:rsid w:val="005660FC"/>
    <w:rsid w:val="00566703"/>
    <w:rsid w:val="00566B7F"/>
    <w:rsid w:val="00570C26"/>
    <w:rsid w:val="00573C31"/>
    <w:rsid w:val="0057453E"/>
    <w:rsid w:val="00574C65"/>
    <w:rsid w:val="00576BAF"/>
    <w:rsid w:val="00576C42"/>
    <w:rsid w:val="00577DD4"/>
    <w:rsid w:val="0058422B"/>
    <w:rsid w:val="0058657C"/>
    <w:rsid w:val="0059015F"/>
    <w:rsid w:val="00593A4C"/>
    <w:rsid w:val="005958E8"/>
    <w:rsid w:val="00596411"/>
    <w:rsid w:val="0059726F"/>
    <w:rsid w:val="005A08F0"/>
    <w:rsid w:val="005A0E58"/>
    <w:rsid w:val="005A151A"/>
    <w:rsid w:val="005A5D5C"/>
    <w:rsid w:val="005A5D7F"/>
    <w:rsid w:val="005B1D35"/>
    <w:rsid w:val="005B2688"/>
    <w:rsid w:val="005B3B09"/>
    <w:rsid w:val="005B4199"/>
    <w:rsid w:val="005B4C9C"/>
    <w:rsid w:val="005B4E16"/>
    <w:rsid w:val="005B5F74"/>
    <w:rsid w:val="005B676F"/>
    <w:rsid w:val="005C074E"/>
    <w:rsid w:val="005C13B5"/>
    <w:rsid w:val="005C4332"/>
    <w:rsid w:val="005C4BF9"/>
    <w:rsid w:val="005C633B"/>
    <w:rsid w:val="005D04EE"/>
    <w:rsid w:val="005D06CD"/>
    <w:rsid w:val="005D10C0"/>
    <w:rsid w:val="005D141A"/>
    <w:rsid w:val="005D2330"/>
    <w:rsid w:val="005D2425"/>
    <w:rsid w:val="005D2FB2"/>
    <w:rsid w:val="005D42D8"/>
    <w:rsid w:val="005E0174"/>
    <w:rsid w:val="005E19E5"/>
    <w:rsid w:val="005E4348"/>
    <w:rsid w:val="005E44C4"/>
    <w:rsid w:val="005E4B4E"/>
    <w:rsid w:val="005E63B2"/>
    <w:rsid w:val="005E7E9B"/>
    <w:rsid w:val="005F0604"/>
    <w:rsid w:val="005F09E6"/>
    <w:rsid w:val="005F0D0B"/>
    <w:rsid w:val="005F187C"/>
    <w:rsid w:val="005F390E"/>
    <w:rsid w:val="005F5CFF"/>
    <w:rsid w:val="005F5DD3"/>
    <w:rsid w:val="00600346"/>
    <w:rsid w:val="00600858"/>
    <w:rsid w:val="0060330C"/>
    <w:rsid w:val="00603529"/>
    <w:rsid w:val="00607229"/>
    <w:rsid w:val="00611880"/>
    <w:rsid w:val="00611DF2"/>
    <w:rsid w:val="00613FEA"/>
    <w:rsid w:val="00614424"/>
    <w:rsid w:val="006154A3"/>
    <w:rsid w:val="00616ABF"/>
    <w:rsid w:val="00621EDD"/>
    <w:rsid w:val="00622587"/>
    <w:rsid w:val="00625B29"/>
    <w:rsid w:val="00625FF9"/>
    <w:rsid w:val="0062731A"/>
    <w:rsid w:val="00627E6B"/>
    <w:rsid w:val="00631B65"/>
    <w:rsid w:val="0063349B"/>
    <w:rsid w:val="00633749"/>
    <w:rsid w:val="00636C2F"/>
    <w:rsid w:val="0063743A"/>
    <w:rsid w:val="0063751B"/>
    <w:rsid w:val="00637AED"/>
    <w:rsid w:val="006400C6"/>
    <w:rsid w:val="00640717"/>
    <w:rsid w:val="00641CB4"/>
    <w:rsid w:val="00642973"/>
    <w:rsid w:val="00642CC8"/>
    <w:rsid w:val="00643125"/>
    <w:rsid w:val="006438C8"/>
    <w:rsid w:val="0064635B"/>
    <w:rsid w:val="00652E06"/>
    <w:rsid w:val="00653795"/>
    <w:rsid w:val="00653977"/>
    <w:rsid w:val="00653F64"/>
    <w:rsid w:val="006549EC"/>
    <w:rsid w:val="0065639C"/>
    <w:rsid w:val="006564B8"/>
    <w:rsid w:val="00656DE1"/>
    <w:rsid w:val="00657882"/>
    <w:rsid w:val="00661366"/>
    <w:rsid w:val="00661BA6"/>
    <w:rsid w:val="00662E8A"/>
    <w:rsid w:val="00664669"/>
    <w:rsid w:val="00664ACC"/>
    <w:rsid w:val="00665E9A"/>
    <w:rsid w:val="0066704C"/>
    <w:rsid w:val="00673FA1"/>
    <w:rsid w:val="00677386"/>
    <w:rsid w:val="00680D50"/>
    <w:rsid w:val="0068123E"/>
    <w:rsid w:val="0068172A"/>
    <w:rsid w:val="006818EA"/>
    <w:rsid w:val="00682200"/>
    <w:rsid w:val="00683BBE"/>
    <w:rsid w:val="00683E88"/>
    <w:rsid w:val="006848DA"/>
    <w:rsid w:val="00685179"/>
    <w:rsid w:val="0068521E"/>
    <w:rsid w:val="006871D7"/>
    <w:rsid w:val="00691DBE"/>
    <w:rsid w:val="00692265"/>
    <w:rsid w:val="0069236C"/>
    <w:rsid w:val="00694073"/>
    <w:rsid w:val="00695203"/>
    <w:rsid w:val="006955F6"/>
    <w:rsid w:val="00695E68"/>
    <w:rsid w:val="00696608"/>
    <w:rsid w:val="00696DBC"/>
    <w:rsid w:val="00697EBD"/>
    <w:rsid w:val="006A013E"/>
    <w:rsid w:val="006A027E"/>
    <w:rsid w:val="006A0A26"/>
    <w:rsid w:val="006A1378"/>
    <w:rsid w:val="006A1F0F"/>
    <w:rsid w:val="006A2EFF"/>
    <w:rsid w:val="006A4731"/>
    <w:rsid w:val="006A4F97"/>
    <w:rsid w:val="006A5836"/>
    <w:rsid w:val="006A5DEB"/>
    <w:rsid w:val="006A5E20"/>
    <w:rsid w:val="006A5F0D"/>
    <w:rsid w:val="006A66DF"/>
    <w:rsid w:val="006A7A1C"/>
    <w:rsid w:val="006B25DF"/>
    <w:rsid w:val="006B6AC4"/>
    <w:rsid w:val="006B6ED8"/>
    <w:rsid w:val="006C02FF"/>
    <w:rsid w:val="006C0E22"/>
    <w:rsid w:val="006C2CCB"/>
    <w:rsid w:val="006C4EDD"/>
    <w:rsid w:val="006C643B"/>
    <w:rsid w:val="006C7E7B"/>
    <w:rsid w:val="006D0223"/>
    <w:rsid w:val="006D52D0"/>
    <w:rsid w:val="006D5F1A"/>
    <w:rsid w:val="006D6546"/>
    <w:rsid w:val="006D7314"/>
    <w:rsid w:val="006D7B11"/>
    <w:rsid w:val="006E023C"/>
    <w:rsid w:val="006E0310"/>
    <w:rsid w:val="006E0839"/>
    <w:rsid w:val="006E10AA"/>
    <w:rsid w:val="006E15EB"/>
    <w:rsid w:val="006E1D69"/>
    <w:rsid w:val="006E666D"/>
    <w:rsid w:val="006E6B35"/>
    <w:rsid w:val="006E7B33"/>
    <w:rsid w:val="006F387B"/>
    <w:rsid w:val="006F629E"/>
    <w:rsid w:val="006F672A"/>
    <w:rsid w:val="006F6796"/>
    <w:rsid w:val="00702A86"/>
    <w:rsid w:val="007048CD"/>
    <w:rsid w:val="00705ABC"/>
    <w:rsid w:val="007060D7"/>
    <w:rsid w:val="00707530"/>
    <w:rsid w:val="00714A99"/>
    <w:rsid w:val="00715FC2"/>
    <w:rsid w:val="00716932"/>
    <w:rsid w:val="00720CE5"/>
    <w:rsid w:val="0072109A"/>
    <w:rsid w:val="007218FF"/>
    <w:rsid w:val="00722144"/>
    <w:rsid w:val="00724DE0"/>
    <w:rsid w:val="00730970"/>
    <w:rsid w:val="00732662"/>
    <w:rsid w:val="007350D1"/>
    <w:rsid w:val="007351AA"/>
    <w:rsid w:val="00736D41"/>
    <w:rsid w:val="007376D9"/>
    <w:rsid w:val="00740CC0"/>
    <w:rsid w:val="00742A51"/>
    <w:rsid w:val="00743D40"/>
    <w:rsid w:val="00743D50"/>
    <w:rsid w:val="00744BB0"/>
    <w:rsid w:val="00744EB0"/>
    <w:rsid w:val="00747D77"/>
    <w:rsid w:val="00750CCF"/>
    <w:rsid w:val="00754D69"/>
    <w:rsid w:val="007550E2"/>
    <w:rsid w:val="00755116"/>
    <w:rsid w:val="00755A13"/>
    <w:rsid w:val="00755BCB"/>
    <w:rsid w:val="00764088"/>
    <w:rsid w:val="0076584B"/>
    <w:rsid w:val="00765ACB"/>
    <w:rsid w:val="007667CC"/>
    <w:rsid w:val="007715AB"/>
    <w:rsid w:val="00775535"/>
    <w:rsid w:val="007756D4"/>
    <w:rsid w:val="00775B8A"/>
    <w:rsid w:val="0078042A"/>
    <w:rsid w:val="007820AD"/>
    <w:rsid w:val="007820F0"/>
    <w:rsid w:val="007824CC"/>
    <w:rsid w:val="00783610"/>
    <w:rsid w:val="00783DEB"/>
    <w:rsid w:val="00783FBF"/>
    <w:rsid w:val="007841CB"/>
    <w:rsid w:val="00786A75"/>
    <w:rsid w:val="00791E44"/>
    <w:rsid w:val="00792656"/>
    <w:rsid w:val="00792D31"/>
    <w:rsid w:val="007932DD"/>
    <w:rsid w:val="00795339"/>
    <w:rsid w:val="00795455"/>
    <w:rsid w:val="00796AFB"/>
    <w:rsid w:val="0079725A"/>
    <w:rsid w:val="00797955"/>
    <w:rsid w:val="007A0C02"/>
    <w:rsid w:val="007A2F68"/>
    <w:rsid w:val="007A3694"/>
    <w:rsid w:val="007A408A"/>
    <w:rsid w:val="007B547B"/>
    <w:rsid w:val="007B5797"/>
    <w:rsid w:val="007B59AC"/>
    <w:rsid w:val="007B6EE1"/>
    <w:rsid w:val="007B7549"/>
    <w:rsid w:val="007C31E0"/>
    <w:rsid w:val="007C4019"/>
    <w:rsid w:val="007C69A8"/>
    <w:rsid w:val="007C7878"/>
    <w:rsid w:val="007D1D44"/>
    <w:rsid w:val="007D2458"/>
    <w:rsid w:val="007D3374"/>
    <w:rsid w:val="007D647C"/>
    <w:rsid w:val="007D6645"/>
    <w:rsid w:val="007E3C44"/>
    <w:rsid w:val="007E6FDE"/>
    <w:rsid w:val="007E749D"/>
    <w:rsid w:val="007F0187"/>
    <w:rsid w:val="007F0FDA"/>
    <w:rsid w:val="007F1C52"/>
    <w:rsid w:val="007F1F6B"/>
    <w:rsid w:val="007F268D"/>
    <w:rsid w:val="007F2CFF"/>
    <w:rsid w:val="007F38AF"/>
    <w:rsid w:val="007F5515"/>
    <w:rsid w:val="007F6C6F"/>
    <w:rsid w:val="007F7873"/>
    <w:rsid w:val="00803BC7"/>
    <w:rsid w:val="00803EBB"/>
    <w:rsid w:val="00805D54"/>
    <w:rsid w:val="00806CD8"/>
    <w:rsid w:val="0080789A"/>
    <w:rsid w:val="008108DF"/>
    <w:rsid w:val="00812051"/>
    <w:rsid w:val="008166AF"/>
    <w:rsid w:val="00821046"/>
    <w:rsid w:val="00822E7B"/>
    <w:rsid w:val="008236E7"/>
    <w:rsid w:val="00823AE7"/>
    <w:rsid w:val="008248FF"/>
    <w:rsid w:val="00826FED"/>
    <w:rsid w:val="00827FD9"/>
    <w:rsid w:val="00830038"/>
    <w:rsid w:val="00830253"/>
    <w:rsid w:val="00831796"/>
    <w:rsid w:val="00835E69"/>
    <w:rsid w:val="0083701C"/>
    <w:rsid w:val="00841C13"/>
    <w:rsid w:val="00842C86"/>
    <w:rsid w:val="00843420"/>
    <w:rsid w:val="00843485"/>
    <w:rsid w:val="00843FCE"/>
    <w:rsid w:val="008442AF"/>
    <w:rsid w:val="00844F41"/>
    <w:rsid w:val="00846329"/>
    <w:rsid w:val="0084648B"/>
    <w:rsid w:val="0085033E"/>
    <w:rsid w:val="008508C8"/>
    <w:rsid w:val="00850959"/>
    <w:rsid w:val="008545B3"/>
    <w:rsid w:val="00855785"/>
    <w:rsid w:val="00855B7D"/>
    <w:rsid w:val="00856C25"/>
    <w:rsid w:val="00856FC2"/>
    <w:rsid w:val="00857C11"/>
    <w:rsid w:val="0086098E"/>
    <w:rsid w:val="00860D03"/>
    <w:rsid w:val="00861C58"/>
    <w:rsid w:val="00861C88"/>
    <w:rsid w:val="00862C86"/>
    <w:rsid w:val="00862E68"/>
    <w:rsid w:val="00867F55"/>
    <w:rsid w:val="00870B43"/>
    <w:rsid w:val="00871ADD"/>
    <w:rsid w:val="0087311F"/>
    <w:rsid w:val="00875231"/>
    <w:rsid w:val="00875A37"/>
    <w:rsid w:val="00875C7F"/>
    <w:rsid w:val="008813C6"/>
    <w:rsid w:val="00881C6F"/>
    <w:rsid w:val="00883BF9"/>
    <w:rsid w:val="00884D76"/>
    <w:rsid w:val="00890804"/>
    <w:rsid w:val="008923C6"/>
    <w:rsid w:val="00892B27"/>
    <w:rsid w:val="00892D5F"/>
    <w:rsid w:val="00893456"/>
    <w:rsid w:val="00893C71"/>
    <w:rsid w:val="00894822"/>
    <w:rsid w:val="008A0EFE"/>
    <w:rsid w:val="008A27AA"/>
    <w:rsid w:val="008A298D"/>
    <w:rsid w:val="008A622B"/>
    <w:rsid w:val="008B0417"/>
    <w:rsid w:val="008B3F6E"/>
    <w:rsid w:val="008B48D1"/>
    <w:rsid w:val="008B5F41"/>
    <w:rsid w:val="008B621D"/>
    <w:rsid w:val="008B7055"/>
    <w:rsid w:val="008C126E"/>
    <w:rsid w:val="008C188A"/>
    <w:rsid w:val="008C3834"/>
    <w:rsid w:val="008C55D9"/>
    <w:rsid w:val="008C69BB"/>
    <w:rsid w:val="008D0B33"/>
    <w:rsid w:val="008D45FF"/>
    <w:rsid w:val="008D58B1"/>
    <w:rsid w:val="008D674A"/>
    <w:rsid w:val="008E07BF"/>
    <w:rsid w:val="008E1366"/>
    <w:rsid w:val="008E2920"/>
    <w:rsid w:val="008E3949"/>
    <w:rsid w:val="008E6E2E"/>
    <w:rsid w:val="008E75AB"/>
    <w:rsid w:val="008F0B3D"/>
    <w:rsid w:val="008F0FC1"/>
    <w:rsid w:val="008F2075"/>
    <w:rsid w:val="008F3889"/>
    <w:rsid w:val="008F3A50"/>
    <w:rsid w:val="008F44EE"/>
    <w:rsid w:val="008F4D6E"/>
    <w:rsid w:val="008F6DFF"/>
    <w:rsid w:val="008F7816"/>
    <w:rsid w:val="008F7991"/>
    <w:rsid w:val="0090013C"/>
    <w:rsid w:val="00900EE9"/>
    <w:rsid w:val="0090134B"/>
    <w:rsid w:val="009013CD"/>
    <w:rsid w:val="00903605"/>
    <w:rsid w:val="009038B5"/>
    <w:rsid w:val="009048A4"/>
    <w:rsid w:val="00910332"/>
    <w:rsid w:val="00910A3C"/>
    <w:rsid w:val="00913C0E"/>
    <w:rsid w:val="0091557B"/>
    <w:rsid w:val="00915887"/>
    <w:rsid w:val="00916B3B"/>
    <w:rsid w:val="00920A07"/>
    <w:rsid w:val="00922DAD"/>
    <w:rsid w:val="00922F74"/>
    <w:rsid w:val="00924ACA"/>
    <w:rsid w:val="00924B7E"/>
    <w:rsid w:val="00925382"/>
    <w:rsid w:val="00930C28"/>
    <w:rsid w:val="00930CC7"/>
    <w:rsid w:val="00930EC3"/>
    <w:rsid w:val="00932618"/>
    <w:rsid w:val="00934FBB"/>
    <w:rsid w:val="0093744C"/>
    <w:rsid w:val="00940345"/>
    <w:rsid w:val="00942D58"/>
    <w:rsid w:val="00944DBA"/>
    <w:rsid w:val="0094501E"/>
    <w:rsid w:val="009476A5"/>
    <w:rsid w:val="00947AF0"/>
    <w:rsid w:val="00951AAA"/>
    <w:rsid w:val="0095240F"/>
    <w:rsid w:val="00952D34"/>
    <w:rsid w:val="00952D39"/>
    <w:rsid w:val="009535E9"/>
    <w:rsid w:val="00953C83"/>
    <w:rsid w:val="009547B6"/>
    <w:rsid w:val="00954BB3"/>
    <w:rsid w:val="00954F1D"/>
    <w:rsid w:val="0096129E"/>
    <w:rsid w:val="00961816"/>
    <w:rsid w:val="00965791"/>
    <w:rsid w:val="009659D5"/>
    <w:rsid w:val="0097158A"/>
    <w:rsid w:val="00971BAE"/>
    <w:rsid w:val="00971E87"/>
    <w:rsid w:val="00972018"/>
    <w:rsid w:val="009724B8"/>
    <w:rsid w:val="009733F0"/>
    <w:rsid w:val="00974874"/>
    <w:rsid w:val="009755D6"/>
    <w:rsid w:val="00975BC1"/>
    <w:rsid w:val="009761D0"/>
    <w:rsid w:val="00977EB9"/>
    <w:rsid w:val="009802A4"/>
    <w:rsid w:val="00981B9E"/>
    <w:rsid w:val="0098275A"/>
    <w:rsid w:val="00984F6E"/>
    <w:rsid w:val="0098543B"/>
    <w:rsid w:val="0098580D"/>
    <w:rsid w:val="009861ED"/>
    <w:rsid w:val="009904F9"/>
    <w:rsid w:val="00991718"/>
    <w:rsid w:val="00994287"/>
    <w:rsid w:val="0099449C"/>
    <w:rsid w:val="00995599"/>
    <w:rsid w:val="00996051"/>
    <w:rsid w:val="009974D5"/>
    <w:rsid w:val="009A04AC"/>
    <w:rsid w:val="009A2253"/>
    <w:rsid w:val="009A45DE"/>
    <w:rsid w:val="009A64C9"/>
    <w:rsid w:val="009B0AF7"/>
    <w:rsid w:val="009B17F7"/>
    <w:rsid w:val="009B4F39"/>
    <w:rsid w:val="009B7036"/>
    <w:rsid w:val="009B78FB"/>
    <w:rsid w:val="009C1D1D"/>
    <w:rsid w:val="009C2490"/>
    <w:rsid w:val="009C2770"/>
    <w:rsid w:val="009C439B"/>
    <w:rsid w:val="009C5740"/>
    <w:rsid w:val="009C680B"/>
    <w:rsid w:val="009C7934"/>
    <w:rsid w:val="009C7B80"/>
    <w:rsid w:val="009D0ED0"/>
    <w:rsid w:val="009D45F2"/>
    <w:rsid w:val="009D52F8"/>
    <w:rsid w:val="009D56D5"/>
    <w:rsid w:val="009D7543"/>
    <w:rsid w:val="009D7E25"/>
    <w:rsid w:val="009E1562"/>
    <w:rsid w:val="009E3280"/>
    <w:rsid w:val="009E3608"/>
    <w:rsid w:val="009E5E57"/>
    <w:rsid w:val="009E68C4"/>
    <w:rsid w:val="009F04C9"/>
    <w:rsid w:val="009F05EC"/>
    <w:rsid w:val="009F24C2"/>
    <w:rsid w:val="009F27D4"/>
    <w:rsid w:val="009F2C96"/>
    <w:rsid w:val="009F2EAB"/>
    <w:rsid w:val="009F4574"/>
    <w:rsid w:val="009F5031"/>
    <w:rsid w:val="009F6538"/>
    <w:rsid w:val="009F76F3"/>
    <w:rsid w:val="00A006F5"/>
    <w:rsid w:val="00A00D57"/>
    <w:rsid w:val="00A02CF9"/>
    <w:rsid w:val="00A034E5"/>
    <w:rsid w:val="00A03ABE"/>
    <w:rsid w:val="00A03B32"/>
    <w:rsid w:val="00A04C9A"/>
    <w:rsid w:val="00A04CBC"/>
    <w:rsid w:val="00A05D94"/>
    <w:rsid w:val="00A05E9F"/>
    <w:rsid w:val="00A06B2B"/>
    <w:rsid w:val="00A07FA6"/>
    <w:rsid w:val="00A12620"/>
    <w:rsid w:val="00A130F8"/>
    <w:rsid w:val="00A135CB"/>
    <w:rsid w:val="00A13935"/>
    <w:rsid w:val="00A13EA5"/>
    <w:rsid w:val="00A14769"/>
    <w:rsid w:val="00A20B73"/>
    <w:rsid w:val="00A21E22"/>
    <w:rsid w:val="00A22080"/>
    <w:rsid w:val="00A25F92"/>
    <w:rsid w:val="00A34D2C"/>
    <w:rsid w:val="00A35C7B"/>
    <w:rsid w:val="00A36913"/>
    <w:rsid w:val="00A36E04"/>
    <w:rsid w:val="00A3792F"/>
    <w:rsid w:val="00A37EB1"/>
    <w:rsid w:val="00A41BF0"/>
    <w:rsid w:val="00A42ABB"/>
    <w:rsid w:val="00A42BAC"/>
    <w:rsid w:val="00A42D27"/>
    <w:rsid w:val="00A45247"/>
    <w:rsid w:val="00A50A6F"/>
    <w:rsid w:val="00A50CF3"/>
    <w:rsid w:val="00A518CD"/>
    <w:rsid w:val="00A51D8B"/>
    <w:rsid w:val="00A52D81"/>
    <w:rsid w:val="00A5314B"/>
    <w:rsid w:val="00A538EB"/>
    <w:rsid w:val="00A57702"/>
    <w:rsid w:val="00A579B3"/>
    <w:rsid w:val="00A61613"/>
    <w:rsid w:val="00A61667"/>
    <w:rsid w:val="00A6244D"/>
    <w:rsid w:val="00A62649"/>
    <w:rsid w:val="00A626AE"/>
    <w:rsid w:val="00A62B36"/>
    <w:rsid w:val="00A641E3"/>
    <w:rsid w:val="00A65FA1"/>
    <w:rsid w:val="00A672F9"/>
    <w:rsid w:val="00A7065A"/>
    <w:rsid w:val="00A724E9"/>
    <w:rsid w:val="00A73180"/>
    <w:rsid w:val="00A75ED2"/>
    <w:rsid w:val="00A76ECF"/>
    <w:rsid w:val="00A80114"/>
    <w:rsid w:val="00A82361"/>
    <w:rsid w:val="00A82481"/>
    <w:rsid w:val="00A82AEC"/>
    <w:rsid w:val="00A82DD6"/>
    <w:rsid w:val="00A835EF"/>
    <w:rsid w:val="00A847B1"/>
    <w:rsid w:val="00A8606F"/>
    <w:rsid w:val="00A908D2"/>
    <w:rsid w:val="00A92920"/>
    <w:rsid w:val="00A94CFB"/>
    <w:rsid w:val="00A97F18"/>
    <w:rsid w:val="00AA031B"/>
    <w:rsid w:val="00AA0FC1"/>
    <w:rsid w:val="00AA14A0"/>
    <w:rsid w:val="00AA21C4"/>
    <w:rsid w:val="00AA3106"/>
    <w:rsid w:val="00AA35B3"/>
    <w:rsid w:val="00AA441B"/>
    <w:rsid w:val="00AA5323"/>
    <w:rsid w:val="00AA5C80"/>
    <w:rsid w:val="00AB1C33"/>
    <w:rsid w:val="00AB4CA9"/>
    <w:rsid w:val="00AB69CA"/>
    <w:rsid w:val="00AB702C"/>
    <w:rsid w:val="00AC0A09"/>
    <w:rsid w:val="00AC0D99"/>
    <w:rsid w:val="00AC0E4C"/>
    <w:rsid w:val="00AC11E1"/>
    <w:rsid w:val="00AC1F38"/>
    <w:rsid w:val="00AC23D4"/>
    <w:rsid w:val="00AC24E6"/>
    <w:rsid w:val="00AC2E7D"/>
    <w:rsid w:val="00AC3C58"/>
    <w:rsid w:val="00AC5F1A"/>
    <w:rsid w:val="00AC647A"/>
    <w:rsid w:val="00AC799C"/>
    <w:rsid w:val="00AD0CB9"/>
    <w:rsid w:val="00AD1E04"/>
    <w:rsid w:val="00AD2232"/>
    <w:rsid w:val="00AD7C06"/>
    <w:rsid w:val="00AD7EB7"/>
    <w:rsid w:val="00AE001A"/>
    <w:rsid w:val="00AE0166"/>
    <w:rsid w:val="00AE0254"/>
    <w:rsid w:val="00AE04E2"/>
    <w:rsid w:val="00AE091B"/>
    <w:rsid w:val="00AE0EAA"/>
    <w:rsid w:val="00AE0F02"/>
    <w:rsid w:val="00AE17A3"/>
    <w:rsid w:val="00AE17C6"/>
    <w:rsid w:val="00AE1CD1"/>
    <w:rsid w:val="00AE2F77"/>
    <w:rsid w:val="00AE304E"/>
    <w:rsid w:val="00AE30D4"/>
    <w:rsid w:val="00AE6F0D"/>
    <w:rsid w:val="00AE767D"/>
    <w:rsid w:val="00AF032B"/>
    <w:rsid w:val="00AF0D36"/>
    <w:rsid w:val="00AF3B47"/>
    <w:rsid w:val="00AF5258"/>
    <w:rsid w:val="00AF58BF"/>
    <w:rsid w:val="00AF7A98"/>
    <w:rsid w:val="00B0041A"/>
    <w:rsid w:val="00B01076"/>
    <w:rsid w:val="00B028EA"/>
    <w:rsid w:val="00B05869"/>
    <w:rsid w:val="00B05CEA"/>
    <w:rsid w:val="00B06F8E"/>
    <w:rsid w:val="00B13BAD"/>
    <w:rsid w:val="00B144CF"/>
    <w:rsid w:val="00B15E00"/>
    <w:rsid w:val="00B16867"/>
    <w:rsid w:val="00B20387"/>
    <w:rsid w:val="00B20CC4"/>
    <w:rsid w:val="00B225AE"/>
    <w:rsid w:val="00B23832"/>
    <w:rsid w:val="00B250D7"/>
    <w:rsid w:val="00B25109"/>
    <w:rsid w:val="00B31BAA"/>
    <w:rsid w:val="00B327F8"/>
    <w:rsid w:val="00B33E1D"/>
    <w:rsid w:val="00B34B98"/>
    <w:rsid w:val="00B3597E"/>
    <w:rsid w:val="00B35EBF"/>
    <w:rsid w:val="00B36E35"/>
    <w:rsid w:val="00B3730F"/>
    <w:rsid w:val="00B37D9F"/>
    <w:rsid w:val="00B406D9"/>
    <w:rsid w:val="00B4158B"/>
    <w:rsid w:val="00B41BD9"/>
    <w:rsid w:val="00B4200F"/>
    <w:rsid w:val="00B4302F"/>
    <w:rsid w:val="00B4323F"/>
    <w:rsid w:val="00B44166"/>
    <w:rsid w:val="00B447EC"/>
    <w:rsid w:val="00B45638"/>
    <w:rsid w:val="00B46D25"/>
    <w:rsid w:val="00B51F03"/>
    <w:rsid w:val="00B522B4"/>
    <w:rsid w:val="00B526CD"/>
    <w:rsid w:val="00B52E03"/>
    <w:rsid w:val="00B5364D"/>
    <w:rsid w:val="00B538C4"/>
    <w:rsid w:val="00B54AED"/>
    <w:rsid w:val="00B56A16"/>
    <w:rsid w:val="00B61524"/>
    <w:rsid w:val="00B61EC4"/>
    <w:rsid w:val="00B62DCA"/>
    <w:rsid w:val="00B63295"/>
    <w:rsid w:val="00B65592"/>
    <w:rsid w:val="00B65D07"/>
    <w:rsid w:val="00B65E20"/>
    <w:rsid w:val="00B66B7E"/>
    <w:rsid w:val="00B66E0C"/>
    <w:rsid w:val="00B66EEE"/>
    <w:rsid w:val="00B7215F"/>
    <w:rsid w:val="00B7296F"/>
    <w:rsid w:val="00B750F0"/>
    <w:rsid w:val="00B772A1"/>
    <w:rsid w:val="00B77315"/>
    <w:rsid w:val="00B7747C"/>
    <w:rsid w:val="00B8092D"/>
    <w:rsid w:val="00B82F14"/>
    <w:rsid w:val="00B83278"/>
    <w:rsid w:val="00B85B5F"/>
    <w:rsid w:val="00B86134"/>
    <w:rsid w:val="00B86247"/>
    <w:rsid w:val="00B87386"/>
    <w:rsid w:val="00B955D7"/>
    <w:rsid w:val="00B9652B"/>
    <w:rsid w:val="00B973A6"/>
    <w:rsid w:val="00B97835"/>
    <w:rsid w:val="00B97F85"/>
    <w:rsid w:val="00BA164E"/>
    <w:rsid w:val="00BA2342"/>
    <w:rsid w:val="00BA367A"/>
    <w:rsid w:val="00BA6E32"/>
    <w:rsid w:val="00BA7A79"/>
    <w:rsid w:val="00BB13AA"/>
    <w:rsid w:val="00BB322A"/>
    <w:rsid w:val="00BB3BC5"/>
    <w:rsid w:val="00BB5F2A"/>
    <w:rsid w:val="00BB7413"/>
    <w:rsid w:val="00BB76A0"/>
    <w:rsid w:val="00BB7A68"/>
    <w:rsid w:val="00BB7CA0"/>
    <w:rsid w:val="00BC0E42"/>
    <w:rsid w:val="00BC2563"/>
    <w:rsid w:val="00BC2605"/>
    <w:rsid w:val="00BC2F63"/>
    <w:rsid w:val="00BC3C43"/>
    <w:rsid w:val="00BC7310"/>
    <w:rsid w:val="00BC7DBB"/>
    <w:rsid w:val="00BD0A53"/>
    <w:rsid w:val="00BD3965"/>
    <w:rsid w:val="00BD4193"/>
    <w:rsid w:val="00BD5864"/>
    <w:rsid w:val="00BD594B"/>
    <w:rsid w:val="00BD6305"/>
    <w:rsid w:val="00BD73E6"/>
    <w:rsid w:val="00BD7A0E"/>
    <w:rsid w:val="00BE3614"/>
    <w:rsid w:val="00BE3A69"/>
    <w:rsid w:val="00BE4519"/>
    <w:rsid w:val="00BE6C42"/>
    <w:rsid w:val="00BE784D"/>
    <w:rsid w:val="00BE7F64"/>
    <w:rsid w:val="00BE7FBD"/>
    <w:rsid w:val="00BF06CC"/>
    <w:rsid w:val="00BF16DE"/>
    <w:rsid w:val="00BF1C49"/>
    <w:rsid w:val="00BF2245"/>
    <w:rsid w:val="00BF4E07"/>
    <w:rsid w:val="00BF540F"/>
    <w:rsid w:val="00BF5C44"/>
    <w:rsid w:val="00C01AC2"/>
    <w:rsid w:val="00C01BB2"/>
    <w:rsid w:val="00C01C28"/>
    <w:rsid w:val="00C04981"/>
    <w:rsid w:val="00C057A8"/>
    <w:rsid w:val="00C05B29"/>
    <w:rsid w:val="00C06492"/>
    <w:rsid w:val="00C06D93"/>
    <w:rsid w:val="00C0712D"/>
    <w:rsid w:val="00C10BB0"/>
    <w:rsid w:val="00C123A5"/>
    <w:rsid w:val="00C12715"/>
    <w:rsid w:val="00C16B2C"/>
    <w:rsid w:val="00C1726E"/>
    <w:rsid w:val="00C17696"/>
    <w:rsid w:val="00C203E7"/>
    <w:rsid w:val="00C2239D"/>
    <w:rsid w:val="00C23F03"/>
    <w:rsid w:val="00C23F7C"/>
    <w:rsid w:val="00C26E16"/>
    <w:rsid w:val="00C27629"/>
    <w:rsid w:val="00C308B9"/>
    <w:rsid w:val="00C33C5C"/>
    <w:rsid w:val="00C34CD5"/>
    <w:rsid w:val="00C35A75"/>
    <w:rsid w:val="00C40AF2"/>
    <w:rsid w:val="00C4323E"/>
    <w:rsid w:val="00C44DD4"/>
    <w:rsid w:val="00C46A2C"/>
    <w:rsid w:val="00C46E98"/>
    <w:rsid w:val="00C47C5D"/>
    <w:rsid w:val="00C5071A"/>
    <w:rsid w:val="00C511F2"/>
    <w:rsid w:val="00C5162A"/>
    <w:rsid w:val="00C52AF4"/>
    <w:rsid w:val="00C52CFC"/>
    <w:rsid w:val="00C532F5"/>
    <w:rsid w:val="00C538D5"/>
    <w:rsid w:val="00C55284"/>
    <w:rsid w:val="00C56158"/>
    <w:rsid w:val="00C56194"/>
    <w:rsid w:val="00C6006E"/>
    <w:rsid w:val="00C6310E"/>
    <w:rsid w:val="00C632FE"/>
    <w:rsid w:val="00C6362C"/>
    <w:rsid w:val="00C65F02"/>
    <w:rsid w:val="00C66772"/>
    <w:rsid w:val="00C675CE"/>
    <w:rsid w:val="00C769CA"/>
    <w:rsid w:val="00C76B86"/>
    <w:rsid w:val="00C81D9C"/>
    <w:rsid w:val="00C826F6"/>
    <w:rsid w:val="00C84C85"/>
    <w:rsid w:val="00C85FF7"/>
    <w:rsid w:val="00C91722"/>
    <w:rsid w:val="00C95029"/>
    <w:rsid w:val="00C96408"/>
    <w:rsid w:val="00C9793D"/>
    <w:rsid w:val="00CA1095"/>
    <w:rsid w:val="00CA148E"/>
    <w:rsid w:val="00CA198C"/>
    <w:rsid w:val="00CA216A"/>
    <w:rsid w:val="00CA319D"/>
    <w:rsid w:val="00CA3955"/>
    <w:rsid w:val="00CA3FD7"/>
    <w:rsid w:val="00CA40B6"/>
    <w:rsid w:val="00CB0375"/>
    <w:rsid w:val="00CB0B73"/>
    <w:rsid w:val="00CB1344"/>
    <w:rsid w:val="00CB32BA"/>
    <w:rsid w:val="00CB35D4"/>
    <w:rsid w:val="00CB4671"/>
    <w:rsid w:val="00CB51F7"/>
    <w:rsid w:val="00CB5CEA"/>
    <w:rsid w:val="00CB6761"/>
    <w:rsid w:val="00CB72B7"/>
    <w:rsid w:val="00CC0CC0"/>
    <w:rsid w:val="00CC1B55"/>
    <w:rsid w:val="00CC1CB4"/>
    <w:rsid w:val="00CC38A7"/>
    <w:rsid w:val="00CC62A8"/>
    <w:rsid w:val="00CC74C7"/>
    <w:rsid w:val="00CD0F88"/>
    <w:rsid w:val="00CD4E15"/>
    <w:rsid w:val="00CD4F5B"/>
    <w:rsid w:val="00CD5616"/>
    <w:rsid w:val="00CD5D57"/>
    <w:rsid w:val="00CE081E"/>
    <w:rsid w:val="00CE0D60"/>
    <w:rsid w:val="00CE0F6C"/>
    <w:rsid w:val="00CF125D"/>
    <w:rsid w:val="00CF1DB7"/>
    <w:rsid w:val="00CF2775"/>
    <w:rsid w:val="00CF3CC6"/>
    <w:rsid w:val="00CF4646"/>
    <w:rsid w:val="00CF4F15"/>
    <w:rsid w:val="00CF737F"/>
    <w:rsid w:val="00CF7B56"/>
    <w:rsid w:val="00D04360"/>
    <w:rsid w:val="00D04FDC"/>
    <w:rsid w:val="00D05026"/>
    <w:rsid w:val="00D078EA"/>
    <w:rsid w:val="00D07D18"/>
    <w:rsid w:val="00D11D73"/>
    <w:rsid w:val="00D12146"/>
    <w:rsid w:val="00D13650"/>
    <w:rsid w:val="00D15E54"/>
    <w:rsid w:val="00D1743D"/>
    <w:rsid w:val="00D20F5F"/>
    <w:rsid w:val="00D22556"/>
    <w:rsid w:val="00D23AF2"/>
    <w:rsid w:val="00D255BD"/>
    <w:rsid w:val="00D26149"/>
    <w:rsid w:val="00D26A37"/>
    <w:rsid w:val="00D30408"/>
    <w:rsid w:val="00D33189"/>
    <w:rsid w:val="00D332A5"/>
    <w:rsid w:val="00D34FDF"/>
    <w:rsid w:val="00D37C2A"/>
    <w:rsid w:val="00D41726"/>
    <w:rsid w:val="00D44A59"/>
    <w:rsid w:val="00D4666B"/>
    <w:rsid w:val="00D47B2C"/>
    <w:rsid w:val="00D51C55"/>
    <w:rsid w:val="00D53968"/>
    <w:rsid w:val="00D54E19"/>
    <w:rsid w:val="00D568B9"/>
    <w:rsid w:val="00D57265"/>
    <w:rsid w:val="00D6046C"/>
    <w:rsid w:val="00D622E7"/>
    <w:rsid w:val="00D62B94"/>
    <w:rsid w:val="00D633B3"/>
    <w:rsid w:val="00D63769"/>
    <w:rsid w:val="00D6681E"/>
    <w:rsid w:val="00D66A4B"/>
    <w:rsid w:val="00D67179"/>
    <w:rsid w:val="00D77151"/>
    <w:rsid w:val="00D816A7"/>
    <w:rsid w:val="00D82813"/>
    <w:rsid w:val="00D84766"/>
    <w:rsid w:val="00D868AB"/>
    <w:rsid w:val="00D87EB9"/>
    <w:rsid w:val="00D903CC"/>
    <w:rsid w:val="00D90C84"/>
    <w:rsid w:val="00D91187"/>
    <w:rsid w:val="00D937B8"/>
    <w:rsid w:val="00D9426B"/>
    <w:rsid w:val="00D95C4E"/>
    <w:rsid w:val="00D96D3B"/>
    <w:rsid w:val="00D97991"/>
    <w:rsid w:val="00DA064A"/>
    <w:rsid w:val="00DA3223"/>
    <w:rsid w:val="00DA5CA9"/>
    <w:rsid w:val="00DA5D8A"/>
    <w:rsid w:val="00DA7A74"/>
    <w:rsid w:val="00DB00E7"/>
    <w:rsid w:val="00DB431E"/>
    <w:rsid w:val="00DB5CB7"/>
    <w:rsid w:val="00DB63C4"/>
    <w:rsid w:val="00DB67B7"/>
    <w:rsid w:val="00DB6965"/>
    <w:rsid w:val="00DC25B6"/>
    <w:rsid w:val="00DC2634"/>
    <w:rsid w:val="00DC2F32"/>
    <w:rsid w:val="00DC4514"/>
    <w:rsid w:val="00DC4F10"/>
    <w:rsid w:val="00DC5161"/>
    <w:rsid w:val="00DC6774"/>
    <w:rsid w:val="00DD0993"/>
    <w:rsid w:val="00DD0B48"/>
    <w:rsid w:val="00DD2DE1"/>
    <w:rsid w:val="00DD40B7"/>
    <w:rsid w:val="00DD61BD"/>
    <w:rsid w:val="00DE09EE"/>
    <w:rsid w:val="00DE0E52"/>
    <w:rsid w:val="00DE1B90"/>
    <w:rsid w:val="00DE2AD1"/>
    <w:rsid w:val="00DE2B5E"/>
    <w:rsid w:val="00DE2D03"/>
    <w:rsid w:val="00DE5A03"/>
    <w:rsid w:val="00DE69A1"/>
    <w:rsid w:val="00DE71E0"/>
    <w:rsid w:val="00DF1B78"/>
    <w:rsid w:val="00DF2BC0"/>
    <w:rsid w:val="00DF3604"/>
    <w:rsid w:val="00DF6C96"/>
    <w:rsid w:val="00E00D24"/>
    <w:rsid w:val="00E0160B"/>
    <w:rsid w:val="00E02413"/>
    <w:rsid w:val="00E03A9B"/>
    <w:rsid w:val="00E04702"/>
    <w:rsid w:val="00E04839"/>
    <w:rsid w:val="00E04C40"/>
    <w:rsid w:val="00E05B50"/>
    <w:rsid w:val="00E05E5C"/>
    <w:rsid w:val="00E0702A"/>
    <w:rsid w:val="00E12319"/>
    <w:rsid w:val="00E1282A"/>
    <w:rsid w:val="00E1293B"/>
    <w:rsid w:val="00E13883"/>
    <w:rsid w:val="00E1430A"/>
    <w:rsid w:val="00E16065"/>
    <w:rsid w:val="00E17711"/>
    <w:rsid w:val="00E17DDC"/>
    <w:rsid w:val="00E20CC6"/>
    <w:rsid w:val="00E2197F"/>
    <w:rsid w:val="00E21FDF"/>
    <w:rsid w:val="00E2225F"/>
    <w:rsid w:val="00E23494"/>
    <w:rsid w:val="00E272F3"/>
    <w:rsid w:val="00E33817"/>
    <w:rsid w:val="00E350AA"/>
    <w:rsid w:val="00E36623"/>
    <w:rsid w:val="00E373AA"/>
    <w:rsid w:val="00E37939"/>
    <w:rsid w:val="00E40711"/>
    <w:rsid w:val="00E40C9F"/>
    <w:rsid w:val="00E41E89"/>
    <w:rsid w:val="00E41F31"/>
    <w:rsid w:val="00E4438A"/>
    <w:rsid w:val="00E46932"/>
    <w:rsid w:val="00E514F1"/>
    <w:rsid w:val="00E53171"/>
    <w:rsid w:val="00E534B6"/>
    <w:rsid w:val="00E53C51"/>
    <w:rsid w:val="00E54AE3"/>
    <w:rsid w:val="00E54E59"/>
    <w:rsid w:val="00E55182"/>
    <w:rsid w:val="00E55210"/>
    <w:rsid w:val="00E607EB"/>
    <w:rsid w:val="00E60D4D"/>
    <w:rsid w:val="00E60D4E"/>
    <w:rsid w:val="00E617B1"/>
    <w:rsid w:val="00E6187D"/>
    <w:rsid w:val="00E63359"/>
    <w:rsid w:val="00E635E7"/>
    <w:rsid w:val="00E64759"/>
    <w:rsid w:val="00E64DCB"/>
    <w:rsid w:val="00E66DF2"/>
    <w:rsid w:val="00E67904"/>
    <w:rsid w:val="00E72AE3"/>
    <w:rsid w:val="00E73453"/>
    <w:rsid w:val="00E767A2"/>
    <w:rsid w:val="00E8017D"/>
    <w:rsid w:val="00E8094A"/>
    <w:rsid w:val="00E81600"/>
    <w:rsid w:val="00E81699"/>
    <w:rsid w:val="00E81893"/>
    <w:rsid w:val="00E81D63"/>
    <w:rsid w:val="00E84091"/>
    <w:rsid w:val="00E84A70"/>
    <w:rsid w:val="00E861B0"/>
    <w:rsid w:val="00E863C3"/>
    <w:rsid w:val="00E8727D"/>
    <w:rsid w:val="00E90249"/>
    <w:rsid w:val="00E9060E"/>
    <w:rsid w:val="00E926DA"/>
    <w:rsid w:val="00E92925"/>
    <w:rsid w:val="00E929AF"/>
    <w:rsid w:val="00E934AA"/>
    <w:rsid w:val="00E9497D"/>
    <w:rsid w:val="00E94F21"/>
    <w:rsid w:val="00E94F4B"/>
    <w:rsid w:val="00E95645"/>
    <w:rsid w:val="00E95ADD"/>
    <w:rsid w:val="00E95C89"/>
    <w:rsid w:val="00E978C7"/>
    <w:rsid w:val="00EA1F09"/>
    <w:rsid w:val="00EA2210"/>
    <w:rsid w:val="00EA2C52"/>
    <w:rsid w:val="00EA45C2"/>
    <w:rsid w:val="00EA5DD1"/>
    <w:rsid w:val="00EA72DB"/>
    <w:rsid w:val="00EA7660"/>
    <w:rsid w:val="00EB0F46"/>
    <w:rsid w:val="00EB0FE9"/>
    <w:rsid w:val="00EB2A10"/>
    <w:rsid w:val="00EC2737"/>
    <w:rsid w:val="00EC467F"/>
    <w:rsid w:val="00EC490B"/>
    <w:rsid w:val="00EC4CBB"/>
    <w:rsid w:val="00EC4DCC"/>
    <w:rsid w:val="00EC709C"/>
    <w:rsid w:val="00EC769D"/>
    <w:rsid w:val="00ED08F5"/>
    <w:rsid w:val="00ED0AE8"/>
    <w:rsid w:val="00ED14ED"/>
    <w:rsid w:val="00ED2103"/>
    <w:rsid w:val="00ED7524"/>
    <w:rsid w:val="00ED760A"/>
    <w:rsid w:val="00EE24E8"/>
    <w:rsid w:val="00EE307D"/>
    <w:rsid w:val="00EE40AC"/>
    <w:rsid w:val="00EE5925"/>
    <w:rsid w:val="00EE6104"/>
    <w:rsid w:val="00EE64DA"/>
    <w:rsid w:val="00EF3E79"/>
    <w:rsid w:val="00EF4430"/>
    <w:rsid w:val="00EF45AB"/>
    <w:rsid w:val="00F01986"/>
    <w:rsid w:val="00F02A75"/>
    <w:rsid w:val="00F031AB"/>
    <w:rsid w:val="00F03EDC"/>
    <w:rsid w:val="00F04FC1"/>
    <w:rsid w:val="00F0536A"/>
    <w:rsid w:val="00F05AF9"/>
    <w:rsid w:val="00F116C9"/>
    <w:rsid w:val="00F11DA6"/>
    <w:rsid w:val="00F17AA9"/>
    <w:rsid w:val="00F21CF1"/>
    <w:rsid w:val="00F21D84"/>
    <w:rsid w:val="00F230DD"/>
    <w:rsid w:val="00F2342C"/>
    <w:rsid w:val="00F2604B"/>
    <w:rsid w:val="00F27297"/>
    <w:rsid w:val="00F308BB"/>
    <w:rsid w:val="00F31ABB"/>
    <w:rsid w:val="00F31AD2"/>
    <w:rsid w:val="00F32487"/>
    <w:rsid w:val="00F325B2"/>
    <w:rsid w:val="00F32635"/>
    <w:rsid w:val="00F32D9E"/>
    <w:rsid w:val="00F349E1"/>
    <w:rsid w:val="00F35B44"/>
    <w:rsid w:val="00F37F36"/>
    <w:rsid w:val="00F433C4"/>
    <w:rsid w:val="00F43AFA"/>
    <w:rsid w:val="00F43F65"/>
    <w:rsid w:val="00F4407A"/>
    <w:rsid w:val="00F4570E"/>
    <w:rsid w:val="00F46B41"/>
    <w:rsid w:val="00F51D7B"/>
    <w:rsid w:val="00F53284"/>
    <w:rsid w:val="00F5425F"/>
    <w:rsid w:val="00F551FD"/>
    <w:rsid w:val="00F55433"/>
    <w:rsid w:val="00F555F7"/>
    <w:rsid w:val="00F56F4B"/>
    <w:rsid w:val="00F60A2F"/>
    <w:rsid w:val="00F60DD2"/>
    <w:rsid w:val="00F6144A"/>
    <w:rsid w:val="00F615AF"/>
    <w:rsid w:val="00F62E61"/>
    <w:rsid w:val="00F63D35"/>
    <w:rsid w:val="00F64CFF"/>
    <w:rsid w:val="00F6693A"/>
    <w:rsid w:val="00F676AC"/>
    <w:rsid w:val="00F70C0D"/>
    <w:rsid w:val="00F73224"/>
    <w:rsid w:val="00F748AA"/>
    <w:rsid w:val="00F75230"/>
    <w:rsid w:val="00F75A01"/>
    <w:rsid w:val="00F769A5"/>
    <w:rsid w:val="00F76C17"/>
    <w:rsid w:val="00F7749E"/>
    <w:rsid w:val="00F813E8"/>
    <w:rsid w:val="00F84530"/>
    <w:rsid w:val="00F85BCD"/>
    <w:rsid w:val="00F85FE1"/>
    <w:rsid w:val="00F866A3"/>
    <w:rsid w:val="00F87746"/>
    <w:rsid w:val="00F90B17"/>
    <w:rsid w:val="00F90F54"/>
    <w:rsid w:val="00F91646"/>
    <w:rsid w:val="00F92261"/>
    <w:rsid w:val="00F9305F"/>
    <w:rsid w:val="00F93F60"/>
    <w:rsid w:val="00F97188"/>
    <w:rsid w:val="00F9797A"/>
    <w:rsid w:val="00F97B84"/>
    <w:rsid w:val="00FA2772"/>
    <w:rsid w:val="00FA2E00"/>
    <w:rsid w:val="00FA4808"/>
    <w:rsid w:val="00FA4A1A"/>
    <w:rsid w:val="00FA6EFE"/>
    <w:rsid w:val="00FA7E4B"/>
    <w:rsid w:val="00FA7EF5"/>
    <w:rsid w:val="00FB18E9"/>
    <w:rsid w:val="00FB32F7"/>
    <w:rsid w:val="00FB573C"/>
    <w:rsid w:val="00FB71BF"/>
    <w:rsid w:val="00FC128F"/>
    <w:rsid w:val="00FC22F9"/>
    <w:rsid w:val="00FC4364"/>
    <w:rsid w:val="00FC50A6"/>
    <w:rsid w:val="00FC54FC"/>
    <w:rsid w:val="00FC5898"/>
    <w:rsid w:val="00FC671D"/>
    <w:rsid w:val="00FC775F"/>
    <w:rsid w:val="00FD28B2"/>
    <w:rsid w:val="00FD44CC"/>
    <w:rsid w:val="00FD5748"/>
    <w:rsid w:val="00FD5BB2"/>
    <w:rsid w:val="00FE1A12"/>
    <w:rsid w:val="00FE2A10"/>
    <w:rsid w:val="00FE3C0B"/>
    <w:rsid w:val="00FE6669"/>
    <w:rsid w:val="00FF0BE9"/>
    <w:rsid w:val="00FF15C2"/>
    <w:rsid w:val="00FF2F7B"/>
    <w:rsid w:val="00FF623B"/>
    <w:rsid w:val="00FF7313"/>
    <w:rsid w:val="00FF7CA6"/>
    <w:rsid w:val="01001F08"/>
    <w:rsid w:val="0101423A"/>
    <w:rsid w:val="010152F8"/>
    <w:rsid w:val="01025242"/>
    <w:rsid w:val="0103698B"/>
    <w:rsid w:val="01040E22"/>
    <w:rsid w:val="0104724F"/>
    <w:rsid w:val="01047C67"/>
    <w:rsid w:val="01052682"/>
    <w:rsid w:val="01053A46"/>
    <w:rsid w:val="01080A12"/>
    <w:rsid w:val="0108298E"/>
    <w:rsid w:val="01085334"/>
    <w:rsid w:val="01092C52"/>
    <w:rsid w:val="01094492"/>
    <w:rsid w:val="010A39A2"/>
    <w:rsid w:val="010A59DF"/>
    <w:rsid w:val="010A77D3"/>
    <w:rsid w:val="010B4571"/>
    <w:rsid w:val="01111ED7"/>
    <w:rsid w:val="011473B7"/>
    <w:rsid w:val="01153F47"/>
    <w:rsid w:val="01174200"/>
    <w:rsid w:val="01180E4D"/>
    <w:rsid w:val="01181280"/>
    <w:rsid w:val="01187F7E"/>
    <w:rsid w:val="011B103B"/>
    <w:rsid w:val="011B7350"/>
    <w:rsid w:val="011E570B"/>
    <w:rsid w:val="01226815"/>
    <w:rsid w:val="01231B09"/>
    <w:rsid w:val="0123264E"/>
    <w:rsid w:val="01232B5D"/>
    <w:rsid w:val="012354FC"/>
    <w:rsid w:val="0124232D"/>
    <w:rsid w:val="01244CA6"/>
    <w:rsid w:val="01247935"/>
    <w:rsid w:val="01262129"/>
    <w:rsid w:val="01266C1A"/>
    <w:rsid w:val="01271714"/>
    <w:rsid w:val="0128166C"/>
    <w:rsid w:val="01282978"/>
    <w:rsid w:val="01282E37"/>
    <w:rsid w:val="01284139"/>
    <w:rsid w:val="012842CB"/>
    <w:rsid w:val="012A1131"/>
    <w:rsid w:val="012A3881"/>
    <w:rsid w:val="012B26CB"/>
    <w:rsid w:val="012C4CA3"/>
    <w:rsid w:val="012D7A04"/>
    <w:rsid w:val="012E72E9"/>
    <w:rsid w:val="012F250E"/>
    <w:rsid w:val="0130027A"/>
    <w:rsid w:val="013073EE"/>
    <w:rsid w:val="0132669B"/>
    <w:rsid w:val="01335F6B"/>
    <w:rsid w:val="013435B5"/>
    <w:rsid w:val="01343D47"/>
    <w:rsid w:val="01347928"/>
    <w:rsid w:val="01355762"/>
    <w:rsid w:val="013B533E"/>
    <w:rsid w:val="013B593E"/>
    <w:rsid w:val="013B7C5C"/>
    <w:rsid w:val="013E475D"/>
    <w:rsid w:val="014156CA"/>
    <w:rsid w:val="014179A7"/>
    <w:rsid w:val="014250C9"/>
    <w:rsid w:val="014374C7"/>
    <w:rsid w:val="01441A83"/>
    <w:rsid w:val="01453EB4"/>
    <w:rsid w:val="01461FD9"/>
    <w:rsid w:val="01463D72"/>
    <w:rsid w:val="01464371"/>
    <w:rsid w:val="014A4A03"/>
    <w:rsid w:val="014B631C"/>
    <w:rsid w:val="014D4FCC"/>
    <w:rsid w:val="014E01EC"/>
    <w:rsid w:val="014E75E8"/>
    <w:rsid w:val="015028DD"/>
    <w:rsid w:val="01515A78"/>
    <w:rsid w:val="01526291"/>
    <w:rsid w:val="015327C3"/>
    <w:rsid w:val="01545E05"/>
    <w:rsid w:val="01566759"/>
    <w:rsid w:val="015678E4"/>
    <w:rsid w:val="015901F5"/>
    <w:rsid w:val="015A1AFB"/>
    <w:rsid w:val="015A36D6"/>
    <w:rsid w:val="015B6D53"/>
    <w:rsid w:val="015C22C3"/>
    <w:rsid w:val="015C45AE"/>
    <w:rsid w:val="015C564D"/>
    <w:rsid w:val="015D523E"/>
    <w:rsid w:val="015D57B4"/>
    <w:rsid w:val="015D63FC"/>
    <w:rsid w:val="015E4816"/>
    <w:rsid w:val="01615631"/>
    <w:rsid w:val="016164C5"/>
    <w:rsid w:val="01620D5C"/>
    <w:rsid w:val="01634073"/>
    <w:rsid w:val="0164381D"/>
    <w:rsid w:val="016447F5"/>
    <w:rsid w:val="0165163B"/>
    <w:rsid w:val="0165681C"/>
    <w:rsid w:val="016A02B4"/>
    <w:rsid w:val="016A7F6B"/>
    <w:rsid w:val="016B0DA4"/>
    <w:rsid w:val="016B4B30"/>
    <w:rsid w:val="016B7A67"/>
    <w:rsid w:val="016C5361"/>
    <w:rsid w:val="016D5243"/>
    <w:rsid w:val="016E3766"/>
    <w:rsid w:val="016E3BB5"/>
    <w:rsid w:val="016E3FFE"/>
    <w:rsid w:val="01715620"/>
    <w:rsid w:val="01722612"/>
    <w:rsid w:val="01724B37"/>
    <w:rsid w:val="01741686"/>
    <w:rsid w:val="01741C54"/>
    <w:rsid w:val="017525F3"/>
    <w:rsid w:val="01753008"/>
    <w:rsid w:val="01755AB3"/>
    <w:rsid w:val="017A2052"/>
    <w:rsid w:val="017B496E"/>
    <w:rsid w:val="017D1F17"/>
    <w:rsid w:val="017D5796"/>
    <w:rsid w:val="017F48B7"/>
    <w:rsid w:val="01801003"/>
    <w:rsid w:val="01815FC8"/>
    <w:rsid w:val="01820187"/>
    <w:rsid w:val="01820278"/>
    <w:rsid w:val="018211A0"/>
    <w:rsid w:val="01821EA0"/>
    <w:rsid w:val="01825791"/>
    <w:rsid w:val="018374D9"/>
    <w:rsid w:val="01841089"/>
    <w:rsid w:val="018560AC"/>
    <w:rsid w:val="01866869"/>
    <w:rsid w:val="0187311F"/>
    <w:rsid w:val="01881432"/>
    <w:rsid w:val="018955EE"/>
    <w:rsid w:val="01895DA6"/>
    <w:rsid w:val="018B6602"/>
    <w:rsid w:val="018C6861"/>
    <w:rsid w:val="018D002D"/>
    <w:rsid w:val="018E0548"/>
    <w:rsid w:val="018E2E9B"/>
    <w:rsid w:val="018F25BC"/>
    <w:rsid w:val="018F3555"/>
    <w:rsid w:val="018F70DB"/>
    <w:rsid w:val="018F744A"/>
    <w:rsid w:val="01923BD3"/>
    <w:rsid w:val="01926837"/>
    <w:rsid w:val="01926A7D"/>
    <w:rsid w:val="019319CF"/>
    <w:rsid w:val="01936845"/>
    <w:rsid w:val="019375E9"/>
    <w:rsid w:val="0194642D"/>
    <w:rsid w:val="01951EAC"/>
    <w:rsid w:val="0196358E"/>
    <w:rsid w:val="019737E6"/>
    <w:rsid w:val="01992594"/>
    <w:rsid w:val="019D222F"/>
    <w:rsid w:val="019D6EEA"/>
    <w:rsid w:val="019F1962"/>
    <w:rsid w:val="01A00620"/>
    <w:rsid w:val="01A02ABF"/>
    <w:rsid w:val="01A05ECC"/>
    <w:rsid w:val="01A176D6"/>
    <w:rsid w:val="01A217B6"/>
    <w:rsid w:val="01A23D54"/>
    <w:rsid w:val="01A3073B"/>
    <w:rsid w:val="01A3554B"/>
    <w:rsid w:val="01A37976"/>
    <w:rsid w:val="01A50AA8"/>
    <w:rsid w:val="01A544B3"/>
    <w:rsid w:val="01A562ED"/>
    <w:rsid w:val="01A63EE8"/>
    <w:rsid w:val="01A653C1"/>
    <w:rsid w:val="01A80D06"/>
    <w:rsid w:val="01A81EC4"/>
    <w:rsid w:val="01A8350A"/>
    <w:rsid w:val="01A85D51"/>
    <w:rsid w:val="01AA770D"/>
    <w:rsid w:val="01AF6256"/>
    <w:rsid w:val="01B00394"/>
    <w:rsid w:val="01B07794"/>
    <w:rsid w:val="01B11630"/>
    <w:rsid w:val="01B1600D"/>
    <w:rsid w:val="01B30997"/>
    <w:rsid w:val="01B37BD9"/>
    <w:rsid w:val="01B37C9D"/>
    <w:rsid w:val="01B50BBA"/>
    <w:rsid w:val="01B522AB"/>
    <w:rsid w:val="01B551E4"/>
    <w:rsid w:val="01B61621"/>
    <w:rsid w:val="01B62FE5"/>
    <w:rsid w:val="01B701E5"/>
    <w:rsid w:val="01B862F9"/>
    <w:rsid w:val="01BA38D4"/>
    <w:rsid w:val="01BB254B"/>
    <w:rsid w:val="01BC516B"/>
    <w:rsid w:val="01C27C33"/>
    <w:rsid w:val="01C36C00"/>
    <w:rsid w:val="01C44FF1"/>
    <w:rsid w:val="01C45C53"/>
    <w:rsid w:val="01C50E12"/>
    <w:rsid w:val="01C57E25"/>
    <w:rsid w:val="01C62B72"/>
    <w:rsid w:val="01C7267B"/>
    <w:rsid w:val="01C82363"/>
    <w:rsid w:val="01CA3DE8"/>
    <w:rsid w:val="01CA4158"/>
    <w:rsid w:val="01CB192E"/>
    <w:rsid w:val="01CC6D8F"/>
    <w:rsid w:val="01CD105A"/>
    <w:rsid w:val="01CF1954"/>
    <w:rsid w:val="01CF41D0"/>
    <w:rsid w:val="01D03C15"/>
    <w:rsid w:val="01D11E3C"/>
    <w:rsid w:val="01D123BB"/>
    <w:rsid w:val="01D218CC"/>
    <w:rsid w:val="01D21B32"/>
    <w:rsid w:val="01D2202F"/>
    <w:rsid w:val="01D22B04"/>
    <w:rsid w:val="01D232F6"/>
    <w:rsid w:val="01D25883"/>
    <w:rsid w:val="01D45D98"/>
    <w:rsid w:val="01D4717F"/>
    <w:rsid w:val="01D74DA3"/>
    <w:rsid w:val="01DA2F25"/>
    <w:rsid w:val="01DC7941"/>
    <w:rsid w:val="01DD677B"/>
    <w:rsid w:val="01DF095D"/>
    <w:rsid w:val="01DF3165"/>
    <w:rsid w:val="01E040CE"/>
    <w:rsid w:val="01E064FF"/>
    <w:rsid w:val="01E27BE1"/>
    <w:rsid w:val="01E43DA8"/>
    <w:rsid w:val="01E4518C"/>
    <w:rsid w:val="01E62EF5"/>
    <w:rsid w:val="01E81F2C"/>
    <w:rsid w:val="01EC35A1"/>
    <w:rsid w:val="01EC7975"/>
    <w:rsid w:val="01ED0159"/>
    <w:rsid w:val="01ED5392"/>
    <w:rsid w:val="01ED6885"/>
    <w:rsid w:val="01ED698E"/>
    <w:rsid w:val="01F01F1D"/>
    <w:rsid w:val="01F23E12"/>
    <w:rsid w:val="01F357D0"/>
    <w:rsid w:val="01F361D3"/>
    <w:rsid w:val="01F521C1"/>
    <w:rsid w:val="01F63044"/>
    <w:rsid w:val="01F66779"/>
    <w:rsid w:val="01F671DB"/>
    <w:rsid w:val="01F77910"/>
    <w:rsid w:val="01FD4B28"/>
    <w:rsid w:val="01FF1E15"/>
    <w:rsid w:val="01FF2E01"/>
    <w:rsid w:val="020048EC"/>
    <w:rsid w:val="020241E7"/>
    <w:rsid w:val="02037CAD"/>
    <w:rsid w:val="0204224F"/>
    <w:rsid w:val="020612CC"/>
    <w:rsid w:val="02065175"/>
    <w:rsid w:val="02067CBA"/>
    <w:rsid w:val="020712EC"/>
    <w:rsid w:val="02074134"/>
    <w:rsid w:val="0207417E"/>
    <w:rsid w:val="02083BA3"/>
    <w:rsid w:val="02087C52"/>
    <w:rsid w:val="020A1247"/>
    <w:rsid w:val="020A4094"/>
    <w:rsid w:val="020C152C"/>
    <w:rsid w:val="020D171D"/>
    <w:rsid w:val="020E7A64"/>
    <w:rsid w:val="02103B56"/>
    <w:rsid w:val="02107EF8"/>
    <w:rsid w:val="02112132"/>
    <w:rsid w:val="02120D47"/>
    <w:rsid w:val="02134A5D"/>
    <w:rsid w:val="02144A36"/>
    <w:rsid w:val="02150C29"/>
    <w:rsid w:val="02152AC1"/>
    <w:rsid w:val="02174F56"/>
    <w:rsid w:val="021956CE"/>
    <w:rsid w:val="021A4EA7"/>
    <w:rsid w:val="021D03A7"/>
    <w:rsid w:val="021D229B"/>
    <w:rsid w:val="021D4EC3"/>
    <w:rsid w:val="021E08D9"/>
    <w:rsid w:val="021F0FA9"/>
    <w:rsid w:val="021F561C"/>
    <w:rsid w:val="02217FDE"/>
    <w:rsid w:val="02247ACE"/>
    <w:rsid w:val="02275DBC"/>
    <w:rsid w:val="022778D0"/>
    <w:rsid w:val="0228331D"/>
    <w:rsid w:val="022903E3"/>
    <w:rsid w:val="02297F63"/>
    <w:rsid w:val="022A4C51"/>
    <w:rsid w:val="022B392C"/>
    <w:rsid w:val="022D1461"/>
    <w:rsid w:val="022F2A9B"/>
    <w:rsid w:val="023122F4"/>
    <w:rsid w:val="0231230A"/>
    <w:rsid w:val="02323B09"/>
    <w:rsid w:val="023313A7"/>
    <w:rsid w:val="02342DFB"/>
    <w:rsid w:val="02342FAC"/>
    <w:rsid w:val="02350149"/>
    <w:rsid w:val="0235112C"/>
    <w:rsid w:val="023641F9"/>
    <w:rsid w:val="02377F45"/>
    <w:rsid w:val="023842CF"/>
    <w:rsid w:val="023A585F"/>
    <w:rsid w:val="023B0E4C"/>
    <w:rsid w:val="023C0760"/>
    <w:rsid w:val="023C6865"/>
    <w:rsid w:val="023D1035"/>
    <w:rsid w:val="023F4E0B"/>
    <w:rsid w:val="023F59E8"/>
    <w:rsid w:val="024044A4"/>
    <w:rsid w:val="02407EEE"/>
    <w:rsid w:val="02416911"/>
    <w:rsid w:val="02424628"/>
    <w:rsid w:val="02434763"/>
    <w:rsid w:val="02436758"/>
    <w:rsid w:val="0245420F"/>
    <w:rsid w:val="02454E09"/>
    <w:rsid w:val="02463468"/>
    <w:rsid w:val="02463B25"/>
    <w:rsid w:val="02463FDA"/>
    <w:rsid w:val="02482743"/>
    <w:rsid w:val="0248529B"/>
    <w:rsid w:val="024A0BB7"/>
    <w:rsid w:val="024A2298"/>
    <w:rsid w:val="024C6533"/>
    <w:rsid w:val="024F7CF5"/>
    <w:rsid w:val="025009C2"/>
    <w:rsid w:val="025035C8"/>
    <w:rsid w:val="025177CA"/>
    <w:rsid w:val="02532D29"/>
    <w:rsid w:val="02556210"/>
    <w:rsid w:val="025642D6"/>
    <w:rsid w:val="02581525"/>
    <w:rsid w:val="025A18C7"/>
    <w:rsid w:val="025B4BAE"/>
    <w:rsid w:val="025B561C"/>
    <w:rsid w:val="025C29A2"/>
    <w:rsid w:val="025C7F58"/>
    <w:rsid w:val="025F4813"/>
    <w:rsid w:val="025F702E"/>
    <w:rsid w:val="02606851"/>
    <w:rsid w:val="0263485E"/>
    <w:rsid w:val="02637924"/>
    <w:rsid w:val="0266125B"/>
    <w:rsid w:val="02691B18"/>
    <w:rsid w:val="026D01E4"/>
    <w:rsid w:val="026D06B7"/>
    <w:rsid w:val="026D43F6"/>
    <w:rsid w:val="026D628A"/>
    <w:rsid w:val="02717C06"/>
    <w:rsid w:val="027355AE"/>
    <w:rsid w:val="027411BB"/>
    <w:rsid w:val="02743230"/>
    <w:rsid w:val="02753506"/>
    <w:rsid w:val="02792A64"/>
    <w:rsid w:val="027A496C"/>
    <w:rsid w:val="027C3D6B"/>
    <w:rsid w:val="027D3A93"/>
    <w:rsid w:val="027D6E24"/>
    <w:rsid w:val="027E43D4"/>
    <w:rsid w:val="027E4D00"/>
    <w:rsid w:val="0281073B"/>
    <w:rsid w:val="02815C7C"/>
    <w:rsid w:val="0281635E"/>
    <w:rsid w:val="02835ACB"/>
    <w:rsid w:val="028427F6"/>
    <w:rsid w:val="0284708E"/>
    <w:rsid w:val="02851CA0"/>
    <w:rsid w:val="02856AC1"/>
    <w:rsid w:val="0286505A"/>
    <w:rsid w:val="02883D92"/>
    <w:rsid w:val="02884D1B"/>
    <w:rsid w:val="02892F26"/>
    <w:rsid w:val="028A16C4"/>
    <w:rsid w:val="028A24EE"/>
    <w:rsid w:val="028A4766"/>
    <w:rsid w:val="028B17A1"/>
    <w:rsid w:val="028B3241"/>
    <w:rsid w:val="028B4F22"/>
    <w:rsid w:val="028C0F20"/>
    <w:rsid w:val="028C1F90"/>
    <w:rsid w:val="028C2A16"/>
    <w:rsid w:val="028D7122"/>
    <w:rsid w:val="028E0CA6"/>
    <w:rsid w:val="028E3FEE"/>
    <w:rsid w:val="028F753A"/>
    <w:rsid w:val="029234AF"/>
    <w:rsid w:val="029249F2"/>
    <w:rsid w:val="02931ACC"/>
    <w:rsid w:val="02952B6F"/>
    <w:rsid w:val="02952C7D"/>
    <w:rsid w:val="029606AC"/>
    <w:rsid w:val="02960C72"/>
    <w:rsid w:val="02966355"/>
    <w:rsid w:val="02970582"/>
    <w:rsid w:val="02973388"/>
    <w:rsid w:val="029747B7"/>
    <w:rsid w:val="029825BD"/>
    <w:rsid w:val="02986814"/>
    <w:rsid w:val="029B0B32"/>
    <w:rsid w:val="029D10F1"/>
    <w:rsid w:val="029F67B1"/>
    <w:rsid w:val="02A04E4C"/>
    <w:rsid w:val="02A04F4A"/>
    <w:rsid w:val="02A1159D"/>
    <w:rsid w:val="02A52199"/>
    <w:rsid w:val="02A72CA3"/>
    <w:rsid w:val="02A755C0"/>
    <w:rsid w:val="02A87EDE"/>
    <w:rsid w:val="02A93E77"/>
    <w:rsid w:val="02AA4CC2"/>
    <w:rsid w:val="02AE0CF5"/>
    <w:rsid w:val="02AF09A1"/>
    <w:rsid w:val="02AF4608"/>
    <w:rsid w:val="02B1336A"/>
    <w:rsid w:val="02B201F4"/>
    <w:rsid w:val="02B33180"/>
    <w:rsid w:val="02B33B4D"/>
    <w:rsid w:val="02B449C3"/>
    <w:rsid w:val="02B47930"/>
    <w:rsid w:val="02B54219"/>
    <w:rsid w:val="02B566B6"/>
    <w:rsid w:val="02BA2732"/>
    <w:rsid w:val="02BA619D"/>
    <w:rsid w:val="02BC5837"/>
    <w:rsid w:val="02BD1E73"/>
    <w:rsid w:val="02C0152D"/>
    <w:rsid w:val="02C11A6A"/>
    <w:rsid w:val="02C11F20"/>
    <w:rsid w:val="02C24F9E"/>
    <w:rsid w:val="02C30F01"/>
    <w:rsid w:val="02C42B95"/>
    <w:rsid w:val="02C4356F"/>
    <w:rsid w:val="02C51750"/>
    <w:rsid w:val="02C71CA3"/>
    <w:rsid w:val="02C72DAF"/>
    <w:rsid w:val="02C77F10"/>
    <w:rsid w:val="02C83EC7"/>
    <w:rsid w:val="02CA192A"/>
    <w:rsid w:val="02CB161B"/>
    <w:rsid w:val="02CC3961"/>
    <w:rsid w:val="02CD4A13"/>
    <w:rsid w:val="02CD567C"/>
    <w:rsid w:val="02CD6EB3"/>
    <w:rsid w:val="02CE1282"/>
    <w:rsid w:val="02CE1FEA"/>
    <w:rsid w:val="02D1160C"/>
    <w:rsid w:val="02D12C2C"/>
    <w:rsid w:val="02D13900"/>
    <w:rsid w:val="02D142BA"/>
    <w:rsid w:val="02D46E05"/>
    <w:rsid w:val="02D55612"/>
    <w:rsid w:val="02D62156"/>
    <w:rsid w:val="02D7069C"/>
    <w:rsid w:val="02D706DB"/>
    <w:rsid w:val="02D96FC8"/>
    <w:rsid w:val="02DB3115"/>
    <w:rsid w:val="02DB3F4C"/>
    <w:rsid w:val="02DC3BB5"/>
    <w:rsid w:val="02DC3F04"/>
    <w:rsid w:val="02DD2118"/>
    <w:rsid w:val="02DD7B2C"/>
    <w:rsid w:val="02DE3BFF"/>
    <w:rsid w:val="02DE47C1"/>
    <w:rsid w:val="02DE736E"/>
    <w:rsid w:val="02DE7785"/>
    <w:rsid w:val="02DF690D"/>
    <w:rsid w:val="02E170C6"/>
    <w:rsid w:val="02E17384"/>
    <w:rsid w:val="02E268FA"/>
    <w:rsid w:val="02E273FB"/>
    <w:rsid w:val="02E35B17"/>
    <w:rsid w:val="02E51B85"/>
    <w:rsid w:val="02E52B21"/>
    <w:rsid w:val="02E64C98"/>
    <w:rsid w:val="02E8116D"/>
    <w:rsid w:val="02EA4873"/>
    <w:rsid w:val="02EA543D"/>
    <w:rsid w:val="02EA75CB"/>
    <w:rsid w:val="02ED614D"/>
    <w:rsid w:val="02EE784C"/>
    <w:rsid w:val="02EF0804"/>
    <w:rsid w:val="02EF42D8"/>
    <w:rsid w:val="02F07AB9"/>
    <w:rsid w:val="02F45380"/>
    <w:rsid w:val="02F46666"/>
    <w:rsid w:val="02F70EC0"/>
    <w:rsid w:val="02F7127C"/>
    <w:rsid w:val="02F72AEC"/>
    <w:rsid w:val="02F81E9F"/>
    <w:rsid w:val="02F87DED"/>
    <w:rsid w:val="02FA2D46"/>
    <w:rsid w:val="02FB6446"/>
    <w:rsid w:val="02FC4EE1"/>
    <w:rsid w:val="02FC62D8"/>
    <w:rsid w:val="02FF5E45"/>
    <w:rsid w:val="03016AC9"/>
    <w:rsid w:val="030302E0"/>
    <w:rsid w:val="030372BF"/>
    <w:rsid w:val="03045450"/>
    <w:rsid w:val="03047DD6"/>
    <w:rsid w:val="03063920"/>
    <w:rsid w:val="0306735E"/>
    <w:rsid w:val="030719E4"/>
    <w:rsid w:val="03076C88"/>
    <w:rsid w:val="030966D0"/>
    <w:rsid w:val="030A35DE"/>
    <w:rsid w:val="030A3C09"/>
    <w:rsid w:val="030A43F2"/>
    <w:rsid w:val="030C6A20"/>
    <w:rsid w:val="030D226D"/>
    <w:rsid w:val="030D368A"/>
    <w:rsid w:val="030D3693"/>
    <w:rsid w:val="030D7DB0"/>
    <w:rsid w:val="030E3C88"/>
    <w:rsid w:val="030F1AC5"/>
    <w:rsid w:val="030F29DC"/>
    <w:rsid w:val="03102815"/>
    <w:rsid w:val="03111FBC"/>
    <w:rsid w:val="031135C2"/>
    <w:rsid w:val="03120910"/>
    <w:rsid w:val="0312656C"/>
    <w:rsid w:val="03131286"/>
    <w:rsid w:val="0313589B"/>
    <w:rsid w:val="031359D5"/>
    <w:rsid w:val="03143BE1"/>
    <w:rsid w:val="03164933"/>
    <w:rsid w:val="031754AB"/>
    <w:rsid w:val="031838A4"/>
    <w:rsid w:val="03187DF8"/>
    <w:rsid w:val="03194919"/>
    <w:rsid w:val="031A6D1C"/>
    <w:rsid w:val="031B1468"/>
    <w:rsid w:val="031B15A7"/>
    <w:rsid w:val="031C2712"/>
    <w:rsid w:val="031D1683"/>
    <w:rsid w:val="031D50A5"/>
    <w:rsid w:val="031E41F1"/>
    <w:rsid w:val="031F3EA8"/>
    <w:rsid w:val="0322256F"/>
    <w:rsid w:val="0322777A"/>
    <w:rsid w:val="032322EF"/>
    <w:rsid w:val="03235AF3"/>
    <w:rsid w:val="0325209D"/>
    <w:rsid w:val="0325711D"/>
    <w:rsid w:val="0326042D"/>
    <w:rsid w:val="03262BDA"/>
    <w:rsid w:val="03264F01"/>
    <w:rsid w:val="03266C59"/>
    <w:rsid w:val="03277835"/>
    <w:rsid w:val="03293DBF"/>
    <w:rsid w:val="032A3A5F"/>
    <w:rsid w:val="032A44DD"/>
    <w:rsid w:val="032A6DFF"/>
    <w:rsid w:val="032A7D93"/>
    <w:rsid w:val="032B16A6"/>
    <w:rsid w:val="032D12BB"/>
    <w:rsid w:val="032D1EBD"/>
    <w:rsid w:val="032E347B"/>
    <w:rsid w:val="032E4A69"/>
    <w:rsid w:val="032E701F"/>
    <w:rsid w:val="032F144D"/>
    <w:rsid w:val="032F48FB"/>
    <w:rsid w:val="032F62DA"/>
    <w:rsid w:val="032F676F"/>
    <w:rsid w:val="032F7CD8"/>
    <w:rsid w:val="03305B4B"/>
    <w:rsid w:val="03305FFE"/>
    <w:rsid w:val="03307E41"/>
    <w:rsid w:val="033147E9"/>
    <w:rsid w:val="03316DD5"/>
    <w:rsid w:val="0332581F"/>
    <w:rsid w:val="033648D6"/>
    <w:rsid w:val="03370EEF"/>
    <w:rsid w:val="03372EC2"/>
    <w:rsid w:val="03383826"/>
    <w:rsid w:val="033862AA"/>
    <w:rsid w:val="0339345C"/>
    <w:rsid w:val="033A0243"/>
    <w:rsid w:val="033A1548"/>
    <w:rsid w:val="033B077E"/>
    <w:rsid w:val="033B3D1A"/>
    <w:rsid w:val="033E1694"/>
    <w:rsid w:val="033E306D"/>
    <w:rsid w:val="034026E5"/>
    <w:rsid w:val="03406E7A"/>
    <w:rsid w:val="0340759D"/>
    <w:rsid w:val="0341280F"/>
    <w:rsid w:val="03414388"/>
    <w:rsid w:val="03430847"/>
    <w:rsid w:val="03433ED1"/>
    <w:rsid w:val="03442B43"/>
    <w:rsid w:val="034458BB"/>
    <w:rsid w:val="034540E7"/>
    <w:rsid w:val="034546C4"/>
    <w:rsid w:val="034877EC"/>
    <w:rsid w:val="034933C2"/>
    <w:rsid w:val="034A0B74"/>
    <w:rsid w:val="034A1108"/>
    <w:rsid w:val="034B29F8"/>
    <w:rsid w:val="034F727D"/>
    <w:rsid w:val="03502041"/>
    <w:rsid w:val="035241C7"/>
    <w:rsid w:val="03534EA6"/>
    <w:rsid w:val="03540D30"/>
    <w:rsid w:val="03543990"/>
    <w:rsid w:val="03572ADE"/>
    <w:rsid w:val="035742BC"/>
    <w:rsid w:val="03595F99"/>
    <w:rsid w:val="035A700C"/>
    <w:rsid w:val="035B5220"/>
    <w:rsid w:val="035C4D07"/>
    <w:rsid w:val="035D642F"/>
    <w:rsid w:val="035F0A0F"/>
    <w:rsid w:val="035F2239"/>
    <w:rsid w:val="03607871"/>
    <w:rsid w:val="036079A1"/>
    <w:rsid w:val="036106DF"/>
    <w:rsid w:val="03642763"/>
    <w:rsid w:val="036911FA"/>
    <w:rsid w:val="03695A61"/>
    <w:rsid w:val="036A512A"/>
    <w:rsid w:val="036A7EDE"/>
    <w:rsid w:val="036B7A91"/>
    <w:rsid w:val="036D0EA9"/>
    <w:rsid w:val="036E7EBB"/>
    <w:rsid w:val="036F04DA"/>
    <w:rsid w:val="036F1855"/>
    <w:rsid w:val="036F64B5"/>
    <w:rsid w:val="036F6A2A"/>
    <w:rsid w:val="03703701"/>
    <w:rsid w:val="03724C18"/>
    <w:rsid w:val="0374083D"/>
    <w:rsid w:val="037A0B7C"/>
    <w:rsid w:val="037B0437"/>
    <w:rsid w:val="037B5966"/>
    <w:rsid w:val="037C02DB"/>
    <w:rsid w:val="037C0F38"/>
    <w:rsid w:val="037E2108"/>
    <w:rsid w:val="037E4EF2"/>
    <w:rsid w:val="037E68EF"/>
    <w:rsid w:val="037E6926"/>
    <w:rsid w:val="037F13A3"/>
    <w:rsid w:val="037F629B"/>
    <w:rsid w:val="037F6524"/>
    <w:rsid w:val="03800BDE"/>
    <w:rsid w:val="038123A3"/>
    <w:rsid w:val="03812F4B"/>
    <w:rsid w:val="0382102F"/>
    <w:rsid w:val="03823679"/>
    <w:rsid w:val="03826649"/>
    <w:rsid w:val="038270D9"/>
    <w:rsid w:val="038326E0"/>
    <w:rsid w:val="0383373B"/>
    <w:rsid w:val="03854D57"/>
    <w:rsid w:val="03860733"/>
    <w:rsid w:val="03860987"/>
    <w:rsid w:val="038927F0"/>
    <w:rsid w:val="038B0228"/>
    <w:rsid w:val="038C4ADC"/>
    <w:rsid w:val="038D6D25"/>
    <w:rsid w:val="038E0033"/>
    <w:rsid w:val="038E03BD"/>
    <w:rsid w:val="038E3370"/>
    <w:rsid w:val="0390074D"/>
    <w:rsid w:val="03901D5F"/>
    <w:rsid w:val="03910855"/>
    <w:rsid w:val="0391798A"/>
    <w:rsid w:val="03920E21"/>
    <w:rsid w:val="03936BED"/>
    <w:rsid w:val="03940322"/>
    <w:rsid w:val="03942A31"/>
    <w:rsid w:val="03951E24"/>
    <w:rsid w:val="0399316E"/>
    <w:rsid w:val="0399497D"/>
    <w:rsid w:val="039A1041"/>
    <w:rsid w:val="039B115B"/>
    <w:rsid w:val="039B389B"/>
    <w:rsid w:val="039E355C"/>
    <w:rsid w:val="03A01383"/>
    <w:rsid w:val="03A01E9D"/>
    <w:rsid w:val="03A0625E"/>
    <w:rsid w:val="03A36552"/>
    <w:rsid w:val="03A435CC"/>
    <w:rsid w:val="03A56890"/>
    <w:rsid w:val="03A56D6A"/>
    <w:rsid w:val="03A7437A"/>
    <w:rsid w:val="03A82CA5"/>
    <w:rsid w:val="03AA01C0"/>
    <w:rsid w:val="03AA10A8"/>
    <w:rsid w:val="03AA35FA"/>
    <w:rsid w:val="03AA54AB"/>
    <w:rsid w:val="03AA71E3"/>
    <w:rsid w:val="03AC1DA1"/>
    <w:rsid w:val="03AC3025"/>
    <w:rsid w:val="03AC6F07"/>
    <w:rsid w:val="03AD0519"/>
    <w:rsid w:val="03AD2D41"/>
    <w:rsid w:val="03AD593B"/>
    <w:rsid w:val="03AD7D3B"/>
    <w:rsid w:val="03AF3C56"/>
    <w:rsid w:val="03AF6E29"/>
    <w:rsid w:val="03B10E58"/>
    <w:rsid w:val="03B11363"/>
    <w:rsid w:val="03B20A9E"/>
    <w:rsid w:val="03B362D6"/>
    <w:rsid w:val="03B40EE6"/>
    <w:rsid w:val="03B41BC5"/>
    <w:rsid w:val="03B428BD"/>
    <w:rsid w:val="03B46ACD"/>
    <w:rsid w:val="03B5758F"/>
    <w:rsid w:val="03B641FB"/>
    <w:rsid w:val="03B93F05"/>
    <w:rsid w:val="03B94048"/>
    <w:rsid w:val="03B976A9"/>
    <w:rsid w:val="03BC15F7"/>
    <w:rsid w:val="03BD2371"/>
    <w:rsid w:val="03BD26D1"/>
    <w:rsid w:val="03BD32F9"/>
    <w:rsid w:val="03C00A9B"/>
    <w:rsid w:val="03C12551"/>
    <w:rsid w:val="03C2134C"/>
    <w:rsid w:val="03C22736"/>
    <w:rsid w:val="03C26E52"/>
    <w:rsid w:val="03C3662C"/>
    <w:rsid w:val="03C40983"/>
    <w:rsid w:val="03C50491"/>
    <w:rsid w:val="03C54E77"/>
    <w:rsid w:val="03C615F1"/>
    <w:rsid w:val="03C66EA1"/>
    <w:rsid w:val="03C913CE"/>
    <w:rsid w:val="03C9324D"/>
    <w:rsid w:val="03CA0DCC"/>
    <w:rsid w:val="03CA17EF"/>
    <w:rsid w:val="03CA2626"/>
    <w:rsid w:val="03CB4A5D"/>
    <w:rsid w:val="03CC4180"/>
    <w:rsid w:val="03CC6AF1"/>
    <w:rsid w:val="03CD612B"/>
    <w:rsid w:val="03CE4C93"/>
    <w:rsid w:val="03CF6E8F"/>
    <w:rsid w:val="03CF7984"/>
    <w:rsid w:val="03D12952"/>
    <w:rsid w:val="03D17213"/>
    <w:rsid w:val="03D26F07"/>
    <w:rsid w:val="03D6122F"/>
    <w:rsid w:val="03D62A0A"/>
    <w:rsid w:val="03D658BA"/>
    <w:rsid w:val="03D65EE4"/>
    <w:rsid w:val="03D70DFC"/>
    <w:rsid w:val="03D75751"/>
    <w:rsid w:val="03D82EB4"/>
    <w:rsid w:val="03DA6318"/>
    <w:rsid w:val="03DB2900"/>
    <w:rsid w:val="03DB6A77"/>
    <w:rsid w:val="03DC2AE8"/>
    <w:rsid w:val="03DD1B49"/>
    <w:rsid w:val="03DD1D73"/>
    <w:rsid w:val="03DE58BA"/>
    <w:rsid w:val="03DE602C"/>
    <w:rsid w:val="03DF2688"/>
    <w:rsid w:val="03DF5EB1"/>
    <w:rsid w:val="03DF65DA"/>
    <w:rsid w:val="03E266A2"/>
    <w:rsid w:val="03E30943"/>
    <w:rsid w:val="03E33071"/>
    <w:rsid w:val="03E36A97"/>
    <w:rsid w:val="03E51258"/>
    <w:rsid w:val="03E534E0"/>
    <w:rsid w:val="03E66BDC"/>
    <w:rsid w:val="03E86A2A"/>
    <w:rsid w:val="03E8796A"/>
    <w:rsid w:val="03E911BA"/>
    <w:rsid w:val="03EA4D79"/>
    <w:rsid w:val="03EA7D55"/>
    <w:rsid w:val="03EC0C2A"/>
    <w:rsid w:val="03EC5F28"/>
    <w:rsid w:val="03EC6A66"/>
    <w:rsid w:val="03ED7F05"/>
    <w:rsid w:val="03EE1B74"/>
    <w:rsid w:val="03F00529"/>
    <w:rsid w:val="03F02DA5"/>
    <w:rsid w:val="03F07ABC"/>
    <w:rsid w:val="03F229A5"/>
    <w:rsid w:val="03F363C3"/>
    <w:rsid w:val="03F512C1"/>
    <w:rsid w:val="03F605FF"/>
    <w:rsid w:val="03F6241C"/>
    <w:rsid w:val="03F705CF"/>
    <w:rsid w:val="03F7522E"/>
    <w:rsid w:val="03FA03DC"/>
    <w:rsid w:val="03FA06AC"/>
    <w:rsid w:val="03FA7FFE"/>
    <w:rsid w:val="03FC31D2"/>
    <w:rsid w:val="03FD6A59"/>
    <w:rsid w:val="03FE12AA"/>
    <w:rsid w:val="03FE4F4A"/>
    <w:rsid w:val="03FF2886"/>
    <w:rsid w:val="03FF2DC6"/>
    <w:rsid w:val="03FF4B5E"/>
    <w:rsid w:val="040101F8"/>
    <w:rsid w:val="040405E8"/>
    <w:rsid w:val="040455F0"/>
    <w:rsid w:val="04052CD6"/>
    <w:rsid w:val="04056534"/>
    <w:rsid w:val="04061BF9"/>
    <w:rsid w:val="040623D7"/>
    <w:rsid w:val="04064D6B"/>
    <w:rsid w:val="040663FA"/>
    <w:rsid w:val="04073C99"/>
    <w:rsid w:val="04077077"/>
    <w:rsid w:val="04097178"/>
    <w:rsid w:val="040A2BBB"/>
    <w:rsid w:val="040C364A"/>
    <w:rsid w:val="040D03E0"/>
    <w:rsid w:val="040D6B63"/>
    <w:rsid w:val="041002FF"/>
    <w:rsid w:val="041038C9"/>
    <w:rsid w:val="04112C3E"/>
    <w:rsid w:val="041236AB"/>
    <w:rsid w:val="041255DE"/>
    <w:rsid w:val="04125A72"/>
    <w:rsid w:val="04132E6E"/>
    <w:rsid w:val="04136957"/>
    <w:rsid w:val="04137B5E"/>
    <w:rsid w:val="04170036"/>
    <w:rsid w:val="0418082B"/>
    <w:rsid w:val="04182BF4"/>
    <w:rsid w:val="04185410"/>
    <w:rsid w:val="04187367"/>
    <w:rsid w:val="041A1A9B"/>
    <w:rsid w:val="041B280B"/>
    <w:rsid w:val="041D3C29"/>
    <w:rsid w:val="041E04CF"/>
    <w:rsid w:val="041E145B"/>
    <w:rsid w:val="041E2D92"/>
    <w:rsid w:val="04222DDC"/>
    <w:rsid w:val="0423281D"/>
    <w:rsid w:val="042402CF"/>
    <w:rsid w:val="04241428"/>
    <w:rsid w:val="04251086"/>
    <w:rsid w:val="04254983"/>
    <w:rsid w:val="04262453"/>
    <w:rsid w:val="0427230D"/>
    <w:rsid w:val="042C4747"/>
    <w:rsid w:val="042E02E2"/>
    <w:rsid w:val="042E35FD"/>
    <w:rsid w:val="042F5BAE"/>
    <w:rsid w:val="043138D1"/>
    <w:rsid w:val="04322DF0"/>
    <w:rsid w:val="04342189"/>
    <w:rsid w:val="04351CCA"/>
    <w:rsid w:val="04357C00"/>
    <w:rsid w:val="04363EF5"/>
    <w:rsid w:val="04365C64"/>
    <w:rsid w:val="0437692F"/>
    <w:rsid w:val="04376A48"/>
    <w:rsid w:val="04380612"/>
    <w:rsid w:val="04390BE5"/>
    <w:rsid w:val="04391AA9"/>
    <w:rsid w:val="043A7545"/>
    <w:rsid w:val="043A7A4E"/>
    <w:rsid w:val="043B1C7A"/>
    <w:rsid w:val="043B7B7A"/>
    <w:rsid w:val="043E0681"/>
    <w:rsid w:val="043E5B24"/>
    <w:rsid w:val="0440476C"/>
    <w:rsid w:val="044052B7"/>
    <w:rsid w:val="0440696C"/>
    <w:rsid w:val="04416752"/>
    <w:rsid w:val="04421E68"/>
    <w:rsid w:val="0442248D"/>
    <w:rsid w:val="04423E11"/>
    <w:rsid w:val="044306C3"/>
    <w:rsid w:val="04471179"/>
    <w:rsid w:val="0449255A"/>
    <w:rsid w:val="044A2729"/>
    <w:rsid w:val="044B10A8"/>
    <w:rsid w:val="044B53B7"/>
    <w:rsid w:val="044C248B"/>
    <w:rsid w:val="044D0214"/>
    <w:rsid w:val="044D7CD4"/>
    <w:rsid w:val="044D7F1F"/>
    <w:rsid w:val="044F4194"/>
    <w:rsid w:val="0450738E"/>
    <w:rsid w:val="04522AB9"/>
    <w:rsid w:val="04522B38"/>
    <w:rsid w:val="04524E79"/>
    <w:rsid w:val="045301F6"/>
    <w:rsid w:val="04531206"/>
    <w:rsid w:val="045434B3"/>
    <w:rsid w:val="04545C7E"/>
    <w:rsid w:val="04545D66"/>
    <w:rsid w:val="04550D97"/>
    <w:rsid w:val="045616DE"/>
    <w:rsid w:val="04563FE9"/>
    <w:rsid w:val="04585158"/>
    <w:rsid w:val="04587F04"/>
    <w:rsid w:val="0459128F"/>
    <w:rsid w:val="045A0FDA"/>
    <w:rsid w:val="045B0166"/>
    <w:rsid w:val="045B1873"/>
    <w:rsid w:val="045B5D3C"/>
    <w:rsid w:val="045C0F3C"/>
    <w:rsid w:val="045E0DB7"/>
    <w:rsid w:val="045E2ABE"/>
    <w:rsid w:val="045F45C8"/>
    <w:rsid w:val="04610261"/>
    <w:rsid w:val="04610B65"/>
    <w:rsid w:val="04616AC4"/>
    <w:rsid w:val="04622A13"/>
    <w:rsid w:val="04641B21"/>
    <w:rsid w:val="04655373"/>
    <w:rsid w:val="04674BFE"/>
    <w:rsid w:val="04686715"/>
    <w:rsid w:val="04692D9D"/>
    <w:rsid w:val="046D3B2C"/>
    <w:rsid w:val="046E4FC0"/>
    <w:rsid w:val="046F17B3"/>
    <w:rsid w:val="046F6F24"/>
    <w:rsid w:val="047110A2"/>
    <w:rsid w:val="047214C1"/>
    <w:rsid w:val="047222D3"/>
    <w:rsid w:val="0473192B"/>
    <w:rsid w:val="047323C1"/>
    <w:rsid w:val="04733B2B"/>
    <w:rsid w:val="04734A31"/>
    <w:rsid w:val="04750473"/>
    <w:rsid w:val="04782BC5"/>
    <w:rsid w:val="04784C6C"/>
    <w:rsid w:val="047904D8"/>
    <w:rsid w:val="04793617"/>
    <w:rsid w:val="047936E8"/>
    <w:rsid w:val="04797A3D"/>
    <w:rsid w:val="047B1CF5"/>
    <w:rsid w:val="047B4EA8"/>
    <w:rsid w:val="047C1D2D"/>
    <w:rsid w:val="047C5FC7"/>
    <w:rsid w:val="047D1717"/>
    <w:rsid w:val="047D7605"/>
    <w:rsid w:val="047E0CA1"/>
    <w:rsid w:val="047E22EB"/>
    <w:rsid w:val="04812FFE"/>
    <w:rsid w:val="04815380"/>
    <w:rsid w:val="048213CA"/>
    <w:rsid w:val="0482159B"/>
    <w:rsid w:val="04841F68"/>
    <w:rsid w:val="04844D3B"/>
    <w:rsid w:val="04857737"/>
    <w:rsid w:val="0486318C"/>
    <w:rsid w:val="04866F9D"/>
    <w:rsid w:val="048736DA"/>
    <w:rsid w:val="048876F5"/>
    <w:rsid w:val="048956F0"/>
    <w:rsid w:val="048B3AA5"/>
    <w:rsid w:val="048C4FC4"/>
    <w:rsid w:val="048C54B6"/>
    <w:rsid w:val="048C606F"/>
    <w:rsid w:val="048F65D1"/>
    <w:rsid w:val="049068DD"/>
    <w:rsid w:val="04906B23"/>
    <w:rsid w:val="04911CB9"/>
    <w:rsid w:val="04911FA1"/>
    <w:rsid w:val="04932B92"/>
    <w:rsid w:val="049474D4"/>
    <w:rsid w:val="049502B4"/>
    <w:rsid w:val="049575E3"/>
    <w:rsid w:val="04963E85"/>
    <w:rsid w:val="049A509E"/>
    <w:rsid w:val="049A5BEB"/>
    <w:rsid w:val="049D3CD4"/>
    <w:rsid w:val="049E07D5"/>
    <w:rsid w:val="049E4688"/>
    <w:rsid w:val="049F5101"/>
    <w:rsid w:val="049F656D"/>
    <w:rsid w:val="04A065BE"/>
    <w:rsid w:val="04A23365"/>
    <w:rsid w:val="04A45173"/>
    <w:rsid w:val="04A4620D"/>
    <w:rsid w:val="04A50408"/>
    <w:rsid w:val="04A55E52"/>
    <w:rsid w:val="04A60B51"/>
    <w:rsid w:val="04A7042F"/>
    <w:rsid w:val="04A73DA3"/>
    <w:rsid w:val="04A9250C"/>
    <w:rsid w:val="04AA4E99"/>
    <w:rsid w:val="04AB7474"/>
    <w:rsid w:val="04AC03C6"/>
    <w:rsid w:val="04AC0EB1"/>
    <w:rsid w:val="04AC1FD3"/>
    <w:rsid w:val="04AC4F89"/>
    <w:rsid w:val="04AD7E8E"/>
    <w:rsid w:val="04AF59D3"/>
    <w:rsid w:val="04AF6E63"/>
    <w:rsid w:val="04B02A34"/>
    <w:rsid w:val="04B07A42"/>
    <w:rsid w:val="04B11767"/>
    <w:rsid w:val="04B20E39"/>
    <w:rsid w:val="04B3549D"/>
    <w:rsid w:val="04B3651B"/>
    <w:rsid w:val="04B37F10"/>
    <w:rsid w:val="04B45A86"/>
    <w:rsid w:val="04B548BF"/>
    <w:rsid w:val="04B734D8"/>
    <w:rsid w:val="04B92AEB"/>
    <w:rsid w:val="04B93B49"/>
    <w:rsid w:val="04B94D97"/>
    <w:rsid w:val="04BB6092"/>
    <w:rsid w:val="04BC3C7E"/>
    <w:rsid w:val="04BC4663"/>
    <w:rsid w:val="04BE3F0A"/>
    <w:rsid w:val="04C01254"/>
    <w:rsid w:val="04C0517F"/>
    <w:rsid w:val="04C0638F"/>
    <w:rsid w:val="04C3537C"/>
    <w:rsid w:val="04C4131B"/>
    <w:rsid w:val="04C5231F"/>
    <w:rsid w:val="04C54A72"/>
    <w:rsid w:val="04C57D3C"/>
    <w:rsid w:val="04C858BF"/>
    <w:rsid w:val="04C873BE"/>
    <w:rsid w:val="04C95636"/>
    <w:rsid w:val="04CA41ED"/>
    <w:rsid w:val="04CA4F9F"/>
    <w:rsid w:val="04CA62C4"/>
    <w:rsid w:val="04CC533C"/>
    <w:rsid w:val="04CD3436"/>
    <w:rsid w:val="04CD35F1"/>
    <w:rsid w:val="04CF2718"/>
    <w:rsid w:val="04D1036B"/>
    <w:rsid w:val="04D110F5"/>
    <w:rsid w:val="04D1523B"/>
    <w:rsid w:val="04D363A6"/>
    <w:rsid w:val="04D50D31"/>
    <w:rsid w:val="04D50D54"/>
    <w:rsid w:val="04DA0626"/>
    <w:rsid w:val="04DB2D1E"/>
    <w:rsid w:val="04DD2C1C"/>
    <w:rsid w:val="04DE7158"/>
    <w:rsid w:val="04DF1728"/>
    <w:rsid w:val="04E1145C"/>
    <w:rsid w:val="04E237F8"/>
    <w:rsid w:val="04E403C2"/>
    <w:rsid w:val="04E4204C"/>
    <w:rsid w:val="04E46871"/>
    <w:rsid w:val="04E52F21"/>
    <w:rsid w:val="04E548D6"/>
    <w:rsid w:val="04E61CA5"/>
    <w:rsid w:val="04E6485F"/>
    <w:rsid w:val="04E672BC"/>
    <w:rsid w:val="04E938D2"/>
    <w:rsid w:val="04EB0640"/>
    <w:rsid w:val="04EB7D2C"/>
    <w:rsid w:val="04EC169B"/>
    <w:rsid w:val="04EC3603"/>
    <w:rsid w:val="04EC539E"/>
    <w:rsid w:val="04ED3813"/>
    <w:rsid w:val="04EE4A3F"/>
    <w:rsid w:val="04EF069F"/>
    <w:rsid w:val="04EF671A"/>
    <w:rsid w:val="04EF786F"/>
    <w:rsid w:val="04F10A99"/>
    <w:rsid w:val="04F13718"/>
    <w:rsid w:val="04F313F9"/>
    <w:rsid w:val="04F44531"/>
    <w:rsid w:val="04F574FF"/>
    <w:rsid w:val="04F72482"/>
    <w:rsid w:val="04F774D2"/>
    <w:rsid w:val="04F87D18"/>
    <w:rsid w:val="04FA1A5B"/>
    <w:rsid w:val="04FB08E0"/>
    <w:rsid w:val="04FB71D2"/>
    <w:rsid w:val="04FC2CDC"/>
    <w:rsid w:val="04FD392D"/>
    <w:rsid w:val="04FE57EC"/>
    <w:rsid w:val="04FE5D16"/>
    <w:rsid w:val="04FF037E"/>
    <w:rsid w:val="04FF5EBB"/>
    <w:rsid w:val="0501135F"/>
    <w:rsid w:val="05020DC8"/>
    <w:rsid w:val="050242AD"/>
    <w:rsid w:val="05024BAF"/>
    <w:rsid w:val="0502794A"/>
    <w:rsid w:val="05030AA4"/>
    <w:rsid w:val="05031A3B"/>
    <w:rsid w:val="05081B53"/>
    <w:rsid w:val="05083B1D"/>
    <w:rsid w:val="050D3ABD"/>
    <w:rsid w:val="050F4C43"/>
    <w:rsid w:val="050F66B5"/>
    <w:rsid w:val="05102C91"/>
    <w:rsid w:val="05110FCA"/>
    <w:rsid w:val="051118D0"/>
    <w:rsid w:val="05111C1A"/>
    <w:rsid w:val="051126CA"/>
    <w:rsid w:val="05124ADC"/>
    <w:rsid w:val="05134A8D"/>
    <w:rsid w:val="05142D69"/>
    <w:rsid w:val="0514552D"/>
    <w:rsid w:val="05151FC0"/>
    <w:rsid w:val="05154B84"/>
    <w:rsid w:val="05156C1E"/>
    <w:rsid w:val="0515715B"/>
    <w:rsid w:val="05185C01"/>
    <w:rsid w:val="05185D83"/>
    <w:rsid w:val="05191A7F"/>
    <w:rsid w:val="05196B06"/>
    <w:rsid w:val="05197F98"/>
    <w:rsid w:val="051A64F5"/>
    <w:rsid w:val="051A71DB"/>
    <w:rsid w:val="051C09A3"/>
    <w:rsid w:val="051C1CAC"/>
    <w:rsid w:val="051C2F48"/>
    <w:rsid w:val="051C4810"/>
    <w:rsid w:val="051E0804"/>
    <w:rsid w:val="051F562D"/>
    <w:rsid w:val="05210164"/>
    <w:rsid w:val="05216546"/>
    <w:rsid w:val="0522299F"/>
    <w:rsid w:val="05254E6A"/>
    <w:rsid w:val="052616D8"/>
    <w:rsid w:val="052826DB"/>
    <w:rsid w:val="052828D7"/>
    <w:rsid w:val="052A52FF"/>
    <w:rsid w:val="052A6240"/>
    <w:rsid w:val="052A7A69"/>
    <w:rsid w:val="052B0D93"/>
    <w:rsid w:val="052B1173"/>
    <w:rsid w:val="052B14E1"/>
    <w:rsid w:val="052B2C79"/>
    <w:rsid w:val="052D204B"/>
    <w:rsid w:val="052E205E"/>
    <w:rsid w:val="052F17F4"/>
    <w:rsid w:val="052F7317"/>
    <w:rsid w:val="05323EA8"/>
    <w:rsid w:val="053324EA"/>
    <w:rsid w:val="053354A5"/>
    <w:rsid w:val="053361EE"/>
    <w:rsid w:val="053456F4"/>
    <w:rsid w:val="05347185"/>
    <w:rsid w:val="053547FB"/>
    <w:rsid w:val="05354C54"/>
    <w:rsid w:val="05370D93"/>
    <w:rsid w:val="05374BFF"/>
    <w:rsid w:val="05386D10"/>
    <w:rsid w:val="053A49DB"/>
    <w:rsid w:val="053A6B64"/>
    <w:rsid w:val="053B18A4"/>
    <w:rsid w:val="053C2C94"/>
    <w:rsid w:val="053D5C4F"/>
    <w:rsid w:val="05422950"/>
    <w:rsid w:val="0542634A"/>
    <w:rsid w:val="05442041"/>
    <w:rsid w:val="0545007B"/>
    <w:rsid w:val="05453CAD"/>
    <w:rsid w:val="05455747"/>
    <w:rsid w:val="054700C6"/>
    <w:rsid w:val="05473674"/>
    <w:rsid w:val="05483C25"/>
    <w:rsid w:val="05494D89"/>
    <w:rsid w:val="0549559F"/>
    <w:rsid w:val="05497665"/>
    <w:rsid w:val="054B0BE9"/>
    <w:rsid w:val="054D7A14"/>
    <w:rsid w:val="054E1ED3"/>
    <w:rsid w:val="05520B1A"/>
    <w:rsid w:val="0552503D"/>
    <w:rsid w:val="0552632F"/>
    <w:rsid w:val="055275D9"/>
    <w:rsid w:val="05534D67"/>
    <w:rsid w:val="05536CD3"/>
    <w:rsid w:val="0554003B"/>
    <w:rsid w:val="05542478"/>
    <w:rsid w:val="055516CD"/>
    <w:rsid w:val="05553549"/>
    <w:rsid w:val="05563A93"/>
    <w:rsid w:val="05576F7B"/>
    <w:rsid w:val="055834FD"/>
    <w:rsid w:val="05594417"/>
    <w:rsid w:val="055A4A08"/>
    <w:rsid w:val="055C0693"/>
    <w:rsid w:val="055C0D2F"/>
    <w:rsid w:val="055C2298"/>
    <w:rsid w:val="055D4CC2"/>
    <w:rsid w:val="055E1B12"/>
    <w:rsid w:val="055E45CA"/>
    <w:rsid w:val="055F320A"/>
    <w:rsid w:val="05600E8A"/>
    <w:rsid w:val="05603571"/>
    <w:rsid w:val="056076E9"/>
    <w:rsid w:val="056164F9"/>
    <w:rsid w:val="0562000D"/>
    <w:rsid w:val="05623AC6"/>
    <w:rsid w:val="05635940"/>
    <w:rsid w:val="0564416C"/>
    <w:rsid w:val="0564439A"/>
    <w:rsid w:val="05646115"/>
    <w:rsid w:val="05650A5E"/>
    <w:rsid w:val="05652370"/>
    <w:rsid w:val="05654685"/>
    <w:rsid w:val="05656DF6"/>
    <w:rsid w:val="056621AB"/>
    <w:rsid w:val="05666D3A"/>
    <w:rsid w:val="0568423F"/>
    <w:rsid w:val="05685168"/>
    <w:rsid w:val="056905C6"/>
    <w:rsid w:val="056B0D50"/>
    <w:rsid w:val="056D423B"/>
    <w:rsid w:val="0570395F"/>
    <w:rsid w:val="05712015"/>
    <w:rsid w:val="05712685"/>
    <w:rsid w:val="05741D0D"/>
    <w:rsid w:val="057503B4"/>
    <w:rsid w:val="05752386"/>
    <w:rsid w:val="057626DA"/>
    <w:rsid w:val="05767658"/>
    <w:rsid w:val="05782BF7"/>
    <w:rsid w:val="057A07EF"/>
    <w:rsid w:val="057A1858"/>
    <w:rsid w:val="057A3078"/>
    <w:rsid w:val="057B485B"/>
    <w:rsid w:val="057D1EF9"/>
    <w:rsid w:val="057E46C6"/>
    <w:rsid w:val="057E528E"/>
    <w:rsid w:val="057F3729"/>
    <w:rsid w:val="058052BA"/>
    <w:rsid w:val="05814E68"/>
    <w:rsid w:val="058260E3"/>
    <w:rsid w:val="05832C02"/>
    <w:rsid w:val="05847049"/>
    <w:rsid w:val="05847100"/>
    <w:rsid w:val="05847E8A"/>
    <w:rsid w:val="05857E1F"/>
    <w:rsid w:val="05860655"/>
    <w:rsid w:val="058678B0"/>
    <w:rsid w:val="058819DF"/>
    <w:rsid w:val="058833E1"/>
    <w:rsid w:val="05887952"/>
    <w:rsid w:val="0589009F"/>
    <w:rsid w:val="058B3A56"/>
    <w:rsid w:val="058B4C4D"/>
    <w:rsid w:val="058B7E87"/>
    <w:rsid w:val="058C79D6"/>
    <w:rsid w:val="058D084D"/>
    <w:rsid w:val="058D7D27"/>
    <w:rsid w:val="058F4597"/>
    <w:rsid w:val="058F6D7F"/>
    <w:rsid w:val="05907F2C"/>
    <w:rsid w:val="05910364"/>
    <w:rsid w:val="059172F2"/>
    <w:rsid w:val="059242FF"/>
    <w:rsid w:val="05937517"/>
    <w:rsid w:val="0595080C"/>
    <w:rsid w:val="05956F20"/>
    <w:rsid w:val="059675B2"/>
    <w:rsid w:val="05967C48"/>
    <w:rsid w:val="05970938"/>
    <w:rsid w:val="05977B09"/>
    <w:rsid w:val="05982C7A"/>
    <w:rsid w:val="05995413"/>
    <w:rsid w:val="059958AD"/>
    <w:rsid w:val="059963E7"/>
    <w:rsid w:val="059A02A5"/>
    <w:rsid w:val="059A3C03"/>
    <w:rsid w:val="059B7773"/>
    <w:rsid w:val="059B7A24"/>
    <w:rsid w:val="059D5BA8"/>
    <w:rsid w:val="05A036E3"/>
    <w:rsid w:val="05A15DE5"/>
    <w:rsid w:val="05A306AA"/>
    <w:rsid w:val="05A32E78"/>
    <w:rsid w:val="05A36F5B"/>
    <w:rsid w:val="05A4129C"/>
    <w:rsid w:val="05A513C3"/>
    <w:rsid w:val="05A56FBF"/>
    <w:rsid w:val="05A603BC"/>
    <w:rsid w:val="05A71EDC"/>
    <w:rsid w:val="05A736C9"/>
    <w:rsid w:val="05A73FCB"/>
    <w:rsid w:val="05A748B4"/>
    <w:rsid w:val="05A84763"/>
    <w:rsid w:val="05A970D5"/>
    <w:rsid w:val="05AA6EA4"/>
    <w:rsid w:val="05AB2541"/>
    <w:rsid w:val="05AC4062"/>
    <w:rsid w:val="05AC6024"/>
    <w:rsid w:val="05AF0A0B"/>
    <w:rsid w:val="05AF6CB2"/>
    <w:rsid w:val="05B00518"/>
    <w:rsid w:val="05B0146B"/>
    <w:rsid w:val="05B16CC6"/>
    <w:rsid w:val="05B22BC1"/>
    <w:rsid w:val="05B2600A"/>
    <w:rsid w:val="05B3466E"/>
    <w:rsid w:val="05B365A3"/>
    <w:rsid w:val="05B37B8C"/>
    <w:rsid w:val="05B45F59"/>
    <w:rsid w:val="05B52193"/>
    <w:rsid w:val="05B52823"/>
    <w:rsid w:val="05B80C75"/>
    <w:rsid w:val="05B94AAC"/>
    <w:rsid w:val="05BA5CCD"/>
    <w:rsid w:val="05BB3E77"/>
    <w:rsid w:val="05BB6E05"/>
    <w:rsid w:val="05BC0DB1"/>
    <w:rsid w:val="05BC5FC6"/>
    <w:rsid w:val="05BD1E31"/>
    <w:rsid w:val="05BD7760"/>
    <w:rsid w:val="05BE40D4"/>
    <w:rsid w:val="05C018AC"/>
    <w:rsid w:val="05C04F9C"/>
    <w:rsid w:val="05C2493B"/>
    <w:rsid w:val="05C27440"/>
    <w:rsid w:val="05C52A66"/>
    <w:rsid w:val="05C570B1"/>
    <w:rsid w:val="05C64114"/>
    <w:rsid w:val="05C80FCD"/>
    <w:rsid w:val="05C81B49"/>
    <w:rsid w:val="05C92518"/>
    <w:rsid w:val="05C92F2B"/>
    <w:rsid w:val="05CB44CF"/>
    <w:rsid w:val="05CB4F30"/>
    <w:rsid w:val="05CC24F4"/>
    <w:rsid w:val="05CC5EFC"/>
    <w:rsid w:val="05CF4989"/>
    <w:rsid w:val="05D0353C"/>
    <w:rsid w:val="05D06F3A"/>
    <w:rsid w:val="05D22575"/>
    <w:rsid w:val="05D30732"/>
    <w:rsid w:val="05D34949"/>
    <w:rsid w:val="05D43664"/>
    <w:rsid w:val="05D444D4"/>
    <w:rsid w:val="05D451E5"/>
    <w:rsid w:val="05D5781D"/>
    <w:rsid w:val="05D654CF"/>
    <w:rsid w:val="05D85D20"/>
    <w:rsid w:val="05DB7D03"/>
    <w:rsid w:val="05DC125C"/>
    <w:rsid w:val="05DC7DFC"/>
    <w:rsid w:val="05DD082E"/>
    <w:rsid w:val="05DD246D"/>
    <w:rsid w:val="05DE6084"/>
    <w:rsid w:val="05E0237B"/>
    <w:rsid w:val="05E205E5"/>
    <w:rsid w:val="05E244DD"/>
    <w:rsid w:val="05E32574"/>
    <w:rsid w:val="05E36AC4"/>
    <w:rsid w:val="05E447D2"/>
    <w:rsid w:val="05E46D42"/>
    <w:rsid w:val="05E662E4"/>
    <w:rsid w:val="05E84017"/>
    <w:rsid w:val="05E84706"/>
    <w:rsid w:val="05EA2F05"/>
    <w:rsid w:val="05EA5FA3"/>
    <w:rsid w:val="05EB4841"/>
    <w:rsid w:val="05EC3E75"/>
    <w:rsid w:val="05EE22B4"/>
    <w:rsid w:val="05EE51B3"/>
    <w:rsid w:val="05EF0D7D"/>
    <w:rsid w:val="05F20942"/>
    <w:rsid w:val="05F23BF6"/>
    <w:rsid w:val="05F30966"/>
    <w:rsid w:val="05F30A0F"/>
    <w:rsid w:val="05F34D4D"/>
    <w:rsid w:val="05F45333"/>
    <w:rsid w:val="05F5130C"/>
    <w:rsid w:val="05F54736"/>
    <w:rsid w:val="05F83CEA"/>
    <w:rsid w:val="05FA1B66"/>
    <w:rsid w:val="05FB414A"/>
    <w:rsid w:val="05FC072D"/>
    <w:rsid w:val="05FC1F71"/>
    <w:rsid w:val="05FF3D80"/>
    <w:rsid w:val="0600615C"/>
    <w:rsid w:val="06007065"/>
    <w:rsid w:val="0603407A"/>
    <w:rsid w:val="06035507"/>
    <w:rsid w:val="06035809"/>
    <w:rsid w:val="06042F56"/>
    <w:rsid w:val="06063F5E"/>
    <w:rsid w:val="060813CF"/>
    <w:rsid w:val="06085338"/>
    <w:rsid w:val="06087AB3"/>
    <w:rsid w:val="060A47FA"/>
    <w:rsid w:val="060D2A54"/>
    <w:rsid w:val="060D3538"/>
    <w:rsid w:val="060E28FC"/>
    <w:rsid w:val="060F7C26"/>
    <w:rsid w:val="06104125"/>
    <w:rsid w:val="06110EED"/>
    <w:rsid w:val="061129BF"/>
    <w:rsid w:val="06115D2E"/>
    <w:rsid w:val="0612606C"/>
    <w:rsid w:val="06132D1F"/>
    <w:rsid w:val="06137EDA"/>
    <w:rsid w:val="06142FC3"/>
    <w:rsid w:val="06155EE0"/>
    <w:rsid w:val="06157E21"/>
    <w:rsid w:val="06161841"/>
    <w:rsid w:val="06165FDA"/>
    <w:rsid w:val="061730AB"/>
    <w:rsid w:val="06180048"/>
    <w:rsid w:val="061821C8"/>
    <w:rsid w:val="06182688"/>
    <w:rsid w:val="06182B66"/>
    <w:rsid w:val="061D4ACA"/>
    <w:rsid w:val="061E1466"/>
    <w:rsid w:val="062019C8"/>
    <w:rsid w:val="0620555C"/>
    <w:rsid w:val="06205A10"/>
    <w:rsid w:val="06221C8B"/>
    <w:rsid w:val="06240B21"/>
    <w:rsid w:val="0624281F"/>
    <w:rsid w:val="062613C6"/>
    <w:rsid w:val="06292C63"/>
    <w:rsid w:val="062A3AE0"/>
    <w:rsid w:val="062C23B8"/>
    <w:rsid w:val="062C3E1C"/>
    <w:rsid w:val="062F1B50"/>
    <w:rsid w:val="062F5BCA"/>
    <w:rsid w:val="062F5C42"/>
    <w:rsid w:val="06304B38"/>
    <w:rsid w:val="0630530A"/>
    <w:rsid w:val="06323397"/>
    <w:rsid w:val="06326C8B"/>
    <w:rsid w:val="06332CFB"/>
    <w:rsid w:val="06334D98"/>
    <w:rsid w:val="063457A2"/>
    <w:rsid w:val="0636440D"/>
    <w:rsid w:val="063823BF"/>
    <w:rsid w:val="063934C2"/>
    <w:rsid w:val="06393EC5"/>
    <w:rsid w:val="063A0CF7"/>
    <w:rsid w:val="063A3A58"/>
    <w:rsid w:val="063C3D47"/>
    <w:rsid w:val="063C44DF"/>
    <w:rsid w:val="063C7874"/>
    <w:rsid w:val="063D7257"/>
    <w:rsid w:val="063E32EC"/>
    <w:rsid w:val="063E3FA7"/>
    <w:rsid w:val="063F3526"/>
    <w:rsid w:val="0640787E"/>
    <w:rsid w:val="06421445"/>
    <w:rsid w:val="06425F99"/>
    <w:rsid w:val="0644288F"/>
    <w:rsid w:val="0644515E"/>
    <w:rsid w:val="0646522C"/>
    <w:rsid w:val="06471D99"/>
    <w:rsid w:val="06494525"/>
    <w:rsid w:val="06497045"/>
    <w:rsid w:val="064A79E8"/>
    <w:rsid w:val="064B5FC6"/>
    <w:rsid w:val="064B7098"/>
    <w:rsid w:val="064C20BE"/>
    <w:rsid w:val="064D7CF0"/>
    <w:rsid w:val="064E7003"/>
    <w:rsid w:val="06503822"/>
    <w:rsid w:val="06503D72"/>
    <w:rsid w:val="0653217D"/>
    <w:rsid w:val="06553D02"/>
    <w:rsid w:val="065710B9"/>
    <w:rsid w:val="06577529"/>
    <w:rsid w:val="06597F8E"/>
    <w:rsid w:val="065A7611"/>
    <w:rsid w:val="065A7D4D"/>
    <w:rsid w:val="065C388D"/>
    <w:rsid w:val="06621C00"/>
    <w:rsid w:val="06636591"/>
    <w:rsid w:val="066A0519"/>
    <w:rsid w:val="066C6867"/>
    <w:rsid w:val="066D21DE"/>
    <w:rsid w:val="066D4083"/>
    <w:rsid w:val="066F6E3E"/>
    <w:rsid w:val="06706701"/>
    <w:rsid w:val="06715092"/>
    <w:rsid w:val="06733D9B"/>
    <w:rsid w:val="06736297"/>
    <w:rsid w:val="06770F6D"/>
    <w:rsid w:val="0677583B"/>
    <w:rsid w:val="06782871"/>
    <w:rsid w:val="06787E06"/>
    <w:rsid w:val="06791591"/>
    <w:rsid w:val="06792313"/>
    <w:rsid w:val="067B6E43"/>
    <w:rsid w:val="067E6BA7"/>
    <w:rsid w:val="067F6321"/>
    <w:rsid w:val="06803C15"/>
    <w:rsid w:val="06814FEE"/>
    <w:rsid w:val="0682513F"/>
    <w:rsid w:val="06825BA4"/>
    <w:rsid w:val="06826DAA"/>
    <w:rsid w:val="06831690"/>
    <w:rsid w:val="06846884"/>
    <w:rsid w:val="0687515F"/>
    <w:rsid w:val="068877AF"/>
    <w:rsid w:val="06890BB7"/>
    <w:rsid w:val="06896558"/>
    <w:rsid w:val="068B011B"/>
    <w:rsid w:val="068B0F63"/>
    <w:rsid w:val="068E63AF"/>
    <w:rsid w:val="068E7992"/>
    <w:rsid w:val="068F081A"/>
    <w:rsid w:val="068F25D5"/>
    <w:rsid w:val="06905886"/>
    <w:rsid w:val="0691618C"/>
    <w:rsid w:val="06936923"/>
    <w:rsid w:val="0694361F"/>
    <w:rsid w:val="0694579C"/>
    <w:rsid w:val="069474B6"/>
    <w:rsid w:val="06953F2C"/>
    <w:rsid w:val="06955910"/>
    <w:rsid w:val="06965375"/>
    <w:rsid w:val="0699137C"/>
    <w:rsid w:val="069970F7"/>
    <w:rsid w:val="06997FFC"/>
    <w:rsid w:val="069C3132"/>
    <w:rsid w:val="069D0C36"/>
    <w:rsid w:val="069F0177"/>
    <w:rsid w:val="06A00C4B"/>
    <w:rsid w:val="06A042F6"/>
    <w:rsid w:val="06A06B5B"/>
    <w:rsid w:val="06A370FE"/>
    <w:rsid w:val="06A45D38"/>
    <w:rsid w:val="06A5017D"/>
    <w:rsid w:val="06A836A6"/>
    <w:rsid w:val="06A943B4"/>
    <w:rsid w:val="06AB646C"/>
    <w:rsid w:val="06AC6E2D"/>
    <w:rsid w:val="06AE40B3"/>
    <w:rsid w:val="06AE5D42"/>
    <w:rsid w:val="06AF54A7"/>
    <w:rsid w:val="06B07237"/>
    <w:rsid w:val="06B12758"/>
    <w:rsid w:val="06B160E0"/>
    <w:rsid w:val="06B240C1"/>
    <w:rsid w:val="06B61F72"/>
    <w:rsid w:val="06B63525"/>
    <w:rsid w:val="06B77454"/>
    <w:rsid w:val="06B86254"/>
    <w:rsid w:val="06B8759F"/>
    <w:rsid w:val="06BA25B6"/>
    <w:rsid w:val="06BA2669"/>
    <w:rsid w:val="06BA3CFA"/>
    <w:rsid w:val="06BB79E4"/>
    <w:rsid w:val="06BC15B7"/>
    <w:rsid w:val="06BE76B0"/>
    <w:rsid w:val="06BF44D6"/>
    <w:rsid w:val="06BF504E"/>
    <w:rsid w:val="06C07699"/>
    <w:rsid w:val="06C22028"/>
    <w:rsid w:val="06C33941"/>
    <w:rsid w:val="06C4395B"/>
    <w:rsid w:val="06C44EB0"/>
    <w:rsid w:val="06C50142"/>
    <w:rsid w:val="06C53FC7"/>
    <w:rsid w:val="06C7377D"/>
    <w:rsid w:val="06C8249A"/>
    <w:rsid w:val="06C85E80"/>
    <w:rsid w:val="06C963F3"/>
    <w:rsid w:val="06C96F70"/>
    <w:rsid w:val="06CA720C"/>
    <w:rsid w:val="06CB206E"/>
    <w:rsid w:val="06CC747D"/>
    <w:rsid w:val="06CD33C9"/>
    <w:rsid w:val="06CE1BF8"/>
    <w:rsid w:val="06CF23CE"/>
    <w:rsid w:val="06CF2FED"/>
    <w:rsid w:val="06CF5F0D"/>
    <w:rsid w:val="06D06AD7"/>
    <w:rsid w:val="06D101F4"/>
    <w:rsid w:val="06D15589"/>
    <w:rsid w:val="06D25D4A"/>
    <w:rsid w:val="06D35027"/>
    <w:rsid w:val="06D51046"/>
    <w:rsid w:val="06D51D2A"/>
    <w:rsid w:val="06D60258"/>
    <w:rsid w:val="06D62363"/>
    <w:rsid w:val="06D66EBD"/>
    <w:rsid w:val="06D71AA0"/>
    <w:rsid w:val="06DA6A6C"/>
    <w:rsid w:val="06DB2B5B"/>
    <w:rsid w:val="06DB357F"/>
    <w:rsid w:val="06DD6407"/>
    <w:rsid w:val="06DE5DB5"/>
    <w:rsid w:val="06E1030B"/>
    <w:rsid w:val="06E13D5D"/>
    <w:rsid w:val="06E1566B"/>
    <w:rsid w:val="06E31D05"/>
    <w:rsid w:val="06E3794E"/>
    <w:rsid w:val="06E50D0F"/>
    <w:rsid w:val="06E5410E"/>
    <w:rsid w:val="06E85C78"/>
    <w:rsid w:val="06E87710"/>
    <w:rsid w:val="06EA7188"/>
    <w:rsid w:val="06EB0C31"/>
    <w:rsid w:val="06EC05C7"/>
    <w:rsid w:val="06EC1A63"/>
    <w:rsid w:val="06EC3A2D"/>
    <w:rsid w:val="06ED2FF0"/>
    <w:rsid w:val="06EE63CB"/>
    <w:rsid w:val="06EF3E23"/>
    <w:rsid w:val="06EF4D17"/>
    <w:rsid w:val="06F06843"/>
    <w:rsid w:val="06F148AA"/>
    <w:rsid w:val="06F544BC"/>
    <w:rsid w:val="06F77E37"/>
    <w:rsid w:val="06F803AB"/>
    <w:rsid w:val="06F807A5"/>
    <w:rsid w:val="06FA0931"/>
    <w:rsid w:val="06FA567A"/>
    <w:rsid w:val="06FB49D6"/>
    <w:rsid w:val="06FB68A5"/>
    <w:rsid w:val="06FC135A"/>
    <w:rsid w:val="06FE71CE"/>
    <w:rsid w:val="07010150"/>
    <w:rsid w:val="07025E1E"/>
    <w:rsid w:val="07030A94"/>
    <w:rsid w:val="07037C02"/>
    <w:rsid w:val="070422CF"/>
    <w:rsid w:val="07042B4F"/>
    <w:rsid w:val="07044381"/>
    <w:rsid w:val="07047B72"/>
    <w:rsid w:val="07066AF1"/>
    <w:rsid w:val="07083B8F"/>
    <w:rsid w:val="07090E2A"/>
    <w:rsid w:val="070A22FE"/>
    <w:rsid w:val="070B1B76"/>
    <w:rsid w:val="070D6661"/>
    <w:rsid w:val="070E310E"/>
    <w:rsid w:val="070F087B"/>
    <w:rsid w:val="07110FF3"/>
    <w:rsid w:val="07114BA0"/>
    <w:rsid w:val="071212D7"/>
    <w:rsid w:val="071253ED"/>
    <w:rsid w:val="0712628C"/>
    <w:rsid w:val="07152762"/>
    <w:rsid w:val="07153A9B"/>
    <w:rsid w:val="0716156E"/>
    <w:rsid w:val="07163991"/>
    <w:rsid w:val="07164EBD"/>
    <w:rsid w:val="07172BB4"/>
    <w:rsid w:val="07184188"/>
    <w:rsid w:val="071877B6"/>
    <w:rsid w:val="0719781A"/>
    <w:rsid w:val="071A0298"/>
    <w:rsid w:val="071C07D8"/>
    <w:rsid w:val="071C73DF"/>
    <w:rsid w:val="071F5342"/>
    <w:rsid w:val="071F62AD"/>
    <w:rsid w:val="07207A06"/>
    <w:rsid w:val="07210C66"/>
    <w:rsid w:val="07211AF2"/>
    <w:rsid w:val="072144DB"/>
    <w:rsid w:val="072371EA"/>
    <w:rsid w:val="072440CC"/>
    <w:rsid w:val="07244D2F"/>
    <w:rsid w:val="07245F7E"/>
    <w:rsid w:val="0726279C"/>
    <w:rsid w:val="07263C0D"/>
    <w:rsid w:val="072815C0"/>
    <w:rsid w:val="07294421"/>
    <w:rsid w:val="072B0A00"/>
    <w:rsid w:val="072B13A6"/>
    <w:rsid w:val="072D221F"/>
    <w:rsid w:val="072E116E"/>
    <w:rsid w:val="072E4543"/>
    <w:rsid w:val="072F78B1"/>
    <w:rsid w:val="07302F8C"/>
    <w:rsid w:val="0731756F"/>
    <w:rsid w:val="07326212"/>
    <w:rsid w:val="07343994"/>
    <w:rsid w:val="073471A5"/>
    <w:rsid w:val="0734777E"/>
    <w:rsid w:val="07372051"/>
    <w:rsid w:val="07372AAD"/>
    <w:rsid w:val="07373D37"/>
    <w:rsid w:val="073778E9"/>
    <w:rsid w:val="07380ADA"/>
    <w:rsid w:val="07382442"/>
    <w:rsid w:val="07394E72"/>
    <w:rsid w:val="073A2F14"/>
    <w:rsid w:val="073B5E8B"/>
    <w:rsid w:val="073C552C"/>
    <w:rsid w:val="073D0612"/>
    <w:rsid w:val="073D23E1"/>
    <w:rsid w:val="07406E1E"/>
    <w:rsid w:val="07415526"/>
    <w:rsid w:val="07415F90"/>
    <w:rsid w:val="07427732"/>
    <w:rsid w:val="07436247"/>
    <w:rsid w:val="07446323"/>
    <w:rsid w:val="074543D7"/>
    <w:rsid w:val="074834BA"/>
    <w:rsid w:val="07487DBA"/>
    <w:rsid w:val="07492CC8"/>
    <w:rsid w:val="07496EA3"/>
    <w:rsid w:val="074A4FF3"/>
    <w:rsid w:val="074B3E18"/>
    <w:rsid w:val="074B43BC"/>
    <w:rsid w:val="074D294A"/>
    <w:rsid w:val="074E4175"/>
    <w:rsid w:val="074E7E3C"/>
    <w:rsid w:val="074F1288"/>
    <w:rsid w:val="074F6847"/>
    <w:rsid w:val="07501D33"/>
    <w:rsid w:val="07514144"/>
    <w:rsid w:val="075229E7"/>
    <w:rsid w:val="07541100"/>
    <w:rsid w:val="07570044"/>
    <w:rsid w:val="07576437"/>
    <w:rsid w:val="075800B6"/>
    <w:rsid w:val="075825F2"/>
    <w:rsid w:val="075869DC"/>
    <w:rsid w:val="07597375"/>
    <w:rsid w:val="075B1144"/>
    <w:rsid w:val="075D13A6"/>
    <w:rsid w:val="075E01A1"/>
    <w:rsid w:val="075E3C92"/>
    <w:rsid w:val="07614EBC"/>
    <w:rsid w:val="07637B9D"/>
    <w:rsid w:val="07644BCA"/>
    <w:rsid w:val="07646BE3"/>
    <w:rsid w:val="07650555"/>
    <w:rsid w:val="07650C67"/>
    <w:rsid w:val="076A165D"/>
    <w:rsid w:val="076B598B"/>
    <w:rsid w:val="076C23EF"/>
    <w:rsid w:val="076D78B0"/>
    <w:rsid w:val="076E565E"/>
    <w:rsid w:val="076F261B"/>
    <w:rsid w:val="076F5B52"/>
    <w:rsid w:val="076F7B59"/>
    <w:rsid w:val="07702E6D"/>
    <w:rsid w:val="07703BA6"/>
    <w:rsid w:val="07717DB4"/>
    <w:rsid w:val="07735176"/>
    <w:rsid w:val="07737A5E"/>
    <w:rsid w:val="0775129D"/>
    <w:rsid w:val="07754019"/>
    <w:rsid w:val="07772210"/>
    <w:rsid w:val="07796B40"/>
    <w:rsid w:val="077B6D9C"/>
    <w:rsid w:val="077C7765"/>
    <w:rsid w:val="077D7744"/>
    <w:rsid w:val="077F62D1"/>
    <w:rsid w:val="0780045E"/>
    <w:rsid w:val="07811857"/>
    <w:rsid w:val="07813383"/>
    <w:rsid w:val="07815354"/>
    <w:rsid w:val="07816E53"/>
    <w:rsid w:val="07824F62"/>
    <w:rsid w:val="078310CD"/>
    <w:rsid w:val="0783344D"/>
    <w:rsid w:val="07835156"/>
    <w:rsid w:val="078559BD"/>
    <w:rsid w:val="07861569"/>
    <w:rsid w:val="07876BDF"/>
    <w:rsid w:val="07884C8D"/>
    <w:rsid w:val="07887713"/>
    <w:rsid w:val="07891830"/>
    <w:rsid w:val="078A1534"/>
    <w:rsid w:val="078B0706"/>
    <w:rsid w:val="078C3797"/>
    <w:rsid w:val="078D7D5C"/>
    <w:rsid w:val="078E1089"/>
    <w:rsid w:val="078E7C38"/>
    <w:rsid w:val="078F2A5D"/>
    <w:rsid w:val="078F445B"/>
    <w:rsid w:val="078F7B31"/>
    <w:rsid w:val="078F7D84"/>
    <w:rsid w:val="07913743"/>
    <w:rsid w:val="079500AC"/>
    <w:rsid w:val="079671A4"/>
    <w:rsid w:val="07970D01"/>
    <w:rsid w:val="07990571"/>
    <w:rsid w:val="07996868"/>
    <w:rsid w:val="079A1604"/>
    <w:rsid w:val="079A38BA"/>
    <w:rsid w:val="079A4C64"/>
    <w:rsid w:val="079B5A91"/>
    <w:rsid w:val="079B75E3"/>
    <w:rsid w:val="079C3AC1"/>
    <w:rsid w:val="079C74AA"/>
    <w:rsid w:val="079D58E4"/>
    <w:rsid w:val="079E584E"/>
    <w:rsid w:val="079E5C2C"/>
    <w:rsid w:val="079E7D91"/>
    <w:rsid w:val="079F207B"/>
    <w:rsid w:val="079F3A86"/>
    <w:rsid w:val="07A02B3D"/>
    <w:rsid w:val="07A05E77"/>
    <w:rsid w:val="07A258A5"/>
    <w:rsid w:val="07A33E85"/>
    <w:rsid w:val="07A4383B"/>
    <w:rsid w:val="07A4414A"/>
    <w:rsid w:val="07A55576"/>
    <w:rsid w:val="07A85BDA"/>
    <w:rsid w:val="07A876B9"/>
    <w:rsid w:val="07A91D88"/>
    <w:rsid w:val="07A95A31"/>
    <w:rsid w:val="07AA19ED"/>
    <w:rsid w:val="07AB349A"/>
    <w:rsid w:val="07AC19F3"/>
    <w:rsid w:val="07AC381E"/>
    <w:rsid w:val="07AC55C1"/>
    <w:rsid w:val="07AF23CC"/>
    <w:rsid w:val="07AF445F"/>
    <w:rsid w:val="07B11F75"/>
    <w:rsid w:val="07B33A8B"/>
    <w:rsid w:val="07B41102"/>
    <w:rsid w:val="07B44323"/>
    <w:rsid w:val="07B542EC"/>
    <w:rsid w:val="07B56EFC"/>
    <w:rsid w:val="07B56F05"/>
    <w:rsid w:val="07B66902"/>
    <w:rsid w:val="07B73B6E"/>
    <w:rsid w:val="07B85289"/>
    <w:rsid w:val="07B94EF9"/>
    <w:rsid w:val="07BC14CA"/>
    <w:rsid w:val="07BC257B"/>
    <w:rsid w:val="07BE472A"/>
    <w:rsid w:val="07BE4F63"/>
    <w:rsid w:val="07BF007D"/>
    <w:rsid w:val="07BF1D41"/>
    <w:rsid w:val="07BF3353"/>
    <w:rsid w:val="07C038FF"/>
    <w:rsid w:val="07C1644D"/>
    <w:rsid w:val="07C169AD"/>
    <w:rsid w:val="07C245A7"/>
    <w:rsid w:val="07C322D6"/>
    <w:rsid w:val="07C43B36"/>
    <w:rsid w:val="07C46245"/>
    <w:rsid w:val="07C52BF9"/>
    <w:rsid w:val="07C71D8C"/>
    <w:rsid w:val="07C72BB5"/>
    <w:rsid w:val="07C74467"/>
    <w:rsid w:val="07C84A57"/>
    <w:rsid w:val="07C87883"/>
    <w:rsid w:val="07C94E87"/>
    <w:rsid w:val="07C97EA3"/>
    <w:rsid w:val="07CA0A55"/>
    <w:rsid w:val="07CC1A2B"/>
    <w:rsid w:val="07CC5589"/>
    <w:rsid w:val="07D05545"/>
    <w:rsid w:val="07D1654B"/>
    <w:rsid w:val="07D1799C"/>
    <w:rsid w:val="07D300A3"/>
    <w:rsid w:val="07D35231"/>
    <w:rsid w:val="07D37E16"/>
    <w:rsid w:val="07D43269"/>
    <w:rsid w:val="07D95C6C"/>
    <w:rsid w:val="07DD6C95"/>
    <w:rsid w:val="07DE071F"/>
    <w:rsid w:val="07DE142E"/>
    <w:rsid w:val="07DF50A6"/>
    <w:rsid w:val="07E0771F"/>
    <w:rsid w:val="07E10648"/>
    <w:rsid w:val="07E13E9E"/>
    <w:rsid w:val="07E15816"/>
    <w:rsid w:val="07E23436"/>
    <w:rsid w:val="07E32AFE"/>
    <w:rsid w:val="07E37747"/>
    <w:rsid w:val="07E41A49"/>
    <w:rsid w:val="07E606A1"/>
    <w:rsid w:val="07E61381"/>
    <w:rsid w:val="07E637B8"/>
    <w:rsid w:val="07E67EC1"/>
    <w:rsid w:val="07E71158"/>
    <w:rsid w:val="07EA0935"/>
    <w:rsid w:val="07EB5AC9"/>
    <w:rsid w:val="07ED0E01"/>
    <w:rsid w:val="07F0093F"/>
    <w:rsid w:val="07F06E3C"/>
    <w:rsid w:val="07F10808"/>
    <w:rsid w:val="07F13D06"/>
    <w:rsid w:val="07F171D7"/>
    <w:rsid w:val="07F313BE"/>
    <w:rsid w:val="07F54003"/>
    <w:rsid w:val="07F6361D"/>
    <w:rsid w:val="07F82356"/>
    <w:rsid w:val="07FA0513"/>
    <w:rsid w:val="07FA1BA0"/>
    <w:rsid w:val="07FB1D0D"/>
    <w:rsid w:val="07FC2EA7"/>
    <w:rsid w:val="0801602A"/>
    <w:rsid w:val="0802219A"/>
    <w:rsid w:val="08027330"/>
    <w:rsid w:val="08035BA5"/>
    <w:rsid w:val="0804625A"/>
    <w:rsid w:val="08046ED7"/>
    <w:rsid w:val="08054756"/>
    <w:rsid w:val="08063006"/>
    <w:rsid w:val="08065815"/>
    <w:rsid w:val="08066395"/>
    <w:rsid w:val="08072700"/>
    <w:rsid w:val="0808573B"/>
    <w:rsid w:val="08092AC2"/>
    <w:rsid w:val="080944B6"/>
    <w:rsid w:val="080973E5"/>
    <w:rsid w:val="080A2E7C"/>
    <w:rsid w:val="080B1D02"/>
    <w:rsid w:val="080B5E0C"/>
    <w:rsid w:val="080C17AC"/>
    <w:rsid w:val="080C41D4"/>
    <w:rsid w:val="080D03A8"/>
    <w:rsid w:val="080D3422"/>
    <w:rsid w:val="080F6B24"/>
    <w:rsid w:val="080F7787"/>
    <w:rsid w:val="08103172"/>
    <w:rsid w:val="08116C2C"/>
    <w:rsid w:val="081200CB"/>
    <w:rsid w:val="08125EBF"/>
    <w:rsid w:val="08131FD9"/>
    <w:rsid w:val="08144F87"/>
    <w:rsid w:val="08176209"/>
    <w:rsid w:val="08180079"/>
    <w:rsid w:val="08184319"/>
    <w:rsid w:val="0819092D"/>
    <w:rsid w:val="081B4417"/>
    <w:rsid w:val="081D2679"/>
    <w:rsid w:val="081D4284"/>
    <w:rsid w:val="081E315B"/>
    <w:rsid w:val="081E6792"/>
    <w:rsid w:val="081E7BAF"/>
    <w:rsid w:val="08202AE5"/>
    <w:rsid w:val="08202D74"/>
    <w:rsid w:val="08214B72"/>
    <w:rsid w:val="08215E11"/>
    <w:rsid w:val="082227AA"/>
    <w:rsid w:val="08235086"/>
    <w:rsid w:val="0824049A"/>
    <w:rsid w:val="08254699"/>
    <w:rsid w:val="08255647"/>
    <w:rsid w:val="08275402"/>
    <w:rsid w:val="082858A4"/>
    <w:rsid w:val="08286F28"/>
    <w:rsid w:val="082A27D9"/>
    <w:rsid w:val="082A6960"/>
    <w:rsid w:val="082A6990"/>
    <w:rsid w:val="082B1353"/>
    <w:rsid w:val="082B41F3"/>
    <w:rsid w:val="082C2369"/>
    <w:rsid w:val="082E2783"/>
    <w:rsid w:val="082F3826"/>
    <w:rsid w:val="082F5ADF"/>
    <w:rsid w:val="083037C2"/>
    <w:rsid w:val="083129F2"/>
    <w:rsid w:val="0831351A"/>
    <w:rsid w:val="0833094A"/>
    <w:rsid w:val="0834665E"/>
    <w:rsid w:val="083610BE"/>
    <w:rsid w:val="083623AA"/>
    <w:rsid w:val="083639E5"/>
    <w:rsid w:val="08365B97"/>
    <w:rsid w:val="0839424B"/>
    <w:rsid w:val="08395A56"/>
    <w:rsid w:val="083C279B"/>
    <w:rsid w:val="083D3ACF"/>
    <w:rsid w:val="083E6026"/>
    <w:rsid w:val="083F0AE2"/>
    <w:rsid w:val="083F328E"/>
    <w:rsid w:val="08401F39"/>
    <w:rsid w:val="08406CA1"/>
    <w:rsid w:val="08407AE5"/>
    <w:rsid w:val="0841658B"/>
    <w:rsid w:val="08430FF2"/>
    <w:rsid w:val="084340CF"/>
    <w:rsid w:val="08436190"/>
    <w:rsid w:val="084560FD"/>
    <w:rsid w:val="08462278"/>
    <w:rsid w:val="08465370"/>
    <w:rsid w:val="084737EC"/>
    <w:rsid w:val="084756E9"/>
    <w:rsid w:val="08476341"/>
    <w:rsid w:val="08476907"/>
    <w:rsid w:val="084866BA"/>
    <w:rsid w:val="084929F1"/>
    <w:rsid w:val="0849505A"/>
    <w:rsid w:val="084A2F42"/>
    <w:rsid w:val="084A5E1D"/>
    <w:rsid w:val="084B0D95"/>
    <w:rsid w:val="084B68F9"/>
    <w:rsid w:val="084C1017"/>
    <w:rsid w:val="084C4AF4"/>
    <w:rsid w:val="084C75CC"/>
    <w:rsid w:val="084D5A2D"/>
    <w:rsid w:val="084F2BD4"/>
    <w:rsid w:val="084F6CC6"/>
    <w:rsid w:val="085034CC"/>
    <w:rsid w:val="08506E33"/>
    <w:rsid w:val="08534213"/>
    <w:rsid w:val="08536A17"/>
    <w:rsid w:val="08545D4C"/>
    <w:rsid w:val="08552997"/>
    <w:rsid w:val="0856293A"/>
    <w:rsid w:val="08572388"/>
    <w:rsid w:val="08580FFC"/>
    <w:rsid w:val="08591527"/>
    <w:rsid w:val="085924FE"/>
    <w:rsid w:val="08593121"/>
    <w:rsid w:val="08593AA2"/>
    <w:rsid w:val="085A2A7E"/>
    <w:rsid w:val="085A59CA"/>
    <w:rsid w:val="085B0281"/>
    <w:rsid w:val="085B37FF"/>
    <w:rsid w:val="085B3B1D"/>
    <w:rsid w:val="085C2D5C"/>
    <w:rsid w:val="085C7DB0"/>
    <w:rsid w:val="085D079A"/>
    <w:rsid w:val="085F1D62"/>
    <w:rsid w:val="085F38F1"/>
    <w:rsid w:val="08605055"/>
    <w:rsid w:val="0860599F"/>
    <w:rsid w:val="08611CE6"/>
    <w:rsid w:val="08620AA5"/>
    <w:rsid w:val="0862769F"/>
    <w:rsid w:val="0864311D"/>
    <w:rsid w:val="08643C85"/>
    <w:rsid w:val="08653568"/>
    <w:rsid w:val="086622B3"/>
    <w:rsid w:val="08670DA7"/>
    <w:rsid w:val="086A2FA8"/>
    <w:rsid w:val="086B1B82"/>
    <w:rsid w:val="086B2998"/>
    <w:rsid w:val="086C019D"/>
    <w:rsid w:val="086C0FB3"/>
    <w:rsid w:val="086D21F0"/>
    <w:rsid w:val="086E0CB6"/>
    <w:rsid w:val="086E3B83"/>
    <w:rsid w:val="086F6109"/>
    <w:rsid w:val="08735DE2"/>
    <w:rsid w:val="08740C6E"/>
    <w:rsid w:val="087461E3"/>
    <w:rsid w:val="08746E04"/>
    <w:rsid w:val="08764617"/>
    <w:rsid w:val="087777E5"/>
    <w:rsid w:val="08782AE0"/>
    <w:rsid w:val="087843CD"/>
    <w:rsid w:val="08795017"/>
    <w:rsid w:val="087B7527"/>
    <w:rsid w:val="087F11EF"/>
    <w:rsid w:val="087F5AAE"/>
    <w:rsid w:val="088210AA"/>
    <w:rsid w:val="088546D2"/>
    <w:rsid w:val="08862A60"/>
    <w:rsid w:val="0887111A"/>
    <w:rsid w:val="08877BB0"/>
    <w:rsid w:val="08880111"/>
    <w:rsid w:val="08887ACC"/>
    <w:rsid w:val="08896D1F"/>
    <w:rsid w:val="088A1E78"/>
    <w:rsid w:val="088A45E7"/>
    <w:rsid w:val="088A7F5F"/>
    <w:rsid w:val="088B0F9B"/>
    <w:rsid w:val="088C16D8"/>
    <w:rsid w:val="088F6BA0"/>
    <w:rsid w:val="089060B4"/>
    <w:rsid w:val="089358CB"/>
    <w:rsid w:val="089666AC"/>
    <w:rsid w:val="089726A3"/>
    <w:rsid w:val="089838EF"/>
    <w:rsid w:val="0898515C"/>
    <w:rsid w:val="089878DA"/>
    <w:rsid w:val="089A44C8"/>
    <w:rsid w:val="089A66E0"/>
    <w:rsid w:val="089B393B"/>
    <w:rsid w:val="089D0029"/>
    <w:rsid w:val="089D4A10"/>
    <w:rsid w:val="089E2403"/>
    <w:rsid w:val="089E5E46"/>
    <w:rsid w:val="089F279B"/>
    <w:rsid w:val="08A2799E"/>
    <w:rsid w:val="08A42164"/>
    <w:rsid w:val="08A5008C"/>
    <w:rsid w:val="08A52AB0"/>
    <w:rsid w:val="08A65BF5"/>
    <w:rsid w:val="08A711DE"/>
    <w:rsid w:val="08A7238C"/>
    <w:rsid w:val="08A763BF"/>
    <w:rsid w:val="08A77259"/>
    <w:rsid w:val="08A822E5"/>
    <w:rsid w:val="08AC3BFB"/>
    <w:rsid w:val="08AD0DB4"/>
    <w:rsid w:val="08AD2DBB"/>
    <w:rsid w:val="08AE731B"/>
    <w:rsid w:val="08AF2FA4"/>
    <w:rsid w:val="08B12453"/>
    <w:rsid w:val="08B17EBC"/>
    <w:rsid w:val="08B2203B"/>
    <w:rsid w:val="08B354F8"/>
    <w:rsid w:val="08B42761"/>
    <w:rsid w:val="08B460CC"/>
    <w:rsid w:val="08B83137"/>
    <w:rsid w:val="08BA27F9"/>
    <w:rsid w:val="08BB45BC"/>
    <w:rsid w:val="08BD3E23"/>
    <w:rsid w:val="08BD60FB"/>
    <w:rsid w:val="08BD7018"/>
    <w:rsid w:val="08BF1706"/>
    <w:rsid w:val="08BF2B9E"/>
    <w:rsid w:val="08BF370D"/>
    <w:rsid w:val="08BF6BA8"/>
    <w:rsid w:val="08C06B34"/>
    <w:rsid w:val="08C13639"/>
    <w:rsid w:val="08C13BA4"/>
    <w:rsid w:val="08C2008A"/>
    <w:rsid w:val="08C443FE"/>
    <w:rsid w:val="08C459F1"/>
    <w:rsid w:val="08C539AF"/>
    <w:rsid w:val="08C60EF5"/>
    <w:rsid w:val="08C659BA"/>
    <w:rsid w:val="08C75CF7"/>
    <w:rsid w:val="08C97CB5"/>
    <w:rsid w:val="08CA101D"/>
    <w:rsid w:val="08CB2E6F"/>
    <w:rsid w:val="08CD1CC5"/>
    <w:rsid w:val="08CE48F8"/>
    <w:rsid w:val="08D02717"/>
    <w:rsid w:val="08D33BE0"/>
    <w:rsid w:val="08D46E06"/>
    <w:rsid w:val="08D53E8D"/>
    <w:rsid w:val="08D61B4D"/>
    <w:rsid w:val="08D62090"/>
    <w:rsid w:val="08D65E58"/>
    <w:rsid w:val="08D80AE9"/>
    <w:rsid w:val="08D83B68"/>
    <w:rsid w:val="08D871B5"/>
    <w:rsid w:val="08DA5353"/>
    <w:rsid w:val="08DA7FAE"/>
    <w:rsid w:val="08DD6BB6"/>
    <w:rsid w:val="08E02773"/>
    <w:rsid w:val="08E03717"/>
    <w:rsid w:val="08E2300B"/>
    <w:rsid w:val="08E23544"/>
    <w:rsid w:val="08E365DD"/>
    <w:rsid w:val="08E40BB0"/>
    <w:rsid w:val="08E6237F"/>
    <w:rsid w:val="08E940C1"/>
    <w:rsid w:val="08E97980"/>
    <w:rsid w:val="08EB29E7"/>
    <w:rsid w:val="08EC2F6A"/>
    <w:rsid w:val="08EC6222"/>
    <w:rsid w:val="08F06A7E"/>
    <w:rsid w:val="08F179B4"/>
    <w:rsid w:val="08F32533"/>
    <w:rsid w:val="08F42EB0"/>
    <w:rsid w:val="08F5796B"/>
    <w:rsid w:val="08F90834"/>
    <w:rsid w:val="08FA0253"/>
    <w:rsid w:val="08FA1684"/>
    <w:rsid w:val="08FA4486"/>
    <w:rsid w:val="08FD29E9"/>
    <w:rsid w:val="08FD5FFF"/>
    <w:rsid w:val="08FE5424"/>
    <w:rsid w:val="08FF04B3"/>
    <w:rsid w:val="08FF12D1"/>
    <w:rsid w:val="08FF44ED"/>
    <w:rsid w:val="08FF4C01"/>
    <w:rsid w:val="09007A09"/>
    <w:rsid w:val="0901069E"/>
    <w:rsid w:val="090333F5"/>
    <w:rsid w:val="090367E5"/>
    <w:rsid w:val="09041FDB"/>
    <w:rsid w:val="090534A1"/>
    <w:rsid w:val="09054413"/>
    <w:rsid w:val="09073214"/>
    <w:rsid w:val="09074D32"/>
    <w:rsid w:val="09077A87"/>
    <w:rsid w:val="09086618"/>
    <w:rsid w:val="090C4C28"/>
    <w:rsid w:val="090C55EC"/>
    <w:rsid w:val="090F542B"/>
    <w:rsid w:val="09102D3C"/>
    <w:rsid w:val="091035C5"/>
    <w:rsid w:val="09107BB4"/>
    <w:rsid w:val="09112D95"/>
    <w:rsid w:val="0911730B"/>
    <w:rsid w:val="09122A75"/>
    <w:rsid w:val="09134440"/>
    <w:rsid w:val="09135ABC"/>
    <w:rsid w:val="09141B76"/>
    <w:rsid w:val="09145ABF"/>
    <w:rsid w:val="09156A74"/>
    <w:rsid w:val="091616A1"/>
    <w:rsid w:val="09166C1E"/>
    <w:rsid w:val="091837BC"/>
    <w:rsid w:val="091863A4"/>
    <w:rsid w:val="091A2081"/>
    <w:rsid w:val="091A5787"/>
    <w:rsid w:val="091A5BEA"/>
    <w:rsid w:val="091C32AD"/>
    <w:rsid w:val="091C7441"/>
    <w:rsid w:val="091D727B"/>
    <w:rsid w:val="091F165A"/>
    <w:rsid w:val="09213801"/>
    <w:rsid w:val="09230517"/>
    <w:rsid w:val="09236939"/>
    <w:rsid w:val="09244073"/>
    <w:rsid w:val="09247BE6"/>
    <w:rsid w:val="09255A72"/>
    <w:rsid w:val="09256596"/>
    <w:rsid w:val="09261630"/>
    <w:rsid w:val="09273A00"/>
    <w:rsid w:val="09274503"/>
    <w:rsid w:val="0929483A"/>
    <w:rsid w:val="092959CA"/>
    <w:rsid w:val="092A23D4"/>
    <w:rsid w:val="092A5D27"/>
    <w:rsid w:val="092B4D43"/>
    <w:rsid w:val="092C30E4"/>
    <w:rsid w:val="092D2588"/>
    <w:rsid w:val="092F4E69"/>
    <w:rsid w:val="093023A0"/>
    <w:rsid w:val="09334C19"/>
    <w:rsid w:val="093447E3"/>
    <w:rsid w:val="09347DAB"/>
    <w:rsid w:val="093542AA"/>
    <w:rsid w:val="09361B1F"/>
    <w:rsid w:val="09383E5F"/>
    <w:rsid w:val="093904F1"/>
    <w:rsid w:val="093A0D0A"/>
    <w:rsid w:val="093C7562"/>
    <w:rsid w:val="093E6440"/>
    <w:rsid w:val="093F0D49"/>
    <w:rsid w:val="093F5441"/>
    <w:rsid w:val="093F5E85"/>
    <w:rsid w:val="094254CD"/>
    <w:rsid w:val="094339BF"/>
    <w:rsid w:val="0945491C"/>
    <w:rsid w:val="09456286"/>
    <w:rsid w:val="094602A3"/>
    <w:rsid w:val="0947245A"/>
    <w:rsid w:val="09472FEA"/>
    <w:rsid w:val="0948155A"/>
    <w:rsid w:val="094B1245"/>
    <w:rsid w:val="094B57DA"/>
    <w:rsid w:val="094B7AF4"/>
    <w:rsid w:val="094C1D9D"/>
    <w:rsid w:val="094D1668"/>
    <w:rsid w:val="094E535F"/>
    <w:rsid w:val="0950057D"/>
    <w:rsid w:val="09501577"/>
    <w:rsid w:val="095023FE"/>
    <w:rsid w:val="09530BD5"/>
    <w:rsid w:val="09530BD7"/>
    <w:rsid w:val="095346AD"/>
    <w:rsid w:val="09544D89"/>
    <w:rsid w:val="09566AE3"/>
    <w:rsid w:val="095B3A26"/>
    <w:rsid w:val="095B6A47"/>
    <w:rsid w:val="095C0051"/>
    <w:rsid w:val="095D28EB"/>
    <w:rsid w:val="095D74D4"/>
    <w:rsid w:val="095E0886"/>
    <w:rsid w:val="095E4564"/>
    <w:rsid w:val="095F3E2A"/>
    <w:rsid w:val="096006B2"/>
    <w:rsid w:val="09601F7C"/>
    <w:rsid w:val="09606A26"/>
    <w:rsid w:val="09610691"/>
    <w:rsid w:val="09615163"/>
    <w:rsid w:val="09633950"/>
    <w:rsid w:val="0963733C"/>
    <w:rsid w:val="0966114E"/>
    <w:rsid w:val="096631D1"/>
    <w:rsid w:val="09667DFE"/>
    <w:rsid w:val="09671DC3"/>
    <w:rsid w:val="096A6B9D"/>
    <w:rsid w:val="096E37D5"/>
    <w:rsid w:val="09700C33"/>
    <w:rsid w:val="09701472"/>
    <w:rsid w:val="09717A0F"/>
    <w:rsid w:val="0972460F"/>
    <w:rsid w:val="09726582"/>
    <w:rsid w:val="09732977"/>
    <w:rsid w:val="0973493F"/>
    <w:rsid w:val="09744BFB"/>
    <w:rsid w:val="09750593"/>
    <w:rsid w:val="09753949"/>
    <w:rsid w:val="09787E02"/>
    <w:rsid w:val="09790C11"/>
    <w:rsid w:val="0979492D"/>
    <w:rsid w:val="097A6C34"/>
    <w:rsid w:val="097B1C11"/>
    <w:rsid w:val="097B2F7F"/>
    <w:rsid w:val="097D1FAA"/>
    <w:rsid w:val="097E5162"/>
    <w:rsid w:val="097E6409"/>
    <w:rsid w:val="09802C42"/>
    <w:rsid w:val="09810C3C"/>
    <w:rsid w:val="09817F1E"/>
    <w:rsid w:val="09820104"/>
    <w:rsid w:val="09820C6D"/>
    <w:rsid w:val="0985760B"/>
    <w:rsid w:val="09873871"/>
    <w:rsid w:val="09875A48"/>
    <w:rsid w:val="09880BFE"/>
    <w:rsid w:val="098862A8"/>
    <w:rsid w:val="09892945"/>
    <w:rsid w:val="0989425D"/>
    <w:rsid w:val="098A1898"/>
    <w:rsid w:val="098C2014"/>
    <w:rsid w:val="098C5417"/>
    <w:rsid w:val="098E0E75"/>
    <w:rsid w:val="098E1BA5"/>
    <w:rsid w:val="098E46A5"/>
    <w:rsid w:val="09901265"/>
    <w:rsid w:val="0991536F"/>
    <w:rsid w:val="09915830"/>
    <w:rsid w:val="099254D0"/>
    <w:rsid w:val="09935FA3"/>
    <w:rsid w:val="09945539"/>
    <w:rsid w:val="09946B09"/>
    <w:rsid w:val="09946CA2"/>
    <w:rsid w:val="09967D1B"/>
    <w:rsid w:val="0997154F"/>
    <w:rsid w:val="099845A2"/>
    <w:rsid w:val="09987C75"/>
    <w:rsid w:val="099A3131"/>
    <w:rsid w:val="099C7BFD"/>
    <w:rsid w:val="099E0A11"/>
    <w:rsid w:val="09A0315C"/>
    <w:rsid w:val="09A11F43"/>
    <w:rsid w:val="09A15A46"/>
    <w:rsid w:val="09A26FFC"/>
    <w:rsid w:val="09A3111E"/>
    <w:rsid w:val="09A31F63"/>
    <w:rsid w:val="09A33310"/>
    <w:rsid w:val="09A51B86"/>
    <w:rsid w:val="09A82C3D"/>
    <w:rsid w:val="09A93794"/>
    <w:rsid w:val="09AC19BC"/>
    <w:rsid w:val="09AC5082"/>
    <w:rsid w:val="09AC5B75"/>
    <w:rsid w:val="09AD1A57"/>
    <w:rsid w:val="09AE1883"/>
    <w:rsid w:val="09AF0E3F"/>
    <w:rsid w:val="09AF6317"/>
    <w:rsid w:val="09B53D76"/>
    <w:rsid w:val="09B54C22"/>
    <w:rsid w:val="09B65163"/>
    <w:rsid w:val="09B72FD5"/>
    <w:rsid w:val="09B7745F"/>
    <w:rsid w:val="09B92416"/>
    <w:rsid w:val="09BB30ED"/>
    <w:rsid w:val="09BE3D71"/>
    <w:rsid w:val="09BE57ED"/>
    <w:rsid w:val="09C02ACF"/>
    <w:rsid w:val="09C07477"/>
    <w:rsid w:val="09C12CF8"/>
    <w:rsid w:val="09C168F5"/>
    <w:rsid w:val="09C26AAD"/>
    <w:rsid w:val="09C3108C"/>
    <w:rsid w:val="09C4001E"/>
    <w:rsid w:val="09C41D87"/>
    <w:rsid w:val="09C43B1D"/>
    <w:rsid w:val="09C67D4E"/>
    <w:rsid w:val="09C84516"/>
    <w:rsid w:val="09C8570E"/>
    <w:rsid w:val="09C87902"/>
    <w:rsid w:val="09C87AA9"/>
    <w:rsid w:val="09C90031"/>
    <w:rsid w:val="09C979AA"/>
    <w:rsid w:val="09CA1F29"/>
    <w:rsid w:val="09CA612F"/>
    <w:rsid w:val="09CC0F18"/>
    <w:rsid w:val="09CF5CBD"/>
    <w:rsid w:val="09D0170A"/>
    <w:rsid w:val="09D028BD"/>
    <w:rsid w:val="09D04E6F"/>
    <w:rsid w:val="09D06626"/>
    <w:rsid w:val="09D10B0D"/>
    <w:rsid w:val="09D17801"/>
    <w:rsid w:val="09D3021F"/>
    <w:rsid w:val="09D30FC8"/>
    <w:rsid w:val="09D604C7"/>
    <w:rsid w:val="09D61EDE"/>
    <w:rsid w:val="09D66AFD"/>
    <w:rsid w:val="09D733F4"/>
    <w:rsid w:val="09D76AE1"/>
    <w:rsid w:val="09D76F07"/>
    <w:rsid w:val="09D86D63"/>
    <w:rsid w:val="09DB2A69"/>
    <w:rsid w:val="09DC2CBC"/>
    <w:rsid w:val="09DC6A0C"/>
    <w:rsid w:val="09DD5E52"/>
    <w:rsid w:val="09DE1271"/>
    <w:rsid w:val="09DE26F7"/>
    <w:rsid w:val="09DF6983"/>
    <w:rsid w:val="09E06538"/>
    <w:rsid w:val="09E070E5"/>
    <w:rsid w:val="09E0784A"/>
    <w:rsid w:val="09E114D3"/>
    <w:rsid w:val="09E14C4C"/>
    <w:rsid w:val="09E15B2E"/>
    <w:rsid w:val="09E27936"/>
    <w:rsid w:val="09E305BB"/>
    <w:rsid w:val="09E32552"/>
    <w:rsid w:val="09E43D0A"/>
    <w:rsid w:val="09E466C8"/>
    <w:rsid w:val="09E5471F"/>
    <w:rsid w:val="09E55D95"/>
    <w:rsid w:val="09E655F8"/>
    <w:rsid w:val="09E700D0"/>
    <w:rsid w:val="09E81305"/>
    <w:rsid w:val="09E85234"/>
    <w:rsid w:val="09E85A51"/>
    <w:rsid w:val="09E908D3"/>
    <w:rsid w:val="09EA40C3"/>
    <w:rsid w:val="09EB4F52"/>
    <w:rsid w:val="09EC0F98"/>
    <w:rsid w:val="09ED0490"/>
    <w:rsid w:val="09EF5958"/>
    <w:rsid w:val="09F00921"/>
    <w:rsid w:val="09F01788"/>
    <w:rsid w:val="09F04EEF"/>
    <w:rsid w:val="09F0611D"/>
    <w:rsid w:val="09F17CBE"/>
    <w:rsid w:val="09F30F65"/>
    <w:rsid w:val="09F37778"/>
    <w:rsid w:val="09F41690"/>
    <w:rsid w:val="09F43EDE"/>
    <w:rsid w:val="09F54B9A"/>
    <w:rsid w:val="09F6189E"/>
    <w:rsid w:val="09F779C9"/>
    <w:rsid w:val="09F8326A"/>
    <w:rsid w:val="09F879F5"/>
    <w:rsid w:val="09F9652C"/>
    <w:rsid w:val="09FB5BC0"/>
    <w:rsid w:val="09FB79C4"/>
    <w:rsid w:val="09FC2189"/>
    <w:rsid w:val="09FC6217"/>
    <w:rsid w:val="09FE3059"/>
    <w:rsid w:val="09FF7E1D"/>
    <w:rsid w:val="0A000656"/>
    <w:rsid w:val="0A0074F5"/>
    <w:rsid w:val="0A032774"/>
    <w:rsid w:val="0A036A29"/>
    <w:rsid w:val="0A040CA2"/>
    <w:rsid w:val="0A0663CA"/>
    <w:rsid w:val="0A0914A4"/>
    <w:rsid w:val="0A0944D1"/>
    <w:rsid w:val="0A0A42B0"/>
    <w:rsid w:val="0A0B1478"/>
    <w:rsid w:val="0A0C783D"/>
    <w:rsid w:val="0A0D0E47"/>
    <w:rsid w:val="0A0E3D3C"/>
    <w:rsid w:val="0A117D3C"/>
    <w:rsid w:val="0A13050D"/>
    <w:rsid w:val="0A146DA1"/>
    <w:rsid w:val="0A154705"/>
    <w:rsid w:val="0A1957CB"/>
    <w:rsid w:val="0A195A3E"/>
    <w:rsid w:val="0A1A264A"/>
    <w:rsid w:val="0A1A45F1"/>
    <w:rsid w:val="0A1A7C5B"/>
    <w:rsid w:val="0A1B3D9B"/>
    <w:rsid w:val="0A1C07E6"/>
    <w:rsid w:val="0A1C4754"/>
    <w:rsid w:val="0A1E1C20"/>
    <w:rsid w:val="0A220E61"/>
    <w:rsid w:val="0A222D17"/>
    <w:rsid w:val="0A226FD4"/>
    <w:rsid w:val="0A23523E"/>
    <w:rsid w:val="0A235FB7"/>
    <w:rsid w:val="0A2450BC"/>
    <w:rsid w:val="0A245722"/>
    <w:rsid w:val="0A2531AD"/>
    <w:rsid w:val="0A26744F"/>
    <w:rsid w:val="0A277C35"/>
    <w:rsid w:val="0A281193"/>
    <w:rsid w:val="0A2928F9"/>
    <w:rsid w:val="0A293266"/>
    <w:rsid w:val="0A2C0CDF"/>
    <w:rsid w:val="0A2C2013"/>
    <w:rsid w:val="0A2C35D6"/>
    <w:rsid w:val="0A2D39D3"/>
    <w:rsid w:val="0A2E6254"/>
    <w:rsid w:val="0A2F7010"/>
    <w:rsid w:val="0A352361"/>
    <w:rsid w:val="0A361135"/>
    <w:rsid w:val="0A376298"/>
    <w:rsid w:val="0A377C37"/>
    <w:rsid w:val="0A390D5E"/>
    <w:rsid w:val="0A392AA6"/>
    <w:rsid w:val="0A394B22"/>
    <w:rsid w:val="0A3B2154"/>
    <w:rsid w:val="0A3B37B0"/>
    <w:rsid w:val="0A3C25CE"/>
    <w:rsid w:val="0A414C75"/>
    <w:rsid w:val="0A426662"/>
    <w:rsid w:val="0A433979"/>
    <w:rsid w:val="0A434D90"/>
    <w:rsid w:val="0A440074"/>
    <w:rsid w:val="0A460499"/>
    <w:rsid w:val="0A460786"/>
    <w:rsid w:val="0A4861A6"/>
    <w:rsid w:val="0A490F2D"/>
    <w:rsid w:val="0A491B16"/>
    <w:rsid w:val="0A492CE0"/>
    <w:rsid w:val="0A4B2591"/>
    <w:rsid w:val="0A4D7F30"/>
    <w:rsid w:val="0A4E6625"/>
    <w:rsid w:val="0A4F40A2"/>
    <w:rsid w:val="0A517693"/>
    <w:rsid w:val="0A525CDE"/>
    <w:rsid w:val="0A5371A2"/>
    <w:rsid w:val="0A5517B6"/>
    <w:rsid w:val="0A5711E0"/>
    <w:rsid w:val="0A5721F9"/>
    <w:rsid w:val="0A5762E3"/>
    <w:rsid w:val="0A5801ED"/>
    <w:rsid w:val="0A581898"/>
    <w:rsid w:val="0A585273"/>
    <w:rsid w:val="0A586308"/>
    <w:rsid w:val="0A59332D"/>
    <w:rsid w:val="0A594DDE"/>
    <w:rsid w:val="0A5D05AC"/>
    <w:rsid w:val="0A5D3AB9"/>
    <w:rsid w:val="0A600B4E"/>
    <w:rsid w:val="0A6208C2"/>
    <w:rsid w:val="0A63704C"/>
    <w:rsid w:val="0A642E0E"/>
    <w:rsid w:val="0A663DCB"/>
    <w:rsid w:val="0A672CC6"/>
    <w:rsid w:val="0A673AF3"/>
    <w:rsid w:val="0A690C5E"/>
    <w:rsid w:val="0A6943CE"/>
    <w:rsid w:val="0A6B3F2D"/>
    <w:rsid w:val="0A6C1247"/>
    <w:rsid w:val="0A6D7B38"/>
    <w:rsid w:val="0A6E65AF"/>
    <w:rsid w:val="0A7055E5"/>
    <w:rsid w:val="0A714C73"/>
    <w:rsid w:val="0A72585C"/>
    <w:rsid w:val="0A727FD6"/>
    <w:rsid w:val="0A74020C"/>
    <w:rsid w:val="0A744A55"/>
    <w:rsid w:val="0A76704D"/>
    <w:rsid w:val="0A7C0EFB"/>
    <w:rsid w:val="0A7C58F5"/>
    <w:rsid w:val="0A7D6AA8"/>
    <w:rsid w:val="0A7E7095"/>
    <w:rsid w:val="0A7E763D"/>
    <w:rsid w:val="0A811023"/>
    <w:rsid w:val="0A817F3F"/>
    <w:rsid w:val="0A826A72"/>
    <w:rsid w:val="0A836F66"/>
    <w:rsid w:val="0A8455AD"/>
    <w:rsid w:val="0A856C30"/>
    <w:rsid w:val="0A863508"/>
    <w:rsid w:val="0A864938"/>
    <w:rsid w:val="0A870C6F"/>
    <w:rsid w:val="0A875B6C"/>
    <w:rsid w:val="0A876AF7"/>
    <w:rsid w:val="0A876B61"/>
    <w:rsid w:val="0A882EC4"/>
    <w:rsid w:val="0A8B188C"/>
    <w:rsid w:val="0A8C3917"/>
    <w:rsid w:val="0A8F346D"/>
    <w:rsid w:val="0A93793F"/>
    <w:rsid w:val="0A950F43"/>
    <w:rsid w:val="0A965170"/>
    <w:rsid w:val="0A970B31"/>
    <w:rsid w:val="0A97256E"/>
    <w:rsid w:val="0A975A5A"/>
    <w:rsid w:val="0A9828B6"/>
    <w:rsid w:val="0A991719"/>
    <w:rsid w:val="0A993ABC"/>
    <w:rsid w:val="0A9A2BD5"/>
    <w:rsid w:val="0A9B38A8"/>
    <w:rsid w:val="0A9C0090"/>
    <w:rsid w:val="0A9C5BFF"/>
    <w:rsid w:val="0A9C7374"/>
    <w:rsid w:val="0A9D095F"/>
    <w:rsid w:val="0A9E4945"/>
    <w:rsid w:val="0A9E4F3C"/>
    <w:rsid w:val="0A9F138C"/>
    <w:rsid w:val="0AA038EF"/>
    <w:rsid w:val="0AA07CFF"/>
    <w:rsid w:val="0AA12163"/>
    <w:rsid w:val="0AA2583B"/>
    <w:rsid w:val="0AA27927"/>
    <w:rsid w:val="0AA360F5"/>
    <w:rsid w:val="0AA50038"/>
    <w:rsid w:val="0AA502D7"/>
    <w:rsid w:val="0AA53337"/>
    <w:rsid w:val="0AA53FEA"/>
    <w:rsid w:val="0AA7554F"/>
    <w:rsid w:val="0AA846F0"/>
    <w:rsid w:val="0AAA34C7"/>
    <w:rsid w:val="0AAA398C"/>
    <w:rsid w:val="0AAB5F3D"/>
    <w:rsid w:val="0AAB78F9"/>
    <w:rsid w:val="0AAD4E8A"/>
    <w:rsid w:val="0AAE35C0"/>
    <w:rsid w:val="0AB063A2"/>
    <w:rsid w:val="0AB2099E"/>
    <w:rsid w:val="0AB2372E"/>
    <w:rsid w:val="0AB30D29"/>
    <w:rsid w:val="0AB34379"/>
    <w:rsid w:val="0AB43D5E"/>
    <w:rsid w:val="0AB67DC0"/>
    <w:rsid w:val="0AB85907"/>
    <w:rsid w:val="0AB91450"/>
    <w:rsid w:val="0AB93AB6"/>
    <w:rsid w:val="0AB9648F"/>
    <w:rsid w:val="0ABC2C7C"/>
    <w:rsid w:val="0ABD33C6"/>
    <w:rsid w:val="0ABD461B"/>
    <w:rsid w:val="0ABE79F9"/>
    <w:rsid w:val="0AC2502B"/>
    <w:rsid w:val="0AC2576F"/>
    <w:rsid w:val="0AC27916"/>
    <w:rsid w:val="0AC51B9C"/>
    <w:rsid w:val="0AC54A93"/>
    <w:rsid w:val="0AC7396C"/>
    <w:rsid w:val="0AC74963"/>
    <w:rsid w:val="0AC83B27"/>
    <w:rsid w:val="0AC964C5"/>
    <w:rsid w:val="0ACA5269"/>
    <w:rsid w:val="0ACB0E19"/>
    <w:rsid w:val="0ACB4F8A"/>
    <w:rsid w:val="0ACB66C6"/>
    <w:rsid w:val="0ACC430A"/>
    <w:rsid w:val="0ACF1387"/>
    <w:rsid w:val="0AD061EC"/>
    <w:rsid w:val="0AD30814"/>
    <w:rsid w:val="0AD32DED"/>
    <w:rsid w:val="0AD357A3"/>
    <w:rsid w:val="0AD6528A"/>
    <w:rsid w:val="0AD81B7F"/>
    <w:rsid w:val="0AD81CDD"/>
    <w:rsid w:val="0AD9193E"/>
    <w:rsid w:val="0AD9765E"/>
    <w:rsid w:val="0ADA7122"/>
    <w:rsid w:val="0ADB6448"/>
    <w:rsid w:val="0ADC795B"/>
    <w:rsid w:val="0ADD26A1"/>
    <w:rsid w:val="0ADD4076"/>
    <w:rsid w:val="0ADD630E"/>
    <w:rsid w:val="0ADD7E84"/>
    <w:rsid w:val="0ADE448E"/>
    <w:rsid w:val="0ADE552A"/>
    <w:rsid w:val="0AE0030A"/>
    <w:rsid w:val="0AE0174F"/>
    <w:rsid w:val="0AE230A0"/>
    <w:rsid w:val="0AE26874"/>
    <w:rsid w:val="0AE32227"/>
    <w:rsid w:val="0AE35B78"/>
    <w:rsid w:val="0AE47CE0"/>
    <w:rsid w:val="0AE574C7"/>
    <w:rsid w:val="0AE770E6"/>
    <w:rsid w:val="0AE9101D"/>
    <w:rsid w:val="0AE9248F"/>
    <w:rsid w:val="0AE96005"/>
    <w:rsid w:val="0AE970BD"/>
    <w:rsid w:val="0AE97FF4"/>
    <w:rsid w:val="0AEA4871"/>
    <w:rsid w:val="0AEA639A"/>
    <w:rsid w:val="0AEA742D"/>
    <w:rsid w:val="0AEC2967"/>
    <w:rsid w:val="0AEF471E"/>
    <w:rsid w:val="0AF03611"/>
    <w:rsid w:val="0AF26E02"/>
    <w:rsid w:val="0AF43C5E"/>
    <w:rsid w:val="0AF64F53"/>
    <w:rsid w:val="0AF67A3E"/>
    <w:rsid w:val="0AF72F8E"/>
    <w:rsid w:val="0AF73B24"/>
    <w:rsid w:val="0AF81781"/>
    <w:rsid w:val="0AF96248"/>
    <w:rsid w:val="0AFA5442"/>
    <w:rsid w:val="0AFB2D28"/>
    <w:rsid w:val="0AFB5D79"/>
    <w:rsid w:val="0AFB76F5"/>
    <w:rsid w:val="0AFB7BB2"/>
    <w:rsid w:val="0AFE0C8D"/>
    <w:rsid w:val="0AFF6761"/>
    <w:rsid w:val="0B013E3B"/>
    <w:rsid w:val="0B01459B"/>
    <w:rsid w:val="0B0229F3"/>
    <w:rsid w:val="0B030D95"/>
    <w:rsid w:val="0B071309"/>
    <w:rsid w:val="0B083F4B"/>
    <w:rsid w:val="0B087F03"/>
    <w:rsid w:val="0B0A0A3C"/>
    <w:rsid w:val="0B0A10D7"/>
    <w:rsid w:val="0B0A6369"/>
    <w:rsid w:val="0B0C59E4"/>
    <w:rsid w:val="0B0D44C3"/>
    <w:rsid w:val="0B0E28AC"/>
    <w:rsid w:val="0B0F304A"/>
    <w:rsid w:val="0B103AF5"/>
    <w:rsid w:val="0B105EE1"/>
    <w:rsid w:val="0B130AAD"/>
    <w:rsid w:val="0B1320BB"/>
    <w:rsid w:val="0B143204"/>
    <w:rsid w:val="0B160F1B"/>
    <w:rsid w:val="0B16441C"/>
    <w:rsid w:val="0B173ED0"/>
    <w:rsid w:val="0B1A4DF3"/>
    <w:rsid w:val="0B1C395D"/>
    <w:rsid w:val="0B1E26CD"/>
    <w:rsid w:val="0B1E3F97"/>
    <w:rsid w:val="0B1F1DE6"/>
    <w:rsid w:val="0B206B6E"/>
    <w:rsid w:val="0B214364"/>
    <w:rsid w:val="0B233B3F"/>
    <w:rsid w:val="0B241C93"/>
    <w:rsid w:val="0B251335"/>
    <w:rsid w:val="0B2667CE"/>
    <w:rsid w:val="0B271F0F"/>
    <w:rsid w:val="0B275F39"/>
    <w:rsid w:val="0B280D7D"/>
    <w:rsid w:val="0B2849EF"/>
    <w:rsid w:val="0B2A60D5"/>
    <w:rsid w:val="0B2D203D"/>
    <w:rsid w:val="0B2E1C1F"/>
    <w:rsid w:val="0B2E5519"/>
    <w:rsid w:val="0B2F413B"/>
    <w:rsid w:val="0B3004B6"/>
    <w:rsid w:val="0B303338"/>
    <w:rsid w:val="0B3034FE"/>
    <w:rsid w:val="0B330A1B"/>
    <w:rsid w:val="0B331A17"/>
    <w:rsid w:val="0B3617F7"/>
    <w:rsid w:val="0B3629FD"/>
    <w:rsid w:val="0B365163"/>
    <w:rsid w:val="0B365C6A"/>
    <w:rsid w:val="0B37453A"/>
    <w:rsid w:val="0B390AF3"/>
    <w:rsid w:val="0B396BE4"/>
    <w:rsid w:val="0B397926"/>
    <w:rsid w:val="0B3A5C6C"/>
    <w:rsid w:val="0B3B064F"/>
    <w:rsid w:val="0B3B19B8"/>
    <w:rsid w:val="0B3C4E4D"/>
    <w:rsid w:val="0B3D1B7D"/>
    <w:rsid w:val="0B3D55F1"/>
    <w:rsid w:val="0B3F51AB"/>
    <w:rsid w:val="0B3F5C6E"/>
    <w:rsid w:val="0B402ACB"/>
    <w:rsid w:val="0B402ED2"/>
    <w:rsid w:val="0B404062"/>
    <w:rsid w:val="0B404AF9"/>
    <w:rsid w:val="0B4055B4"/>
    <w:rsid w:val="0B4213F9"/>
    <w:rsid w:val="0B4462DA"/>
    <w:rsid w:val="0B4478E1"/>
    <w:rsid w:val="0B45722C"/>
    <w:rsid w:val="0B470B35"/>
    <w:rsid w:val="0B472097"/>
    <w:rsid w:val="0B4874D7"/>
    <w:rsid w:val="0B4B03F6"/>
    <w:rsid w:val="0B4B775D"/>
    <w:rsid w:val="0B4D2006"/>
    <w:rsid w:val="0B4D666A"/>
    <w:rsid w:val="0B4D68DB"/>
    <w:rsid w:val="0B4D7D30"/>
    <w:rsid w:val="0B4E18D1"/>
    <w:rsid w:val="0B4E7FC7"/>
    <w:rsid w:val="0B4F0759"/>
    <w:rsid w:val="0B4F7425"/>
    <w:rsid w:val="0B502BB4"/>
    <w:rsid w:val="0B510A0A"/>
    <w:rsid w:val="0B511A81"/>
    <w:rsid w:val="0B513EB7"/>
    <w:rsid w:val="0B515088"/>
    <w:rsid w:val="0B531EC9"/>
    <w:rsid w:val="0B53438D"/>
    <w:rsid w:val="0B53662E"/>
    <w:rsid w:val="0B53780D"/>
    <w:rsid w:val="0B537C77"/>
    <w:rsid w:val="0B54475F"/>
    <w:rsid w:val="0B5477BA"/>
    <w:rsid w:val="0B552791"/>
    <w:rsid w:val="0B552AA6"/>
    <w:rsid w:val="0B555429"/>
    <w:rsid w:val="0B561CB4"/>
    <w:rsid w:val="0B5710BA"/>
    <w:rsid w:val="0B576915"/>
    <w:rsid w:val="0B577EB2"/>
    <w:rsid w:val="0B582DD5"/>
    <w:rsid w:val="0B583F2E"/>
    <w:rsid w:val="0B585065"/>
    <w:rsid w:val="0B5901A7"/>
    <w:rsid w:val="0B5A279D"/>
    <w:rsid w:val="0B5A7900"/>
    <w:rsid w:val="0B5A7992"/>
    <w:rsid w:val="0B5C25DE"/>
    <w:rsid w:val="0B5E311A"/>
    <w:rsid w:val="0B5F1DAA"/>
    <w:rsid w:val="0B606D82"/>
    <w:rsid w:val="0B613C14"/>
    <w:rsid w:val="0B6209A6"/>
    <w:rsid w:val="0B621DBC"/>
    <w:rsid w:val="0B6329EF"/>
    <w:rsid w:val="0B633415"/>
    <w:rsid w:val="0B641510"/>
    <w:rsid w:val="0B64312F"/>
    <w:rsid w:val="0B650CEF"/>
    <w:rsid w:val="0B664A6F"/>
    <w:rsid w:val="0B664FEB"/>
    <w:rsid w:val="0B666FFD"/>
    <w:rsid w:val="0B673BE8"/>
    <w:rsid w:val="0B6814AC"/>
    <w:rsid w:val="0B6934A2"/>
    <w:rsid w:val="0B69710A"/>
    <w:rsid w:val="0B6A1AFB"/>
    <w:rsid w:val="0B6B108C"/>
    <w:rsid w:val="0B6B2DE8"/>
    <w:rsid w:val="0B6B5A7E"/>
    <w:rsid w:val="0B6D13F4"/>
    <w:rsid w:val="0B6F1813"/>
    <w:rsid w:val="0B722DA9"/>
    <w:rsid w:val="0B73226F"/>
    <w:rsid w:val="0B734B55"/>
    <w:rsid w:val="0B7614AA"/>
    <w:rsid w:val="0B780B20"/>
    <w:rsid w:val="0B78387E"/>
    <w:rsid w:val="0B78640C"/>
    <w:rsid w:val="0B7B6360"/>
    <w:rsid w:val="0B7B7573"/>
    <w:rsid w:val="0B7F50FA"/>
    <w:rsid w:val="0B814BEB"/>
    <w:rsid w:val="0B820262"/>
    <w:rsid w:val="0B8227F6"/>
    <w:rsid w:val="0B824ECC"/>
    <w:rsid w:val="0B826086"/>
    <w:rsid w:val="0B831D0C"/>
    <w:rsid w:val="0B83767B"/>
    <w:rsid w:val="0B842436"/>
    <w:rsid w:val="0B863BC8"/>
    <w:rsid w:val="0B865C9D"/>
    <w:rsid w:val="0B872198"/>
    <w:rsid w:val="0B872A44"/>
    <w:rsid w:val="0B891D38"/>
    <w:rsid w:val="0B891D5D"/>
    <w:rsid w:val="0B8A2868"/>
    <w:rsid w:val="0B8C3C18"/>
    <w:rsid w:val="0B8C43B5"/>
    <w:rsid w:val="0B8C58CC"/>
    <w:rsid w:val="0B8C6520"/>
    <w:rsid w:val="0B8C679D"/>
    <w:rsid w:val="0B8F0A09"/>
    <w:rsid w:val="0B901160"/>
    <w:rsid w:val="0B905DCC"/>
    <w:rsid w:val="0B91090E"/>
    <w:rsid w:val="0B937447"/>
    <w:rsid w:val="0B93795A"/>
    <w:rsid w:val="0B94133B"/>
    <w:rsid w:val="0B95591C"/>
    <w:rsid w:val="0B960C8A"/>
    <w:rsid w:val="0B97700A"/>
    <w:rsid w:val="0B9770C8"/>
    <w:rsid w:val="0B98106B"/>
    <w:rsid w:val="0B9A3D25"/>
    <w:rsid w:val="0B9C3072"/>
    <w:rsid w:val="0B9D15C6"/>
    <w:rsid w:val="0B9D4823"/>
    <w:rsid w:val="0B9D7CE0"/>
    <w:rsid w:val="0B9E7869"/>
    <w:rsid w:val="0BA0094E"/>
    <w:rsid w:val="0BA032F4"/>
    <w:rsid w:val="0BA046A1"/>
    <w:rsid w:val="0BA20866"/>
    <w:rsid w:val="0BA20AF1"/>
    <w:rsid w:val="0BA25F8A"/>
    <w:rsid w:val="0BA37CB5"/>
    <w:rsid w:val="0BA45BEA"/>
    <w:rsid w:val="0BA56A4E"/>
    <w:rsid w:val="0BA6003E"/>
    <w:rsid w:val="0BA62702"/>
    <w:rsid w:val="0BA734BC"/>
    <w:rsid w:val="0BA823D3"/>
    <w:rsid w:val="0BA83BE5"/>
    <w:rsid w:val="0BA86970"/>
    <w:rsid w:val="0BA970B8"/>
    <w:rsid w:val="0BAA43CA"/>
    <w:rsid w:val="0BAE2A22"/>
    <w:rsid w:val="0BAF7B72"/>
    <w:rsid w:val="0BB1080E"/>
    <w:rsid w:val="0BB10B7C"/>
    <w:rsid w:val="0BB151FA"/>
    <w:rsid w:val="0BB201A2"/>
    <w:rsid w:val="0BB2431D"/>
    <w:rsid w:val="0BB25A99"/>
    <w:rsid w:val="0BB4620A"/>
    <w:rsid w:val="0BB57A5D"/>
    <w:rsid w:val="0BB600DD"/>
    <w:rsid w:val="0BB63ED2"/>
    <w:rsid w:val="0BB711D9"/>
    <w:rsid w:val="0BB72768"/>
    <w:rsid w:val="0BB76780"/>
    <w:rsid w:val="0BBA6B71"/>
    <w:rsid w:val="0BBA717F"/>
    <w:rsid w:val="0BBB40C8"/>
    <w:rsid w:val="0BBB41F9"/>
    <w:rsid w:val="0BBB6542"/>
    <w:rsid w:val="0BC0185A"/>
    <w:rsid w:val="0BC02D56"/>
    <w:rsid w:val="0BC02EDF"/>
    <w:rsid w:val="0BC04662"/>
    <w:rsid w:val="0BC0564B"/>
    <w:rsid w:val="0BC203CF"/>
    <w:rsid w:val="0BC34C90"/>
    <w:rsid w:val="0BC350A6"/>
    <w:rsid w:val="0BC423AD"/>
    <w:rsid w:val="0BC53672"/>
    <w:rsid w:val="0BC55F31"/>
    <w:rsid w:val="0BC733E6"/>
    <w:rsid w:val="0BC74B01"/>
    <w:rsid w:val="0BC75A32"/>
    <w:rsid w:val="0BC813AE"/>
    <w:rsid w:val="0BC81CF4"/>
    <w:rsid w:val="0BC93E4F"/>
    <w:rsid w:val="0BC95D1F"/>
    <w:rsid w:val="0BCA6C72"/>
    <w:rsid w:val="0BCB28B7"/>
    <w:rsid w:val="0BCC587C"/>
    <w:rsid w:val="0BCD6AE6"/>
    <w:rsid w:val="0BD12200"/>
    <w:rsid w:val="0BD13747"/>
    <w:rsid w:val="0BD42F49"/>
    <w:rsid w:val="0BD475AE"/>
    <w:rsid w:val="0BD54F31"/>
    <w:rsid w:val="0BD63A44"/>
    <w:rsid w:val="0BD63CC7"/>
    <w:rsid w:val="0BD67164"/>
    <w:rsid w:val="0BD73F39"/>
    <w:rsid w:val="0BDA5DF6"/>
    <w:rsid w:val="0BDB1064"/>
    <w:rsid w:val="0BDB5C61"/>
    <w:rsid w:val="0BDB6D32"/>
    <w:rsid w:val="0BDB70EF"/>
    <w:rsid w:val="0BDC4683"/>
    <w:rsid w:val="0BDE4318"/>
    <w:rsid w:val="0BDF37D9"/>
    <w:rsid w:val="0BE346E3"/>
    <w:rsid w:val="0BE35E59"/>
    <w:rsid w:val="0BE663CB"/>
    <w:rsid w:val="0BE67317"/>
    <w:rsid w:val="0BE77509"/>
    <w:rsid w:val="0BE81C5F"/>
    <w:rsid w:val="0BEA2CDC"/>
    <w:rsid w:val="0BEA7A55"/>
    <w:rsid w:val="0BEB2B86"/>
    <w:rsid w:val="0BEB3F9F"/>
    <w:rsid w:val="0BED4459"/>
    <w:rsid w:val="0BEE51E1"/>
    <w:rsid w:val="0BF03180"/>
    <w:rsid w:val="0BF21E2F"/>
    <w:rsid w:val="0BF45563"/>
    <w:rsid w:val="0BF46853"/>
    <w:rsid w:val="0BF52DDC"/>
    <w:rsid w:val="0BF57102"/>
    <w:rsid w:val="0BF76DC5"/>
    <w:rsid w:val="0BFA3379"/>
    <w:rsid w:val="0BFD230D"/>
    <w:rsid w:val="0BFD72F4"/>
    <w:rsid w:val="0BFF6EA6"/>
    <w:rsid w:val="0C002C63"/>
    <w:rsid w:val="0C003B5D"/>
    <w:rsid w:val="0C006CA4"/>
    <w:rsid w:val="0C013585"/>
    <w:rsid w:val="0C0149DC"/>
    <w:rsid w:val="0C027EF3"/>
    <w:rsid w:val="0C033024"/>
    <w:rsid w:val="0C046B3A"/>
    <w:rsid w:val="0C056ED3"/>
    <w:rsid w:val="0C066C74"/>
    <w:rsid w:val="0C074C50"/>
    <w:rsid w:val="0C091B90"/>
    <w:rsid w:val="0C0A1793"/>
    <w:rsid w:val="0C0A3890"/>
    <w:rsid w:val="0C0A3F2A"/>
    <w:rsid w:val="0C0C4D99"/>
    <w:rsid w:val="0C0C5D76"/>
    <w:rsid w:val="0C0E271D"/>
    <w:rsid w:val="0C0E423E"/>
    <w:rsid w:val="0C0E53C4"/>
    <w:rsid w:val="0C0F471C"/>
    <w:rsid w:val="0C0F6423"/>
    <w:rsid w:val="0C0F7360"/>
    <w:rsid w:val="0C100ADC"/>
    <w:rsid w:val="0C106B7E"/>
    <w:rsid w:val="0C107C34"/>
    <w:rsid w:val="0C11667A"/>
    <w:rsid w:val="0C12161A"/>
    <w:rsid w:val="0C126DFB"/>
    <w:rsid w:val="0C1363BA"/>
    <w:rsid w:val="0C147AD8"/>
    <w:rsid w:val="0C1500A8"/>
    <w:rsid w:val="0C150944"/>
    <w:rsid w:val="0C1572A5"/>
    <w:rsid w:val="0C180276"/>
    <w:rsid w:val="0C183948"/>
    <w:rsid w:val="0C1A2A59"/>
    <w:rsid w:val="0C1B57C7"/>
    <w:rsid w:val="0C1C5CAB"/>
    <w:rsid w:val="0C1E2CB9"/>
    <w:rsid w:val="0C1F4E62"/>
    <w:rsid w:val="0C223CDE"/>
    <w:rsid w:val="0C2272D8"/>
    <w:rsid w:val="0C242A1B"/>
    <w:rsid w:val="0C2516C6"/>
    <w:rsid w:val="0C256996"/>
    <w:rsid w:val="0C257800"/>
    <w:rsid w:val="0C272121"/>
    <w:rsid w:val="0C287182"/>
    <w:rsid w:val="0C2C7221"/>
    <w:rsid w:val="0C2C7CFA"/>
    <w:rsid w:val="0C2D0242"/>
    <w:rsid w:val="0C2D4B92"/>
    <w:rsid w:val="0C2E1784"/>
    <w:rsid w:val="0C2F32F7"/>
    <w:rsid w:val="0C312077"/>
    <w:rsid w:val="0C313288"/>
    <w:rsid w:val="0C3177E7"/>
    <w:rsid w:val="0C320CCC"/>
    <w:rsid w:val="0C341744"/>
    <w:rsid w:val="0C345BCA"/>
    <w:rsid w:val="0C392382"/>
    <w:rsid w:val="0C3A609D"/>
    <w:rsid w:val="0C3B3B24"/>
    <w:rsid w:val="0C3B4F63"/>
    <w:rsid w:val="0C3B5985"/>
    <w:rsid w:val="0C3B7034"/>
    <w:rsid w:val="0C3D1F80"/>
    <w:rsid w:val="0C3D4987"/>
    <w:rsid w:val="0C3E251B"/>
    <w:rsid w:val="0C3E38B3"/>
    <w:rsid w:val="0C3E7872"/>
    <w:rsid w:val="0C3F6BD6"/>
    <w:rsid w:val="0C40486A"/>
    <w:rsid w:val="0C405838"/>
    <w:rsid w:val="0C4124F1"/>
    <w:rsid w:val="0C413744"/>
    <w:rsid w:val="0C424EAD"/>
    <w:rsid w:val="0C42649A"/>
    <w:rsid w:val="0C434FF4"/>
    <w:rsid w:val="0C437569"/>
    <w:rsid w:val="0C4427B0"/>
    <w:rsid w:val="0C450B57"/>
    <w:rsid w:val="0C454D9D"/>
    <w:rsid w:val="0C456E03"/>
    <w:rsid w:val="0C466C9B"/>
    <w:rsid w:val="0C467990"/>
    <w:rsid w:val="0C4768A5"/>
    <w:rsid w:val="0C48500C"/>
    <w:rsid w:val="0C48703F"/>
    <w:rsid w:val="0C4A6664"/>
    <w:rsid w:val="0C4C3FCE"/>
    <w:rsid w:val="0C4C5D8C"/>
    <w:rsid w:val="0C4E7BB9"/>
    <w:rsid w:val="0C4F1581"/>
    <w:rsid w:val="0C500D6E"/>
    <w:rsid w:val="0C501223"/>
    <w:rsid w:val="0C515830"/>
    <w:rsid w:val="0C535E6D"/>
    <w:rsid w:val="0C540B1D"/>
    <w:rsid w:val="0C550C3F"/>
    <w:rsid w:val="0C561A0E"/>
    <w:rsid w:val="0C562E20"/>
    <w:rsid w:val="0C563DA9"/>
    <w:rsid w:val="0C57441F"/>
    <w:rsid w:val="0C577879"/>
    <w:rsid w:val="0C596958"/>
    <w:rsid w:val="0C5A0E17"/>
    <w:rsid w:val="0C5A0F8F"/>
    <w:rsid w:val="0C5A4A56"/>
    <w:rsid w:val="0C5A4C39"/>
    <w:rsid w:val="0C5D3DE3"/>
    <w:rsid w:val="0C5D6C47"/>
    <w:rsid w:val="0C5E2BD9"/>
    <w:rsid w:val="0C60152A"/>
    <w:rsid w:val="0C604717"/>
    <w:rsid w:val="0C605840"/>
    <w:rsid w:val="0C605BA6"/>
    <w:rsid w:val="0C610170"/>
    <w:rsid w:val="0C63487F"/>
    <w:rsid w:val="0C6367E3"/>
    <w:rsid w:val="0C637AEE"/>
    <w:rsid w:val="0C646A79"/>
    <w:rsid w:val="0C6552CF"/>
    <w:rsid w:val="0C663B81"/>
    <w:rsid w:val="0C692343"/>
    <w:rsid w:val="0C6973A0"/>
    <w:rsid w:val="0C6A1834"/>
    <w:rsid w:val="0C6A5102"/>
    <w:rsid w:val="0C6B1EE2"/>
    <w:rsid w:val="0C6D2048"/>
    <w:rsid w:val="0C6D2071"/>
    <w:rsid w:val="0C6E08A1"/>
    <w:rsid w:val="0C6E12B1"/>
    <w:rsid w:val="0C6E3308"/>
    <w:rsid w:val="0C6F331F"/>
    <w:rsid w:val="0C73465A"/>
    <w:rsid w:val="0C743CCD"/>
    <w:rsid w:val="0C747EE1"/>
    <w:rsid w:val="0C7526D4"/>
    <w:rsid w:val="0C7536A0"/>
    <w:rsid w:val="0C7567D3"/>
    <w:rsid w:val="0C756B11"/>
    <w:rsid w:val="0C7659A9"/>
    <w:rsid w:val="0C794038"/>
    <w:rsid w:val="0C7B1579"/>
    <w:rsid w:val="0C7B302D"/>
    <w:rsid w:val="0C7B3510"/>
    <w:rsid w:val="0C7B4A68"/>
    <w:rsid w:val="0C7B59F0"/>
    <w:rsid w:val="0C7B62D9"/>
    <w:rsid w:val="0C7B7AB8"/>
    <w:rsid w:val="0C7C1703"/>
    <w:rsid w:val="0C7C7321"/>
    <w:rsid w:val="0C7D412B"/>
    <w:rsid w:val="0C7D64C8"/>
    <w:rsid w:val="0C7E5B22"/>
    <w:rsid w:val="0C7F1162"/>
    <w:rsid w:val="0C7F328C"/>
    <w:rsid w:val="0C800C6D"/>
    <w:rsid w:val="0C811679"/>
    <w:rsid w:val="0C812D78"/>
    <w:rsid w:val="0C82547B"/>
    <w:rsid w:val="0C845E28"/>
    <w:rsid w:val="0C870BAB"/>
    <w:rsid w:val="0C874E06"/>
    <w:rsid w:val="0C875498"/>
    <w:rsid w:val="0C8B0453"/>
    <w:rsid w:val="0C8C5512"/>
    <w:rsid w:val="0C8C781A"/>
    <w:rsid w:val="0C8D10E4"/>
    <w:rsid w:val="0C8D488A"/>
    <w:rsid w:val="0C8F1568"/>
    <w:rsid w:val="0C90060B"/>
    <w:rsid w:val="0C905588"/>
    <w:rsid w:val="0C9061A8"/>
    <w:rsid w:val="0C9314F7"/>
    <w:rsid w:val="0C9372D6"/>
    <w:rsid w:val="0C941390"/>
    <w:rsid w:val="0C9449E9"/>
    <w:rsid w:val="0C9500EA"/>
    <w:rsid w:val="0C962D47"/>
    <w:rsid w:val="0C963F6F"/>
    <w:rsid w:val="0C9660C8"/>
    <w:rsid w:val="0C984942"/>
    <w:rsid w:val="0C992A08"/>
    <w:rsid w:val="0C996B19"/>
    <w:rsid w:val="0C9B098C"/>
    <w:rsid w:val="0C9C72F9"/>
    <w:rsid w:val="0C9E222B"/>
    <w:rsid w:val="0CA01799"/>
    <w:rsid w:val="0CA022EB"/>
    <w:rsid w:val="0CA11D84"/>
    <w:rsid w:val="0CA1356B"/>
    <w:rsid w:val="0CA26011"/>
    <w:rsid w:val="0CA4644C"/>
    <w:rsid w:val="0CA52FD0"/>
    <w:rsid w:val="0CA65BD6"/>
    <w:rsid w:val="0CA80E72"/>
    <w:rsid w:val="0CA83BB1"/>
    <w:rsid w:val="0CA9601B"/>
    <w:rsid w:val="0CAC0C29"/>
    <w:rsid w:val="0CAE339C"/>
    <w:rsid w:val="0CAE6773"/>
    <w:rsid w:val="0CB02FB6"/>
    <w:rsid w:val="0CB1027F"/>
    <w:rsid w:val="0CB2215C"/>
    <w:rsid w:val="0CB23486"/>
    <w:rsid w:val="0CB275CA"/>
    <w:rsid w:val="0CB30EB4"/>
    <w:rsid w:val="0CB47212"/>
    <w:rsid w:val="0CB47CA0"/>
    <w:rsid w:val="0CB5611E"/>
    <w:rsid w:val="0CB71B5D"/>
    <w:rsid w:val="0CB82686"/>
    <w:rsid w:val="0CB82AB6"/>
    <w:rsid w:val="0CB902FE"/>
    <w:rsid w:val="0CBA0A7C"/>
    <w:rsid w:val="0CBB00CF"/>
    <w:rsid w:val="0CBB0630"/>
    <w:rsid w:val="0CBB102D"/>
    <w:rsid w:val="0CBD1F5F"/>
    <w:rsid w:val="0CBF1195"/>
    <w:rsid w:val="0CBF7568"/>
    <w:rsid w:val="0CC03124"/>
    <w:rsid w:val="0CC044E0"/>
    <w:rsid w:val="0CC23AB3"/>
    <w:rsid w:val="0CC36133"/>
    <w:rsid w:val="0CC43A74"/>
    <w:rsid w:val="0CC46FA8"/>
    <w:rsid w:val="0CC51971"/>
    <w:rsid w:val="0CC53119"/>
    <w:rsid w:val="0CC54F62"/>
    <w:rsid w:val="0CC65FC0"/>
    <w:rsid w:val="0CC733F0"/>
    <w:rsid w:val="0CC7662F"/>
    <w:rsid w:val="0CC8220A"/>
    <w:rsid w:val="0CCA05E9"/>
    <w:rsid w:val="0CCA2D15"/>
    <w:rsid w:val="0CCA523B"/>
    <w:rsid w:val="0CCA5D39"/>
    <w:rsid w:val="0CCC17B6"/>
    <w:rsid w:val="0CCD48BE"/>
    <w:rsid w:val="0CCE12BA"/>
    <w:rsid w:val="0CCE2B10"/>
    <w:rsid w:val="0CCF4ADA"/>
    <w:rsid w:val="0CCF5068"/>
    <w:rsid w:val="0CD22806"/>
    <w:rsid w:val="0CD30CBA"/>
    <w:rsid w:val="0CD362CB"/>
    <w:rsid w:val="0CD44A25"/>
    <w:rsid w:val="0CD4522D"/>
    <w:rsid w:val="0CD57C0C"/>
    <w:rsid w:val="0CD7011D"/>
    <w:rsid w:val="0CD7131B"/>
    <w:rsid w:val="0CD838C9"/>
    <w:rsid w:val="0CD973B8"/>
    <w:rsid w:val="0CD979E2"/>
    <w:rsid w:val="0CDB11C6"/>
    <w:rsid w:val="0CDC32CA"/>
    <w:rsid w:val="0CDE5B3B"/>
    <w:rsid w:val="0CDF4BAD"/>
    <w:rsid w:val="0CE3007F"/>
    <w:rsid w:val="0CE338A4"/>
    <w:rsid w:val="0CE348DA"/>
    <w:rsid w:val="0CE3589A"/>
    <w:rsid w:val="0CE56A15"/>
    <w:rsid w:val="0CE60220"/>
    <w:rsid w:val="0CE730FD"/>
    <w:rsid w:val="0CE77B1C"/>
    <w:rsid w:val="0CE87F0D"/>
    <w:rsid w:val="0CE96FD6"/>
    <w:rsid w:val="0CEB1783"/>
    <w:rsid w:val="0CEB6F72"/>
    <w:rsid w:val="0CEB732F"/>
    <w:rsid w:val="0CEE1CA9"/>
    <w:rsid w:val="0CF04FC8"/>
    <w:rsid w:val="0CF16F3F"/>
    <w:rsid w:val="0CF41831"/>
    <w:rsid w:val="0CF4758A"/>
    <w:rsid w:val="0CF62F0C"/>
    <w:rsid w:val="0CF831CD"/>
    <w:rsid w:val="0CF8521E"/>
    <w:rsid w:val="0CF86E97"/>
    <w:rsid w:val="0CF95C2C"/>
    <w:rsid w:val="0CF97FE0"/>
    <w:rsid w:val="0CFA7AE7"/>
    <w:rsid w:val="0CFB10EA"/>
    <w:rsid w:val="0CFC4655"/>
    <w:rsid w:val="0CFD05CB"/>
    <w:rsid w:val="0CFE15CB"/>
    <w:rsid w:val="0CFF2ED0"/>
    <w:rsid w:val="0CFF2ED1"/>
    <w:rsid w:val="0D030DFE"/>
    <w:rsid w:val="0D033F19"/>
    <w:rsid w:val="0D063ADD"/>
    <w:rsid w:val="0D0B4156"/>
    <w:rsid w:val="0D0B6123"/>
    <w:rsid w:val="0D0B77D7"/>
    <w:rsid w:val="0D0D4CE5"/>
    <w:rsid w:val="0D0E2654"/>
    <w:rsid w:val="0D0E2FD6"/>
    <w:rsid w:val="0D102B93"/>
    <w:rsid w:val="0D143EE1"/>
    <w:rsid w:val="0D15073F"/>
    <w:rsid w:val="0D164DC1"/>
    <w:rsid w:val="0D166DA3"/>
    <w:rsid w:val="0D197C2A"/>
    <w:rsid w:val="0D1A1207"/>
    <w:rsid w:val="0D1A1A41"/>
    <w:rsid w:val="0D1A4A6E"/>
    <w:rsid w:val="0D1B5BF3"/>
    <w:rsid w:val="0D1C17C9"/>
    <w:rsid w:val="0D1E02A2"/>
    <w:rsid w:val="0D1E3740"/>
    <w:rsid w:val="0D1E4D54"/>
    <w:rsid w:val="0D1F7E1E"/>
    <w:rsid w:val="0D203640"/>
    <w:rsid w:val="0D230E56"/>
    <w:rsid w:val="0D247950"/>
    <w:rsid w:val="0D2515DE"/>
    <w:rsid w:val="0D2529C7"/>
    <w:rsid w:val="0D271959"/>
    <w:rsid w:val="0D283074"/>
    <w:rsid w:val="0D2B1D50"/>
    <w:rsid w:val="0D2B6D06"/>
    <w:rsid w:val="0D2B71CE"/>
    <w:rsid w:val="0D2C6083"/>
    <w:rsid w:val="0D2D55FE"/>
    <w:rsid w:val="0D2E576D"/>
    <w:rsid w:val="0D3020A4"/>
    <w:rsid w:val="0D312965"/>
    <w:rsid w:val="0D325769"/>
    <w:rsid w:val="0D334DAC"/>
    <w:rsid w:val="0D3504B0"/>
    <w:rsid w:val="0D3530DC"/>
    <w:rsid w:val="0D370C60"/>
    <w:rsid w:val="0D371591"/>
    <w:rsid w:val="0D3765D6"/>
    <w:rsid w:val="0D387F85"/>
    <w:rsid w:val="0D3A4BDF"/>
    <w:rsid w:val="0D3A50D4"/>
    <w:rsid w:val="0D3C1E91"/>
    <w:rsid w:val="0D3D231F"/>
    <w:rsid w:val="0D3D3890"/>
    <w:rsid w:val="0D3F3F24"/>
    <w:rsid w:val="0D3F6A96"/>
    <w:rsid w:val="0D4037CE"/>
    <w:rsid w:val="0D405FA7"/>
    <w:rsid w:val="0D407125"/>
    <w:rsid w:val="0D411534"/>
    <w:rsid w:val="0D4209CA"/>
    <w:rsid w:val="0D421839"/>
    <w:rsid w:val="0D423681"/>
    <w:rsid w:val="0D446404"/>
    <w:rsid w:val="0D47351E"/>
    <w:rsid w:val="0D4742F2"/>
    <w:rsid w:val="0D477FB1"/>
    <w:rsid w:val="0D48769B"/>
    <w:rsid w:val="0D494D98"/>
    <w:rsid w:val="0D4B0ABE"/>
    <w:rsid w:val="0D4B21F0"/>
    <w:rsid w:val="0D4C32A7"/>
    <w:rsid w:val="0D4C3444"/>
    <w:rsid w:val="0D4C51F4"/>
    <w:rsid w:val="0D4E05A8"/>
    <w:rsid w:val="0D4E35F9"/>
    <w:rsid w:val="0D4F4F45"/>
    <w:rsid w:val="0D504B26"/>
    <w:rsid w:val="0D514185"/>
    <w:rsid w:val="0D531472"/>
    <w:rsid w:val="0D5323D0"/>
    <w:rsid w:val="0D532DFF"/>
    <w:rsid w:val="0D541BA9"/>
    <w:rsid w:val="0D560150"/>
    <w:rsid w:val="0D57204F"/>
    <w:rsid w:val="0D576C30"/>
    <w:rsid w:val="0D58206E"/>
    <w:rsid w:val="0D5843EF"/>
    <w:rsid w:val="0D596784"/>
    <w:rsid w:val="0D5A06BC"/>
    <w:rsid w:val="0D5A3963"/>
    <w:rsid w:val="0D5A43A4"/>
    <w:rsid w:val="0D5B102F"/>
    <w:rsid w:val="0D5B2367"/>
    <w:rsid w:val="0D5C78A2"/>
    <w:rsid w:val="0D5D6969"/>
    <w:rsid w:val="0D617EE9"/>
    <w:rsid w:val="0D645F54"/>
    <w:rsid w:val="0D65336D"/>
    <w:rsid w:val="0D6566CB"/>
    <w:rsid w:val="0D673E3A"/>
    <w:rsid w:val="0D677ED0"/>
    <w:rsid w:val="0D68249A"/>
    <w:rsid w:val="0D6A2B3C"/>
    <w:rsid w:val="0D6B19FD"/>
    <w:rsid w:val="0D6B52D4"/>
    <w:rsid w:val="0D6C2329"/>
    <w:rsid w:val="0D6C56C4"/>
    <w:rsid w:val="0D6C6E64"/>
    <w:rsid w:val="0D6F2170"/>
    <w:rsid w:val="0D6F502F"/>
    <w:rsid w:val="0D6F67CB"/>
    <w:rsid w:val="0D706B35"/>
    <w:rsid w:val="0D712ED5"/>
    <w:rsid w:val="0D71583D"/>
    <w:rsid w:val="0D716E83"/>
    <w:rsid w:val="0D7175AD"/>
    <w:rsid w:val="0D72660D"/>
    <w:rsid w:val="0D7336B7"/>
    <w:rsid w:val="0D74307C"/>
    <w:rsid w:val="0D763470"/>
    <w:rsid w:val="0D77259C"/>
    <w:rsid w:val="0D781ACD"/>
    <w:rsid w:val="0D783B0D"/>
    <w:rsid w:val="0D7842F7"/>
    <w:rsid w:val="0D792BBE"/>
    <w:rsid w:val="0D7933BE"/>
    <w:rsid w:val="0D79449F"/>
    <w:rsid w:val="0D797623"/>
    <w:rsid w:val="0D7A4123"/>
    <w:rsid w:val="0D7C48E1"/>
    <w:rsid w:val="0D7D0F14"/>
    <w:rsid w:val="0D813021"/>
    <w:rsid w:val="0D82191E"/>
    <w:rsid w:val="0D8256D3"/>
    <w:rsid w:val="0D833368"/>
    <w:rsid w:val="0D8346CC"/>
    <w:rsid w:val="0D8346EA"/>
    <w:rsid w:val="0D841421"/>
    <w:rsid w:val="0D8517FD"/>
    <w:rsid w:val="0D8A7967"/>
    <w:rsid w:val="0D8B54D4"/>
    <w:rsid w:val="0D8D16B6"/>
    <w:rsid w:val="0D8D29C4"/>
    <w:rsid w:val="0D8D75B0"/>
    <w:rsid w:val="0D904121"/>
    <w:rsid w:val="0D9107C2"/>
    <w:rsid w:val="0D92754B"/>
    <w:rsid w:val="0D9403E0"/>
    <w:rsid w:val="0D94266A"/>
    <w:rsid w:val="0D9457F8"/>
    <w:rsid w:val="0D961BFD"/>
    <w:rsid w:val="0D9661F4"/>
    <w:rsid w:val="0D9723CC"/>
    <w:rsid w:val="0D990786"/>
    <w:rsid w:val="0D9943CC"/>
    <w:rsid w:val="0D9A37D2"/>
    <w:rsid w:val="0D9B552B"/>
    <w:rsid w:val="0D9B59BA"/>
    <w:rsid w:val="0DA17B99"/>
    <w:rsid w:val="0DA301DD"/>
    <w:rsid w:val="0DA5121A"/>
    <w:rsid w:val="0DA53BE6"/>
    <w:rsid w:val="0DA55E0D"/>
    <w:rsid w:val="0DA71A92"/>
    <w:rsid w:val="0DA93A38"/>
    <w:rsid w:val="0DA94F57"/>
    <w:rsid w:val="0DAA5872"/>
    <w:rsid w:val="0DAB49ED"/>
    <w:rsid w:val="0DAC50E5"/>
    <w:rsid w:val="0DAD2CD9"/>
    <w:rsid w:val="0DAD41B6"/>
    <w:rsid w:val="0DAD4E1B"/>
    <w:rsid w:val="0DAD53F3"/>
    <w:rsid w:val="0DAF0ED7"/>
    <w:rsid w:val="0DB150BE"/>
    <w:rsid w:val="0DB30A3D"/>
    <w:rsid w:val="0DB41A6C"/>
    <w:rsid w:val="0DB41DEA"/>
    <w:rsid w:val="0DB465D7"/>
    <w:rsid w:val="0DB46B0D"/>
    <w:rsid w:val="0DB54C68"/>
    <w:rsid w:val="0DB82EB5"/>
    <w:rsid w:val="0DB8731C"/>
    <w:rsid w:val="0DBA3B3F"/>
    <w:rsid w:val="0DBF0E6A"/>
    <w:rsid w:val="0DBF2745"/>
    <w:rsid w:val="0DC0395A"/>
    <w:rsid w:val="0DC06BC2"/>
    <w:rsid w:val="0DC07345"/>
    <w:rsid w:val="0DC11F55"/>
    <w:rsid w:val="0DC21942"/>
    <w:rsid w:val="0DC21C5F"/>
    <w:rsid w:val="0DC3323A"/>
    <w:rsid w:val="0DC437C2"/>
    <w:rsid w:val="0DC525AE"/>
    <w:rsid w:val="0DC55F02"/>
    <w:rsid w:val="0DC8108B"/>
    <w:rsid w:val="0DCA2E53"/>
    <w:rsid w:val="0DCA57EC"/>
    <w:rsid w:val="0DCB3E5D"/>
    <w:rsid w:val="0DCB4B93"/>
    <w:rsid w:val="0DCC17ED"/>
    <w:rsid w:val="0DCD0C7A"/>
    <w:rsid w:val="0DCD73CF"/>
    <w:rsid w:val="0DD00648"/>
    <w:rsid w:val="0DD016E1"/>
    <w:rsid w:val="0DD02E84"/>
    <w:rsid w:val="0DD57E2A"/>
    <w:rsid w:val="0DD60565"/>
    <w:rsid w:val="0DD65ED1"/>
    <w:rsid w:val="0DD81485"/>
    <w:rsid w:val="0DD85AED"/>
    <w:rsid w:val="0DDA1145"/>
    <w:rsid w:val="0DDA24C3"/>
    <w:rsid w:val="0DDA6812"/>
    <w:rsid w:val="0DDA6E5F"/>
    <w:rsid w:val="0DDF7CA3"/>
    <w:rsid w:val="0DDF7D0E"/>
    <w:rsid w:val="0DE1464E"/>
    <w:rsid w:val="0DE15442"/>
    <w:rsid w:val="0DE456F7"/>
    <w:rsid w:val="0DE54AE7"/>
    <w:rsid w:val="0DE569C8"/>
    <w:rsid w:val="0DE61F20"/>
    <w:rsid w:val="0DE7584C"/>
    <w:rsid w:val="0DE85D3C"/>
    <w:rsid w:val="0DE91F56"/>
    <w:rsid w:val="0DEA4768"/>
    <w:rsid w:val="0DEB3C31"/>
    <w:rsid w:val="0DEE2484"/>
    <w:rsid w:val="0DEE47BC"/>
    <w:rsid w:val="0DEF45D9"/>
    <w:rsid w:val="0DEF4B78"/>
    <w:rsid w:val="0DF01B9E"/>
    <w:rsid w:val="0DF030F6"/>
    <w:rsid w:val="0DF17D52"/>
    <w:rsid w:val="0DF218D9"/>
    <w:rsid w:val="0DF31400"/>
    <w:rsid w:val="0DF646F5"/>
    <w:rsid w:val="0DF65B00"/>
    <w:rsid w:val="0DF66836"/>
    <w:rsid w:val="0DF71C48"/>
    <w:rsid w:val="0DF73643"/>
    <w:rsid w:val="0DF872AF"/>
    <w:rsid w:val="0DF87490"/>
    <w:rsid w:val="0DF912C0"/>
    <w:rsid w:val="0DF93500"/>
    <w:rsid w:val="0DF977D2"/>
    <w:rsid w:val="0DFB0A8E"/>
    <w:rsid w:val="0DFF7914"/>
    <w:rsid w:val="0E003E44"/>
    <w:rsid w:val="0E004FCC"/>
    <w:rsid w:val="0E00744E"/>
    <w:rsid w:val="0E010C86"/>
    <w:rsid w:val="0E022490"/>
    <w:rsid w:val="0E056F4E"/>
    <w:rsid w:val="0E061620"/>
    <w:rsid w:val="0E0741CC"/>
    <w:rsid w:val="0E083665"/>
    <w:rsid w:val="0E0B00D6"/>
    <w:rsid w:val="0E0B0AF5"/>
    <w:rsid w:val="0E0B2DD4"/>
    <w:rsid w:val="0E0C6B9E"/>
    <w:rsid w:val="0E0C6ED6"/>
    <w:rsid w:val="0E0D3DB4"/>
    <w:rsid w:val="0E0D77AC"/>
    <w:rsid w:val="0E0E3977"/>
    <w:rsid w:val="0E0E3F86"/>
    <w:rsid w:val="0E0E4D52"/>
    <w:rsid w:val="0E0F4E16"/>
    <w:rsid w:val="0E0F5176"/>
    <w:rsid w:val="0E103D10"/>
    <w:rsid w:val="0E1051C7"/>
    <w:rsid w:val="0E113F52"/>
    <w:rsid w:val="0E123A4B"/>
    <w:rsid w:val="0E124C7E"/>
    <w:rsid w:val="0E1264AF"/>
    <w:rsid w:val="0E127B8D"/>
    <w:rsid w:val="0E131724"/>
    <w:rsid w:val="0E1323CC"/>
    <w:rsid w:val="0E1552B7"/>
    <w:rsid w:val="0E183F02"/>
    <w:rsid w:val="0E190144"/>
    <w:rsid w:val="0E1907F8"/>
    <w:rsid w:val="0E1C7250"/>
    <w:rsid w:val="0E1E23E3"/>
    <w:rsid w:val="0E1F4276"/>
    <w:rsid w:val="0E2132D5"/>
    <w:rsid w:val="0E215C4A"/>
    <w:rsid w:val="0E224736"/>
    <w:rsid w:val="0E226538"/>
    <w:rsid w:val="0E241EAF"/>
    <w:rsid w:val="0E250E55"/>
    <w:rsid w:val="0E25661B"/>
    <w:rsid w:val="0E2A2896"/>
    <w:rsid w:val="0E2A3476"/>
    <w:rsid w:val="0E2A4E11"/>
    <w:rsid w:val="0E2B29CD"/>
    <w:rsid w:val="0E2B624A"/>
    <w:rsid w:val="0E2C605B"/>
    <w:rsid w:val="0E2C7A4E"/>
    <w:rsid w:val="0E2E204D"/>
    <w:rsid w:val="0E30583A"/>
    <w:rsid w:val="0E30781A"/>
    <w:rsid w:val="0E312661"/>
    <w:rsid w:val="0E322BD6"/>
    <w:rsid w:val="0E323ADE"/>
    <w:rsid w:val="0E3313FC"/>
    <w:rsid w:val="0E331D29"/>
    <w:rsid w:val="0E334A9B"/>
    <w:rsid w:val="0E344BF5"/>
    <w:rsid w:val="0E35088A"/>
    <w:rsid w:val="0E370AE4"/>
    <w:rsid w:val="0E382424"/>
    <w:rsid w:val="0E390993"/>
    <w:rsid w:val="0E393AE8"/>
    <w:rsid w:val="0E3B1E81"/>
    <w:rsid w:val="0E413795"/>
    <w:rsid w:val="0E4143C8"/>
    <w:rsid w:val="0E426D17"/>
    <w:rsid w:val="0E431223"/>
    <w:rsid w:val="0E436599"/>
    <w:rsid w:val="0E443903"/>
    <w:rsid w:val="0E44758C"/>
    <w:rsid w:val="0E4524B3"/>
    <w:rsid w:val="0E456544"/>
    <w:rsid w:val="0E47049B"/>
    <w:rsid w:val="0E484EEC"/>
    <w:rsid w:val="0E492AA7"/>
    <w:rsid w:val="0E493F91"/>
    <w:rsid w:val="0E4D2FCC"/>
    <w:rsid w:val="0E4D3C6F"/>
    <w:rsid w:val="0E4E5D12"/>
    <w:rsid w:val="0E4F0FB4"/>
    <w:rsid w:val="0E513D76"/>
    <w:rsid w:val="0E550116"/>
    <w:rsid w:val="0E56110E"/>
    <w:rsid w:val="0E566816"/>
    <w:rsid w:val="0E573140"/>
    <w:rsid w:val="0E5A1644"/>
    <w:rsid w:val="0E5A4090"/>
    <w:rsid w:val="0E5A75C6"/>
    <w:rsid w:val="0E5C72D8"/>
    <w:rsid w:val="0E5D2952"/>
    <w:rsid w:val="0E5E0320"/>
    <w:rsid w:val="0E5E2156"/>
    <w:rsid w:val="0E604448"/>
    <w:rsid w:val="0E612A14"/>
    <w:rsid w:val="0E665733"/>
    <w:rsid w:val="0E665EF9"/>
    <w:rsid w:val="0E673477"/>
    <w:rsid w:val="0E695CE4"/>
    <w:rsid w:val="0E6A382B"/>
    <w:rsid w:val="0E6D7218"/>
    <w:rsid w:val="0E6E1037"/>
    <w:rsid w:val="0E6E1FED"/>
    <w:rsid w:val="0E6F401E"/>
    <w:rsid w:val="0E704D2F"/>
    <w:rsid w:val="0E730955"/>
    <w:rsid w:val="0E743784"/>
    <w:rsid w:val="0E761DEF"/>
    <w:rsid w:val="0E7658BE"/>
    <w:rsid w:val="0E765B7C"/>
    <w:rsid w:val="0E773E06"/>
    <w:rsid w:val="0E774435"/>
    <w:rsid w:val="0E785EB1"/>
    <w:rsid w:val="0E7929B0"/>
    <w:rsid w:val="0E7951DE"/>
    <w:rsid w:val="0E7A45E7"/>
    <w:rsid w:val="0E7B02D7"/>
    <w:rsid w:val="0E7B10FF"/>
    <w:rsid w:val="0E7B373F"/>
    <w:rsid w:val="0E7B5AF8"/>
    <w:rsid w:val="0E7C1BAE"/>
    <w:rsid w:val="0E7C439F"/>
    <w:rsid w:val="0E7D1215"/>
    <w:rsid w:val="0E802F93"/>
    <w:rsid w:val="0E815FCD"/>
    <w:rsid w:val="0E821763"/>
    <w:rsid w:val="0E85163A"/>
    <w:rsid w:val="0E855004"/>
    <w:rsid w:val="0E855FA7"/>
    <w:rsid w:val="0E86315E"/>
    <w:rsid w:val="0E875BF1"/>
    <w:rsid w:val="0E8942A2"/>
    <w:rsid w:val="0E8D07A9"/>
    <w:rsid w:val="0E8F50AD"/>
    <w:rsid w:val="0E9042C3"/>
    <w:rsid w:val="0E906F70"/>
    <w:rsid w:val="0E907387"/>
    <w:rsid w:val="0E930118"/>
    <w:rsid w:val="0E9472E1"/>
    <w:rsid w:val="0E9800A3"/>
    <w:rsid w:val="0E981187"/>
    <w:rsid w:val="0E9967C8"/>
    <w:rsid w:val="0E997B3F"/>
    <w:rsid w:val="0E9A345E"/>
    <w:rsid w:val="0E9A5EA6"/>
    <w:rsid w:val="0E9B085E"/>
    <w:rsid w:val="0E9B2A3E"/>
    <w:rsid w:val="0E9C0A80"/>
    <w:rsid w:val="0E9C51E9"/>
    <w:rsid w:val="0E9D1436"/>
    <w:rsid w:val="0E9D57CF"/>
    <w:rsid w:val="0EA21307"/>
    <w:rsid w:val="0EA36239"/>
    <w:rsid w:val="0EA36A67"/>
    <w:rsid w:val="0EA45586"/>
    <w:rsid w:val="0EA45A04"/>
    <w:rsid w:val="0EA5301D"/>
    <w:rsid w:val="0EA64270"/>
    <w:rsid w:val="0EA7350F"/>
    <w:rsid w:val="0EA74BD8"/>
    <w:rsid w:val="0EAA21D6"/>
    <w:rsid w:val="0EAB72BF"/>
    <w:rsid w:val="0EAF02FF"/>
    <w:rsid w:val="0EB23C1F"/>
    <w:rsid w:val="0EB33DEB"/>
    <w:rsid w:val="0EB5558F"/>
    <w:rsid w:val="0EB6228F"/>
    <w:rsid w:val="0EB71068"/>
    <w:rsid w:val="0EB842B5"/>
    <w:rsid w:val="0EB85A28"/>
    <w:rsid w:val="0EB86C3A"/>
    <w:rsid w:val="0EB918D3"/>
    <w:rsid w:val="0EBA1CE1"/>
    <w:rsid w:val="0EBB23BD"/>
    <w:rsid w:val="0EBC7C82"/>
    <w:rsid w:val="0EBD5BA3"/>
    <w:rsid w:val="0EBE2ECD"/>
    <w:rsid w:val="0EBE65FE"/>
    <w:rsid w:val="0EC02476"/>
    <w:rsid w:val="0EC25CD7"/>
    <w:rsid w:val="0EC543DF"/>
    <w:rsid w:val="0EC75695"/>
    <w:rsid w:val="0EC75A69"/>
    <w:rsid w:val="0EC82740"/>
    <w:rsid w:val="0EC866E1"/>
    <w:rsid w:val="0EC92CCA"/>
    <w:rsid w:val="0EC966EC"/>
    <w:rsid w:val="0ECA72D2"/>
    <w:rsid w:val="0ECB1AA5"/>
    <w:rsid w:val="0ECB4F14"/>
    <w:rsid w:val="0ECB6448"/>
    <w:rsid w:val="0ECC71A3"/>
    <w:rsid w:val="0ECE3C50"/>
    <w:rsid w:val="0ECF7576"/>
    <w:rsid w:val="0ED043E4"/>
    <w:rsid w:val="0ED17A12"/>
    <w:rsid w:val="0ED17EFB"/>
    <w:rsid w:val="0ED2437A"/>
    <w:rsid w:val="0ED27CA4"/>
    <w:rsid w:val="0ED35C9D"/>
    <w:rsid w:val="0ED64988"/>
    <w:rsid w:val="0ED7107B"/>
    <w:rsid w:val="0ED93313"/>
    <w:rsid w:val="0ED9453F"/>
    <w:rsid w:val="0EDA0FDD"/>
    <w:rsid w:val="0EDB3026"/>
    <w:rsid w:val="0EDB7168"/>
    <w:rsid w:val="0EDD6048"/>
    <w:rsid w:val="0EDD7B59"/>
    <w:rsid w:val="0EDE0AD1"/>
    <w:rsid w:val="0EDE7568"/>
    <w:rsid w:val="0EDF090E"/>
    <w:rsid w:val="0EE140C8"/>
    <w:rsid w:val="0EE32D00"/>
    <w:rsid w:val="0EE379C3"/>
    <w:rsid w:val="0EE54776"/>
    <w:rsid w:val="0EE60AD7"/>
    <w:rsid w:val="0EE833B1"/>
    <w:rsid w:val="0EEA04E1"/>
    <w:rsid w:val="0EEA43FF"/>
    <w:rsid w:val="0EEA5C1F"/>
    <w:rsid w:val="0EEB10D1"/>
    <w:rsid w:val="0EEC37FB"/>
    <w:rsid w:val="0EED4933"/>
    <w:rsid w:val="0EEE033A"/>
    <w:rsid w:val="0EEE25CE"/>
    <w:rsid w:val="0EEE3CC0"/>
    <w:rsid w:val="0EEE47D8"/>
    <w:rsid w:val="0EEF047A"/>
    <w:rsid w:val="0EF2711F"/>
    <w:rsid w:val="0EF46D24"/>
    <w:rsid w:val="0EF5028B"/>
    <w:rsid w:val="0EF636AA"/>
    <w:rsid w:val="0EF709DC"/>
    <w:rsid w:val="0EF8210B"/>
    <w:rsid w:val="0EF821F4"/>
    <w:rsid w:val="0EF82870"/>
    <w:rsid w:val="0EF91D55"/>
    <w:rsid w:val="0EFA034B"/>
    <w:rsid w:val="0EFA5FC6"/>
    <w:rsid w:val="0EFB264F"/>
    <w:rsid w:val="0EFD74A5"/>
    <w:rsid w:val="0EFE0905"/>
    <w:rsid w:val="0EFE122D"/>
    <w:rsid w:val="0EFE1803"/>
    <w:rsid w:val="0F001526"/>
    <w:rsid w:val="0F021841"/>
    <w:rsid w:val="0F022F45"/>
    <w:rsid w:val="0F037123"/>
    <w:rsid w:val="0F037E8F"/>
    <w:rsid w:val="0F047989"/>
    <w:rsid w:val="0F050C31"/>
    <w:rsid w:val="0F052125"/>
    <w:rsid w:val="0F077C23"/>
    <w:rsid w:val="0F0A0B79"/>
    <w:rsid w:val="0F0A69D2"/>
    <w:rsid w:val="0F0B036F"/>
    <w:rsid w:val="0F0B2E8D"/>
    <w:rsid w:val="0F0F60C0"/>
    <w:rsid w:val="0F1052C1"/>
    <w:rsid w:val="0F12525C"/>
    <w:rsid w:val="0F125ACC"/>
    <w:rsid w:val="0F130823"/>
    <w:rsid w:val="0F13374C"/>
    <w:rsid w:val="0F1358C1"/>
    <w:rsid w:val="0F1461BB"/>
    <w:rsid w:val="0F163607"/>
    <w:rsid w:val="0F1967D2"/>
    <w:rsid w:val="0F1A0EDB"/>
    <w:rsid w:val="0F1A2700"/>
    <w:rsid w:val="0F1A2748"/>
    <w:rsid w:val="0F1A7A1C"/>
    <w:rsid w:val="0F1B0FEB"/>
    <w:rsid w:val="0F1B6F63"/>
    <w:rsid w:val="0F1C3CD1"/>
    <w:rsid w:val="0F1C7874"/>
    <w:rsid w:val="0F1E37CA"/>
    <w:rsid w:val="0F1E4403"/>
    <w:rsid w:val="0F1F4B74"/>
    <w:rsid w:val="0F1F6D75"/>
    <w:rsid w:val="0F2019F6"/>
    <w:rsid w:val="0F202674"/>
    <w:rsid w:val="0F203F97"/>
    <w:rsid w:val="0F206F79"/>
    <w:rsid w:val="0F211624"/>
    <w:rsid w:val="0F214B27"/>
    <w:rsid w:val="0F215EC4"/>
    <w:rsid w:val="0F2203AC"/>
    <w:rsid w:val="0F223D6C"/>
    <w:rsid w:val="0F2303D8"/>
    <w:rsid w:val="0F234013"/>
    <w:rsid w:val="0F25720B"/>
    <w:rsid w:val="0F2573E2"/>
    <w:rsid w:val="0F260358"/>
    <w:rsid w:val="0F2C4B3E"/>
    <w:rsid w:val="0F2F6D63"/>
    <w:rsid w:val="0F322484"/>
    <w:rsid w:val="0F3348E8"/>
    <w:rsid w:val="0F336DD6"/>
    <w:rsid w:val="0F3628AB"/>
    <w:rsid w:val="0F365279"/>
    <w:rsid w:val="0F39428C"/>
    <w:rsid w:val="0F3A2D47"/>
    <w:rsid w:val="0F3B13D7"/>
    <w:rsid w:val="0F3D6DE4"/>
    <w:rsid w:val="0F3F2E1E"/>
    <w:rsid w:val="0F41226A"/>
    <w:rsid w:val="0F41752B"/>
    <w:rsid w:val="0F417F2E"/>
    <w:rsid w:val="0F421107"/>
    <w:rsid w:val="0F435471"/>
    <w:rsid w:val="0F4429A3"/>
    <w:rsid w:val="0F464BAB"/>
    <w:rsid w:val="0F4707CC"/>
    <w:rsid w:val="0F473B30"/>
    <w:rsid w:val="0F496114"/>
    <w:rsid w:val="0F4A3697"/>
    <w:rsid w:val="0F4A3841"/>
    <w:rsid w:val="0F4A75D3"/>
    <w:rsid w:val="0F4B2CF6"/>
    <w:rsid w:val="0F4C0405"/>
    <w:rsid w:val="0F4C64E1"/>
    <w:rsid w:val="0F4D303D"/>
    <w:rsid w:val="0F4D6A13"/>
    <w:rsid w:val="0F4F3F88"/>
    <w:rsid w:val="0F4F566A"/>
    <w:rsid w:val="0F5078D7"/>
    <w:rsid w:val="0F514156"/>
    <w:rsid w:val="0F5214A8"/>
    <w:rsid w:val="0F544E76"/>
    <w:rsid w:val="0F5510DD"/>
    <w:rsid w:val="0F5656CA"/>
    <w:rsid w:val="0F574ECF"/>
    <w:rsid w:val="0F575C32"/>
    <w:rsid w:val="0F586900"/>
    <w:rsid w:val="0F5A7A67"/>
    <w:rsid w:val="0F5B3892"/>
    <w:rsid w:val="0F5D30AB"/>
    <w:rsid w:val="0F5F1934"/>
    <w:rsid w:val="0F6024F2"/>
    <w:rsid w:val="0F603E2E"/>
    <w:rsid w:val="0F61292C"/>
    <w:rsid w:val="0F613445"/>
    <w:rsid w:val="0F617BF2"/>
    <w:rsid w:val="0F63622D"/>
    <w:rsid w:val="0F6372C5"/>
    <w:rsid w:val="0F6438F0"/>
    <w:rsid w:val="0F674DBB"/>
    <w:rsid w:val="0F681669"/>
    <w:rsid w:val="0F68416F"/>
    <w:rsid w:val="0F6A1614"/>
    <w:rsid w:val="0F6A53AA"/>
    <w:rsid w:val="0F6C3F1C"/>
    <w:rsid w:val="0F6C4FA2"/>
    <w:rsid w:val="0F6C72A1"/>
    <w:rsid w:val="0F6D1228"/>
    <w:rsid w:val="0F6D424B"/>
    <w:rsid w:val="0F6D50E5"/>
    <w:rsid w:val="0F6E1D94"/>
    <w:rsid w:val="0F6E3D29"/>
    <w:rsid w:val="0F7064A6"/>
    <w:rsid w:val="0F713FDB"/>
    <w:rsid w:val="0F735BF1"/>
    <w:rsid w:val="0F743188"/>
    <w:rsid w:val="0F757250"/>
    <w:rsid w:val="0F757FD5"/>
    <w:rsid w:val="0F762DCC"/>
    <w:rsid w:val="0F7B11A2"/>
    <w:rsid w:val="0F7B1E93"/>
    <w:rsid w:val="0F7B6D4D"/>
    <w:rsid w:val="0F7B7E34"/>
    <w:rsid w:val="0F7D461F"/>
    <w:rsid w:val="0F7D5406"/>
    <w:rsid w:val="0F7F09C2"/>
    <w:rsid w:val="0F7F238E"/>
    <w:rsid w:val="0F8029DE"/>
    <w:rsid w:val="0F802EFD"/>
    <w:rsid w:val="0F802FC9"/>
    <w:rsid w:val="0F805FAD"/>
    <w:rsid w:val="0F81247E"/>
    <w:rsid w:val="0F8157FD"/>
    <w:rsid w:val="0F8378DD"/>
    <w:rsid w:val="0F8412BD"/>
    <w:rsid w:val="0F85154C"/>
    <w:rsid w:val="0F861F11"/>
    <w:rsid w:val="0F864EE1"/>
    <w:rsid w:val="0F86665B"/>
    <w:rsid w:val="0F8716F6"/>
    <w:rsid w:val="0F8767A4"/>
    <w:rsid w:val="0F896579"/>
    <w:rsid w:val="0F8B3A45"/>
    <w:rsid w:val="0F8C0E51"/>
    <w:rsid w:val="0F8C786C"/>
    <w:rsid w:val="0F8D17CB"/>
    <w:rsid w:val="0F8D71FF"/>
    <w:rsid w:val="0F8E1B1C"/>
    <w:rsid w:val="0F8E6B89"/>
    <w:rsid w:val="0F921FA1"/>
    <w:rsid w:val="0F9229FF"/>
    <w:rsid w:val="0F9254AD"/>
    <w:rsid w:val="0F942364"/>
    <w:rsid w:val="0F96613D"/>
    <w:rsid w:val="0F96679E"/>
    <w:rsid w:val="0F9A13CF"/>
    <w:rsid w:val="0F9A3600"/>
    <w:rsid w:val="0F9B110F"/>
    <w:rsid w:val="0F9B2BEB"/>
    <w:rsid w:val="0F9B76F7"/>
    <w:rsid w:val="0F9E1126"/>
    <w:rsid w:val="0F9E4C0C"/>
    <w:rsid w:val="0F9E5E6D"/>
    <w:rsid w:val="0FA01467"/>
    <w:rsid w:val="0FA026A0"/>
    <w:rsid w:val="0FA12EDC"/>
    <w:rsid w:val="0FA26CEA"/>
    <w:rsid w:val="0FA36D62"/>
    <w:rsid w:val="0FA41EA3"/>
    <w:rsid w:val="0FA47B58"/>
    <w:rsid w:val="0FA51607"/>
    <w:rsid w:val="0FA71495"/>
    <w:rsid w:val="0FA7341A"/>
    <w:rsid w:val="0FA8181C"/>
    <w:rsid w:val="0FA8440B"/>
    <w:rsid w:val="0FA8590B"/>
    <w:rsid w:val="0FA85C8E"/>
    <w:rsid w:val="0FA9727B"/>
    <w:rsid w:val="0FAA5EAA"/>
    <w:rsid w:val="0FAC3112"/>
    <w:rsid w:val="0FAE3A4D"/>
    <w:rsid w:val="0FAE6A9E"/>
    <w:rsid w:val="0FAF09C5"/>
    <w:rsid w:val="0FAF4FAA"/>
    <w:rsid w:val="0FB00585"/>
    <w:rsid w:val="0FB1408E"/>
    <w:rsid w:val="0FB15953"/>
    <w:rsid w:val="0FB173B3"/>
    <w:rsid w:val="0FB213B8"/>
    <w:rsid w:val="0FB3194F"/>
    <w:rsid w:val="0FB441EC"/>
    <w:rsid w:val="0FB462B9"/>
    <w:rsid w:val="0FB61B4D"/>
    <w:rsid w:val="0FB64787"/>
    <w:rsid w:val="0FB647D9"/>
    <w:rsid w:val="0FB75219"/>
    <w:rsid w:val="0FB80F30"/>
    <w:rsid w:val="0FB811A2"/>
    <w:rsid w:val="0FB840EA"/>
    <w:rsid w:val="0FB912DC"/>
    <w:rsid w:val="0FBA2127"/>
    <w:rsid w:val="0FBB5DC3"/>
    <w:rsid w:val="0FBC059A"/>
    <w:rsid w:val="0FBD7A00"/>
    <w:rsid w:val="0FBE067C"/>
    <w:rsid w:val="0FBF34D7"/>
    <w:rsid w:val="0FC138A1"/>
    <w:rsid w:val="0FC23EB4"/>
    <w:rsid w:val="0FC340BB"/>
    <w:rsid w:val="0FC36E54"/>
    <w:rsid w:val="0FC6289B"/>
    <w:rsid w:val="0FC636AA"/>
    <w:rsid w:val="0FC71DE9"/>
    <w:rsid w:val="0FC7316A"/>
    <w:rsid w:val="0FC77DB6"/>
    <w:rsid w:val="0FC861BF"/>
    <w:rsid w:val="0FC868B8"/>
    <w:rsid w:val="0FCA6FAB"/>
    <w:rsid w:val="0FCA757E"/>
    <w:rsid w:val="0FCB2423"/>
    <w:rsid w:val="0FCC0E13"/>
    <w:rsid w:val="0FCC30CD"/>
    <w:rsid w:val="0FCD4397"/>
    <w:rsid w:val="0FCE448F"/>
    <w:rsid w:val="0FD02D9E"/>
    <w:rsid w:val="0FD03E33"/>
    <w:rsid w:val="0FD07480"/>
    <w:rsid w:val="0FD20978"/>
    <w:rsid w:val="0FD21AD0"/>
    <w:rsid w:val="0FD25EF5"/>
    <w:rsid w:val="0FD6479B"/>
    <w:rsid w:val="0FD66188"/>
    <w:rsid w:val="0FD77D17"/>
    <w:rsid w:val="0FD85A54"/>
    <w:rsid w:val="0FD92A6C"/>
    <w:rsid w:val="0FD93FF1"/>
    <w:rsid w:val="0FD954C0"/>
    <w:rsid w:val="0FDA1508"/>
    <w:rsid w:val="0FDA5381"/>
    <w:rsid w:val="0FDC0CA5"/>
    <w:rsid w:val="0FDE2DD3"/>
    <w:rsid w:val="0FDE568F"/>
    <w:rsid w:val="0FE23367"/>
    <w:rsid w:val="0FE235DE"/>
    <w:rsid w:val="0FE26B48"/>
    <w:rsid w:val="0FE27285"/>
    <w:rsid w:val="0FE277E4"/>
    <w:rsid w:val="0FE37993"/>
    <w:rsid w:val="0FE46604"/>
    <w:rsid w:val="0FE473E1"/>
    <w:rsid w:val="0FE5335A"/>
    <w:rsid w:val="0FE536EE"/>
    <w:rsid w:val="0FE54C17"/>
    <w:rsid w:val="0FE56013"/>
    <w:rsid w:val="0FE57D56"/>
    <w:rsid w:val="0FE64034"/>
    <w:rsid w:val="0FE76D4F"/>
    <w:rsid w:val="0FEC2C02"/>
    <w:rsid w:val="0FEC44B1"/>
    <w:rsid w:val="0FED2AF6"/>
    <w:rsid w:val="0FEE63B2"/>
    <w:rsid w:val="0FF00459"/>
    <w:rsid w:val="0FF02462"/>
    <w:rsid w:val="0FF1474C"/>
    <w:rsid w:val="0FF16014"/>
    <w:rsid w:val="0FF30C17"/>
    <w:rsid w:val="0FF35F16"/>
    <w:rsid w:val="0FF376FD"/>
    <w:rsid w:val="0FF43275"/>
    <w:rsid w:val="0FF50571"/>
    <w:rsid w:val="0FF51CB6"/>
    <w:rsid w:val="0FF75CFF"/>
    <w:rsid w:val="0FF85357"/>
    <w:rsid w:val="0FFA1C47"/>
    <w:rsid w:val="0FFA5281"/>
    <w:rsid w:val="0FFA5CEB"/>
    <w:rsid w:val="0FFA6363"/>
    <w:rsid w:val="0FFA6654"/>
    <w:rsid w:val="0FFB7896"/>
    <w:rsid w:val="0FFD1F8C"/>
    <w:rsid w:val="0FFD7792"/>
    <w:rsid w:val="0FFE0493"/>
    <w:rsid w:val="0FFF4C4C"/>
    <w:rsid w:val="0FFF62B9"/>
    <w:rsid w:val="100019B0"/>
    <w:rsid w:val="10007D1F"/>
    <w:rsid w:val="100331B3"/>
    <w:rsid w:val="1003422B"/>
    <w:rsid w:val="1003567D"/>
    <w:rsid w:val="100617A4"/>
    <w:rsid w:val="10072017"/>
    <w:rsid w:val="100736EA"/>
    <w:rsid w:val="10091149"/>
    <w:rsid w:val="10094DE7"/>
    <w:rsid w:val="10096F1C"/>
    <w:rsid w:val="10097F83"/>
    <w:rsid w:val="100A0CEE"/>
    <w:rsid w:val="100A5FBC"/>
    <w:rsid w:val="100B2DA8"/>
    <w:rsid w:val="100B2FC1"/>
    <w:rsid w:val="100E37AC"/>
    <w:rsid w:val="100E5452"/>
    <w:rsid w:val="10121A4D"/>
    <w:rsid w:val="10125941"/>
    <w:rsid w:val="1014733D"/>
    <w:rsid w:val="10155CF0"/>
    <w:rsid w:val="101730D0"/>
    <w:rsid w:val="10181514"/>
    <w:rsid w:val="101868F3"/>
    <w:rsid w:val="101875B9"/>
    <w:rsid w:val="101A15C5"/>
    <w:rsid w:val="101C0857"/>
    <w:rsid w:val="101D7B0A"/>
    <w:rsid w:val="101F6B23"/>
    <w:rsid w:val="10200A1E"/>
    <w:rsid w:val="102030B9"/>
    <w:rsid w:val="10216A30"/>
    <w:rsid w:val="10232442"/>
    <w:rsid w:val="10233A13"/>
    <w:rsid w:val="10237874"/>
    <w:rsid w:val="10246311"/>
    <w:rsid w:val="102577E5"/>
    <w:rsid w:val="102627C4"/>
    <w:rsid w:val="102715D5"/>
    <w:rsid w:val="1027248F"/>
    <w:rsid w:val="10275A33"/>
    <w:rsid w:val="102B15EA"/>
    <w:rsid w:val="102B41B1"/>
    <w:rsid w:val="102B425C"/>
    <w:rsid w:val="102D0AAD"/>
    <w:rsid w:val="102E1FEE"/>
    <w:rsid w:val="102F7DC7"/>
    <w:rsid w:val="103019D2"/>
    <w:rsid w:val="103042D1"/>
    <w:rsid w:val="10312513"/>
    <w:rsid w:val="103146DE"/>
    <w:rsid w:val="1032246C"/>
    <w:rsid w:val="103467FC"/>
    <w:rsid w:val="10350696"/>
    <w:rsid w:val="10354C54"/>
    <w:rsid w:val="103956BB"/>
    <w:rsid w:val="103A0AEC"/>
    <w:rsid w:val="103C13D2"/>
    <w:rsid w:val="103C7D6F"/>
    <w:rsid w:val="103D131A"/>
    <w:rsid w:val="103D46CF"/>
    <w:rsid w:val="103E4D12"/>
    <w:rsid w:val="103F6993"/>
    <w:rsid w:val="104159F5"/>
    <w:rsid w:val="10421A42"/>
    <w:rsid w:val="10424B0C"/>
    <w:rsid w:val="10426545"/>
    <w:rsid w:val="104324A8"/>
    <w:rsid w:val="10477415"/>
    <w:rsid w:val="10484CFA"/>
    <w:rsid w:val="10496500"/>
    <w:rsid w:val="104A3EC6"/>
    <w:rsid w:val="104B52BA"/>
    <w:rsid w:val="104E2301"/>
    <w:rsid w:val="104F02DD"/>
    <w:rsid w:val="10511098"/>
    <w:rsid w:val="1051730F"/>
    <w:rsid w:val="10531167"/>
    <w:rsid w:val="1054283C"/>
    <w:rsid w:val="105454D2"/>
    <w:rsid w:val="10547FF4"/>
    <w:rsid w:val="10575573"/>
    <w:rsid w:val="105805A9"/>
    <w:rsid w:val="105A2122"/>
    <w:rsid w:val="105A38DB"/>
    <w:rsid w:val="105B1535"/>
    <w:rsid w:val="105B17AD"/>
    <w:rsid w:val="105B6296"/>
    <w:rsid w:val="105E6DE1"/>
    <w:rsid w:val="105F0A6A"/>
    <w:rsid w:val="105F3603"/>
    <w:rsid w:val="10617E68"/>
    <w:rsid w:val="1062701B"/>
    <w:rsid w:val="10650172"/>
    <w:rsid w:val="10661CC0"/>
    <w:rsid w:val="10662EB4"/>
    <w:rsid w:val="10671108"/>
    <w:rsid w:val="106727E0"/>
    <w:rsid w:val="106778D6"/>
    <w:rsid w:val="10686E7D"/>
    <w:rsid w:val="1068747C"/>
    <w:rsid w:val="10691381"/>
    <w:rsid w:val="10694E5F"/>
    <w:rsid w:val="10695163"/>
    <w:rsid w:val="106B44F2"/>
    <w:rsid w:val="106D07C1"/>
    <w:rsid w:val="106E17E8"/>
    <w:rsid w:val="1070785C"/>
    <w:rsid w:val="10714096"/>
    <w:rsid w:val="107141F2"/>
    <w:rsid w:val="10730C65"/>
    <w:rsid w:val="10734321"/>
    <w:rsid w:val="107409C0"/>
    <w:rsid w:val="10741559"/>
    <w:rsid w:val="1075073F"/>
    <w:rsid w:val="10750EFD"/>
    <w:rsid w:val="10773CD0"/>
    <w:rsid w:val="10775C43"/>
    <w:rsid w:val="107853A9"/>
    <w:rsid w:val="10792DF6"/>
    <w:rsid w:val="10795860"/>
    <w:rsid w:val="107A19FE"/>
    <w:rsid w:val="107B6A44"/>
    <w:rsid w:val="107C0F18"/>
    <w:rsid w:val="107C269D"/>
    <w:rsid w:val="107C44D2"/>
    <w:rsid w:val="107D5461"/>
    <w:rsid w:val="107D688D"/>
    <w:rsid w:val="107E5BC3"/>
    <w:rsid w:val="1080355A"/>
    <w:rsid w:val="10810FCC"/>
    <w:rsid w:val="10816523"/>
    <w:rsid w:val="10825E2A"/>
    <w:rsid w:val="108331CF"/>
    <w:rsid w:val="108418BE"/>
    <w:rsid w:val="10864000"/>
    <w:rsid w:val="10871F2F"/>
    <w:rsid w:val="10891437"/>
    <w:rsid w:val="1089707F"/>
    <w:rsid w:val="108A07E6"/>
    <w:rsid w:val="108A1EEB"/>
    <w:rsid w:val="108A5AD7"/>
    <w:rsid w:val="108C178D"/>
    <w:rsid w:val="108D683E"/>
    <w:rsid w:val="108D78E9"/>
    <w:rsid w:val="108E486E"/>
    <w:rsid w:val="108E651C"/>
    <w:rsid w:val="108E7CD2"/>
    <w:rsid w:val="108F6035"/>
    <w:rsid w:val="108F69EC"/>
    <w:rsid w:val="108F70A8"/>
    <w:rsid w:val="109030A8"/>
    <w:rsid w:val="10903B96"/>
    <w:rsid w:val="109105D2"/>
    <w:rsid w:val="109122C7"/>
    <w:rsid w:val="109127D2"/>
    <w:rsid w:val="1091286A"/>
    <w:rsid w:val="10915E40"/>
    <w:rsid w:val="10921786"/>
    <w:rsid w:val="1093516E"/>
    <w:rsid w:val="10945C87"/>
    <w:rsid w:val="109575AC"/>
    <w:rsid w:val="10966B1C"/>
    <w:rsid w:val="109800D7"/>
    <w:rsid w:val="10991EA0"/>
    <w:rsid w:val="10996C5E"/>
    <w:rsid w:val="109A2384"/>
    <w:rsid w:val="109A6CF4"/>
    <w:rsid w:val="109B6AAF"/>
    <w:rsid w:val="109D131F"/>
    <w:rsid w:val="109F0BAD"/>
    <w:rsid w:val="10A12A88"/>
    <w:rsid w:val="10A46C86"/>
    <w:rsid w:val="10A66DCC"/>
    <w:rsid w:val="10A71B3C"/>
    <w:rsid w:val="10A81457"/>
    <w:rsid w:val="10A96179"/>
    <w:rsid w:val="10AA3894"/>
    <w:rsid w:val="10AB3BEC"/>
    <w:rsid w:val="10AB48D1"/>
    <w:rsid w:val="10AC00D8"/>
    <w:rsid w:val="10AC3B3C"/>
    <w:rsid w:val="10AC4CA8"/>
    <w:rsid w:val="10AD61A4"/>
    <w:rsid w:val="10B0419B"/>
    <w:rsid w:val="10B10A0D"/>
    <w:rsid w:val="10B116E8"/>
    <w:rsid w:val="10B16430"/>
    <w:rsid w:val="10B254D5"/>
    <w:rsid w:val="10B56FCB"/>
    <w:rsid w:val="10B57D5B"/>
    <w:rsid w:val="10B827F1"/>
    <w:rsid w:val="10B83263"/>
    <w:rsid w:val="10B87C2A"/>
    <w:rsid w:val="10B96A73"/>
    <w:rsid w:val="10B9750A"/>
    <w:rsid w:val="10BA23EA"/>
    <w:rsid w:val="10BB2E79"/>
    <w:rsid w:val="10BD5C5E"/>
    <w:rsid w:val="10BE5E46"/>
    <w:rsid w:val="10BF4320"/>
    <w:rsid w:val="10C04C2C"/>
    <w:rsid w:val="10C05BE0"/>
    <w:rsid w:val="10C13168"/>
    <w:rsid w:val="10C2514A"/>
    <w:rsid w:val="10C307EA"/>
    <w:rsid w:val="10C328D2"/>
    <w:rsid w:val="10C454C1"/>
    <w:rsid w:val="10C522CE"/>
    <w:rsid w:val="10C56882"/>
    <w:rsid w:val="10C65AEF"/>
    <w:rsid w:val="10C74F83"/>
    <w:rsid w:val="10C86E7B"/>
    <w:rsid w:val="10CC08F7"/>
    <w:rsid w:val="10CD1E87"/>
    <w:rsid w:val="10CD3422"/>
    <w:rsid w:val="10CE2BCD"/>
    <w:rsid w:val="10CE5C45"/>
    <w:rsid w:val="10CE764E"/>
    <w:rsid w:val="10CF43AD"/>
    <w:rsid w:val="10D0497D"/>
    <w:rsid w:val="10D10E21"/>
    <w:rsid w:val="10D20A64"/>
    <w:rsid w:val="10D25ED8"/>
    <w:rsid w:val="10D3282F"/>
    <w:rsid w:val="10D415C5"/>
    <w:rsid w:val="10D423C6"/>
    <w:rsid w:val="10D45504"/>
    <w:rsid w:val="10D65EB9"/>
    <w:rsid w:val="10D66181"/>
    <w:rsid w:val="10D72952"/>
    <w:rsid w:val="10D80980"/>
    <w:rsid w:val="10DA17CC"/>
    <w:rsid w:val="10DE7684"/>
    <w:rsid w:val="10E02537"/>
    <w:rsid w:val="10E269F1"/>
    <w:rsid w:val="10E26A67"/>
    <w:rsid w:val="10E331CB"/>
    <w:rsid w:val="10E408DB"/>
    <w:rsid w:val="10E45CFF"/>
    <w:rsid w:val="10E5415E"/>
    <w:rsid w:val="10E742F0"/>
    <w:rsid w:val="10E744D7"/>
    <w:rsid w:val="10E840BE"/>
    <w:rsid w:val="10E92902"/>
    <w:rsid w:val="10EA3C90"/>
    <w:rsid w:val="10EC3F42"/>
    <w:rsid w:val="10ED5698"/>
    <w:rsid w:val="10EE3BBD"/>
    <w:rsid w:val="10EE576C"/>
    <w:rsid w:val="10EE601E"/>
    <w:rsid w:val="10EF252A"/>
    <w:rsid w:val="10F10211"/>
    <w:rsid w:val="10F17C8A"/>
    <w:rsid w:val="10F222A3"/>
    <w:rsid w:val="10F23288"/>
    <w:rsid w:val="10F26C68"/>
    <w:rsid w:val="10F33F2E"/>
    <w:rsid w:val="10F40A5C"/>
    <w:rsid w:val="10F45413"/>
    <w:rsid w:val="10F47267"/>
    <w:rsid w:val="10F776DC"/>
    <w:rsid w:val="10FC027B"/>
    <w:rsid w:val="10FD4576"/>
    <w:rsid w:val="10FE5467"/>
    <w:rsid w:val="10FE588B"/>
    <w:rsid w:val="10FF1EAB"/>
    <w:rsid w:val="10FF72FA"/>
    <w:rsid w:val="11007C66"/>
    <w:rsid w:val="11013697"/>
    <w:rsid w:val="11016A3F"/>
    <w:rsid w:val="1102766E"/>
    <w:rsid w:val="11027D58"/>
    <w:rsid w:val="11050ACA"/>
    <w:rsid w:val="11055951"/>
    <w:rsid w:val="110613C4"/>
    <w:rsid w:val="110646BF"/>
    <w:rsid w:val="11073202"/>
    <w:rsid w:val="11074218"/>
    <w:rsid w:val="11077B56"/>
    <w:rsid w:val="110A2DA6"/>
    <w:rsid w:val="110A3225"/>
    <w:rsid w:val="110B0A0C"/>
    <w:rsid w:val="110B231D"/>
    <w:rsid w:val="110B7BB7"/>
    <w:rsid w:val="110E461C"/>
    <w:rsid w:val="110F45AF"/>
    <w:rsid w:val="11104212"/>
    <w:rsid w:val="11107071"/>
    <w:rsid w:val="111217FB"/>
    <w:rsid w:val="11190CC5"/>
    <w:rsid w:val="111B2CEF"/>
    <w:rsid w:val="111B78BF"/>
    <w:rsid w:val="111C4301"/>
    <w:rsid w:val="111D2004"/>
    <w:rsid w:val="111D58DF"/>
    <w:rsid w:val="111E6D58"/>
    <w:rsid w:val="111F3F0E"/>
    <w:rsid w:val="11212E58"/>
    <w:rsid w:val="11213922"/>
    <w:rsid w:val="11222234"/>
    <w:rsid w:val="112256EC"/>
    <w:rsid w:val="11233B76"/>
    <w:rsid w:val="11235A10"/>
    <w:rsid w:val="1123705F"/>
    <w:rsid w:val="11263E6C"/>
    <w:rsid w:val="112738E8"/>
    <w:rsid w:val="11277602"/>
    <w:rsid w:val="112958BF"/>
    <w:rsid w:val="11296765"/>
    <w:rsid w:val="112B51A3"/>
    <w:rsid w:val="112C2A79"/>
    <w:rsid w:val="112C7205"/>
    <w:rsid w:val="112D03D4"/>
    <w:rsid w:val="112D571C"/>
    <w:rsid w:val="112D75F2"/>
    <w:rsid w:val="112E2375"/>
    <w:rsid w:val="112E427F"/>
    <w:rsid w:val="11300A96"/>
    <w:rsid w:val="11304997"/>
    <w:rsid w:val="113051F2"/>
    <w:rsid w:val="113064F7"/>
    <w:rsid w:val="11306F9B"/>
    <w:rsid w:val="113136DC"/>
    <w:rsid w:val="11324657"/>
    <w:rsid w:val="113276E9"/>
    <w:rsid w:val="11336CB0"/>
    <w:rsid w:val="11344394"/>
    <w:rsid w:val="11351F40"/>
    <w:rsid w:val="11354FBB"/>
    <w:rsid w:val="11355FE5"/>
    <w:rsid w:val="11356B2A"/>
    <w:rsid w:val="113573BE"/>
    <w:rsid w:val="11364E1C"/>
    <w:rsid w:val="11365128"/>
    <w:rsid w:val="1137592C"/>
    <w:rsid w:val="11376E00"/>
    <w:rsid w:val="1137799E"/>
    <w:rsid w:val="11390331"/>
    <w:rsid w:val="113908FB"/>
    <w:rsid w:val="11391FF1"/>
    <w:rsid w:val="113A2EC5"/>
    <w:rsid w:val="113A3172"/>
    <w:rsid w:val="113B44EC"/>
    <w:rsid w:val="113B5DF3"/>
    <w:rsid w:val="113E656A"/>
    <w:rsid w:val="113E7720"/>
    <w:rsid w:val="11411A8A"/>
    <w:rsid w:val="11417503"/>
    <w:rsid w:val="11422BE4"/>
    <w:rsid w:val="11424AE7"/>
    <w:rsid w:val="11427F33"/>
    <w:rsid w:val="11432F93"/>
    <w:rsid w:val="1144732A"/>
    <w:rsid w:val="11451350"/>
    <w:rsid w:val="114715C8"/>
    <w:rsid w:val="11472C49"/>
    <w:rsid w:val="114774C6"/>
    <w:rsid w:val="11480BAD"/>
    <w:rsid w:val="1149072E"/>
    <w:rsid w:val="11493043"/>
    <w:rsid w:val="114A2981"/>
    <w:rsid w:val="114C7330"/>
    <w:rsid w:val="114E2471"/>
    <w:rsid w:val="114F1492"/>
    <w:rsid w:val="114F7A0E"/>
    <w:rsid w:val="11504B99"/>
    <w:rsid w:val="11533CD3"/>
    <w:rsid w:val="115346B5"/>
    <w:rsid w:val="11546891"/>
    <w:rsid w:val="11550C69"/>
    <w:rsid w:val="11551A52"/>
    <w:rsid w:val="11555685"/>
    <w:rsid w:val="11561326"/>
    <w:rsid w:val="115660FB"/>
    <w:rsid w:val="11576C4A"/>
    <w:rsid w:val="115A1F7B"/>
    <w:rsid w:val="115A279C"/>
    <w:rsid w:val="115A4593"/>
    <w:rsid w:val="115A5C38"/>
    <w:rsid w:val="115B06EA"/>
    <w:rsid w:val="115B256F"/>
    <w:rsid w:val="115C2D95"/>
    <w:rsid w:val="115D19FC"/>
    <w:rsid w:val="115E5C90"/>
    <w:rsid w:val="115F2AED"/>
    <w:rsid w:val="115F6C93"/>
    <w:rsid w:val="1160026A"/>
    <w:rsid w:val="11614787"/>
    <w:rsid w:val="11616876"/>
    <w:rsid w:val="11622A49"/>
    <w:rsid w:val="1164043F"/>
    <w:rsid w:val="11666033"/>
    <w:rsid w:val="116662DE"/>
    <w:rsid w:val="116B0BDD"/>
    <w:rsid w:val="116D4E4C"/>
    <w:rsid w:val="116D7CBA"/>
    <w:rsid w:val="116E064E"/>
    <w:rsid w:val="116F2A08"/>
    <w:rsid w:val="1170626C"/>
    <w:rsid w:val="1170749A"/>
    <w:rsid w:val="1172181A"/>
    <w:rsid w:val="117255FB"/>
    <w:rsid w:val="117441E6"/>
    <w:rsid w:val="11765524"/>
    <w:rsid w:val="117725F3"/>
    <w:rsid w:val="11792B99"/>
    <w:rsid w:val="117A69B7"/>
    <w:rsid w:val="117B1DA8"/>
    <w:rsid w:val="117B4BC5"/>
    <w:rsid w:val="117C584A"/>
    <w:rsid w:val="117F662B"/>
    <w:rsid w:val="11800F3C"/>
    <w:rsid w:val="11810F3C"/>
    <w:rsid w:val="11811BCE"/>
    <w:rsid w:val="118241F5"/>
    <w:rsid w:val="118275AA"/>
    <w:rsid w:val="11827862"/>
    <w:rsid w:val="11851084"/>
    <w:rsid w:val="11887651"/>
    <w:rsid w:val="118910B8"/>
    <w:rsid w:val="11892DA6"/>
    <w:rsid w:val="118957CE"/>
    <w:rsid w:val="118A09CC"/>
    <w:rsid w:val="118B01D2"/>
    <w:rsid w:val="118B6855"/>
    <w:rsid w:val="118B754A"/>
    <w:rsid w:val="118C12C4"/>
    <w:rsid w:val="118D3BC4"/>
    <w:rsid w:val="118D7CED"/>
    <w:rsid w:val="118E6B32"/>
    <w:rsid w:val="118E7152"/>
    <w:rsid w:val="118F4CA5"/>
    <w:rsid w:val="11900F18"/>
    <w:rsid w:val="1190749B"/>
    <w:rsid w:val="11923BDD"/>
    <w:rsid w:val="11924D72"/>
    <w:rsid w:val="11936E18"/>
    <w:rsid w:val="119375B7"/>
    <w:rsid w:val="11937D13"/>
    <w:rsid w:val="11944F1C"/>
    <w:rsid w:val="11946A7A"/>
    <w:rsid w:val="11947594"/>
    <w:rsid w:val="11951E4E"/>
    <w:rsid w:val="119520A2"/>
    <w:rsid w:val="1195639A"/>
    <w:rsid w:val="11985851"/>
    <w:rsid w:val="119906B7"/>
    <w:rsid w:val="119A0C1A"/>
    <w:rsid w:val="119A742F"/>
    <w:rsid w:val="119C6FA0"/>
    <w:rsid w:val="119D1431"/>
    <w:rsid w:val="11A17A3A"/>
    <w:rsid w:val="11A20701"/>
    <w:rsid w:val="11A34627"/>
    <w:rsid w:val="11A361C2"/>
    <w:rsid w:val="11A43ACA"/>
    <w:rsid w:val="11A700FA"/>
    <w:rsid w:val="11A73F11"/>
    <w:rsid w:val="11A86FF8"/>
    <w:rsid w:val="11A93014"/>
    <w:rsid w:val="11AA31AC"/>
    <w:rsid w:val="11AA60CC"/>
    <w:rsid w:val="11AB5617"/>
    <w:rsid w:val="11AC4B3E"/>
    <w:rsid w:val="11AF0375"/>
    <w:rsid w:val="11B16F7E"/>
    <w:rsid w:val="11B27864"/>
    <w:rsid w:val="11B32996"/>
    <w:rsid w:val="11B33744"/>
    <w:rsid w:val="11B34A35"/>
    <w:rsid w:val="11B5465D"/>
    <w:rsid w:val="11B6194B"/>
    <w:rsid w:val="11B64DC2"/>
    <w:rsid w:val="11B6596E"/>
    <w:rsid w:val="11B828C3"/>
    <w:rsid w:val="11BA79F0"/>
    <w:rsid w:val="11BE159B"/>
    <w:rsid w:val="11BE78D3"/>
    <w:rsid w:val="11BF423F"/>
    <w:rsid w:val="11C00C69"/>
    <w:rsid w:val="11C018C1"/>
    <w:rsid w:val="11C0351F"/>
    <w:rsid w:val="11C05084"/>
    <w:rsid w:val="11C13FA3"/>
    <w:rsid w:val="11C61284"/>
    <w:rsid w:val="11C61AF5"/>
    <w:rsid w:val="11C82DE9"/>
    <w:rsid w:val="11C8378A"/>
    <w:rsid w:val="11CA2B6D"/>
    <w:rsid w:val="11CA345C"/>
    <w:rsid w:val="11CB1947"/>
    <w:rsid w:val="11CB3AC2"/>
    <w:rsid w:val="11CB5A71"/>
    <w:rsid w:val="11CD0B9F"/>
    <w:rsid w:val="11CE3CE4"/>
    <w:rsid w:val="11CE3E6D"/>
    <w:rsid w:val="11CE7AFA"/>
    <w:rsid w:val="11D0775E"/>
    <w:rsid w:val="11D32EEA"/>
    <w:rsid w:val="11D3371B"/>
    <w:rsid w:val="11D33F7D"/>
    <w:rsid w:val="11D4645C"/>
    <w:rsid w:val="11D61C48"/>
    <w:rsid w:val="11D62B31"/>
    <w:rsid w:val="11D730ED"/>
    <w:rsid w:val="11D75348"/>
    <w:rsid w:val="11D820FF"/>
    <w:rsid w:val="11DA3DAE"/>
    <w:rsid w:val="11E0205D"/>
    <w:rsid w:val="11E058AD"/>
    <w:rsid w:val="11E105D4"/>
    <w:rsid w:val="11E12FF2"/>
    <w:rsid w:val="11E24C85"/>
    <w:rsid w:val="11E257BA"/>
    <w:rsid w:val="11E332E6"/>
    <w:rsid w:val="11E33ABD"/>
    <w:rsid w:val="11E42971"/>
    <w:rsid w:val="11E70B5E"/>
    <w:rsid w:val="11E72FDE"/>
    <w:rsid w:val="11E75171"/>
    <w:rsid w:val="11E90808"/>
    <w:rsid w:val="11E97953"/>
    <w:rsid w:val="11EB01F1"/>
    <w:rsid w:val="11EB3536"/>
    <w:rsid w:val="11EB525B"/>
    <w:rsid w:val="11EC6449"/>
    <w:rsid w:val="11EC7B25"/>
    <w:rsid w:val="11ED3218"/>
    <w:rsid w:val="11ED6662"/>
    <w:rsid w:val="11EF630B"/>
    <w:rsid w:val="11EF74DA"/>
    <w:rsid w:val="11F0526E"/>
    <w:rsid w:val="11F0764D"/>
    <w:rsid w:val="11F34785"/>
    <w:rsid w:val="11F4470B"/>
    <w:rsid w:val="11F7650B"/>
    <w:rsid w:val="11F858AE"/>
    <w:rsid w:val="11F872A6"/>
    <w:rsid w:val="11F92334"/>
    <w:rsid w:val="11F94325"/>
    <w:rsid w:val="11F97535"/>
    <w:rsid w:val="11FD2B64"/>
    <w:rsid w:val="11FE22F2"/>
    <w:rsid w:val="11FF018F"/>
    <w:rsid w:val="11FF2823"/>
    <w:rsid w:val="11FF2B92"/>
    <w:rsid w:val="11FF45B1"/>
    <w:rsid w:val="11FF5EF3"/>
    <w:rsid w:val="120005B5"/>
    <w:rsid w:val="12004FAD"/>
    <w:rsid w:val="120144BA"/>
    <w:rsid w:val="12026B38"/>
    <w:rsid w:val="120459B4"/>
    <w:rsid w:val="12050BEF"/>
    <w:rsid w:val="1205528D"/>
    <w:rsid w:val="120726D7"/>
    <w:rsid w:val="12076722"/>
    <w:rsid w:val="120917A0"/>
    <w:rsid w:val="12096D3A"/>
    <w:rsid w:val="120B2198"/>
    <w:rsid w:val="120B293B"/>
    <w:rsid w:val="120B3384"/>
    <w:rsid w:val="120B4DD5"/>
    <w:rsid w:val="120B683E"/>
    <w:rsid w:val="120C10D5"/>
    <w:rsid w:val="120C3CB1"/>
    <w:rsid w:val="120C3DB1"/>
    <w:rsid w:val="120D2D04"/>
    <w:rsid w:val="120D35B7"/>
    <w:rsid w:val="120E215A"/>
    <w:rsid w:val="120F0067"/>
    <w:rsid w:val="120F50C4"/>
    <w:rsid w:val="12107C10"/>
    <w:rsid w:val="12110637"/>
    <w:rsid w:val="1211460B"/>
    <w:rsid w:val="1211592F"/>
    <w:rsid w:val="12153A0D"/>
    <w:rsid w:val="12194AA3"/>
    <w:rsid w:val="121B7365"/>
    <w:rsid w:val="121C58BB"/>
    <w:rsid w:val="121D1DC8"/>
    <w:rsid w:val="121D5C4B"/>
    <w:rsid w:val="121E1FF4"/>
    <w:rsid w:val="121E4584"/>
    <w:rsid w:val="121F3E0E"/>
    <w:rsid w:val="121F4048"/>
    <w:rsid w:val="1220098A"/>
    <w:rsid w:val="12206378"/>
    <w:rsid w:val="12207B02"/>
    <w:rsid w:val="122507C1"/>
    <w:rsid w:val="12273B52"/>
    <w:rsid w:val="12274F25"/>
    <w:rsid w:val="1228057A"/>
    <w:rsid w:val="1228076E"/>
    <w:rsid w:val="12293A62"/>
    <w:rsid w:val="122B135E"/>
    <w:rsid w:val="122B2738"/>
    <w:rsid w:val="122B2FE6"/>
    <w:rsid w:val="122B4628"/>
    <w:rsid w:val="122C12D4"/>
    <w:rsid w:val="122D19CB"/>
    <w:rsid w:val="122D2F2D"/>
    <w:rsid w:val="122D6846"/>
    <w:rsid w:val="122E1339"/>
    <w:rsid w:val="122E4E54"/>
    <w:rsid w:val="122E7A98"/>
    <w:rsid w:val="122F2DA4"/>
    <w:rsid w:val="12316CDB"/>
    <w:rsid w:val="12325900"/>
    <w:rsid w:val="123349EF"/>
    <w:rsid w:val="1234080C"/>
    <w:rsid w:val="12350C55"/>
    <w:rsid w:val="12360411"/>
    <w:rsid w:val="12364DF1"/>
    <w:rsid w:val="12374197"/>
    <w:rsid w:val="12385E5A"/>
    <w:rsid w:val="12386582"/>
    <w:rsid w:val="1238724F"/>
    <w:rsid w:val="123B3D86"/>
    <w:rsid w:val="123D5D57"/>
    <w:rsid w:val="123E28DA"/>
    <w:rsid w:val="124010DB"/>
    <w:rsid w:val="12411EC2"/>
    <w:rsid w:val="12412274"/>
    <w:rsid w:val="12415D7E"/>
    <w:rsid w:val="124279AF"/>
    <w:rsid w:val="12431B7D"/>
    <w:rsid w:val="1245047E"/>
    <w:rsid w:val="124605B4"/>
    <w:rsid w:val="12477F79"/>
    <w:rsid w:val="12484082"/>
    <w:rsid w:val="1249587E"/>
    <w:rsid w:val="124A3534"/>
    <w:rsid w:val="124A7E0F"/>
    <w:rsid w:val="124C1430"/>
    <w:rsid w:val="124C35DF"/>
    <w:rsid w:val="124D0E65"/>
    <w:rsid w:val="124D2D78"/>
    <w:rsid w:val="124D6576"/>
    <w:rsid w:val="124E024F"/>
    <w:rsid w:val="124E65C2"/>
    <w:rsid w:val="124F20A2"/>
    <w:rsid w:val="124F5271"/>
    <w:rsid w:val="12502210"/>
    <w:rsid w:val="1250707B"/>
    <w:rsid w:val="12513A04"/>
    <w:rsid w:val="12534558"/>
    <w:rsid w:val="12543CF0"/>
    <w:rsid w:val="1254504D"/>
    <w:rsid w:val="125501E1"/>
    <w:rsid w:val="1257186F"/>
    <w:rsid w:val="12573640"/>
    <w:rsid w:val="12592712"/>
    <w:rsid w:val="12597F39"/>
    <w:rsid w:val="125A1BE7"/>
    <w:rsid w:val="125B46AD"/>
    <w:rsid w:val="125D0EAF"/>
    <w:rsid w:val="125E3DF9"/>
    <w:rsid w:val="125F05EA"/>
    <w:rsid w:val="1260607D"/>
    <w:rsid w:val="12607F83"/>
    <w:rsid w:val="12611F23"/>
    <w:rsid w:val="12617C48"/>
    <w:rsid w:val="126348BF"/>
    <w:rsid w:val="126348D5"/>
    <w:rsid w:val="12667544"/>
    <w:rsid w:val="1268520A"/>
    <w:rsid w:val="126A2199"/>
    <w:rsid w:val="126A4B6A"/>
    <w:rsid w:val="126A6D13"/>
    <w:rsid w:val="126E4EF3"/>
    <w:rsid w:val="126E55D2"/>
    <w:rsid w:val="126F0158"/>
    <w:rsid w:val="126F51B0"/>
    <w:rsid w:val="127021BE"/>
    <w:rsid w:val="127031DA"/>
    <w:rsid w:val="127138C3"/>
    <w:rsid w:val="12715227"/>
    <w:rsid w:val="12721DD0"/>
    <w:rsid w:val="12742A51"/>
    <w:rsid w:val="12755239"/>
    <w:rsid w:val="12755D93"/>
    <w:rsid w:val="1275767E"/>
    <w:rsid w:val="127903F0"/>
    <w:rsid w:val="127A2FFA"/>
    <w:rsid w:val="127A78DC"/>
    <w:rsid w:val="127C30DF"/>
    <w:rsid w:val="127D21C7"/>
    <w:rsid w:val="127D436D"/>
    <w:rsid w:val="127E61E7"/>
    <w:rsid w:val="12803E6C"/>
    <w:rsid w:val="12804B5E"/>
    <w:rsid w:val="12807DAA"/>
    <w:rsid w:val="12821958"/>
    <w:rsid w:val="12832027"/>
    <w:rsid w:val="128367CC"/>
    <w:rsid w:val="1285087C"/>
    <w:rsid w:val="128679E9"/>
    <w:rsid w:val="12876977"/>
    <w:rsid w:val="12881835"/>
    <w:rsid w:val="12883FBC"/>
    <w:rsid w:val="1288486C"/>
    <w:rsid w:val="1288569C"/>
    <w:rsid w:val="128C37D5"/>
    <w:rsid w:val="128D2E43"/>
    <w:rsid w:val="128E15F5"/>
    <w:rsid w:val="128E4D0A"/>
    <w:rsid w:val="128F352E"/>
    <w:rsid w:val="128F5956"/>
    <w:rsid w:val="12903E86"/>
    <w:rsid w:val="12914F6E"/>
    <w:rsid w:val="1294140A"/>
    <w:rsid w:val="12945862"/>
    <w:rsid w:val="12962452"/>
    <w:rsid w:val="12965054"/>
    <w:rsid w:val="12967F52"/>
    <w:rsid w:val="129737D1"/>
    <w:rsid w:val="12976406"/>
    <w:rsid w:val="1298428A"/>
    <w:rsid w:val="12991ABA"/>
    <w:rsid w:val="129B16E6"/>
    <w:rsid w:val="129B6C40"/>
    <w:rsid w:val="129B702A"/>
    <w:rsid w:val="129C2112"/>
    <w:rsid w:val="129C32FB"/>
    <w:rsid w:val="129D06E1"/>
    <w:rsid w:val="129D4306"/>
    <w:rsid w:val="129E101F"/>
    <w:rsid w:val="129E2E1B"/>
    <w:rsid w:val="129E2F84"/>
    <w:rsid w:val="129F4990"/>
    <w:rsid w:val="12A10296"/>
    <w:rsid w:val="12A13EDF"/>
    <w:rsid w:val="12A13F6F"/>
    <w:rsid w:val="12A3769B"/>
    <w:rsid w:val="12A51802"/>
    <w:rsid w:val="12A51AF6"/>
    <w:rsid w:val="12A51B2B"/>
    <w:rsid w:val="12A5214D"/>
    <w:rsid w:val="12A53333"/>
    <w:rsid w:val="12A57ABA"/>
    <w:rsid w:val="12A62439"/>
    <w:rsid w:val="12A62999"/>
    <w:rsid w:val="12A637EA"/>
    <w:rsid w:val="12A81489"/>
    <w:rsid w:val="12A82AF4"/>
    <w:rsid w:val="12A846ED"/>
    <w:rsid w:val="12A860E8"/>
    <w:rsid w:val="12A86257"/>
    <w:rsid w:val="12A8795F"/>
    <w:rsid w:val="12A939D1"/>
    <w:rsid w:val="12AA4E98"/>
    <w:rsid w:val="12AC7064"/>
    <w:rsid w:val="12AD5C80"/>
    <w:rsid w:val="12AF370C"/>
    <w:rsid w:val="12AF642A"/>
    <w:rsid w:val="12B02CB8"/>
    <w:rsid w:val="12B045B7"/>
    <w:rsid w:val="12B110E9"/>
    <w:rsid w:val="12B20B19"/>
    <w:rsid w:val="12B24124"/>
    <w:rsid w:val="12B274F0"/>
    <w:rsid w:val="12B47F3B"/>
    <w:rsid w:val="12B51831"/>
    <w:rsid w:val="12B71E34"/>
    <w:rsid w:val="12B82D40"/>
    <w:rsid w:val="12B8510A"/>
    <w:rsid w:val="12B93BCA"/>
    <w:rsid w:val="12BA437E"/>
    <w:rsid w:val="12BD6364"/>
    <w:rsid w:val="12BE7870"/>
    <w:rsid w:val="12BF5026"/>
    <w:rsid w:val="12C10056"/>
    <w:rsid w:val="12C11CA5"/>
    <w:rsid w:val="12C459D5"/>
    <w:rsid w:val="12C505C9"/>
    <w:rsid w:val="12C66929"/>
    <w:rsid w:val="12C67247"/>
    <w:rsid w:val="12CA067D"/>
    <w:rsid w:val="12CA5ADC"/>
    <w:rsid w:val="12CF4259"/>
    <w:rsid w:val="12CF78EE"/>
    <w:rsid w:val="12D006F9"/>
    <w:rsid w:val="12D20661"/>
    <w:rsid w:val="12D23C2A"/>
    <w:rsid w:val="12D35A9C"/>
    <w:rsid w:val="12D800B0"/>
    <w:rsid w:val="12D8389C"/>
    <w:rsid w:val="12DA1AE3"/>
    <w:rsid w:val="12DA551B"/>
    <w:rsid w:val="12DA6A95"/>
    <w:rsid w:val="12DB650F"/>
    <w:rsid w:val="12DC39A0"/>
    <w:rsid w:val="12DC3AAD"/>
    <w:rsid w:val="12DD1CFF"/>
    <w:rsid w:val="12DF637C"/>
    <w:rsid w:val="12E04DF2"/>
    <w:rsid w:val="12E12E71"/>
    <w:rsid w:val="12E14D8E"/>
    <w:rsid w:val="12E1709D"/>
    <w:rsid w:val="12E17CAA"/>
    <w:rsid w:val="12E20F40"/>
    <w:rsid w:val="12E24663"/>
    <w:rsid w:val="12E429AD"/>
    <w:rsid w:val="12E467AE"/>
    <w:rsid w:val="12E61FB4"/>
    <w:rsid w:val="12E62669"/>
    <w:rsid w:val="12E92D2B"/>
    <w:rsid w:val="12EA314B"/>
    <w:rsid w:val="12EC7F7F"/>
    <w:rsid w:val="12ED138C"/>
    <w:rsid w:val="12ED7DDE"/>
    <w:rsid w:val="12EE108E"/>
    <w:rsid w:val="12EF5DCD"/>
    <w:rsid w:val="12F0349E"/>
    <w:rsid w:val="12F10A82"/>
    <w:rsid w:val="12F16A12"/>
    <w:rsid w:val="12F22BA2"/>
    <w:rsid w:val="12F232D0"/>
    <w:rsid w:val="12F34115"/>
    <w:rsid w:val="12F3642F"/>
    <w:rsid w:val="12F40DF9"/>
    <w:rsid w:val="12F43673"/>
    <w:rsid w:val="12F45C39"/>
    <w:rsid w:val="12F472F7"/>
    <w:rsid w:val="12F81BF8"/>
    <w:rsid w:val="12F84FED"/>
    <w:rsid w:val="12F938A2"/>
    <w:rsid w:val="12FB3348"/>
    <w:rsid w:val="12FC5B4B"/>
    <w:rsid w:val="12FE1012"/>
    <w:rsid w:val="12FF07BD"/>
    <w:rsid w:val="12FF2C5A"/>
    <w:rsid w:val="12FF3C77"/>
    <w:rsid w:val="12FF7E19"/>
    <w:rsid w:val="13012D23"/>
    <w:rsid w:val="1301721E"/>
    <w:rsid w:val="13017C41"/>
    <w:rsid w:val="1302386F"/>
    <w:rsid w:val="130351CD"/>
    <w:rsid w:val="1303643D"/>
    <w:rsid w:val="130474D8"/>
    <w:rsid w:val="1307383B"/>
    <w:rsid w:val="13077722"/>
    <w:rsid w:val="130901DC"/>
    <w:rsid w:val="130B4DE9"/>
    <w:rsid w:val="130C041E"/>
    <w:rsid w:val="130C4302"/>
    <w:rsid w:val="130D1165"/>
    <w:rsid w:val="130D3978"/>
    <w:rsid w:val="130D46A4"/>
    <w:rsid w:val="130D78EC"/>
    <w:rsid w:val="130F3896"/>
    <w:rsid w:val="130F5D53"/>
    <w:rsid w:val="1311034A"/>
    <w:rsid w:val="1311410E"/>
    <w:rsid w:val="13117A16"/>
    <w:rsid w:val="131279B4"/>
    <w:rsid w:val="1313563F"/>
    <w:rsid w:val="1314627A"/>
    <w:rsid w:val="1315553D"/>
    <w:rsid w:val="13165EA6"/>
    <w:rsid w:val="13182844"/>
    <w:rsid w:val="13192DB7"/>
    <w:rsid w:val="131A10C3"/>
    <w:rsid w:val="131A61A4"/>
    <w:rsid w:val="131C204E"/>
    <w:rsid w:val="131D63AE"/>
    <w:rsid w:val="131D7F00"/>
    <w:rsid w:val="131E0D3D"/>
    <w:rsid w:val="131F7989"/>
    <w:rsid w:val="13200087"/>
    <w:rsid w:val="132070C9"/>
    <w:rsid w:val="1321152D"/>
    <w:rsid w:val="13237DCA"/>
    <w:rsid w:val="13240976"/>
    <w:rsid w:val="13265D02"/>
    <w:rsid w:val="132673D3"/>
    <w:rsid w:val="13275A02"/>
    <w:rsid w:val="132A0B89"/>
    <w:rsid w:val="132C77EA"/>
    <w:rsid w:val="132D4593"/>
    <w:rsid w:val="132D57EA"/>
    <w:rsid w:val="132E430E"/>
    <w:rsid w:val="132E58D3"/>
    <w:rsid w:val="13316D34"/>
    <w:rsid w:val="13317338"/>
    <w:rsid w:val="13323CE7"/>
    <w:rsid w:val="1333484D"/>
    <w:rsid w:val="13344047"/>
    <w:rsid w:val="13344685"/>
    <w:rsid w:val="13362394"/>
    <w:rsid w:val="13370703"/>
    <w:rsid w:val="133758E9"/>
    <w:rsid w:val="13381F22"/>
    <w:rsid w:val="133A00E3"/>
    <w:rsid w:val="133C4B6D"/>
    <w:rsid w:val="133C5101"/>
    <w:rsid w:val="133E401B"/>
    <w:rsid w:val="133E4434"/>
    <w:rsid w:val="133E6515"/>
    <w:rsid w:val="133E731D"/>
    <w:rsid w:val="133F1EC8"/>
    <w:rsid w:val="13402197"/>
    <w:rsid w:val="134103BC"/>
    <w:rsid w:val="13410F72"/>
    <w:rsid w:val="13417F3E"/>
    <w:rsid w:val="13426006"/>
    <w:rsid w:val="13426CCE"/>
    <w:rsid w:val="134360C6"/>
    <w:rsid w:val="134427E2"/>
    <w:rsid w:val="134562EB"/>
    <w:rsid w:val="13464C3D"/>
    <w:rsid w:val="13464EAA"/>
    <w:rsid w:val="13473540"/>
    <w:rsid w:val="13486F7C"/>
    <w:rsid w:val="134A192C"/>
    <w:rsid w:val="134A2AF7"/>
    <w:rsid w:val="134B5F52"/>
    <w:rsid w:val="134B7111"/>
    <w:rsid w:val="134C5036"/>
    <w:rsid w:val="134C6CC3"/>
    <w:rsid w:val="134D17B1"/>
    <w:rsid w:val="134F6841"/>
    <w:rsid w:val="13506CB4"/>
    <w:rsid w:val="13527EFB"/>
    <w:rsid w:val="1354243C"/>
    <w:rsid w:val="135625EF"/>
    <w:rsid w:val="1356327A"/>
    <w:rsid w:val="135807D3"/>
    <w:rsid w:val="135A4406"/>
    <w:rsid w:val="135B3EF4"/>
    <w:rsid w:val="135C3709"/>
    <w:rsid w:val="135D70F9"/>
    <w:rsid w:val="135F078A"/>
    <w:rsid w:val="13615595"/>
    <w:rsid w:val="13637C69"/>
    <w:rsid w:val="13644D29"/>
    <w:rsid w:val="13662ECC"/>
    <w:rsid w:val="13675FC8"/>
    <w:rsid w:val="13681540"/>
    <w:rsid w:val="13696C2D"/>
    <w:rsid w:val="136A19DD"/>
    <w:rsid w:val="136A6610"/>
    <w:rsid w:val="136B3F2A"/>
    <w:rsid w:val="136C0305"/>
    <w:rsid w:val="136C25FA"/>
    <w:rsid w:val="136D43A0"/>
    <w:rsid w:val="136E342E"/>
    <w:rsid w:val="136F393C"/>
    <w:rsid w:val="1370395D"/>
    <w:rsid w:val="13710B1A"/>
    <w:rsid w:val="13714D72"/>
    <w:rsid w:val="137150C1"/>
    <w:rsid w:val="137216A4"/>
    <w:rsid w:val="13726830"/>
    <w:rsid w:val="137276A5"/>
    <w:rsid w:val="13736349"/>
    <w:rsid w:val="13743497"/>
    <w:rsid w:val="13755D29"/>
    <w:rsid w:val="1375702D"/>
    <w:rsid w:val="13775E66"/>
    <w:rsid w:val="137865DD"/>
    <w:rsid w:val="137A4BBC"/>
    <w:rsid w:val="137B0C20"/>
    <w:rsid w:val="137B3D49"/>
    <w:rsid w:val="137D5656"/>
    <w:rsid w:val="137E6912"/>
    <w:rsid w:val="138025CA"/>
    <w:rsid w:val="13812297"/>
    <w:rsid w:val="138220EC"/>
    <w:rsid w:val="13823E40"/>
    <w:rsid w:val="138257DE"/>
    <w:rsid w:val="13826402"/>
    <w:rsid w:val="138273AD"/>
    <w:rsid w:val="13833414"/>
    <w:rsid w:val="13835164"/>
    <w:rsid w:val="13836BD9"/>
    <w:rsid w:val="1384314F"/>
    <w:rsid w:val="13852623"/>
    <w:rsid w:val="138533C7"/>
    <w:rsid w:val="13862995"/>
    <w:rsid w:val="138665F0"/>
    <w:rsid w:val="13896121"/>
    <w:rsid w:val="1389645E"/>
    <w:rsid w:val="138A3358"/>
    <w:rsid w:val="138B6987"/>
    <w:rsid w:val="138C1EB4"/>
    <w:rsid w:val="138C4832"/>
    <w:rsid w:val="13904E3F"/>
    <w:rsid w:val="13915B9C"/>
    <w:rsid w:val="1392014F"/>
    <w:rsid w:val="13932D8B"/>
    <w:rsid w:val="13982D5C"/>
    <w:rsid w:val="13996801"/>
    <w:rsid w:val="139A2CC7"/>
    <w:rsid w:val="139A4436"/>
    <w:rsid w:val="139A6707"/>
    <w:rsid w:val="139A7D9E"/>
    <w:rsid w:val="139D4544"/>
    <w:rsid w:val="139E0AFA"/>
    <w:rsid w:val="139F388D"/>
    <w:rsid w:val="13A334E1"/>
    <w:rsid w:val="13A6008E"/>
    <w:rsid w:val="13A84332"/>
    <w:rsid w:val="13A96A66"/>
    <w:rsid w:val="13A97FF1"/>
    <w:rsid w:val="13AE6619"/>
    <w:rsid w:val="13B03F72"/>
    <w:rsid w:val="13B14C50"/>
    <w:rsid w:val="13B24200"/>
    <w:rsid w:val="13B32A60"/>
    <w:rsid w:val="13B33F53"/>
    <w:rsid w:val="13B512A7"/>
    <w:rsid w:val="13B53ABF"/>
    <w:rsid w:val="13B6086D"/>
    <w:rsid w:val="13B61169"/>
    <w:rsid w:val="13B63EA5"/>
    <w:rsid w:val="13B6667B"/>
    <w:rsid w:val="13B80553"/>
    <w:rsid w:val="13B877EF"/>
    <w:rsid w:val="13BA3DEE"/>
    <w:rsid w:val="13BB5FC9"/>
    <w:rsid w:val="13BC70AC"/>
    <w:rsid w:val="13BC79B1"/>
    <w:rsid w:val="13BD4BAC"/>
    <w:rsid w:val="13BD6146"/>
    <w:rsid w:val="13BD755E"/>
    <w:rsid w:val="13BE2CF3"/>
    <w:rsid w:val="13BE334F"/>
    <w:rsid w:val="13BE3B89"/>
    <w:rsid w:val="13BF0560"/>
    <w:rsid w:val="13BF4049"/>
    <w:rsid w:val="13C01D90"/>
    <w:rsid w:val="13C25F1D"/>
    <w:rsid w:val="13C52D3C"/>
    <w:rsid w:val="13C63931"/>
    <w:rsid w:val="13C82DA4"/>
    <w:rsid w:val="13C94812"/>
    <w:rsid w:val="13CC2D01"/>
    <w:rsid w:val="13CC58CF"/>
    <w:rsid w:val="13CD4CDB"/>
    <w:rsid w:val="13CE2179"/>
    <w:rsid w:val="13CF4523"/>
    <w:rsid w:val="13D0374E"/>
    <w:rsid w:val="13D058A2"/>
    <w:rsid w:val="13D1690A"/>
    <w:rsid w:val="13D357D7"/>
    <w:rsid w:val="13D50D45"/>
    <w:rsid w:val="13D57CAA"/>
    <w:rsid w:val="13D6271D"/>
    <w:rsid w:val="13D635AC"/>
    <w:rsid w:val="13D63A06"/>
    <w:rsid w:val="13D648F5"/>
    <w:rsid w:val="13D70128"/>
    <w:rsid w:val="13D74B42"/>
    <w:rsid w:val="13D83A56"/>
    <w:rsid w:val="13D9777A"/>
    <w:rsid w:val="13DA5D65"/>
    <w:rsid w:val="13DB4BB3"/>
    <w:rsid w:val="13DC23DD"/>
    <w:rsid w:val="13DC27A8"/>
    <w:rsid w:val="13DC7E85"/>
    <w:rsid w:val="13DD57CC"/>
    <w:rsid w:val="13DE184C"/>
    <w:rsid w:val="13DE1A05"/>
    <w:rsid w:val="13DF1D6E"/>
    <w:rsid w:val="13E02D2D"/>
    <w:rsid w:val="13E04141"/>
    <w:rsid w:val="13E268AE"/>
    <w:rsid w:val="13E32ECC"/>
    <w:rsid w:val="13E35C25"/>
    <w:rsid w:val="13E5246C"/>
    <w:rsid w:val="13E64909"/>
    <w:rsid w:val="13E730A9"/>
    <w:rsid w:val="13E8068E"/>
    <w:rsid w:val="13E90361"/>
    <w:rsid w:val="13E9359C"/>
    <w:rsid w:val="13E97C23"/>
    <w:rsid w:val="13EB1372"/>
    <w:rsid w:val="13EC1401"/>
    <w:rsid w:val="13EC28EF"/>
    <w:rsid w:val="13EE38CB"/>
    <w:rsid w:val="13EE67C6"/>
    <w:rsid w:val="13EE79B6"/>
    <w:rsid w:val="13EF7C04"/>
    <w:rsid w:val="13F02873"/>
    <w:rsid w:val="13F03F72"/>
    <w:rsid w:val="13F0651A"/>
    <w:rsid w:val="13F06FB9"/>
    <w:rsid w:val="13F15336"/>
    <w:rsid w:val="13F15945"/>
    <w:rsid w:val="13F176FA"/>
    <w:rsid w:val="13F57B72"/>
    <w:rsid w:val="13F70588"/>
    <w:rsid w:val="13F77BE7"/>
    <w:rsid w:val="13F93969"/>
    <w:rsid w:val="13FA2C9C"/>
    <w:rsid w:val="13FB4397"/>
    <w:rsid w:val="13FC1239"/>
    <w:rsid w:val="13FC2C76"/>
    <w:rsid w:val="13FD3F92"/>
    <w:rsid w:val="13FE257B"/>
    <w:rsid w:val="13FF58A1"/>
    <w:rsid w:val="14003214"/>
    <w:rsid w:val="1403023F"/>
    <w:rsid w:val="1403207C"/>
    <w:rsid w:val="14036931"/>
    <w:rsid w:val="14037FD5"/>
    <w:rsid w:val="140621CE"/>
    <w:rsid w:val="14073500"/>
    <w:rsid w:val="14074F0A"/>
    <w:rsid w:val="140765C2"/>
    <w:rsid w:val="140840C0"/>
    <w:rsid w:val="140A0B9C"/>
    <w:rsid w:val="140A5FB6"/>
    <w:rsid w:val="140C20B5"/>
    <w:rsid w:val="140F3CBA"/>
    <w:rsid w:val="14104FB4"/>
    <w:rsid w:val="14114E74"/>
    <w:rsid w:val="14117001"/>
    <w:rsid w:val="14125673"/>
    <w:rsid w:val="14127114"/>
    <w:rsid w:val="141317A1"/>
    <w:rsid w:val="14146D1B"/>
    <w:rsid w:val="14147F05"/>
    <w:rsid w:val="1415315C"/>
    <w:rsid w:val="1416400E"/>
    <w:rsid w:val="14171C2C"/>
    <w:rsid w:val="14176380"/>
    <w:rsid w:val="1419521C"/>
    <w:rsid w:val="141B4E3A"/>
    <w:rsid w:val="141C5BF3"/>
    <w:rsid w:val="141C716B"/>
    <w:rsid w:val="141C76B5"/>
    <w:rsid w:val="141D6E61"/>
    <w:rsid w:val="141E1AB7"/>
    <w:rsid w:val="1420472C"/>
    <w:rsid w:val="14204F92"/>
    <w:rsid w:val="142152E1"/>
    <w:rsid w:val="142502CD"/>
    <w:rsid w:val="14270E0A"/>
    <w:rsid w:val="14273625"/>
    <w:rsid w:val="1427646F"/>
    <w:rsid w:val="14276D76"/>
    <w:rsid w:val="14292258"/>
    <w:rsid w:val="14292313"/>
    <w:rsid w:val="1429581F"/>
    <w:rsid w:val="142C32ED"/>
    <w:rsid w:val="142C59FA"/>
    <w:rsid w:val="142C636E"/>
    <w:rsid w:val="142D4FD3"/>
    <w:rsid w:val="142E618A"/>
    <w:rsid w:val="142E6D65"/>
    <w:rsid w:val="14316531"/>
    <w:rsid w:val="14321B9C"/>
    <w:rsid w:val="143331A4"/>
    <w:rsid w:val="1435691C"/>
    <w:rsid w:val="14357CBB"/>
    <w:rsid w:val="14367D35"/>
    <w:rsid w:val="14373CF5"/>
    <w:rsid w:val="14374634"/>
    <w:rsid w:val="143812FC"/>
    <w:rsid w:val="14382A5C"/>
    <w:rsid w:val="143A7DB9"/>
    <w:rsid w:val="143B6961"/>
    <w:rsid w:val="143B7DC4"/>
    <w:rsid w:val="143C3D4E"/>
    <w:rsid w:val="14415496"/>
    <w:rsid w:val="14421FC2"/>
    <w:rsid w:val="14424481"/>
    <w:rsid w:val="14434210"/>
    <w:rsid w:val="144441F9"/>
    <w:rsid w:val="14447028"/>
    <w:rsid w:val="144547E7"/>
    <w:rsid w:val="14464875"/>
    <w:rsid w:val="14470FF0"/>
    <w:rsid w:val="144714B3"/>
    <w:rsid w:val="14480269"/>
    <w:rsid w:val="14487B30"/>
    <w:rsid w:val="14494B90"/>
    <w:rsid w:val="144A40CC"/>
    <w:rsid w:val="144B0A97"/>
    <w:rsid w:val="144C662F"/>
    <w:rsid w:val="144D0DCE"/>
    <w:rsid w:val="144D10AB"/>
    <w:rsid w:val="144E2F6D"/>
    <w:rsid w:val="144E2F7B"/>
    <w:rsid w:val="144F62D7"/>
    <w:rsid w:val="14515742"/>
    <w:rsid w:val="14516B8A"/>
    <w:rsid w:val="14516C1C"/>
    <w:rsid w:val="1453070F"/>
    <w:rsid w:val="14561B44"/>
    <w:rsid w:val="14576C8E"/>
    <w:rsid w:val="145807CC"/>
    <w:rsid w:val="14582472"/>
    <w:rsid w:val="145848A4"/>
    <w:rsid w:val="14585C64"/>
    <w:rsid w:val="145B2685"/>
    <w:rsid w:val="145B624B"/>
    <w:rsid w:val="145B78D2"/>
    <w:rsid w:val="145D01F1"/>
    <w:rsid w:val="145D5AE1"/>
    <w:rsid w:val="145D72E2"/>
    <w:rsid w:val="145E0395"/>
    <w:rsid w:val="145F235C"/>
    <w:rsid w:val="145F4D01"/>
    <w:rsid w:val="146052F0"/>
    <w:rsid w:val="146104BF"/>
    <w:rsid w:val="14615F28"/>
    <w:rsid w:val="1461603D"/>
    <w:rsid w:val="14632D5B"/>
    <w:rsid w:val="14672F81"/>
    <w:rsid w:val="14675192"/>
    <w:rsid w:val="14676FC0"/>
    <w:rsid w:val="1468601B"/>
    <w:rsid w:val="14690ACD"/>
    <w:rsid w:val="146969E7"/>
    <w:rsid w:val="14697A5D"/>
    <w:rsid w:val="146B668D"/>
    <w:rsid w:val="146C3218"/>
    <w:rsid w:val="146C3436"/>
    <w:rsid w:val="146C7AAB"/>
    <w:rsid w:val="146D52F2"/>
    <w:rsid w:val="146E1694"/>
    <w:rsid w:val="146E4BD8"/>
    <w:rsid w:val="146F7CAF"/>
    <w:rsid w:val="147164B7"/>
    <w:rsid w:val="1473127A"/>
    <w:rsid w:val="14734FE2"/>
    <w:rsid w:val="1473534B"/>
    <w:rsid w:val="14742FFC"/>
    <w:rsid w:val="1474378E"/>
    <w:rsid w:val="14744481"/>
    <w:rsid w:val="14755E43"/>
    <w:rsid w:val="147561FE"/>
    <w:rsid w:val="14756357"/>
    <w:rsid w:val="147636F5"/>
    <w:rsid w:val="1478241E"/>
    <w:rsid w:val="14790DEC"/>
    <w:rsid w:val="14793A40"/>
    <w:rsid w:val="147A6D70"/>
    <w:rsid w:val="147B5726"/>
    <w:rsid w:val="147C4EE4"/>
    <w:rsid w:val="147C6F73"/>
    <w:rsid w:val="147D542C"/>
    <w:rsid w:val="147D6D34"/>
    <w:rsid w:val="147D7F36"/>
    <w:rsid w:val="147E00D4"/>
    <w:rsid w:val="147E0847"/>
    <w:rsid w:val="147E1E6C"/>
    <w:rsid w:val="147E5B2A"/>
    <w:rsid w:val="147F4328"/>
    <w:rsid w:val="14806203"/>
    <w:rsid w:val="1481448C"/>
    <w:rsid w:val="14815017"/>
    <w:rsid w:val="14834CF3"/>
    <w:rsid w:val="14835A41"/>
    <w:rsid w:val="148477A3"/>
    <w:rsid w:val="148611AC"/>
    <w:rsid w:val="14864CC0"/>
    <w:rsid w:val="148655BC"/>
    <w:rsid w:val="14880B51"/>
    <w:rsid w:val="14890305"/>
    <w:rsid w:val="148A1083"/>
    <w:rsid w:val="148B5F38"/>
    <w:rsid w:val="148D7A19"/>
    <w:rsid w:val="148D7E2C"/>
    <w:rsid w:val="148F3C8D"/>
    <w:rsid w:val="14913A1F"/>
    <w:rsid w:val="14923807"/>
    <w:rsid w:val="149238F5"/>
    <w:rsid w:val="1493592B"/>
    <w:rsid w:val="14936FD4"/>
    <w:rsid w:val="149479EA"/>
    <w:rsid w:val="14962832"/>
    <w:rsid w:val="149928C6"/>
    <w:rsid w:val="14997396"/>
    <w:rsid w:val="14997EA7"/>
    <w:rsid w:val="149B2852"/>
    <w:rsid w:val="149B77FA"/>
    <w:rsid w:val="149B7CE7"/>
    <w:rsid w:val="149E79F7"/>
    <w:rsid w:val="149F00DE"/>
    <w:rsid w:val="149F40CC"/>
    <w:rsid w:val="14A0523A"/>
    <w:rsid w:val="14A16D5C"/>
    <w:rsid w:val="14A32A78"/>
    <w:rsid w:val="14A7544D"/>
    <w:rsid w:val="14A75591"/>
    <w:rsid w:val="14A8229A"/>
    <w:rsid w:val="14A908C6"/>
    <w:rsid w:val="14A911C2"/>
    <w:rsid w:val="14AD0760"/>
    <w:rsid w:val="14AE4139"/>
    <w:rsid w:val="14AE4EF2"/>
    <w:rsid w:val="14B0268A"/>
    <w:rsid w:val="14B07B76"/>
    <w:rsid w:val="14B27869"/>
    <w:rsid w:val="14B47B6C"/>
    <w:rsid w:val="14B66A2F"/>
    <w:rsid w:val="14B67F2E"/>
    <w:rsid w:val="14B8083F"/>
    <w:rsid w:val="14B83E99"/>
    <w:rsid w:val="14B94388"/>
    <w:rsid w:val="14B96846"/>
    <w:rsid w:val="14BB3BFD"/>
    <w:rsid w:val="14BC0D51"/>
    <w:rsid w:val="14BC127F"/>
    <w:rsid w:val="14BC33B9"/>
    <w:rsid w:val="14BC3965"/>
    <w:rsid w:val="14C06FAE"/>
    <w:rsid w:val="14C07191"/>
    <w:rsid w:val="14C0727C"/>
    <w:rsid w:val="14C20643"/>
    <w:rsid w:val="14C258DF"/>
    <w:rsid w:val="14C434D3"/>
    <w:rsid w:val="14C4424A"/>
    <w:rsid w:val="14C563C9"/>
    <w:rsid w:val="14C56C64"/>
    <w:rsid w:val="14C639E6"/>
    <w:rsid w:val="14C644B6"/>
    <w:rsid w:val="14C71304"/>
    <w:rsid w:val="14C81531"/>
    <w:rsid w:val="14C95782"/>
    <w:rsid w:val="14CA7970"/>
    <w:rsid w:val="14CB3B4F"/>
    <w:rsid w:val="14CB63E2"/>
    <w:rsid w:val="14CB6E64"/>
    <w:rsid w:val="14CC3CA3"/>
    <w:rsid w:val="14CC6161"/>
    <w:rsid w:val="14CD6C53"/>
    <w:rsid w:val="14D14CF5"/>
    <w:rsid w:val="14D231E9"/>
    <w:rsid w:val="14D47361"/>
    <w:rsid w:val="14D47BA0"/>
    <w:rsid w:val="14D515D8"/>
    <w:rsid w:val="14D97417"/>
    <w:rsid w:val="14DB5F7C"/>
    <w:rsid w:val="14DB613C"/>
    <w:rsid w:val="14DB7B45"/>
    <w:rsid w:val="14DD0DFB"/>
    <w:rsid w:val="14DD32B8"/>
    <w:rsid w:val="14DE02B3"/>
    <w:rsid w:val="14DE2890"/>
    <w:rsid w:val="14DF6F6B"/>
    <w:rsid w:val="14E04F42"/>
    <w:rsid w:val="14E06DBD"/>
    <w:rsid w:val="14E10F6D"/>
    <w:rsid w:val="14E2062A"/>
    <w:rsid w:val="14E20686"/>
    <w:rsid w:val="14E3009A"/>
    <w:rsid w:val="14E41353"/>
    <w:rsid w:val="14E4410B"/>
    <w:rsid w:val="14E51EEB"/>
    <w:rsid w:val="14E54FAA"/>
    <w:rsid w:val="14E660B7"/>
    <w:rsid w:val="14E666E7"/>
    <w:rsid w:val="14E72E1E"/>
    <w:rsid w:val="14E943BA"/>
    <w:rsid w:val="14E95C5F"/>
    <w:rsid w:val="14EA356E"/>
    <w:rsid w:val="14EB1187"/>
    <w:rsid w:val="14EB3917"/>
    <w:rsid w:val="14EB680A"/>
    <w:rsid w:val="14ED4FE1"/>
    <w:rsid w:val="14ED7D61"/>
    <w:rsid w:val="14EF3EB9"/>
    <w:rsid w:val="14EF5BD4"/>
    <w:rsid w:val="14F014D2"/>
    <w:rsid w:val="14F0679F"/>
    <w:rsid w:val="14F10DFB"/>
    <w:rsid w:val="14F16044"/>
    <w:rsid w:val="14F170B3"/>
    <w:rsid w:val="14F17F36"/>
    <w:rsid w:val="14F23C0E"/>
    <w:rsid w:val="14F25809"/>
    <w:rsid w:val="14F32E44"/>
    <w:rsid w:val="14F4675C"/>
    <w:rsid w:val="14F51148"/>
    <w:rsid w:val="14FC63EF"/>
    <w:rsid w:val="14FD28FE"/>
    <w:rsid w:val="14FE420E"/>
    <w:rsid w:val="14FF32B0"/>
    <w:rsid w:val="15025CEC"/>
    <w:rsid w:val="15032B84"/>
    <w:rsid w:val="150377D2"/>
    <w:rsid w:val="15042145"/>
    <w:rsid w:val="150462EB"/>
    <w:rsid w:val="15095061"/>
    <w:rsid w:val="150C05F5"/>
    <w:rsid w:val="150C06BE"/>
    <w:rsid w:val="150C4924"/>
    <w:rsid w:val="150C50E4"/>
    <w:rsid w:val="150D330D"/>
    <w:rsid w:val="15102B7F"/>
    <w:rsid w:val="15104DE6"/>
    <w:rsid w:val="15112ACD"/>
    <w:rsid w:val="15141CF7"/>
    <w:rsid w:val="15146443"/>
    <w:rsid w:val="15146E55"/>
    <w:rsid w:val="151560CB"/>
    <w:rsid w:val="15166BA1"/>
    <w:rsid w:val="151672AC"/>
    <w:rsid w:val="1516771F"/>
    <w:rsid w:val="15170DCC"/>
    <w:rsid w:val="15174B3D"/>
    <w:rsid w:val="15177AA7"/>
    <w:rsid w:val="15180B03"/>
    <w:rsid w:val="1518764F"/>
    <w:rsid w:val="15192C15"/>
    <w:rsid w:val="151B4530"/>
    <w:rsid w:val="151D3762"/>
    <w:rsid w:val="151D55B3"/>
    <w:rsid w:val="151E20D0"/>
    <w:rsid w:val="151E324D"/>
    <w:rsid w:val="151E6260"/>
    <w:rsid w:val="152007D5"/>
    <w:rsid w:val="1525349B"/>
    <w:rsid w:val="15254172"/>
    <w:rsid w:val="1526114D"/>
    <w:rsid w:val="15264ABB"/>
    <w:rsid w:val="15272161"/>
    <w:rsid w:val="152920EC"/>
    <w:rsid w:val="152A557B"/>
    <w:rsid w:val="152B3F5B"/>
    <w:rsid w:val="152C451A"/>
    <w:rsid w:val="152D099B"/>
    <w:rsid w:val="152D3896"/>
    <w:rsid w:val="152E4C2D"/>
    <w:rsid w:val="152E6138"/>
    <w:rsid w:val="152F2A39"/>
    <w:rsid w:val="152F5972"/>
    <w:rsid w:val="152F6B95"/>
    <w:rsid w:val="153054FE"/>
    <w:rsid w:val="15323798"/>
    <w:rsid w:val="153254B2"/>
    <w:rsid w:val="153313C6"/>
    <w:rsid w:val="15336670"/>
    <w:rsid w:val="15342F8E"/>
    <w:rsid w:val="15361EA8"/>
    <w:rsid w:val="15366875"/>
    <w:rsid w:val="15371C16"/>
    <w:rsid w:val="153A4903"/>
    <w:rsid w:val="153A49BE"/>
    <w:rsid w:val="153B7C6B"/>
    <w:rsid w:val="153E0E1A"/>
    <w:rsid w:val="153E7FD8"/>
    <w:rsid w:val="153F4C1C"/>
    <w:rsid w:val="1541017E"/>
    <w:rsid w:val="15413A16"/>
    <w:rsid w:val="154345D3"/>
    <w:rsid w:val="15443D42"/>
    <w:rsid w:val="15452F44"/>
    <w:rsid w:val="1546345F"/>
    <w:rsid w:val="154738C7"/>
    <w:rsid w:val="15481B27"/>
    <w:rsid w:val="1549038E"/>
    <w:rsid w:val="154913C4"/>
    <w:rsid w:val="154953B1"/>
    <w:rsid w:val="15495FA6"/>
    <w:rsid w:val="154C07AA"/>
    <w:rsid w:val="154D2A40"/>
    <w:rsid w:val="154E0138"/>
    <w:rsid w:val="154E10CC"/>
    <w:rsid w:val="154E7897"/>
    <w:rsid w:val="154F203A"/>
    <w:rsid w:val="154F255A"/>
    <w:rsid w:val="154F3E5C"/>
    <w:rsid w:val="154F526E"/>
    <w:rsid w:val="15530406"/>
    <w:rsid w:val="15534509"/>
    <w:rsid w:val="15541750"/>
    <w:rsid w:val="155452B3"/>
    <w:rsid w:val="1554606C"/>
    <w:rsid w:val="15551DC6"/>
    <w:rsid w:val="15562CF5"/>
    <w:rsid w:val="155636C7"/>
    <w:rsid w:val="15575E9D"/>
    <w:rsid w:val="15581F72"/>
    <w:rsid w:val="15582535"/>
    <w:rsid w:val="15584823"/>
    <w:rsid w:val="15595432"/>
    <w:rsid w:val="155B515D"/>
    <w:rsid w:val="155B6B69"/>
    <w:rsid w:val="155C4DC1"/>
    <w:rsid w:val="156018D0"/>
    <w:rsid w:val="15604521"/>
    <w:rsid w:val="15624ECD"/>
    <w:rsid w:val="15632399"/>
    <w:rsid w:val="15633C0A"/>
    <w:rsid w:val="156344E8"/>
    <w:rsid w:val="1563785F"/>
    <w:rsid w:val="156426A9"/>
    <w:rsid w:val="15644464"/>
    <w:rsid w:val="1566467A"/>
    <w:rsid w:val="1567437A"/>
    <w:rsid w:val="156924E4"/>
    <w:rsid w:val="156A41B1"/>
    <w:rsid w:val="156C7B9D"/>
    <w:rsid w:val="156D4BF2"/>
    <w:rsid w:val="15700011"/>
    <w:rsid w:val="15702F88"/>
    <w:rsid w:val="15703532"/>
    <w:rsid w:val="157048E1"/>
    <w:rsid w:val="157100E1"/>
    <w:rsid w:val="15716E5A"/>
    <w:rsid w:val="1571749A"/>
    <w:rsid w:val="15727A72"/>
    <w:rsid w:val="1574069D"/>
    <w:rsid w:val="15764AF3"/>
    <w:rsid w:val="15776667"/>
    <w:rsid w:val="15776FB2"/>
    <w:rsid w:val="15777B74"/>
    <w:rsid w:val="15781B93"/>
    <w:rsid w:val="157A37B9"/>
    <w:rsid w:val="157B1BB9"/>
    <w:rsid w:val="157B3E47"/>
    <w:rsid w:val="157B4303"/>
    <w:rsid w:val="157B7161"/>
    <w:rsid w:val="157C7441"/>
    <w:rsid w:val="157D57BD"/>
    <w:rsid w:val="157E00E0"/>
    <w:rsid w:val="15813A63"/>
    <w:rsid w:val="158222BC"/>
    <w:rsid w:val="15825F61"/>
    <w:rsid w:val="158310CE"/>
    <w:rsid w:val="1583729C"/>
    <w:rsid w:val="15837A19"/>
    <w:rsid w:val="158461C6"/>
    <w:rsid w:val="15855B1F"/>
    <w:rsid w:val="15865CB5"/>
    <w:rsid w:val="15866845"/>
    <w:rsid w:val="158921B2"/>
    <w:rsid w:val="15893D37"/>
    <w:rsid w:val="158951C3"/>
    <w:rsid w:val="158A4829"/>
    <w:rsid w:val="158A6A83"/>
    <w:rsid w:val="158B4527"/>
    <w:rsid w:val="158B59DC"/>
    <w:rsid w:val="158C39D1"/>
    <w:rsid w:val="158D3A7F"/>
    <w:rsid w:val="158D3F21"/>
    <w:rsid w:val="158E6ECA"/>
    <w:rsid w:val="158E72E0"/>
    <w:rsid w:val="15905126"/>
    <w:rsid w:val="159316DF"/>
    <w:rsid w:val="15944D9D"/>
    <w:rsid w:val="159702DF"/>
    <w:rsid w:val="15970908"/>
    <w:rsid w:val="159729FC"/>
    <w:rsid w:val="15987935"/>
    <w:rsid w:val="1599052D"/>
    <w:rsid w:val="159940EE"/>
    <w:rsid w:val="159A46E4"/>
    <w:rsid w:val="159A5981"/>
    <w:rsid w:val="159B1B9D"/>
    <w:rsid w:val="159B461A"/>
    <w:rsid w:val="159B6A71"/>
    <w:rsid w:val="159C0BAA"/>
    <w:rsid w:val="159C0BFE"/>
    <w:rsid w:val="159C227E"/>
    <w:rsid w:val="159C3652"/>
    <w:rsid w:val="159D0190"/>
    <w:rsid w:val="159D4780"/>
    <w:rsid w:val="159E1959"/>
    <w:rsid w:val="159F4DB2"/>
    <w:rsid w:val="15A0534B"/>
    <w:rsid w:val="15A12D8D"/>
    <w:rsid w:val="15A21297"/>
    <w:rsid w:val="15A93AF9"/>
    <w:rsid w:val="15A95C4E"/>
    <w:rsid w:val="15AE6F97"/>
    <w:rsid w:val="15B127D1"/>
    <w:rsid w:val="15B17DFE"/>
    <w:rsid w:val="15B246F5"/>
    <w:rsid w:val="15B33D7D"/>
    <w:rsid w:val="15B34C69"/>
    <w:rsid w:val="15B34F99"/>
    <w:rsid w:val="15B35B79"/>
    <w:rsid w:val="15B41706"/>
    <w:rsid w:val="15B5251F"/>
    <w:rsid w:val="15B55D65"/>
    <w:rsid w:val="15B605E5"/>
    <w:rsid w:val="15B636BA"/>
    <w:rsid w:val="15B72C08"/>
    <w:rsid w:val="15B80E33"/>
    <w:rsid w:val="15B90DF2"/>
    <w:rsid w:val="15BB52BE"/>
    <w:rsid w:val="15BC1C2B"/>
    <w:rsid w:val="15BC2C95"/>
    <w:rsid w:val="15BD5EAF"/>
    <w:rsid w:val="15BE7DD2"/>
    <w:rsid w:val="15BF4E1D"/>
    <w:rsid w:val="15BF71B8"/>
    <w:rsid w:val="15C038C2"/>
    <w:rsid w:val="15C058AF"/>
    <w:rsid w:val="15C0784C"/>
    <w:rsid w:val="15C116DD"/>
    <w:rsid w:val="15C17216"/>
    <w:rsid w:val="15C21A06"/>
    <w:rsid w:val="15C26423"/>
    <w:rsid w:val="15C2769D"/>
    <w:rsid w:val="15C34263"/>
    <w:rsid w:val="15C43FE8"/>
    <w:rsid w:val="15C547EB"/>
    <w:rsid w:val="15C57FEA"/>
    <w:rsid w:val="15C61573"/>
    <w:rsid w:val="15C62C93"/>
    <w:rsid w:val="15C66783"/>
    <w:rsid w:val="15C75866"/>
    <w:rsid w:val="15C8713B"/>
    <w:rsid w:val="15CA0A0B"/>
    <w:rsid w:val="15CB2B6E"/>
    <w:rsid w:val="15CC49E5"/>
    <w:rsid w:val="15CC7E09"/>
    <w:rsid w:val="15CD11BE"/>
    <w:rsid w:val="15CD31A5"/>
    <w:rsid w:val="15CE3690"/>
    <w:rsid w:val="15CE57E9"/>
    <w:rsid w:val="15CF5F71"/>
    <w:rsid w:val="15D11C8A"/>
    <w:rsid w:val="15D12CDB"/>
    <w:rsid w:val="15D208FD"/>
    <w:rsid w:val="15D2478C"/>
    <w:rsid w:val="15D25689"/>
    <w:rsid w:val="15D33621"/>
    <w:rsid w:val="15D44330"/>
    <w:rsid w:val="15D57C87"/>
    <w:rsid w:val="15D7218C"/>
    <w:rsid w:val="15D83C35"/>
    <w:rsid w:val="15D87C3A"/>
    <w:rsid w:val="15D96974"/>
    <w:rsid w:val="15DA1387"/>
    <w:rsid w:val="15DA413F"/>
    <w:rsid w:val="15DB2B30"/>
    <w:rsid w:val="15DD330F"/>
    <w:rsid w:val="15DD356A"/>
    <w:rsid w:val="15DE3084"/>
    <w:rsid w:val="15DF09D5"/>
    <w:rsid w:val="15DF5405"/>
    <w:rsid w:val="15E145CE"/>
    <w:rsid w:val="15E25651"/>
    <w:rsid w:val="15E30778"/>
    <w:rsid w:val="15E35A9E"/>
    <w:rsid w:val="15E459B2"/>
    <w:rsid w:val="15E508B3"/>
    <w:rsid w:val="15E50FE6"/>
    <w:rsid w:val="15E64497"/>
    <w:rsid w:val="15E64673"/>
    <w:rsid w:val="15E84490"/>
    <w:rsid w:val="15E86511"/>
    <w:rsid w:val="15EA1615"/>
    <w:rsid w:val="15EA470C"/>
    <w:rsid w:val="15EC1CCB"/>
    <w:rsid w:val="15ED303E"/>
    <w:rsid w:val="15EF2EC6"/>
    <w:rsid w:val="15F133E4"/>
    <w:rsid w:val="15F1786F"/>
    <w:rsid w:val="15F270E5"/>
    <w:rsid w:val="15F41F7C"/>
    <w:rsid w:val="15F66CA2"/>
    <w:rsid w:val="15FA4484"/>
    <w:rsid w:val="15FB7181"/>
    <w:rsid w:val="15FC07BC"/>
    <w:rsid w:val="15FC2297"/>
    <w:rsid w:val="15FC37B4"/>
    <w:rsid w:val="15FC6654"/>
    <w:rsid w:val="16006335"/>
    <w:rsid w:val="16006871"/>
    <w:rsid w:val="1601360C"/>
    <w:rsid w:val="16032FC9"/>
    <w:rsid w:val="16040D6D"/>
    <w:rsid w:val="160524B3"/>
    <w:rsid w:val="1606618C"/>
    <w:rsid w:val="160820B9"/>
    <w:rsid w:val="160D0856"/>
    <w:rsid w:val="160E272B"/>
    <w:rsid w:val="160E650D"/>
    <w:rsid w:val="160F1ED4"/>
    <w:rsid w:val="161036F3"/>
    <w:rsid w:val="16117F11"/>
    <w:rsid w:val="161210D9"/>
    <w:rsid w:val="16154C57"/>
    <w:rsid w:val="161578D3"/>
    <w:rsid w:val="16170231"/>
    <w:rsid w:val="16175528"/>
    <w:rsid w:val="161975F7"/>
    <w:rsid w:val="161A6DC6"/>
    <w:rsid w:val="161B24ED"/>
    <w:rsid w:val="161B2AD3"/>
    <w:rsid w:val="161C2889"/>
    <w:rsid w:val="161C3ADC"/>
    <w:rsid w:val="161E1651"/>
    <w:rsid w:val="161E6D0D"/>
    <w:rsid w:val="1620625A"/>
    <w:rsid w:val="1622171C"/>
    <w:rsid w:val="16223DAB"/>
    <w:rsid w:val="16237DBE"/>
    <w:rsid w:val="16242F7E"/>
    <w:rsid w:val="16254EF1"/>
    <w:rsid w:val="16257956"/>
    <w:rsid w:val="16276DAA"/>
    <w:rsid w:val="16277FEA"/>
    <w:rsid w:val="16282320"/>
    <w:rsid w:val="1629525B"/>
    <w:rsid w:val="162973B5"/>
    <w:rsid w:val="162B1504"/>
    <w:rsid w:val="162E37B3"/>
    <w:rsid w:val="162E3815"/>
    <w:rsid w:val="162F074C"/>
    <w:rsid w:val="162F2B69"/>
    <w:rsid w:val="162F5722"/>
    <w:rsid w:val="16301FF2"/>
    <w:rsid w:val="16306328"/>
    <w:rsid w:val="16307606"/>
    <w:rsid w:val="16311FF2"/>
    <w:rsid w:val="1633150E"/>
    <w:rsid w:val="16331610"/>
    <w:rsid w:val="16336F52"/>
    <w:rsid w:val="163459EA"/>
    <w:rsid w:val="16374CC2"/>
    <w:rsid w:val="16385DD6"/>
    <w:rsid w:val="163917A2"/>
    <w:rsid w:val="16393215"/>
    <w:rsid w:val="16395FF5"/>
    <w:rsid w:val="163A4424"/>
    <w:rsid w:val="163B553C"/>
    <w:rsid w:val="163C4714"/>
    <w:rsid w:val="163D2EB3"/>
    <w:rsid w:val="16407BCE"/>
    <w:rsid w:val="164137DA"/>
    <w:rsid w:val="1641617A"/>
    <w:rsid w:val="164631DC"/>
    <w:rsid w:val="1647343F"/>
    <w:rsid w:val="16477DF1"/>
    <w:rsid w:val="164B3423"/>
    <w:rsid w:val="164B3B57"/>
    <w:rsid w:val="164B650B"/>
    <w:rsid w:val="164D34FD"/>
    <w:rsid w:val="164D5A46"/>
    <w:rsid w:val="164E3742"/>
    <w:rsid w:val="164E6A70"/>
    <w:rsid w:val="164F03D2"/>
    <w:rsid w:val="164F2609"/>
    <w:rsid w:val="16504264"/>
    <w:rsid w:val="16511CF6"/>
    <w:rsid w:val="16513EEA"/>
    <w:rsid w:val="16523DC0"/>
    <w:rsid w:val="16525953"/>
    <w:rsid w:val="16526EAE"/>
    <w:rsid w:val="16531451"/>
    <w:rsid w:val="1654190B"/>
    <w:rsid w:val="1654594C"/>
    <w:rsid w:val="16545ECF"/>
    <w:rsid w:val="16550095"/>
    <w:rsid w:val="16560EBF"/>
    <w:rsid w:val="16567802"/>
    <w:rsid w:val="16567B77"/>
    <w:rsid w:val="16576077"/>
    <w:rsid w:val="16597635"/>
    <w:rsid w:val="165A42C3"/>
    <w:rsid w:val="165B0249"/>
    <w:rsid w:val="165B54BD"/>
    <w:rsid w:val="165B5AE5"/>
    <w:rsid w:val="165C61FD"/>
    <w:rsid w:val="165D2F71"/>
    <w:rsid w:val="16615E29"/>
    <w:rsid w:val="16620FF2"/>
    <w:rsid w:val="166473CD"/>
    <w:rsid w:val="16650E28"/>
    <w:rsid w:val="16675817"/>
    <w:rsid w:val="16683608"/>
    <w:rsid w:val="16684628"/>
    <w:rsid w:val="166B14D2"/>
    <w:rsid w:val="166B5F94"/>
    <w:rsid w:val="166B7621"/>
    <w:rsid w:val="166C61E4"/>
    <w:rsid w:val="166D2DB1"/>
    <w:rsid w:val="166E2632"/>
    <w:rsid w:val="166E3BD3"/>
    <w:rsid w:val="166E7391"/>
    <w:rsid w:val="167021BC"/>
    <w:rsid w:val="16740134"/>
    <w:rsid w:val="16741087"/>
    <w:rsid w:val="167500E4"/>
    <w:rsid w:val="167504A0"/>
    <w:rsid w:val="16753764"/>
    <w:rsid w:val="16763217"/>
    <w:rsid w:val="16764681"/>
    <w:rsid w:val="16771281"/>
    <w:rsid w:val="16783432"/>
    <w:rsid w:val="16793437"/>
    <w:rsid w:val="167A1148"/>
    <w:rsid w:val="167B2614"/>
    <w:rsid w:val="167C1174"/>
    <w:rsid w:val="167C6A01"/>
    <w:rsid w:val="167D5938"/>
    <w:rsid w:val="167E1B86"/>
    <w:rsid w:val="167F0864"/>
    <w:rsid w:val="16817611"/>
    <w:rsid w:val="16825B96"/>
    <w:rsid w:val="16825CBA"/>
    <w:rsid w:val="168277B3"/>
    <w:rsid w:val="168318F6"/>
    <w:rsid w:val="16832E6F"/>
    <w:rsid w:val="168478AE"/>
    <w:rsid w:val="1686410A"/>
    <w:rsid w:val="16883C79"/>
    <w:rsid w:val="16885E24"/>
    <w:rsid w:val="16890494"/>
    <w:rsid w:val="16894C57"/>
    <w:rsid w:val="16896E31"/>
    <w:rsid w:val="168A3B23"/>
    <w:rsid w:val="168B1154"/>
    <w:rsid w:val="168C6323"/>
    <w:rsid w:val="168D2722"/>
    <w:rsid w:val="168F1F2A"/>
    <w:rsid w:val="16900E36"/>
    <w:rsid w:val="169113A2"/>
    <w:rsid w:val="169125C6"/>
    <w:rsid w:val="16932F51"/>
    <w:rsid w:val="16935E1D"/>
    <w:rsid w:val="16941424"/>
    <w:rsid w:val="16942E60"/>
    <w:rsid w:val="169B08DB"/>
    <w:rsid w:val="169B5C77"/>
    <w:rsid w:val="169C70EB"/>
    <w:rsid w:val="169F1068"/>
    <w:rsid w:val="16A03E2B"/>
    <w:rsid w:val="16A0505D"/>
    <w:rsid w:val="16A127B1"/>
    <w:rsid w:val="16A22441"/>
    <w:rsid w:val="16A40906"/>
    <w:rsid w:val="16A70F58"/>
    <w:rsid w:val="16A71563"/>
    <w:rsid w:val="16A77FDF"/>
    <w:rsid w:val="16A8400A"/>
    <w:rsid w:val="16AA30A0"/>
    <w:rsid w:val="16AA33C0"/>
    <w:rsid w:val="16AC307C"/>
    <w:rsid w:val="16AD26E5"/>
    <w:rsid w:val="16AD3F03"/>
    <w:rsid w:val="16AF65E3"/>
    <w:rsid w:val="16B0683D"/>
    <w:rsid w:val="16B13DC9"/>
    <w:rsid w:val="16B17594"/>
    <w:rsid w:val="16B319D4"/>
    <w:rsid w:val="16B605E9"/>
    <w:rsid w:val="16B72F8A"/>
    <w:rsid w:val="16B868FC"/>
    <w:rsid w:val="16B877CB"/>
    <w:rsid w:val="16B97A39"/>
    <w:rsid w:val="16BA3634"/>
    <w:rsid w:val="16BB391F"/>
    <w:rsid w:val="16BB4985"/>
    <w:rsid w:val="16BD0419"/>
    <w:rsid w:val="16BD44BF"/>
    <w:rsid w:val="16BE226C"/>
    <w:rsid w:val="16BF0844"/>
    <w:rsid w:val="16C00DAB"/>
    <w:rsid w:val="16C07D7B"/>
    <w:rsid w:val="16C136E5"/>
    <w:rsid w:val="16C13D87"/>
    <w:rsid w:val="16C2485C"/>
    <w:rsid w:val="16C274F2"/>
    <w:rsid w:val="16C465CD"/>
    <w:rsid w:val="16C46C8F"/>
    <w:rsid w:val="16C64783"/>
    <w:rsid w:val="16C71A6C"/>
    <w:rsid w:val="16C74247"/>
    <w:rsid w:val="16C97AB8"/>
    <w:rsid w:val="16CA2B20"/>
    <w:rsid w:val="16CA78A1"/>
    <w:rsid w:val="16CB7FDE"/>
    <w:rsid w:val="16CD2B7E"/>
    <w:rsid w:val="16CF2A50"/>
    <w:rsid w:val="16D03A3A"/>
    <w:rsid w:val="16D05231"/>
    <w:rsid w:val="16D06420"/>
    <w:rsid w:val="16D2144F"/>
    <w:rsid w:val="16D30477"/>
    <w:rsid w:val="16D31544"/>
    <w:rsid w:val="16D37964"/>
    <w:rsid w:val="16D45E8F"/>
    <w:rsid w:val="16D62C6E"/>
    <w:rsid w:val="16D6654F"/>
    <w:rsid w:val="16D76DE3"/>
    <w:rsid w:val="16D95275"/>
    <w:rsid w:val="16DA50C8"/>
    <w:rsid w:val="16DB10B7"/>
    <w:rsid w:val="16DB1DA1"/>
    <w:rsid w:val="16DB67C5"/>
    <w:rsid w:val="16DD7AB8"/>
    <w:rsid w:val="16DE070F"/>
    <w:rsid w:val="16DE6F07"/>
    <w:rsid w:val="16DF7CC8"/>
    <w:rsid w:val="16E035B6"/>
    <w:rsid w:val="16E07362"/>
    <w:rsid w:val="16E1017B"/>
    <w:rsid w:val="16E11081"/>
    <w:rsid w:val="16E25197"/>
    <w:rsid w:val="16E27BF7"/>
    <w:rsid w:val="16E3481C"/>
    <w:rsid w:val="16E40103"/>
    <w:rsid w:val="16E623A4"/>
    <w:rsid w:val="16E6326A"/>
    <w:rsid w:val="16E66CA8"/>
    <w:rsid w:val="16E7748C"/>
    <w:rsid w:val="16EA69EE"/>
    <w:rsid w:val="16EE106F"/>
    <w:rsid w:val="16EE323A"/>
    <w:rsid w:val="16EE38DF"/>
    <w:rsid w:val="16EF1B9D"/>
    <w:rsid w:val="16EF556F"/>
    <w:rsid w:val="16F01A3E"/>
    <w:rsid w:val="16F23C77"/>
    <w:rsid w:val="16F361C8"/>
    <w:rsid w:val="16F53EF0"/>
    <w:rsid w:val="16F604D4"/>
    <w:rsid w:val="16F64256"/>
    <w:rsid w:val="16F94DF5"/>
    <w:rsid w:val="16FB5980"/>
    <w:rsid w:val="16FC63E8"/>
    <w:rsid w:val="16FD0367"/>
    <w:rsid w:val="16FE3C84"/>
    <w:rsid w:val="16FF3929"/>
    <w:rsid w:val="16FF4764"/>
    <w:rsid w:val="170100F7"/>
    <w:rsid w:val="17010772"/>
    <w:rsid w:val="17025F6F"/>
    <w:rsid w:val="170334AB"/>
    <w:rsid w:val="17043444"/>
    <w:rsid w:val="17044E49"/>
    <w:rsid w:val="17045380"/>
    <w:rsid w:val="17045F4B"/>
    <w:rsid w:val="1704626F"/>
    <w:rsid w:val="1707321E"/>
    <w:rsid w:val="170769D7"/>
    <w:rsid w:val="17081095"/>
    <w:rsid w:val="17082519"/>
    <w:rsid w:val="17090094"/>
    <w:rsid w:val="170A3375"/>
    <w:rsid w:val="170A44BD"/>
    <w:rsid w:val="170A76F8"/>
    <w:rsid w:val="170B201D"/>
    <w:rsid w:val="170B2D33"/>
    <w:rsid w:val="170D21AF"/>
    <w:rsid w:val="170D5363"/>
    <w:rsid w:val="170D6D1B"/>
    <w:rsid w:val="170D779F"/>
    <w:rsid w:val="170F1FA0"/>
    <w:rsid w:val="170F38D9"/>
    <w:rsid w:val="170F5AAA"/>
    <w:rsid w:val="17137E86"/>
    <w:rsid w:val="171477F7"/>
    <w:rsid w:val="17165AC6"/>
    <w:rsid w:val="1716604D"/>
    <w:rsid w:val="17167E2B"/>
    <w:rsid w:val="171747C9"/>
    <w:rsid w:val="17180673"/>
    <w:rsid w:val="171900C5"/>
    <w:rsid w:val="171926A6"/>
    <w:rsid w:val="171A15A3"/>
    <w:rsid w:val="171A354F"/>
    <w:rsid w:val="171D2330"/>
    <w:rsid w:val="171D771F"/>
    <w:rsid w:val="171E30BB"/>
    <w:rsid w:val="171E379B"/>
    <w:rsid w:val="171E6E96"/>
    <w:rsid w:val="171E71C7"/>
    <w:rsid w:val="171F35C9"/>
    <w:rsid w:val="17214184"/>
    <w:rsid w:val="172154E7"/>
    <w:rsid w:val="17221DC8"/>
    <w:rsid w:val="17224752"/>
    <w:rsid w:val="17234ADB"/>
    <w:rsid w:val="172369CB"/>
    <w:rsid w:val="1723752A"/>
    <w:rsid w:val="17240425"/>
    <w:rsid w:val="17246EA5"/>
    <w:rsid w:val="17250DA1"/>
    <w:rsid w:val="172577D0"/>
    <w:rsid w:val="17263905"/>
    <w:rsid w:val="172656E9"/>
    <w:rsid w:val="17283DFC"/>
    <w:rsid w:val="17291FA6"/>
    <w:rsid w:val="172A3FB6"/>
    <w:rsid w:val="172C492E"/>
    <w:rsid w:val="172C6EB8"/>
    <w:rsid w:val="17300C75"/>
    <w:rsid w:val="1730644C"/>
    <w:rsid w:val="17307BC8"/>
    <w:rsid w:val="17312749"/>
    <w:rsid w:val="173128E3"/>
    <w:rsid w:val="17322E6B"/>
    <w:rsid w:val="1732584D"/>
    <w:rsid w:val="17336401"/>
    <w:rsid w:val="17353404"/>
    <w:rsid w:val="173561BC"/>
    <w:rsid w:val="1736465F"/>
    <w:rsid w:val="173668CC"/>
    <w:rsid w:val="17382D64"/>
    <w:rsid w:val="173A2B91"/>
    <w:rsid w:val="173B02C3"/>
    <w:rsid w:val="173D1EC1"/>
    <w:rsid w:val="173E4D36"/>
    <w:rsid w:val="173F4B63"/>
    <w:rsid w:val="1742614A"/>
    <w:rsid w:val="174462F9"/>
    <w:rsid w:val="17453BEE"/>
    <w:rsid w:val="17455A2F"/>
    <w:rsid w:val="1745756B"/>
    <w:rsid w:val="17467470"/>
    <w:rsid w:val="17474B76"/>
    <w:rsid w:val="17475835"/>
    <w:rsid w:val="17482503"/>
    <w:rsid w:val="174829F8"/>
    <w:rsid w:val="174856BC"/>
    <w:rsid w:val="17497DB0"/>
    <w:rsid w:val="174A3913"/>
    <w:rsid w:val="174A6694"/>
    <w:rsid w:val="175106C4"/>
    <w:rsid w:val="17512BE0"/>
    <w:rsid w:val="175166F5"/>
    <w:rsid w:val="17521E02"/>
    <w:rsid w:val="17526B0E"/>
    <w:rsid w:val="1757309A"/>
    <w:rsid w:val="17573BFC"/>
    <w:rsid w:val="17592382"/>
    <w:rsid w:val="175945DD"/>
    <w:rsid w:val="17595917"/>
    <w:rsid w:val="175A2766"/>
    <w:rsid w:val="175A57A6"/>
    <w:rsid w:val="175A6AE6"/>
    <w:rsid w:val="175B22D0"/>
    <w:rsid w:val="175E6DB7"/>
    <w:rsid w:val="175E72FE"/>
    <w:rsid w:val="17600D67"/>
    <w:rsid w:val="17602EFE"/>
    <w:rsid w:val="176160F5"/>
    <w:rsid w:val="1762003F"/>
    <w:rsid w:val="17620280"/>
    <w:rsid w:val="17620B74"/>
    <w:rsid w:val="17622B4B"/>
    <w:rsid w:val="17624EDE"/>
    <w:rsid w:val="17627374"/>
    <w:rsid w:val="1763158E"/>
    <w:rsid w:val="176359EA"/>
    <w:rsid w:val="17636653"/>
    <w:rsid w:val="1764671C"/>
    <w:rsid w:val="17694698"/>
    <w:rsid w:val="176A13D1"/>
    <w:rsid w:val="176C18A3"/>
    <w:rsid w:val="176D6FA5"/>
    <w:rsid w:val="176E26B3"/>
    <w:rsid w:val="176F254F"/>
    <w:rsid w:val="176F4AFA"/>
    <w:rsid w:val="176F6064"/>
    <w:rsid w:val="176F623A"/>
    <w:rsid w:val="17702FE0"/>
    <w:rsid w:val="177226BD"/>
    <w:rsid w:val="17731169"/>
    <w:rsid w:val="17734EAE"/>
    <w:rsid w:val="17737CE3"/>
    <w:rsid w:val="177402DB"/>
    <w:rsid w:val="1775169D"/>
    <w:rsid w:val="177666F2"/>
    <w:rsid w:val="177733A0"/>
    <w:rsid w:val="17785C30"/>
    <w:rsid w:val="177941D2"/>
    <w:rsid w:val="177A19AB"/>
    <w:rsid w:val="177A1B40"/>
    <w:rsid w:val="177A3827"/>
    <w:rsid w:val="177A6D20"/>
    <w:rsid w:val="177E0F8D"/>
    <w:rsid w:val="177E2460"/>
    <w:rsid w:val="177E55BF"/>
    <w:rsid w:val="177F1E0C"/>
    <w:rsid w:val="177F490B"/>
    <w:rsid w:val="177F5F2A"/>
    <w:rsid w:val="177F77B1"/>
    <w:rsid w:val="178558F4"/>
    <w:rsid w:val="17855CD3"/>
    <w:rsid w:val="17861314"/>
    <w:rsid w:val="17865AE6"/>
    <w:rsid w:val="1787741A"/>
    <w:rsid w:val="1788261D"/>
    <w:rsid w:val="178842AA"/>
    <w:rsid w:val="178971E7"/>
    <w:rsid w:val="17897457"/>
    <w:rsid w:val="178C0A19"/>
    <w:rsid w:val="178D25A5"/>
    <w:rsid w:val="178D5145"/>
    <w:rsid w:val="17907443"/>
    <w:rsid w:val="17907B0B"/>
    <w:rsid w:val="179171EF"/>
    <w:rsid w:val="179215B2"/>
    <w:rsid w:val="17923075"/>
    <w:rsid w:val="17943B41"/>
    <w:rsid w:val="179519B0"/>
    <w:rsid w:val="17952571"/>
    <w:rsid w:val="1796254E"/>
    <w:rsid w:val="17985545"/>
    <w:rsid w:val="17985608"/>
    <w:rsid w:val="179908C6"/>
    <w:rsid w:val="17993948"/>
    <w:rsid w:val="179A2258"/>
    <w:rsid w:val="179A7C67"/>
    <w:rsid w:val="179B1504"/>
    <w:rsid w:val="179B2992"/>
    <w:rsid w:val="179D20BE"/>
    <w:rsid w:val="17A001EB"/>
    <w:rsid w:val="17A05EB9"/>
    <w:rsid w:val="17A0779F"/>
    <w:rsid w:val="17A41908"/>
    <w:rsid w:val="17A50911"/>
    <w:rsid w:val="17A766A8"/>
    <w:rsid w:val="17A8724A"/>
    <w:rsid w:val="17A9094F"/>
    <w:rsid w:val="17A9170B"/>
    <w:rsid w:val="17AB0352"/>
    <w:rsid w:val="17AD7CA2"/>
    <w:rsid w:val="17B02800"/>
    <w:rsid w:val="17B12471"/>
    <w:rsid w:val="17B12AA6"/>
    <w:rsid w:val="17B14CEF"/>
    <w:rsid w:val="17B1727B"/>
    <w:rsid w:val="17B215FF"/>
    <w:rsid w:val="17B3666C"/>
    <w:rsid w:val="17B467ED"/>
    <w:rsid w:val="17B622B0"/>
    <w:rsid w:val="17B70BC3"/>
    <w:rsid w:val="17B76250"/>
    <w:rsid w:val="17B76334"/>
    <w:rsid w:val="17B8055F"/>
    <w:rsid w:val="17B86896"/>
    <w:rsid w:val="17B969C4"/>
    <w:rsid w:val="17BA50A2"/>
    <w:rsid w:val="17BB191C"/>
    <w:rsid w:val="17BB4211"/>
    <w:rsid w:val="17BC5980"/>
    <w:rsid w:val="17BD6FE5"/>
    <w:rsid w:val="17BE004A"/>
    <w:rsid w:val="17BE6939"/>
    <w:rsid w:val="17BF0DD7"/>
    <w:rsid w:val="17BF4AF5"/>
    <w:rsid w:val="17C01DC1"/>
    <w:rsid w:val="17C040EC"/>
    <w:rsid w:val="17C05F2F"/>
    <w:rsid w:val="17C063A1"/>
    <w:rsid w:val="17C25EDD"/>
    <w:rsid w:val="17C36FE9"/>
    <w:rsid w:val="17C44115"/>
    <w:rsid w:val="17C526AA"/>
    <w:rsid w:val="17C60315"/>
    <w:rsid w:val="17C72DFB"/>
    <w:rsid w:val="17C87211"/>
    <w:rsid w:val="17CB4445"/>
    <w:rsid w:val="17CC1C9F"/>
    <w:rsid w:val="17CC34D1"/>
    <w:rsid w:val="17CD2693"/>
    <w:rsid w:val="17D23DF1"/>
    <w:rsid w:val="17D27ED7"/>
    <w:rsid w:val="17D30996"/>
    <w:rsid w:val="17D31C77"/>
    <w:rsid w:val="17D3568A"/>
    <w:rsid w:val="17D44A04"/>
    <w:rsid w:val="17D457FD"/>
    <w:rsid w:val="17D622DF"/>
    <w:rsid w:val="17D758BD"/>
    <w:rsid w:val="17DA09D4"/>
    <w:rsid w:val="17DC0B48"/>
    <w:rsid w:val="17DC7F18"/>
    <w:rsid w:val="17DE5129"/>
    <w:rsid w:val="17DE7483"/>
    <w:rsid w:val="17DF45F4"/>
    <w:rsid w:val="17E1575E"/>
    <w:rsid w:val="17E22AB4"/>
    <w:rsid w:val="17E35A4A"/>
    <w:rsid w:val="17E4102B"/>
    <w:rsid w:val="17E45A99"/>
    <w:rsid w:val="17E70501"/>
    <w:rsid w:val="17E766EE"/>
    <w:rsid w:val="17EA1B6A"/>
    <w:rsid w:val="17EA5EF0"/>
    <w:rsid w:val="17ED4191"/>
    <w:rsid w:val="17EE2BBC"/>
    <w:rsid w:val="17EF2291"/>
    <w:rsid w:val="17F02210"/>
    <w:rsid w:val="17F0660E"/>
    <w:rsid w:val="17F35A1B"/>
    <w:rsid w:val="17F416BF"/>
    <w:rsid w:val="17F426AC"/>
    <w:rsid w:val="17F667B5"/>
    <w:rsid w:val="17F66F33"/>
    <w:rsid w:val="17F727B2"/>
    <w:rsid w:val="17F87CC7"/>
    <w:rsid w:val="17F91A05"/>
    <w:rsid w:val="17F925FA"/>
    <w:rsid w:val="17F92A72"/>
    <w:rsid w:val="17FB0005"/>
    <w:rsid w:val="17FC3676"/>
    <w:rsid w:val="17FD24FB"/>
    <w:rsid w:val="17FE342F"/>
    <w:rsid w:val="17FF5486"/>
    <w:rsid w:val="17FF78CE"/>
    <w:rsid w:val="180005B0"/>
    <w:rsid w:val="180133D0"/>
    <w:rsid w:val="1801537B"/>
    <w:rsid w:val="180164C5"/>
    <w:rsid w:val="180208F4"/>
    <w:rsid w:val="1802478D"/>
    <w:rsid w:val="180404EF"/>
    <w:rsid w:val="180441FE"/>
    <w:rsid w:val="18044AFB"/>
    <w:rsid w:val="18051C98"/>
    <w:rsid w:val="18061192"/>
    <w:rsid w:val="18062B73"/>
    <w:rsid w:val="18071D30"/>
    <w:rsid w:val="18072256"/>
    <w:rsid w:val="18075E07"/>
    <w:rsid w:val="18091E7F"/>
    <w:rsid w:val="18092DFF"/>
    <w:rsid w:val="18093748"/>
    <w:rsid w:val="180C33A0"/>
    <w:rsid w:val="180C5F51"/>
    <w:rsid w:val="180D0002"/>
    <w:rsid w:val="180D1C5B"/>
    <w:rsid w:val="180D7166"/>
    <w:rsid w:val="180E4605"/>
    <w:rsid w:val="180E557E"/>
    <w:rsid w:val="180E6C46"/>
    <w:rsid w:val="180F20F6"/>
    <w:rsid w:val="18100D38"/>
    <w:rsid w:val="181261D9"/>
    <w:rsid w:val="1813169F"/>
    <w:rsid w:val="18142AC3"/>
    <w:rsid w:val="1814466D"/>
    <w:rsid w:val="18147845"/>
    <w:rsid w:val="181606D2"/>
    <w:rsid w:val="181650A2"/>
    <w:rsid w:val="18173480"/>
    <w:rsid w:val="181A2CFE"/>
    <w:rsid w:val="181A3AAB"/>
    <w:rsid w:val="181A43D5"/>
    <w:rsid w:val="181B10CF"/>
    <w:rsid w:val="181B22CC"/>
    <w:rsid w:val="181B28A5"/>
    <w:rsid w:val="181D3EAB"/>
    <w:rsid w:val="181E05D9"/>
    <w:rsid w:val="181E20ED"/>
    <w:rsid w:val="181E2472"/>
    <w:rsid w:val="181E3301"/>
    <w:rsid w:val="181E6053"/>
    <w:rsid w:val="18205492"/>
    <w:rsid w:val="18206D6F"/>
    <w:rsid w:val="18225A7D"/>
    <w:rsid w:val="18244140"/>
    <w:rsid w:val="182538FB"/>
    <w:rsid w:val="1826098F"/>
    <w:rsid w:val="1827503A"/>
    <w:rsid w:val="18284DF0"/>
    <w:rsid w:val="18291542"/>
    <w:rsid w:val="182B06BF"/>
    <w:rsid w:val="182B489E"/>
    <w:rsid w:val="182B66BB"/>
    <w:rsid w:val="182B6CCB"/>
    <w:rsid w:val="182C10DF"/>
    <w:rsid w:val="182C7205"/>
    <w:rsid w:val="182D0361"/>
    <w:rsid w:val="182D40FC"/>
    <w:rsid w:val="182E27C3"/>
    <w:rsid w:val="182E4312"/>
    <w:rsid w:val="182E5676"/>
    <w:rsid w:val="182F4577"/>
    <w:rsid w:val="182F5181"/>
    <w:rsid w:val="183062C9"/>
    <w:rsid w:val="183134EF"/>
    <w:rsid w:val="18316649"/>
    <w:rsid w:val="183306A2"/>
    <w:rsid w:val="18332A85"/>
    <w:rsid w:val="18333852"/>
    <w:rsid w:val="183512DB"/>
    <w:rsid w:val="18352684"/>
    <w:rsid w:val="18354B78"/>
    <w:rsid w:val="1836379D"/>
    <w:rsid w:val="183700EC"/>
    <w:rsid w:val="183711E2"/>
    <w:rsid w:val="18390368"/>
    <w:rsid w:val="18394B01"/>
    <w:rsid w:val="183A1C29"/>
    <w:rsid w:val="183A7CBC"/>
    <w:rsid w:val="183B2434"/>
    <w:rsid w:val="183B59C6"/>
    <w:rsid w:val="183B7963"/>
    <w:rsid w:val="183D6492"/>
    <w:rsid w:val="183D6AF2"/>
    <w:rsid w:val="183D7C84"/>
    <w:rsid w:val="183E410A"/>
    <w:rsid w:val="183E5118"/>
    <w:rsid w:val="183F7790"/>
    <w:rsid w:val="184177DB"/>
    <w:rsid w:val="18420F04"/>
    <w:rsid w:val="18433B42"/>
    <w:rsid w:val="18443DDB"/>
    <w:rsid w:val="18446D3A"/>
    <w:rsid w:val="184616C6"/>
    <w:rsid w:val="18486C22"/>
    <w:rsid w:val="18496A10"/>
    <w:rsid w:val="184B007F"/>
    <w:rsid w:val="184C5231"/>
    <w:rsid w:val="184C7822"/>
    <w:rsid w:val="184E1DF0"/>
    <w:rsid w:val="184E5791"/>
    <w:rsid w:val="184E6FEC"/>
    <w:rsid w:val="18513818"/>
    <w:rsid w:val="185172BF"/>
    <w:rsid w:val="185174EF"/>
    <w:rsid w:val="1853755E"/>
    <w:rsid w:val="18537A75"/>
    <w:rsid w:val="18545C09"/>
    <w:rsid w:val="18547253"/>
    <w:rsid w:val="185554B0"/>
    <w:rsid w:val="18574EF4"/>
    <w:rsid w:val="18577387"/>
    <w:rsid w:val="185B447B"/>
    <w:rsid w:val="185B74AB"/>
    <w:rsid w:val="185B764C"/>
    <w:rsid w:val="185C66DC"/>
    <w:rsid w:val="185D7CD3"/>
    <w:rsid w:val="185F5FF1"/>
    <w:rsid w:val="185F678B"/>
    <w:rsid w:val="185F7712"/>
    <w:rsid w:val="1860376F"/>
    <w:rsid w:val="18620ECA"/>
    <w:rsid w:val="1862728D"/>
    <w:rsid w:val="18631C3A"/>
    <w:rsid w:val="186355DB"/>
    <w:rsid w:val="186373D0"/>
    <w:rsid w:val="18643FD7"/>
    <w:rsid w:val="18644328"/>
    <w:rsid w:val="18650829"/>
    <w:rsid w:val="18661625"/>
    <w:rsid w:val="18673D01"/>
    <w:rsid w:val="186744D0"/>
    <w:rsid w:val="18674BA9"/>
    <w:rsid w:val="186A33C4"/>
    <w:rsid w:val="186A5AA3"/>
    <w:rsid w:val="186E51A7"/>
    <w:rsid w:val="186F4D4A"/>
    <w:rsid w:val="187009C7"/>
    <w:rsid w:val="187261CF"/>
    <w:rsid w:val="18727D3B"/>
    <w:rsid w:val="18734C5B"/>
    <w:rsid w:val="187357D6"/>
    <w:rsid w:val="1873794E"/>
    <w:rsid w:val="1874144F"/>
    <w:rsid w:val="187535E0"/>
    <w:rsid w:val="1876350E"/>
    <w:rsid w:val="18763D51"/>
    <w:rsid w:val="187640E3"/>
    <w:rsid w:val="187759A9"/>
    <w:rsid w:val="18780A1A"/>
    <w:rsid w:val="18782927"/>
    <w:rsid w:val="187A276B"/>
    <w:rsid w:val="187A37AA"/>
    <w:rsid w:val="187C5B16"/>
    <w:rsid w:val="187D34BA"/>
    <w:rsid w:val="187D3697"/>
    <w:rsid w:val="187E4212"/>
    <w:rsid w:val="18803FAF"/>
    <w:rsid w:val="18811FC9"/>
    <w:rsid w:val="188156B8"/>
    <w:rsid w:val="188170D7"/>
    <w:rsid w:val="18824EF2"/>
    <w:rsid w:val="188326C0"/>
    <w:rsid w:val="18834365"/>
    <w:rsid w:val="18842C7C"/>
    <w:rsid w:val="188559EF"/>
    <w:rsid w:val="18856A28"/>
    <w:rsid w:val="18864809"/>
    <w:rsid w:val="1887068E"/>
    <w:rsid w:val="18872CAD"/>
    <w:rsid w:val="18873410"/>
    <w:rsid w:val="18890A70"/>
    <w:rsid w:val="18890D35"/>
    <w:rsid w:val="188A2613"/>
    <w:rsid w:val="188A5B50"/>
    <w:rsid w:val="188A6E30"/>
    <w:rsid w:val="188C1B9F"/>
    <w:rsid w:val="188C4338"/>
    <w:rsid w:val="188D377A"/>
    <w:rsid w:val="188E672C"/>
    <w:rsid w:val="188E73FC"/>
    <w:rsid w:val="188F76CC"/>
    <w:rsid w:val="18913BAC"/>
    <w:rsid w:val="18916C60"/>
    <w:rsid w:val="189272B6"/>
    <w:rsid w:val="18931594"/>
    <w:rsid w:val="18936532"/>
    <w:rsid w:val="18940A92"/>
    <w:rsid w:val="18944875"/>
    <w:rsid w:val="18962CC7"/>
    <w:rsid w:val="18964BFF"/>
    <w:rsid w:val="189702AE"/>
    <w:rsid w:val="1897226B"/>
    <w:rsid w:val="189722F6"/>
    <w:rsid w:val="18973C99"/>
    <w:rsid w:val="18993DCD"/>
    <w:rsid w:val="18994F00"/>
    <w:rsid w:val="1899556D"/>
    <w:rsid w:val="189B305C"/>
    <w:rsid w:val="189C34CF"/>
    <w:rsid w:val="189E35AD"/>
    <w:rsid w:val="189E5EDA"/>
    <w:rsid w:val="189F0323"/>
    <w:rsid w:val="189F0F93"/>
    <w:rsid w:val="18A04252"/>
    <w:rsid w:val="18A127C3"/>
    <w:rsid w:val="18A137CE"/>
    <w:rsid w:val="18A244DE"/>
    <w:rsid w:val="18A24796"/>
    <w:rsid w:val="18A26E74"/>
    <w:rsid w:val="18A729DB"/>
    <w:rsid w:val="18A73A0A"/>
    <w:rsid w:val="18A741B5"/>
    <w:rsid w:val="18A74879"/>
    <w:rsid w:val="18A900DA"/>
    <w:rsid w:val="18A912AC"/>
    <w:rsid w:val="18AA2300"/>
    <w:rsid w:val="18AA7B7D"/>
    <w:rsid w:val="18AB1F57"/>
    <w:rsid w:val="18AF7097"/>
    <w:rsid w:val="18B13476"/>
    <w:rsid w:val="18B135B0"/>
    <w:rsid w:val="18B14D2F"/>
    <w:rsid w:val="18B15EE0"/>
    <w:rsid w:val="18B36071"/>
    <w:rsid w:val="18B44F69"/>
    <w:rsid w:val="18B507AD"/>
    <w:rsid w:val="18B532CB"/>
    <w:rsid w:val="18B630C6"/>
    <w:rsid w:val="18B75600"/>
    <w:rsid w:val="18B82428"/>
    <w:rsid w:val="18B83568"/>
    <w:rsid w:val="18B93B09"/>
    <w:rsid w:val="18B94A3C"/>
    <w:rsid w:val="18BB2CAA"/>
    <w:rsid w:val="18BD4547"/>
    <w:rsid w:val="18C12939"/>
    <w:rsid w:val="18C1506F"/>
    <w:rsid w:val="18C24AE5"/>
    <w:rsid w:val="18C36D65"/>
    <w:rsid w:val="18C400F2"/>
    <w:rsid w:val="18C50CE8"/>
    <w:rsid w:val="18C638FF"/>
    <w:rsid w:val="18C926E1"/>
    <w:rsid w:val="18C9581A"/>
    <w:rsid w:val="18CA036D"/>
    <w:rsid w:val="18CB7938"/>
    <w:rsid w:val="18D00308"/>
    <w:rsid w:val="18D10C51"/>
    <w:rsid w:val="18D123B7"/>
    <w:rsid w:val="18D13410"/>
    <w:rsid w:val="18D146FF"/>
    <w:rsid w:val="18D152F2"/>
    <w:rsid w:val="18D41C80"/>
    <w:rsid w:val="18D56FBF"/>
    <w:rsid w:val="18D56FD4"/>
    <w:rsid w:val="18D635FA"/>
    <w:rsid w:val="18D65040"/>
    <w:rsid w:val="18D677E3"/>
    <w:rsid w:val="18D761A8"/>
    <w:rsid w:val="18D95138"/>
    <w:rsid w:val="18DA0919"/>
    <w:rsid w:val="18DB0A37"/>
    <w:rsid w:val="18DB3EEC"/>
    <w:rsid w:val="18DC4FFA"/>
    <w:rsid w:val="18DC6628"/>
    <w:rsid w:val="18DC75C9"/>
    <w:rsid w:val="18DE6DC3"/>
    <w:rsid w:val="18DE7705"/>
    <w:rsid w:val="18DF298C"/>
    <w:rsid w:val="18E02AEC"/>
    <w:rsid w:val="18E056C0"/>
    <w:rsid w:val="18E50BAA"/>
    <w:rsid w:val="18E549B9"/>
    <w:rsid w:val="18E556BF"/>
    <w:rsid w:val="18E63DD5"/>
    <w:rsid w:val="18E759C9"/>
    <w:rsid w:val="18E84CC1"/>
    <w:rsid w:val="18E85806"/>
    <w:rsid w:val="18E90D15"/>
    <w:rsid w:val="18E969B6"/>
    <w:rsid w:val="18EA3F3B"/>
    <w:rsid w:val="18ED431E"/>
    <w:rsid w:val="18ED4FF1"/>
    <w:rsid w:val="18ED58CB"/>
    <w:rsid w:val="18EE1C94"/>
    <w:rsid w:val="18EE37AF"/>
    <w:rsid w:val="18F05CE4"/>
    <w:rsid w:val="18F06F29"/>
    <w:rsid w:val="18F12966"/>
    <w:rsid w:val="18F1775A"/>
    <w:rsid w:val="18F20721"/>
    <w:rsid w:val="18F31512"/>
    <w:rsid w:val="18F33777"/>
    <w:rsid w:val="18F41A32"/>
    <w:rsid w:val="18F424F5"/>
    <w:rsid w:val="18F558C8"/>
    <w:rsid w:val="18F56559"/>
    <w:rsid w:val="18F73CBD"/>
    <w:rsid w:val="18FA2F76"/>
    <w:rsid w:val="18FA3232"/>
    <w:rsid w:val="18FB0DB8"/>
    <w:rsid w:val="18FC36B2"/>
    <w:rsid w:val="18FC3CF6"/>
    <w:rsid w:val="18FD0360"/>
    <w:rsid w:val="18FF2227"/>
    <w:rsid w:val="19001B31"/>
    <w:rsid w:val="19003C6E"/>
    <w:rsid w:val="19012E97"/>
    <w:rsid w:val="190131C3"/>
    <w:rsid w:val="190200A9"/>
    <w:rsid w:val="19056CDA"/>
    <w:rsid w:val="19065AC6"/>
    <w:rsid w:val="1907191F"/>
    <w:rsid w:val="19072A61"/>
    <w:rsid w:val="19087477"/>
    <w:rsid w:val="19094A74"/>
    <w:rsid w:val="19096728"/>
    <w:rsid w:val="19096903"/>
    <w:rsid w:val="190A3FE3"/>
    <w:rsid w:val="190A586E"/>
    <w:rsid w:val="190B712F"/>
    <w:rsid w:val="190C5580"/>
    <w:rsid w:val="190E3F55"/>
    <w:rsid w:val="190F5168"/>
    <w:rsid w:val="19116779"/>
    <w:rsid w:val="191240D4"/>
    <w:rsid w:val="19130AA4"/>
    <w:rsid w:val="19144D2B"/>
    <w:rsid w:val="191540D9"/>
    <w:rsid w:val="19162E78"/>
    <w:rsid w:val="19170274"/>
    <w:rsid w:val="19180A75"/>
    <w:rsid w:val="19182933"/>
    <w:rsid w:val="191850C9"/>
    <w:rsid w:val="1919282D"/>
    <w:rsid w:val="191A07F4"/>
    <w:rsid w:val="191A5CEE"/>
    <w:rsid w:val="191A7B50"/>
    <w:rsid w:val="191B4D3A"/>
    <w:rsid w:val="191C51C2"/>
    <w:rsid w:val="191D7DB1"/>
    <w:rsid w:val="191E4425"/>
    <w:rsid w:val="191F1F6E"/>
    <w:rsid w:val="191F6036"/>
    <w:rsid w:val="191F64EF"/>
    <w:rsid w:val="192005F1"/>
    <w:rsid w:val="19212EAC"/>
    <w:rsid w:val="1921396C"/>
    <w:rsid w:val="1922476A"/>
    <w:rsid w:val="19270E05"/>
    <w:rsid w:val="192835A8"/>
    <w:rsid w:val="192906DD"/>
    <w:rsid w:val="192A1BC9"/>
    <w:rsid w:val="192A37BE"/>
    <w:rsid w:val="192A6367"/>
    <w:rsid w:val="192B4E46"/>
    <w:rsid w:val="192C7239"/>
    <w:rsid w:val="192E31C5"/>
    <w:rsid w:val="192F149B"/>
    <w:rsid w:val="19302221"/>
    <w:rsid w:val="19316C9E"/>
    <w:rsid w:val="19323942"/>
    <w:rsid w:val="19331D79"/>
    <w:rsid w:val="19336582"/>
    <w:rsid w:val="19345F3D"/>
    <w:rsid w:val="193463F1"/>
    <w:rsid w:val="1935122A"/>
    <w:rsid w:val="19361140"/>
    <w:rsid w:val="193735C6"/>
    <w:rsid w:val="1939354A"/>
    <w:rsid w:val="19397CD6"/>
    <w:rsid w:val="193A06C4"/>
    <w:rsid w:val="193B2EEA"/>
    <w:rsid w:val="193B375D"/>
    <w:rsid w:val="193B79D8"/>
    <w:rsid w:val="193E30B0"/>
    <w:rsid w:val="19407B7B"/>
    <w:rsid w:val="19411DD3"/>
    <w:rsid w:val="19412CE6"/>
    <w:rsid w:val="19413731"/>
    <w:rsid w:val="19417C12"/>
    <w:rsid w:val="194235E6"/>
    <w:rsid w:val="194251EB"/>
    <w:rsid w:val="19444266"/>
    <w:rsid w:val="19446AF1"/>
    <w:rsid w:val="194505FE"/>
    <w:rsid w:val="194552BB"/>
    <w:rsid w:val="194672D2"/>
    <w:rsid w:val="19477BD2"/>
    <w:rsid w:val="1948148E"/>
    <w:rsid w:val="19481FE2"/>
    <w:rsid w:val="194920C9"/>
    <w:rsid w:val="194E031F"/>
    <w:rsid w:val="194E61CD"/>
    <w:rsid w:val="195038B6"/>
    <w:rsid w:val="19513EAF"/>
    <w:rsid w:val="19524324"/>
    <w:rsid w:val="19526877"/>
    <w:rsid w:val="19531B92"/>
    <w:rsid w:val="195414AD"/>
    <w:rsid w:val="19553AE8"/>
    <w:rsid w:val="19555E25"/>
    <w:rsid w:val="19561BFC"/>
    <w:rsid w:val="195713F4"/>
    <w:rsid w:val="19577FFC"/>
    <w:rsid w:val="19583A85"/>
    <w:rsid w:val="19585853"/>
    <w:rsid w:val="19591956"/>
    <w:rsid w:val="195A349F"/>
    <w:rsid w:val="195A4B08"/>
    <w:rsid w:val="19626D3D"/>
    <w:rsid w:val="19652EEB"/>
    <w:rsid w:val="196659E4"/>
    <w:rsid w:val="1967365E"/>
    <w:rsid w:val="196C1720"/>
    <w:rsid w:val="196C5871"/>
    <w:rsid w:val="196E32C9"/>
    <w:rsid w:val="196E4F50"/>
    <w:rsid w:val="196E57E7"/>
    <w:rsid w:val="197122D7"/>
    <w:rsid w:val="19723863"/>
    <w:rsid w:val="19723DA6"/>
    <w:rsid w:val="197273DC"/>
    <w:rsid w:val="197278EC"/>
    <w:rsid w:val="197745D7"/>
    <w:rsid w:val="19782A39"/>
    <w:rsid w:val="19785CAC"/>
    <w:rsid w:val="19786777"/>
    <w:rsid w:val="19787BFA"/>
    <w:rsid w:val="1979101B"/>
    <w:rsid w:val="1979606C"/>
    <w:rsid w:val="1979655E"/>
    <w:rsid w:val="19796E0A"/>
    <w:rsid w:val="197A24E5"/>
    <w:rsid w:val="197A4168"/>
    <w:rsid w:val="197B0324"/>
    <w:rsid w:val="197D51B5"/>
    <w:rsid w:val="197D624D"/>
    <w:rsid w:val="19827797"/>
    <w:rsid w:val="1983765C"/>
    <w:rsid w:val="198423BD"/>
    <w:rsid w:val="198601AA"/>
    <w:rsid w:val="19861471"/>
    <w:rsid w:val="19861897"/>
    <w:rsid w:val="19867DB2"/>
    <w:rsid w:val="198804EA"/>
    <w:rsid w:val="198901FC"/>
    <w:rsid w:val="19890368"/>
    <w:rsid w:val="198C0AD3"/>
    <w:rsid w:val="198C0BFD"/>
    <w:rsid w:val="198C3294"/>
    <w:rsid w:val="198C3C2F"/>
    <w:rsid w:val="198C4F8E"/>
    <w:rsid w:val="198D6F85"/>
    <w:rsid w:val="198E05F5"/>
    <w:rsid w:val="198F61F5"/>
    <w:rsid w:val="1991461A"/>
    <w:rsid w:val="19915750"/>
    <w:rsid w:val="199175F1"/>
    <w:rsid w:val="199300BA"/>
    <w:rsid w:val="1993725E"/>
    <w:rsid w:val="19944332"/>
    <w:rsid w:val="199717AE"/>
    <w:rsid w:val="19977F01"/>
    <w:rsid w:val="19980B68"/>
    <w:rsid w:val="19981E33"/>
    <w:rsid w:val="1999058F"/>
    <w:rsid w:val="19992058"/>
    <w:rsid w:val="199A7E4C"/>
    <w:rsid w:val="199B3558"/>
    <w:rsid w:val="199D74A4"/>
    <w:rsid w:val="199E0277"/>
    <w:rsid w:val="19A01EA7"/>
    <w:rsid w:val="19A0661B"/>
    <w:rsid w:val="19A1186E"/>
    <w:rsid w:val="19A11B47"/>
    <w:rsid w:val="19A25981"/>
    <w:rsid w:val="19A601AB"/>
    <w:rsid w:val="19A61B39"/>
    <w:rsid w:val="19A70979"/>
    <w:rsid w:val="19A74B58"/>
    <w:rsid w:val="19A86FEF"/>
    <w:rsid w:val="19A874D9"/>
    <w:rsid w:val="19A96350"/>
    <w:rsid w:val="19AA0461"/>
    <w:rsid w:val="19AB4A4A"/>
    <w:rsid w:val="19AB6B50"/>
    <w:rsid w:val="19AB7692"/>
    <w:rsid w:val="19AC03D8"/>
    <w:rsid w:val="19AC6BF7"/>
    <w:rsid w:val="19AE62E2"/>
    <w:rsid w:val="19AF241D"/>
    <w:rsid w:val="19AF391F"/>
    <w:rsid w:val="19B115DB"/>
    <w:rsid w:val="19B21848"/>
    <w:rsid w:val="19B6754E"/>
    <w:rsid w:val="19B7329D"/>
    <w:rsid w:val="19B95C11"/>
    <w:rsid w:val="19B97605"/>
    <w:rsid w:val="19BA4190"/>
    <w:rsid w:val="19BB64B7"/>
    <w:rsid w:val="19BB6E10"/>
    <w:rsid w:val="19BC7C7C"/>
    <w:rsid w:val="19BD6013"/>
    <w:rsid w:val="19BD7981"/>
    <w:rsid w:val="19BE540B"/>
    <w:rsid w:val="19BF298B"/>
    <w:rsid w:val="19BF40D7"/>
    <w:rsid w:val="19C00729"/>
    <w:rsid w:val="19C10D4A"/>
    <w:rsid w:val="19C11F08"/>
    <w:rsid w:val="19C134EF"/>
    <w:rsid w:val="19C22C78"/>
    <w:rsid w:val="19C249EA"/>
    <w:rsid w:val="19C26D7F"/>
    <w:rsid w:val="19C42354"/>
    <w:rsid w:val="19C51802"/>
    <w:rsid w:val="19C7382B"/>
    <w:rsid w:val="19C77287"/>
    <w:rsid w:val="19C91688"/>
    <w:rsid w:val="19CB66DF"/>
    <w:rsid w:val="19CC2B1C"/>
    <w:rsid w:val="19CD750A"/>
    <w:rsid w:val="19D06B08"/>
    <w:rsid w:val="19D62551"/>
    <w:rsid w:val="19D66905"/>
    <w:rsid w:val="19D74600"/>
    <w:rsid w:val="19D85D79"/>
    <w:rsid w:val="19D93BBA"/>
    <w:rsid w:val="19DA2C87"/>
    <w:rsid w:val="19DB2749"/>
    <w:rsid w:val="19DE5737"/>
    <w:rsid w:val="19DE5C70"/>
    <w:rsid w:val="19DE632C"/>
    <w:rsid w:val="19DF1921"/>
    <w:rsid w:val="19E03948"/>
    <w:rsid w:val="19E043F6"/>
    <w:rsid w:val="19E21C5E"/>
    <w:rsid w:val="19E3328C"/>
    <w:rsid w:val="19E35CB4"/>
    <w:rsid w:val="19E411DF"/>
    <w:rsid w:val="19E41BC5"/>
    <w:rsid w:val="19E44AD0"/>
    <w:rsid w:val="19E55C3F"/>
    <w:rsid w:val="19E747F5"/>
    <w:rsid w:val="19E80B13"/>
    <w:rsid w:val="19EA00A0"/>
    <w:rsid w:val="19EB0900"/>
    <w:rsid w:val="19EC0E0E"/>
    <w:rsid w:val="19EC29D8"/>
    <w:rsid w:val="19EC4572"/>
    <w:rsid w:val="19EE32BD"/>
    <w:rsid w:val="19EE409D"/>
    <w:rsid w:val="19EF27FB"/>
    <w:rsid w:val="19F038C2"/>
    <w:rsid w:val="19F068EF"/>
    <w:rsid w:val="19F32CD3"/>
    <w:rsid w:val="19F35CE1"/>
    <w:rsid w:val="19F375F3"/>
    <w:rsid w:val="19F737C0"/>
    <w:rsid w:val="19F74432"/>
    <w:rsid w:val="19F86554"/>
    <w:rsid w:val="19F87281"/>
    <w:rsid w:val="19F91AF9"/>
    <w:rsid w:val="19F9401C"/>
    <w:rsid w:val="19F96476"/>
    <w:rsid w:val="19FA2A47"/>
    <w:rsid w:val="19FB2698"/>
    <w:rsid w:val="19FB4213"/>
    <w:rsid w:val="19FE155C"/>
    <w:rsid w:val="19FE2244"/>
    <w:rsid w:val="19FF4541"/>
    <w:rsid w:val="1A004B53"/>
    <w:rsid w:val="1A017E65"/>
    <w:rsid w:val="1A033C35"/>
    <w:rsid w:val="1A0516C2"/>
    <w:rsid w:val="1A067EE5"/>
    <w:rsid w:val="1A075D47"/>
    <w:rsid w:val="1A0942F4"/>
    <w:rsid w:val="1A096B03"/>
    <w:rsid w:val="1A09779E"/>
    <w:rsid w:val="1A0A297B"/>
    <w:rsid w:val="1A0A5BBB"/>
    <w:rsid w:val="1A0A6625"/>
    <w:rsid w:val="1A0B5DB8"/>
    <w:rsid w:val="1A0E0D19"/>
    <w:rsid w:val="1A0F294D"/>
    <w:rsid w:val="1A0F43D0"/>
    <w:rsid w:val="1A100E04"/>
    <w:rsid w:val="1A10476C"/>
    <w:rsid w:val="1A114734"/>
    <w:rsid w:val="1A117591"/>
    <w:rsid w:val="1A1203F5"/>
    <w:rsid w:val="1A132C7C"/>
    <w:rsid w:val="1A132E2F"/>
    <w:rsid w:val="1A157BCF"/>
    <w:rsid w:val="1A170883"/>
    <w:rsid w:val="1A181878"/>
    <w:rsid w:val="1A19495D"/>
    <w:rsid w:val="1A1954ED"/>
    <w:rsid w:val="1A195C74"/>
    <w:rsid w:val="1A1A0597"/>
    <w:rsid w:val="1A1A0DDA"/>
    <w:rsid w:val="1A1A3BDA"/>
    <w:rsid w:val="1A1A7106"/>
    <w:rsid w:val="1A1B2306"/>
    <w:rsid w:val="1A1B3C0B"/>
    <w:rsid w:val="1A1C3405"/>
    <w:rsid w:val="1A1C6A56"/>
    <w:rsid w:val="1A1D365D"/>
    <w:rsid w:val="1A1D6B46"/>
    <w:rsid w:val="1A1E4FD7"/>
    <w:rsid w:val="1A1F5851"/>
    <w:rsid w:val="1A1F5D40"/>
    <w:rsid w:val="1A23068E"/>
    <w:rsid w:val="1A257366"/>
    <w:rsid w:val="1A28208E"/>
    <w:rsid w:val="1A287FCA"/>
    <w:rsid w:val="1A290C03"/>
    <w:rsid w:val="1A2A00BE"/>
    <w:rsid w:val="1A2A702A"/>
    <w:rsid w:val="1A2C0E66"/>
    <w:rsid w:val="1A2C7AD6"/>
    <w:rsid w:val="1A2D3ADA"/>
    <w:rsid w:val="1A2E1B3B"/>
    <w:rsid w:val="1A2E3D22"/>
    <w:rsid w:val="1A2E76B1"/>
    <w:rsid w:val="1A2F0F12"/>
    <w:rsid w:val="1A2F13E8"/>
    <w:rsid w:val="1A2F1F15"/>
    <w:rsid w:val="1A330CD1"/>
    <w:rsid w:val="1A3327E1"/>
    <w:rsid w:val="1A333373"/>
    <w:rsid w:val="1A3348FA"/>
    <w:rsid w:val="1A342E52"/>
    <w:rsid w:val="1A392D94"/>
    <w:rsid w:val="1A3979E6"/>
    <w:rsid w:val="1A3A3560"/>
    <w:rsid w:val="1A3C48A7"/>
    <w:rsid w:val="1A3F48EA"/>
    <w:rsid w:val="1A3F4C20"/>
    <w:rsid w:val="1A3F6246"/>
    <w:rsid w:val="1A400283"/>
    <w:rsid w:val="1A404921"/>
    <w:rsid w:val="1A404A13"/>
    <w:rsid w:val="1A4065F5"/>
    <w:rsid w:val="1A412097"/>
    <w:rsid w:val="1A425452"/>
    <w:rsid w:val="1A45009B"/>
    <w:rsid w:val="1A466C87"/>
    <w:rsid w:val="1A4732F4"/>
    <w:rsid w:val="1A4733C2"/>
    <w:rsid w:val="1A475B58"/>
    <w:rsid w:val="1A491970"/>
    <w:rsid w:val="1A4A57A0"/>
    <w:rsid w:val="1A4A6546"/>
    <w:rsid w:val="1A4B25B5"/>
    <w:rsid w:val="1A4B75B1"/>
    <w:rsid w:val="1A4C5A3F"/>
    <w:rsid w:val="1A4D31D0"/>
    <w:rsid w:val="1A4E3193"/>
    <w:rsid w:val="1A4E34E2"/>
    <w:rsid w:val="1A4F7034"/>
    <w:rsid w:val="1A504D3E"/>
    <w:rsid w:val="1A510268"/>
    <w:rsid w:val="1A513D22"/>
    <w:rsid w:val="1A530AF8"/>
    <w:rsid w:val="1A53407C"/>
    <w:rsid w:val="1A56067D"/>
    <w:rsid w:val="1A560F1E"/>
    <w:rsid w:val="1A561BBC"/>
    <w:rsid w:val="1A564DE2"/>
    <w:rsid w:val="1A5D45E3"/>
    <w:rsid w:val="1A5D4801"/>
    <w:rsid w:val="1A5D70B6"/>
    <w:rsid w:val="1A5E1963"/>
    <w:rsid w:val="1A5E2958"/>
    <w:rsid w:val="1A6004A9"/>
    <w:rsid w:val="1A6026BF"/>
    <w:rsid w:val="1A61430A"/>
    <w:rsid w:val="1A636203"/>
    <w:rsid w:val="1A6514AA"/>
    <w:rsid w:val="1A656805"/>
    <w:rsid w:val="1A673030"/>
    <w:rsid w:val="1A686415"/>
    <w:rsid w:val="1A6A3F10"/>
    <w:rsid w:val="1A6B080E"/>
    <w:rsid w:val="1A6B0B75"/>
    <w:rsid w:val="1A6F061F"/>
    <w:rsid w:val="1A7156B4"/>
    <w:rsid w:val="1A720905"/>
    <w:rsid w:val="1A724CA3"/>
    <w:rsid w:val="1A73164A"/>
    <w:rsid w:val="1A762651"/>
    <w:rsid w:val="1A7760E1"/>
    <w:rsid w:val="1A780E63"/>
    <w:rsid w:val="1A78230D"/>
    <w:rsid w:val="1A783070"/>
    <w:rsid w:val="1A7875C7"/>
    <w:rsid w:val="1A791A0F"/>
    <w:rsid w:val="1A7A4C97"/>
    <w:rsid w:val="1A7A7A5E"/>
    <w:rsid w:val="1A7B397B"/>
    <w:rsid w:val="1A7D2B06"/>
    <w:rsid w:val="1A7D2C1E"/>
    <w:rsid w:val="1A7E3555"/>
    <w:rsid w:val="1A7F661F"/>
    <w:rsid w:val="1A80089F"/>
    <w:rsid w:val="1A8040A3"/>
    <w:rsid w:val="1A805A6F"/>
    <w:rsid w:val="1A805ED2"/>
    <w:rsid w:val="1A822950"/>
    <w:rsid w:val="1A8261CF"/>
    <w:rsid w:val="1A8276F3"/>
    <w:rsid w:val="1A830BA4"/>
    <w:rsid w:val="1A836766"/>
    <w:rsid w:val="1A845858"/>
    <w:rsid w:val="1A852565"/>
    <w:rsid w:val="1A861580"/>
    <w:rsid w:val="1A864BE2"/>
    <w:rsid w:val="1A8707A2"/>
    <w:rsid w:val="1A872F57"/>
    <w:rsid w:val="1A881AC8"/>
    <w:rsid w:val="1A887ACF"/>
    <w:rsid w:val="1A891201"/>
    <w:rsid w:val="1A89451A"/>
    <w:rsid w:val="1A8A715E"/>
    <w:rsid w:val="1A8B4767"/>
    <w:rsid w:val="1A8B47CE"/>
    <w:rsid w:val="1A8C248B"/>
    <w:rsid w:val="1A8E7EF4"/>
    <w:rsid w:val="1A8F6475"/>
    <w:rsid w:val="1A8F75AD"/>
    <w:rsid w:val="1A903AFB"/>
    <w:rsid w:val="1A916B5B"/>
    <w:rsid w:val="1A931EF0"/>
    <w:rsid w:val="1A9462F7"/>
    <w:rsid w:val="1A96280A"/>
    <w:rsid w:val="1A965642"/>
    <w:rsid w:val="1A967A74"/>
    <w:rsid w:val="1A993322"/>
    <w:rsid w:val="1A9A1D56"/>
    <w:rsid w:val="1A9A20FC"/>
    <w:rsid w:val="1A9B3BDB"/>
    <w:rsid w:val="1A9B5781"/>
    <w:rsid w:val="1A9C0273"/>
    <w:rsid w:val="1A9D1E81"/>
    <w:rsid w:val="1A9E64AB"/>
    <w:rsid w:val="1AA07F67"/>
    <w:rsid w:val="1AA17AB6"/>
    <w:rsid w:val="1AA3326A"/>
    <w:rsid w:val="1AA42987"/>
    <w:rsid w:val="1AA60A2E"/>
    <w:rsid w:val="1AA70FE6"/>
    <w:rsid w:val="1AA81B41"/>
    <w:rsid w:val="1AA869F3"/>
    <w:rsid w:val="1AA95567"/>
    <w:rsid w:val="1AAA159F"/>
    <w:rsid w:val="1AAA33A7"/>
    <w:rsid w:val="1AAA3471"/>
    <w:rsid w:val="1AAB23CA"/>
    <w:rsid w:val="1AAC39CF"/>
    <w:rsid w:val="1AAC4D82"/>
    <w:rsid w:val="1AAF0E5E"/>
    <w:rsid w:val="1AAF5923"/>
    <w:rsid w:val="1AB12C7C"/>
    <w:rsid w:val="1AB23650"/>
    <w:rsid w:val="1AB326E7"/>
    <w:rsid w:val="1AB5265E"/>
    <w:rsid w:val="1AB602A9"/>
    <w:rsid w:val="1AB64D88"/>
    <w:rsid w:val="1AB83BC0"/>
    <w:rsid w:val="1AB86841"/>
    <w:rsid w:val="1ABB3098"/>
    <w:rsid w:val="1ABB60F5"/>
    <w:rsid w:val="1ABD22DA"/>
    <w:rsid w:val="1ABE3B50"/>
    <w:rsid w:val="1AC124CA"/>
    <w:rsid w:val="1AC1424E"/>
    <w:rsid w:val="1AC17439"/>
    <w:rsid w:val="1AC31ECE"/>
    <w:rsid w:val="1AC559CA"/>
    <w:rsid w:val="1AC56101"/>
    <w:rsid w:val="1AC615C3"/>
    <w:rsid w:val="1AC6486A"/>
    <w:rsid w:val="1AC70920"/>
    <w:rsid w:val="1AC71523"/>
    <w:rsid w:val="1AC94917"/>
    <w:rsid w:val="1ACA1BAC"/>
    <w:rsid w:val="1ACB0AE1"/>
    <w:rsid w:val="1ACC14CB"/>
    <w:rsid w:val="1ACC7DE6"/>
    <w:rsid w:val="1ACE4240"/>
    <w:rsid w:val="1ACF6F49"/>
    <w:rsid w:val="1ACF7D9B"/>
    <w:rsid w:val="1AD0039B"/>
    <w:rsid w:val="1AD10A88"/>
    <w:rsid w:val="1AD27836"/>
    <w:rsid w:val="1AD354A7"/>
    <w:rsid w:val="1AD419B9"/>
    <w:rsid w:val="1AD50184"/>
    <w:rsid w:val="1AD91F97"/>
    <w:rsid w:val="1AD97E8F"/>
    <w:rsid w:val="1ADA1A01"/>
    <w:rsid w:val="1ADB5094"/>
    <w:rsid w:val="1ADD0187"/>
    <w:rsid w:val="1ADD6C5A"/>
    <w:rsid w:val="1ADF494A"/>
    <w:rsid w:val="1ADF7B52"/>
    <w:rsid w:val="1AE102EA"/>
    <w:rsid w:val="1AE138B6"/>
    <w:rsid w:val="1AE14CCD"/>
    <w:rsid w:val="1AE1788E"/>
    <w:rsid w:val="1AE33142"/>
    <w:rsid w:val="1AE422B5"/>
    <w:rsid w:val="1AE640C2"/>
    <w:rsid w:val="1AE67B11"/>
    <w:rsid w:val="1AE73B9C"/>
    <w:rsid w:val="1AE73D56"/>
    <w:rsid w:val="1AE862D2"/>
    <w:rsid w:val="1AE93C11"/>
    <w:rsid w:val="1AEA2550"/>
    <w:rsid w:val="1AEB0698"/>
    <w:rsid w:val="1AEC6857"/>
    <w:rsid w:val="1AEC7054"/>
    <w:rsid w:val="1AED47F8"/>
    <w:rsid w:val="1AEF6107"/>
    <w:rsid w:val="1AF068C6"/>
    <w:rsid w:val="1AF135AA"/>
    <w:rsid w:val="1AF14FAD"/>
    <w:rsid w:val="1AF17F94"/>
    <w:rsid w:val="1AF245FD"/>
    <w:rsid w:val="1AF35E37"/>
    <w:rsid w:val="1AF42F04"/>
    <w:rsid w:val="1AF4576B"/>
    <w:rsid w:val="1AF55688"/>
    <w:rsid w:val="1AF6002C"/>
    <w:rsid w:val="1AF64D09"/>
    <w:rsid w:val="1AF82A8D"/>
    <w:rsid w:val="1AF841EC"/>
    <w:rsid w:val="1AFA0DA6"/>
    <w:rsid w:val="1AFA418D"/>
    <w:rsid w:val="1AFB2FBA"/>
    <w:rsid w:val="1AFB543C"/>
    <w:rsid w:val="1AFB60CB"/>
    <w:rsid w:val="1AFC1187"/>
    <w:rsid w:val="1AFD797B"/>
    <w:rsid w:val="1AFF27F8"/>
    <w:rsid w:val="1B00176C"/>
    <w:rsid w:val="1B001F96"/>
    <w:rsid w:val="1B021EF3"/>
    <w:rsid w:val="1B031FF1"/>
    <w:rsid w:val="1B03201F"/>
    <w:rsid w:val="1B033765"/>
    <w:rsid w:val="1B034977"/>
    <w:rsid w:val="1B035589"/>
    <w:rsid w:val="1B0374B9"/>
    <w:rsid w:val="1B0376D1"/>
    <w:rsid w:val="1B0459FB"/>
    <w:rsid w:val="1B055155"/>
    <w:rsid w:val="1B065100"/>
    <w:rsid w:val="1B06722A"/>
    <w:rsid w:val="1B082AD8"/>
    <w:rsid w:val="1B083AE8"/>
    <w:rsid w:val="1B086FA3"/>
    <w:rsid w:val="1B09178D"/>
    <w:rsid w:val="1B0B3D45"/>
    <w:rsid w:val="1B0B76D0"/>
    <w:rsid w:val="1B0C7819"/>
    <w:rsid w:val="1B0E17EF"/>
    <w:rsid w:val="1B102B02"/>
    <w:rsid w:val="1B1043D7"/>
    <w:rsid w:val="1B104FBE"/>
    <w:rsid w:val="1B122B58"/>
    <w:rsid w:val="1B137ACC"/>
    <w:rsid w:val="1B141306"/>
    <w:rsid w:val="1B14734D"/>
    <w:rsid w:val="1B163CD5"/>
    <w:rsid w:val="1B1709D4"/>
    <w:rsid w:val="1B181A31"/>
    <w:rsid w:val="1B187FC7"/>
    <w:rsid w:val="1B1935A3"/>
    <w:rsid w:val="1B1A7F7F"/>
    <w:rsid w:val="1B1D0761"/>
    <w:rsid w:val="1B1D4B14"/>
    <w:rsid w:val="1B1E53F5"/>
    <w:rsid w:val="1B1F0870"/>
    <w:rsid w:val="1B1F4A58"/>
    <w:rsid w:val="1B1F4A59"/>
    <w:rsid w:val="1B224545"/>
    <w:rsid w:val="1B226CEB"/>
    <w:rsid w:val="1B234319"/>
    <w:rsid w:val="1B2353F3"/>
    <w:rsid w:val="1B237CA7"/>
    <w:rsid w:val="1B241E54"/>
    <w:rsid w:val="1B242D3C"/>
    <w:rsid w:val="1B252EEC"/>
    <w:rsid w:val="1B253BFE"/>
    <w:rsid w:val="1B272BB5"/>
    <w:rsid w:val="1B283D33"/>
    <w:rsid w:val="1B293607"/>
    <w:rsid w:val="1B2B0518"/>
    <w:rsid w:val="1B2B2969"/>
    <w:rsid w:val="1B2D4F65"/>
    <w:rsid w:val="1B2D5E0C"/>
    <w:rsid w:val="1B2E3390"/>
    <w:rsid w:val="1B2E6E70"/>
    <w:rsid w:val="1B2F1EFF"/>
    <w:rsid w:val="1B306062"/>
    <w:rsid w:val="1B3113EF"/>
    <w:rsid w:val="1B312523"/>
    <w:rsid w:val="1B3229E4"/>
    <w:rsid w:val="1B32550D"/>
    <w:rsid w:val="1B325DF1"/>
    <w:rsid w:val="1B33480A"/>
    <w:rsid w:val="1B340B9B"/>
    <w:rsid w:val="1B351745"/>
    <w:rsid w:val="1B3739FB"/>
    <w:rsid w:val="1B3939CB"/>
    <w:rsid w:val="1B397FE4"/>
    <w:rsid w:val="1B3A5934"/>
    <w:rsid w:val="1B3B2613"/>
    <w:rsid w:val="1B3C06E8"/>
    <w:rsid w:val="1B3C1B1E"/>
    <w:rsid w:val="1B3C4E48"/>
    <w:rsid w:val="1B3C6AE1"/>
    <w:rsid w:val="1B3D4ED9"/>
    <w:rsid w:val="1B402D98"/>
    <w:rsid w:val="1B403801"/>
    <w:rsid w:val="1B415598"/>
    <w:rsid w:val="1B4346C9"/>
    <w:rsid w:val="1B465331"/>
    <w:rsid w:val="1B4653C9"/>
    <w:rsid w:val="1B4713F7"/>
    <w:rsid w:val="1B487F31"/>
    <w:rsid w:val="1B495107"/>
    <w:rsid w:val="1B4D21D4"/>
    <w:rsid w:val="1B4D4A37"/>
    <w:rsid w:val="1B4E558B"/>
    <w:rsid w:val="1B4F5B15"/>
    <w:rsid w:val="1B4F60A6"/>
    <w:rsid w:val="1B4F61F1"/>
    <w:rsid w:val="1B506B91"/>
    <w:rsid w:val="1B512B7A"/>
    <w:rsid w:val="1B517350"/>
    <w:rsid w:val="1B527002"/>
    <w:rsid w:val="1B541F38"/>
    <w:rsid w:val="1B543918"/>
    <w:rsid w:val="1B557ACB"/>
    <w:rsid w:val="1B566070"/>
    <w:rsid w:val="1B5671B3"/>
    <w:rsid w:val="1B570FF4"/>
    <w:rsid w:val="1B57520A"/>
    <w:rsid w:val="1B580786"/>
    <w:rsid w:val="1B587CEF"/>
    <w:rsid w:val="1B5917B9"/>
    <w:rsid w:val="1B5A15FB"/>
    <w:rsid w:val="1B5A53AC"/>
    <w:rsid w:val="1B5B4D5D"/>
    <w:rsid w:val="1B5B5317"/>
    <w:rsid w:val="1B5C0966"/>
    <w:rsid w:val="1B5D343B"/>
    <w:rsid w:val="1B5D759F"/>
    <w:rsid w:val="1B5E10FE"/>
    <w:rsid w:val="1B5E300C"/>
    <w:rsid w:val="1B5E5F32"/>
    <w:rsid w:val="1B5F0E31"/>
    <w:rsid w:val="1B5F3442"/>
    <w:rsid w:val="1B603AD2"/>
    <w:rsid w:val="1B614130"/>
    <w:rsid w:val="1B6272E9"/>
    <w:rsid w:val="1B6310FA"/>
    <w:rsid w:val="1B631801"/>
    <w:rsid w:val="1B635920"/>
    <w:rsid w:val="1B635936"/>
    <w:rsid w:val="1B636CA6"/>
    <w:rsid w:val="1B637994"/>
    <w:rsid w:val="1B6465D5"/>
    <w:rsid w:val="1B6504A0"/>
    <w:rsid w:val="1B667143"/>
    <w:rsid w:val="1B670F96"/>
    <w:rsid w:val="1B677E65"/>
    <w:rsid w:val="1B684251"/>
    <w:rsid w:val="1B694561"/>
    <w:rsid w:val="1B6A709A"/>
    <w:rsid w:val="1B6A7CB4"/>
    <w:rsid w:val="1B6D1AA2"/>
    <w:rsid w:val="1B6E0711"/>
    <w:rsid w:val="1B6E4AF2"/>
    <w:rsid w:val="1B6F22D3"/>
    <w:rsid w:val="1B70794D"/>
    <w:rsid w:val="1B717BC5"/>
    <w:rsid w:val="1B720724"/>
    <w:rsid w:val="1B721452"/>
    <w:rsid w:val="1B7357DD"/>
    <w:rsid w:val="1B744890"/>
    <w:rsid w:val="1B7451AB"/>
    <w:rsid w:val="1B761B87"/>
    <w:rsid w:val="1B7651EF"/>
    <w:rsid w:val="1B785DEE"/>
    <w:rsid w:val="1B791D81"/>
    <w:rsid w:val="1B79544D"/>
    <w:rsid w:val="1B7A0284"/>
    <w:rsid w:val="1B7A22A6"/>
    <w:rsid w:val="1B7A3E63"/>
    <w:rsid w:val="1B7A44A6"/>
    <w:rsid w:val="1B7A44F0"/>
    <w:rsid w:val="1B7A6A58"/>
    <w:rsid w:val="1B7B1D56"/>
    <w:rsid w:val="1B7B4795"/>
    <w:rsid w:val="1B7C075C"/>
    <w:rsid w:val="1B7C74B3"/>
    <w:rsid w:val="1B7D1EC0"/>
    <w:rsid w:val="1B7D21F1"/>
    <w:rsid w:val="1B7E38D4"/>
    <w:rsid w:val="1B7E7DF7"/>
    <w:rsid w:val="1B7F581A"/>
    <w:rsid w:val="1B813710"/>
    <w:rsid w:val="1B814C4A"/>
    <w:rsid w:val="1B8174DB"/>
    <w:rsid w:val="1B862AA8"/>
    <w:rsid w:val="1B8649DC"/>
    <w:rsid w:val="1B88116E"/>
    <w:rsid w:val="1B8A621C"/>
    <w:rsid w:val="1B8C1F2B"/>
    <w:rsid w:val="1B8C2244"/>
    <w:rsid w:val="1B8C25B6"/>
    <w:rsid w:val="1B8D19A8"/>
    <w:rsid w:val="1B8D6A1C"/>
    <w:rsid w:val="1B8F3057"/>
    <w:rsid w:val="1B8F560C"/>
    <w:rsid w:val="1B902015"/>
    <w:rsid w:val="1B9032ED"/>
    <w:rsid w:val="1B907B47"/>
    <w:rsid w:val="1B907F02"/>
    <w:rsid w:val="1B952091"/>
    <w:rsid w:val="1B954D7A"/>
    <w:rsid w:val="1B9604D8"/>
    <w:rsid w:val="1B96764E"/>
    <w:rsid w:val="1B980494"/>
    <w:rsid w:val="1B984289"/>
    <w:rsid w:val="1B98597E"/>
    <w:rsid w:val="1B986933"/>
    <w:rsid w:val="1B986FBD"/>
    <w:rsid w:val="1B987103"/>
    <w:rsid w:val="1B995919"/>
    <w:rsid w:val="1B9970EB"/>
    <w:rsid w:val="1B9A4300"/>
    <w:rsid w:val="1B9B68FD"/>
    <w:rsid w:val="1B9C4CB8"/>
    <w:rsid w:val="1B9F6B64"/>
    <w:rsid w:val="1BA15352"/>
    <w:rsid w:val="1BA164C8"/>
    <w:rsid w:val="1BA16762"/>
    <w:rsid w:val="1BA33C57"/>
    <w:rsid w:val="1BA3674D"/>
    <w:rsid w:val="1BA367BB"/>
    <w:rsid w:val="1BA40970"/>
    <w:rsid w:val="1BA73123"/>
    <w:rsid w:val="1BA845D4"/>
    <w:rsid w:val="1BA84C45"/>
    <w:rsid w:val="1BA872B6"/>
    <w:rsid w:val="1BA95361"/>
    <w:rsid w:val="1BAA2F58"/>
    <w:rsid w:val="1BAA4D8E"/>
    <w:rsid w:val="1BAC1CBD"/>
    <w:rsid w:val="1BAC49DD"/>
    <w:rsid w:val="1BAD48A2"/>
    <w:rsid w:val="1BAF19A6"/>
    <w:rsid w:val="1BB01895"/>
    <w:rsid w:val="1BB124A2"/>
    <w:rsid w:val="1BB21EA1"/>
    <w:rsid w:val="1BB23A7A"/>
    <w:rsid w:val="1BB271C7"/>
    <w:rsid w:val="1BB44748"/>
    <w:rsid w:val="1BB47996"/>
    <w:rsid w:val="1BB638CC"/>
    <w:rsid w:val="1BB66BD0"/>
    <w:rsid w:val="1BB747CC"/>
    <w:rsid w:val="1BB751C8"/>
    <w:rsid w:val="1BBA2384"/>
    <w:rsid w:val="1BBA494D"/>
    <w:rsid w:val="1BBC0096"/>
    <w:rsid w:val="1BBC63E6"/>
    <w:rsid w:val="1BBD160C"/>
    <w:rsid w:val="1BBF2115"/>
    <w:rsid w:val="1BBF30FE"/>
    <w:rsid w:val="1BC06FA7"/>
    <w:rsid w:val="1BC12587"/>
    <w:rsid w:val="1BC14A81"/>
    <w:rsid w:val="1BC2559A"/>
    <w:rsid w:val="1BC30742"/>
    <w:rsid w:val="1BC32085"/>
    <w:rsid w:val="1BC40A4C"/>
    <w:rsid w:val="1BC45A92"/>
    <w:rsid w:val="1BC50AF7"/>
    <w:rsid w:val="1BC63291"/>
    <w:rsid w:val="1BC733C4"/>
    <w:rsid w:val="1BC733EA"/>
    <w:rsid w:val="1BC76518"/>
    <w:rsid w:val="1BC81017"/>
    <w:rsid w:val="1BC9255A"/>
    <w:rsid w:val="1BCA32D3"/>
    <w:rsid w:val="1BCB4150"/>
    <w:rsid w:val="1BCB5370"/>
    <w:rsid w:val="1BCB5615"/>
    <w:rsid w:val="1BCC374C"/>
    <w:rsid w:val="1BCE2701"/>
    <w:rsid w:val="1BD03B5D"/>
    <w:rsid w:val="1BD11E8E"/>
    <w:rsid w:val="1BD16D67"/>
    <w:rsid w:val="1BD21B1C"/>
    <w:rsid w:val="1BD2644E"/>
    <w:rsid w:val="1BD268FC"/>
    <w:rsid w:val="1BD33BBA"/>
    <w:rsid w:val="1BD41604"/>
    <w:rsid w:val="1BD54C10"/>
    <w:rsid w:val="1BD74EC2"/>
    <w:rsid w:val="1BD9244F"/>
    <w:rsid w:val="1BD9471E"/>
    <w:rsid w:val="1BD97C83"/>
    <w:rsid w:val="1BDA231C"/>
    <w:rsid w:val="1BDD2D6F"/>
    <w:rsid w:val="1BE00CB2"/>
    <w:rsid w:val="1BE0325E"/>
    <w:rsid w:val="1BE05A70"/>
    <w:rsid w:val="1BE361D7"/>
    <w:rsid w:val="1BE43A0E"/>
    <w:rsid w:val="1BE919AE"/>
    <w:rsid w:val="1BE923C0"/>
    <w:rsid w:val="1BE950DF"/>
    <w:rsid w:val="1BE97DF3"/>
    <w:rsid w:val="1BEC0ABE"/>
    <w:rsid w:val="1BEC12EA"/>
    <w:rsid w:val="1BED7DF6"/>
    <w:rsid w:val="1BEE212A"/>
    <w:rsid w:val="1BF014CB"/>
    <w:rsid w:val="1BF05136"/>
    <w:rsid w:val="1BF110B6"/>
    <w:rsid w:val="1BF22871"/>
    <w:rsid w:val="1BF239E4"/>
    <w:rsid w:val="1BF25F2E"/>
    <w:rsid w:val="1BF30FD9"/>
    <w:rsid w:val="1BF3567D"/>
    <w:rsid w:val="1BF43D14"/>
    <w:rsid w:val="1BF4466B"/>
    <w:rsid w:val="1BF47E68"/>
    <w:rsid w:val="1BF50388"/>
    <w:rsid w:val="1BF53816"/>
    <w:rsid w:val="1BF72454"/>
    <w:rsid w:val="1BF77EAD"/>
    <w:rsid w:val="1BFA4752"/>
    <w:rsid w:val="1BFA62EB"/>
    <w:rsid w:val="1BFB2EDE"/>
    <w:rsid w:val="1BFB53EF"/>
    <w:rsid w:val="1BFC53E1"/>
    <w:rsid w:val="1BFC7C2C"/>
    <w:rsid w:val="1BFF1E14"/>
    <w:rsid w:val="1C0057D7"/>
    <w:rsid w:val="1C00784A"/>
    <w:rsid w:val="1C01218D"/>
    <w:rsid w:val="1C014CFD"/>
    <w:rsid w:val="1C015DAC"/>
    <w:rsid w:val="1C030BE6"/>
    <w:rsid w:val="1C036101"/>
    <w:rsid w:val="1C0640DD"/>
    <w:rsid w:val="1C073A81"/>
    <w:rsid w:val="1C08551B"/>
    <w:rsid w:val="1C095CA0"/>
    <w:rsid w:val="1C0B5B12"/>
    <w:rsid w:val="1C0D1EF5"/>
    <w:rsid w:val="1C0D6F73"/>
    <w:rsid w:val="1C0E77DB"/>
    <w:rsid w:val="1C102BC1"/>
    <w:rsid w:val="1C110F5C"/>
    <w:rsid w:val="1C113826"/>
    <w:rsid w:val="1C114BA5"/>
    <w:rsid w:val="1C1312C6"/>
    <w:rsid w:val="1C151FF6"/>
    <w:rsid w:val="1C1654A3"/>
    <w:rsid w:val="1C1702D3"/>
    <w:rsid w:val="1C1824BC"/>
    <w:rsid w:val="1C182AB9"/>
    <w:rsid w:val="1C185370"/>
    <w:rsid w:val="1C193837"/>
    <w:rsid w:val="1C1D0679"/>
    <w:rsid w:val="1C1D248B"/>
    <w:rsid w:val="1C1E6006"/>
    <w:rsid w:val="1C204D26"/>
    <w:rsid w:val="1C2169F7"/>
    <w:rsid w:val="1C222FE0"/>
    <w:rsid w:val="1C225CF4"/>
    <w:rsid w:val="1C231C21"/>
    <w:rsid w:val="1C233300"/>
    <w:rsid w:val="1C237871"/>
    <w:rsid w:val="1C247391"/>
    <w:rsid w:val="1C262204"/>
    <w:rsid w:val="1C270629"/>
    <w:rsid w:val="1C274432"/>
    <w:rsid w:val="1C28309E"/>
    <w:rsid w:val="1C283BF7"/>
    <w:rsid w:val="1C2B701E"/>
    <w:rsid w:val="1C2E0B52"/>
    <w:rsid w:val="1C2E1941"/>
    <w:rsid w:val="1C2E35CB"/>
    <w:rsid w:val="1C2E42B4"/>
    <w:rsid w:val="1C2E70EA"/>
    <w:rsid w:val="1C2E73F5"/>
    <w:rsid w:val="1C30147C"/>
    <w:rsid w:val="1C302260"/>
    <w:rsid w:val="1C3127D5"/>
    <w:rsid w:val="1C31382E"/>
    <w:rsid w:val="1C313A7E"/>
    <w:rsid w:val="1C337180"/>
    <w:rsid w:val="1C342F81"/>
    <w:rsid w:val="1C344A6C"/>
    <w:rsid w:val="1C352E01"/>
    <w:rsid w:val="1C357200"/>
    <w:rsid w:val="1C3648B8"/>
    <w:rsid w:val="1C366ABF"/>
    <w:rsid w:val="1C366B29"/>
    <w:rsid w:val="1C3771FA"/>
    <w:rsid w:val="1C38662D"/>
    <w:rsid w:val="1C3866FF"/>
    <w:rsid w:val="1C390EA0"/>
    <w:rsid w:val="1C3A29DE"/>
    <w:rsid w:val="1C3A5518"/>
    <w:rsid w:val="1C3B2A90"/>
    <w:rsid w:val="1C3B6E08"/>
    <w:rsid w:val="1C3C57AB"/>
    <w:rsid w:val="1C3F06B4"/>
    <w:rsid w:val="1C401B46"/>
    <w:rsid w:val="1C404541"/>
    <w:rsid w:val="1C4069E4"/>
    <w:rsid w:val="1C413897"/>
    <w:rsid w:val="1C41562E"/>
    <w:rsid w:val="1C4203F1"/>
    <w:rsid w:val="1C4224C0"/>
    <w:rsid w:val="1C431BFC"/>
    <w:rsid w:val="1C443F21"/>
    <w:rsid w:val="1C4541E8"/>
    <w:rsid w:val="1C46289E"/>
    <w:rsid w:val="1C483F99"/>
    <w:rsid w:val="1C4877C5"/>
    <w:rsid w:val="1C490730"/>
    <w:rsid w:val="1C4A0A83"/>
    <w:rsid w:val="1C4C5392"/>
    <w:rsid w:val="1C4D1E83"/>
    <w:rsid w:val="1C4D50F9"/>
    <w:rsid w:val="1C501787"/>
    <w:rsid w:val="1C503600"/>
    <w:rsid w:val="1C537F84"/>
    <w:rsid w:val="1C541A92"/>
    <w:rsid w:val="1C54353E"/>
    <w:rsid w:val="1C5458C1"/>
    <w:rsid w:val="1C546F27"/>
    <w:rsid w:val="1C5823F6"/>
    <w:rsid w:val="1C5A234F"/>
    <w:rsid w:val="1C5B4207"/>
    <w:rsid w:val="1C5D1DFA"/>
    <w:rsid w:val="1C5D2B42"/>
    <w:rsid w:val="1C5F6794"/>
    <w:rsid w:val="1C5F7B8D"/>
    <w:rsid w:val="1C601043"/>
    <w:rsid w:val="1C606583"/>
    <w:rsid w:val="1C6079E1"/>
    <w:rsid w:val="1C610882"/>
    <w:rsid w:val="1C6176E1"/>
    <w:rsid w:val="1C62116A"/>
    <w:rsid w:val="1C631E84"/>
    <w:rsid w:val="1C63571B"/>
    <w:rsid w:val="1C642465"/>
    <w:rsid w:val="1C666CAD"/>
    <w:rsid w:val="1C6712EC"/>
    <w:rsid w:val="1C693A6C"/>
    <w:rsid w:val="1C6B6689"/>
    <w:rsid w:val="1C6F5C56"/>
    <w:rsid w:val="1C704AA1"/>
    <w:rsid w:val="1C716A80"/>
    <w:rsid w:val="1C72147C"/>
    <w:rsid w:val="1C725D37"/>
    <w:rsid w:val="1C73617F"/>
    <w:rsid w:val="1C737D1E"/>
    <w:rsid w:val="1C743BE2"/>
    <w:rsid w:val="1C744652"/>
    <w:rsid w:val="1C795976"/>
    <w:rsid w:val="1C7A34A0"/>
    <w:rsid w:val="1C7B5CA1"/>
    <w:rsid w:val="1C7B7995"/>
    <w:rsid w:val="1C7C5FFB"/>
    <w:rsid w:val="1C7C7F16"/>
    <w:rsid w:val="1C7D1E5D"/>
    <w:rsid w:val="1C7E5AEA"/>
    <w:rsid w:val="1C7E7360"/>
    <w:rsid w:val="1C802E08"/>
    <w:rsid w:val="1C806D38"/>
    <w:rsid w:val="1C822E02"/>
    <w:rsid w:val="1C8513FF"/>
    <w:rsid w:val="1C853454"/>
    <w:rsid w:val="1C85793F"/>
    <w:rsid w:val="1C87723F"/>
    <w:rsid w:val="1C880C25"/>
    <w:rsid w:val="1C89060E"/>
    <w:rsid w:val="1C924FA2"/>
    <w:rsid w:val="1C94073D"/>
    <w:rsid w:val="1C942853"/>
    <w:rsid w:val="1C94756F"/>
    <w:rsid w:val="1C95582D"/>
    <w:rsid w:val="1C9747BD"/>
    <w:rsid w:val="1C976F6B"/>
    <w:rsid w:val="1C981C9F"/>
    <w:rsid w:val="1C9951B0"/>
    <w:rsid w:val="1C99588A"/>
    <w:rsid w:val="1C9B35CD"/>
    <w:rsid w:val="1C9C791F"/>
    <w:rsid w:val="1C9D5571"/>
    <w:rsid w:val="1C9E3C3C"/>
    <w:rsid w:val="1C9E6694"/>
    <w:rsid w:val="1C9F00F5"/>
    <w:rsid w:val="1C9F268D"/>
    <w:rsid w:val="1C9F3B40"/>
    <w:rsid w:val="1CA27B15"/>
    <w:rsid w:val="1CA45E5D"/>
    <w:rsid w:val="1CA502F1"/>
    <w:rsid w:val="1CA80F4A"/>
    <w:rsid w:val="1CA9274A"/>
    <w:rsid w:val="1CAA2487"/>
    <w:rsid w:val="1CAB1516"/>
    <w:rsid w:val="1CAC44F0"/>
    <w:rsid w:val="1CAE0253"/>
    <w:rsid w:val="1CAF39A2"/>
    <w:rsid w:val="1CB02924"/>
    <w:rsid w:val="1CB2364E"/>
    <w:rsid w:val="1CB25D62"/>
    <w:rsid w:val="1CB27093"/>
    <w:rsid w:val="1CB40F92"/>
    <w:rsid w:val="1CB45B4E"/>
    <w:rsid w:val="1CB6003E"/>
    <w:rsid w:val="1CB6131D"/>
    <w:rsid w:val="1CB76003"/>
    <w:rsid w:val="1CB94BB7"/>
    <w:rsid w:val="1CBB2985"/>
    <w:rsid w:val="1CBD43F0"/>
    <w:rsid w:val="1CBD733D"/>
    <w:rsid w:val="1CC00FC2"/>
    <w:rsid w:val="1CC216F1"/>
    <w:rsid w:val="1CC279F0"/>
    <w:rsid w:val="1CC41E0F"/>
    <w:rsid w:val="1CC51C09"/>
    <w:rsid w:val="1CC67E12"/>
    <w:rsid w:val="1CC73232"/>
    <w:rsid w:val="1CC81E77"/>
    <w:rsid w:val="1CC91E82"/>
    <w:rsid w:val="1CCA33D8"/>
    <w:rsid w:val="1CCD26B3"/>
    <w:rsid w:val="1CCE756C"/>
    <w:rsid w:val="1CCF6346"/>
    <w:rsid w:val="1CD14C61"/>
    <w:rsid w:val="1CD1568E"/>
    <w:rsid w:val="1CD30F90"/>
    <w:rsid w:val="1CD37CCF"/>
    <w:rsid w:val="1CD51AA9"/>
    <w:rsid w:val="1CD53A61"/>
    <w:rsid w:val="1CD6584F"/>
    <w:rsid w:val="1CD77107"/>
    <w:rsid w:val="1CD875A9"/>
    <w:rsid w:val="1CDA2F2F"/>
    <w:rsid w:val="1CDD0B4D"/>
    <w:rsid w:val="1CDF3DDD"/>
    <w:rsid w:val="1CE04DC6"/>
    <w:rsid w:val="1CE112A2"/>
    <w:rsid w:val="1CE276A3"/>
    <w:rsid w:val="1CE41A21"/>
    <w:rsid w:val="1CE43A63"/>
    <w:rsid w:val="1CE509F1"/>
    <w:rsid w:val="1CE50CD7"/>
    <w:rsid w:val="1CE63CC0"/>
    <w:rsid w:val="1CE67009"/>
    <w:rsid w:val="1CE718DB"/>
    <w:rsid w:val="1CE76E50"/>
    <w:rsid w:val="1CE93428"/>
    <w:rsid w:val="1CEA635E"/>
    <w:rsid w:val="1CEB6B65"/>
    <w:rsid w:val="1CEB6DC6"/>
    <w:rsid w:val="1CED6B1B"/>
    <w:rsid w:val="1CEE4ADE"/>
    <w:rsid w:val="1CEF47FB"/>
    <w:rsid w:val="1CF01D6F"/>
    <w:rsid w:val="1CF04B03"/>
    <w:rsid w:val="1CF26069"/>
    <w:rsid w:val="1CF40FD7"/>
    <w:rsid w:val="1CF55E97"/>
    <w:rsid w:val="1CF73AB3"/>
    <w:rsid w:val="1CF81074"/>
    <w:rsid w:val="1CF82104"/>
    <w:rsid w:val="1CF83C92"/>
    <w:rsid w:val="1CF948BE"/>
    <w:rsid w:val="1CFA0DC6"/>
    <w:rsid w:val="1CFB0215"/>
    <w:rsid w:val="1CFB04C5"/>
    <w:rsid w:val="1CFB21A8"/>
    <w:rsid w:val="1CFB4FEA"/>
    <w:rsid w:val="1CFC0591"/>
    <w:rsid w:val="1CFD2BE3"/>
    <w:rsid w:val="1CFD2DAB"/>
    <w:rsid w:val="1CFD3EC5"/>
    <w:rsid w:val="1CFE3E25"/>
    <w:rsid w:val="1CFE59E5"/>
    <w:rsid w:val="1CFF6D03"/>
    <w:rsid w:val="1D014742"/>
    <w:rsid w:val="1D014803"/>
    <w:rsid w:val="1D02357D"/>
    <w:rsid w:val="1D031F9B"/>
    <w:rsid w:val="1D04366C"/>
    <w:rsid w:val="1D051C78"/>
    <w:rsid w:val="1D05532D"/>
    <w:rsid w:val="1D057AA5"/>
    <w:rsid w:val="1D0662CC"/>
    <w:rsid w:val="1D07443C"/>
    <w:rsid w:val="1D0773E7"/>
    <w:rsid w:val="1D090211"/>
    <w:rsid w:val="1D09037A"/>
    <w:rsid w:val="1D0A2A42"/>
    <w:rsid w:val="1D0B787D"/>
    <w:rsid w:val="1D0D0F57"/>
    <w:rsid w:val="1D0D7755"/>
    <w:rsid w:val="1D0E0D31"/>
    <w:rsid w:val="1D0E6497"/>
    <w:rsid w:val="1D11055B"/>
    <w:rsid w:val="1D114159"/>
    <w:rsid w:val="1D121248"/>
    <w:rsid w:val="1D12153D"/>
    <w:rsid w:val="1D127CCD"/>
    <w:rsid w:val="1D1422D6"/>
    <w:rsid w:val="1D1464B9"/>
    <w:rsid w:val="1D1502E7"/>
    <w:rsid w:val="1D16114B"/>
    <w:rsid w:val="1D176776"/>
    <w:rsid w:val="1D1773FD"/>
    <w:rsid w:val="1D185909"/>
    <w:rsid w:val="1D1A6D6F"/>
    <w:rsid w:val="1D1B1055"/>
    <w:rsid w:val="1D1C0104"/>
    <w:rsid w:val="1D1C5065"/>
    <w:rsid w:val="1D1D1FDD"/>
    <w:rsid w:val="1D1D2F4D"/>
    <w:rsid w:val="1D204D29"/>
    <w:rsid w:val="1D215F2A"/>
    <w:rsid w:val="1D264C5C"/>
    <w:rsid w:val="1D2758BB"/>
    <w:rsid w:val="1D275BF6"/>
    <w:rsid w:val="1D277E8D"/>
    <w:rsid w:val="1D290D74"/>
    <w:rsid w:val="1D290F76"/>
    <w:rsid w:val="1D296E9B"/>
    <w:rsid w:val="1D2A017D"/>
    <w:rsid w:val="1D2B04F2"/>
    <w:rsid w:val="1D2B254B"/>
    <w:rsid w:val="1D2D4495"/>
    <w:rsid w:val="1D2E0C79"/>
    <w:rsid w:val="1D2E12C1"/>
    <w:rsid w:val="1D2E21F1"/>
    <w:rsid w:val="1D2F4CCD"/>
    <w:rsid w:val="1D3213FA"/>
    <w:rsid w:val="1D322E4F"/>
    <w:rsid w:val="1D323A60"/>
    <w:rsid w:val="1D327252"/>
    <w:rsid w:val="1D353678"/>
    <w:rsid w:val="1D353A5C"/>
    <w:rsid w:val="1D3569FA"/>
    <w:rsid w:val="1D361FF5"/>
    <w:rsid w:val="1D37025D"/>
    <w:rsid w:val="1D3802A4"/>
    <w:rsid w:val="1D381233"/>
    <w:rsid w:val="1D38256E"/>
    <w:rsid w:val="1D391F3E"/>
    <w:rsid w:val="1D3B7BAB"/>
    <w:rsid w:val="1D3C65C5"/>
    <w:rsid w:val="1D3E1124"/>
    <w:rsid w:val="1D3E5C92"/>
    <w:rsid w:val="1D3F1286"/>
    <w:rsid w:val="1D3F3C20"/>
    <w:rsid w:val="1D412FC0"/>
    <w:rsid w:val="1D413FAA"/>
    <w:rsid w:val="1D420471"/>
    <w:rsid w:val="1D4405E5"/>
    <w:rsid w:val="1D452B3A"/>
    <w:rsid w:val="1D452E56"/>
    <w:rsid w:val="1D452FA8"/>
    <w:rsid w:val="1D461362"/>
    <w:rsid w:val="1D470A43"/>
    <w:rsid w:val="1D480846"/>
    <w:rsid w:val="1D4B579E"/>
    <w:rsid w:val="1D4B5AB7"/>
    <w:rsid w:val="1D507C0C"/>
    <w:rsid w:val="1D5220DF"/>
    <w:rsid w:val="1D5307EC"/>
    <w:rsid w:val="1D542720"/>
    <w:rsid w:val="1D553161"/>
    <w:rsid w:val="1D564C6D"/>
    <w:rsid w:val="1D571AAF"/>
    <w:rsid w:val="1D5A2FD4"/>
    <w:rsid w:val="1D5A4FFC"/>
    <w:rsid w:val="1D5B5818"/>
    <w:rsid w:val="1D5C1A7F"/>
    <w:rsid w:val="1D5D7B24"/>
    <w:rsid w:val="1D5E733A"/>
    <w:rsid w:val="1D5F5A06"/>
    <w:rsid w:val="1D5F77B4"/>
    <w:rsid w:val="1D6006E8"/>
    <w:rsid w:val="1D603234"/>
    <w:rsid w:val="1D613DB5"/>
    <w:rsid w:val="1D643433"/>
    <w:rsid w:val="1D651DA9"/>
    <w:rsid w:val="1D652E7F"/>
    <w:rsid w:val="1D666DB9"/>
    <w:rsid w:val="1D675A77"/>
    <w:rsid w:val="1D68029C"/>
    <w:rsid w:val="1D697025"/>
    <w:rsid w:val="1D6B059A"/>
    <w:rsid w:val="1D6C6C77"/>
    <w:rsid w:val="1D6E0529"/>
    <w:rsid w:val="1D6E1A8A"/>
    <w:rsid w:val="1D70088B"/>
    <w:rsid w:val="1D7019C1"/>
    <w:rsid w:val="1D706233"/>
    <w:rsid w:val="1D713A10"/>
    <w:rsid w:val="1D7341C6"/>
    <w:rsid w:val="1D76522A"/>
    <w:rsid w:val="1D765C62"/>
    <w:rsid w:val="1D771D29"/>
    <w:rsid w:val="1D7859D2"/>
    <w:rsid w:val="1D7864B2"/>
    <w:rsid w:val="1D791A94"/>
    <w:rsid w:val="1D792960"/>
    <w:rsid w:val="1D793F96"/>
    <w:rsid w:val="1D7A4BAB"/>
    <w:rsid w:val="1D7A6579"/>
    <w:rsid w:val="1D7D04AC"/>
    <w:rsid w:val="1D7D3508"/>
    <w:rsid w:val="1D7D4ED0"/>
    <w:rsid w:val="1D7E2C3B"/>
    <w:rsid w:val="1D7E6D15"/>
    <w:rsid w:val="1D7F07F7"/>
    <w:rsid w:val="1D7F431B"/>
    <w:rsid w:val="1D7F4A79"/>
    <w:rsid w:val="1D7F5B4B"/>
    <w:rsid w:val="1D82258A"/>
    <w:rsid w:val="1D8229EF"/>
    <w:rsid w:val="1D834E90"/>
    <w:rsid w:val="1D845D37"/>
    <w:rsid w:val="1D847893"/>
    <w:rsid w:val="1D8815C8"/>
    <w:rsid w:val="1D896E82"/>
    <w:rsid w:val="1D897AD3"/>
    <w:rsid w:val="1D8A0C6D"/>
    <w:rsid w:val="1D8A5BA3"/>
    <w:rsid w:val="1D8D7E44"/>
    <w:rsid w:val="1D8E5A2A"/>
    <w:rsid w:val="1D900510"/>
    <w:rsid w:val="1D906FD1"/>
    <w:rsid w:val="1D9138E3"/>
    <w:rsid w:val="1D915490"/>
    <w:rsid w:val="1D953560"/>
    <w:rsid w:val="1D95416B"/>
    <w:rsid w:val="1D95562B"/>
    <w:rsid w:val="1D976F2D"/>
    <w:rsid w:val="1D980C9C"/>
    <w:rsid w:val="1D99374C"/>
    <w:rsid w:val="1D99636F"/>
    <w:rsid w:val="1D9D2010"/>
    <w:rsid w:val="1D9D6174"/>
    <w:rsid w:val="1D9E4E0D"/>
    <w:rsid w:val="1DA06B55"/>
    <w:rsid w:val="1DA14175"/>
    <w:rsid w:val="1DA16EB3"/>
    <w:rsid w:val="1DA63576"/>
    <w:rsid w:val="1DA63600"/>
    <w:rsid w:val="1DA71A9B"/>
    <w:rsid w:val="1DA86B6E"/>
    <w:rsid w:val="1DA93E15"/>
    <w:rsid w:val="1DA95680"/>
    <w:rsid w:val="1DAA4A69"/>
    <w:rsid w:val="1DAB58A5"/>
    <w:rsid w:val="1DAD6772"/>
    <w:rsid w:val="1DAD7CA9"/>
    <w:rsid w:val="1DAE00AB"/>
    <w:rsid w:val="1DAE7B68"/>
    <w:rsid w:val="1DAF084D"/>
    <w:rsid w:val="1DAF63AB"/>
    <w:rsid w:val="1DB063DD"/>
    <w:rsid w:val="1DB157AA"/>
    <w:rsid w:val="1DB5196E"/>
    <w:rsid w:val="1DB57D38"/>
    <w:rsid w:val="1DB640EC"/>
    <w:rsid w:val="1DB714F5"/>
    <w:rsid w:val="1DB7537C"/>
    <w:rsid w:val="1DB952D7"/>
    <w:rsid w:val="1DBA2DAE"/>
    <w:rsid w:val="1DBB0986"/>
    <w:rsid w:val="1DBC67D5"/>
    <w:rsid w:val="1DBD7F78"/>
    <w:rsid w:val="1DBF2D30"/>
    <w:rsid w:val="1DC00D05"/>
    <w:rsid w:val="1DC05B82"/>
    <w:rsid w:val="1DC27181"/>
    <w:rsid w:val="1DC508CE"/>
    <w:rsid w:val="1DC60628"/>
    <w:rsid w:val="1DC65AB5"/>
    <w:rsid w:val="1DC75214"/>
    <w:rsid w:val="1DC77E8D"/>
    <w:rsid w:val="1DC82339"/>
    <w:rsid w:val="1DC8703E"/>
    <w:rsid w:val="1DC9301D"/>
    <w:rsid w:val="1DC93A15"/>
    <w:rsid w:val="1DC9508A"/>
    <w:rsid w:val="1DCA3D41"/>
    <w:rsid w:val="1DCB5E20"/>
    <w:rsid w:val="1DCD0F10"/>
    <w:rsid w:val="1DCD47E2"/>
    <w:rsid w:val="1DCE3955"/>
    <w:rsid w:val="1DCE7AED"/>
    <w:rsid w:val="1DCF1C0B"/>
    <w:rsid w:val="1DD006A0"/>
    <w:rsid w:val="1DD160A6"/>
    <w:rsid w:val="1DD17E76"/>
    <w:rsid w:val="1DD261D8"/>
    <w:rsid w:val="1DD3634A"/>
    <w:rsid w:val="1DD368C9"/>
    <w:rsid w:val="1DD571BD"/>
    <w:rsid w:val="1DD65E75"/>
    <w:rsid w:val="1DD67908"/>
    <w:rsid w:val="1DD70E93"/>
    <w:rsid w:val="1DD7358E"/>
    <w:rsid w:val="1DD74D89"/>
    <w:rsid w:val="1DD763FD"/>
    <w:rsid w:val="1DD769FA"/>
    <w:rsid w:val="1DD850A0"/>
    <w:rsid w:val="1DD95FDF"/>
    <w:rsid w:val="1DDA0CD8"/>
    <w:rsid w:val="1DDB7DF3"/>
    <w:rsid w:val="1DDC0E05"/>
    <w:rsid w:val="1DDC6EE0"/>
    <w:rsid w:val="1DDE12D5"/>
    <w:rsid w:val="1DDF06AE"/>
    <w:rsid w:val="1DDF4451"/>
    <w:rsid w:val="1DE261E1"/>
    <w:rsid w:val="1DE26607"/>
    <w:rsid w:val="1DE52D4F"/>
    <w:rsid w:val="1DE63ED0"/>
    <w:rsid w:val="1DE668EB"/>
    <w:rsid w:val="1DE71515"/>
    <w:rsid w:val="1DE72D94"/>
    <w:rsid w:val="1DE745DD"/>
    <w:rsid w:val="1DE830B3"/>
    <w:rsid w:val="1DE9627A"/>
    <w:rsid w:val="1DEA4225"/>
    <w:rsid w:val="1DEA78C7"/>
    <w:rsid w:val="1DEC2861"/>
    <w:rsid w:val="1DEC54EC"/>
    <w:rsid w:val="1DEC6FA3"/>
    <w:rsid w:val="1DEC729A"/>
    <w:rsid w:val="1DEE7E94"/>
    <w:rsid w:val="1DEF33A4"/>
    <w:rsid w:val="1DEF3E31"/>
    <w:rsid w:val="1DF00EA8"/>
    <w:rsid w:val="1DF07C88"/>
    <w:rsid w:val="1DF25F43"/>
    <w:rsid w:val="1DF26214"/>
    <w:rsid w:val="1DF34C8A"/>
    <w:rsid w:val="1DF36450"/>
    <w:rsid w:val="1DF55CA9"/>
    <w:rsid w:val="1DF734D6"/>
    <w:rsid w:val="1DF75BFA"/>
    <w:rsid w:val="1DF84D95"/>
    <w:rsid w:val="1DF865B9"/>
    <w:rsid w:val="1DF952EC"/>
    <w:rsid w:val="1DFA2098"/>
    <w:rsid w:val="1DFB572F"/>
    <w:rsid w:val="1DFC0E08"/>
    <w:rsid w:val="1DFC1672"/>
    <w:rsid w:val="1DFC3EA9"/>
    <w:rsid w:val="1DFC5AEE"/>
    <w:rsid w:val="1DFD6A00"/>
    <w:rsid w:val="1DFE61A2"/>
    <w:rsid w:val="1DFF0539"/>
    <w:rsid w:val="1DFF3A6A"/>
    <w:rsid w:val="1E0068A1"/>
    <w:rsid w:val="1E01086B"/>
    <w:rsid w:val="1E01263D"/>
    <w:rsid w:val="1E0151A2"/>
    <w:rsid w:val="1E033AF2"/>
    <w:rsid w:val="1E04376D"/>
    <w:rsid w:val="1E047127"/>
    <w:rsid w:val="1E047661"/>
    <w:rsid w:val="1E056DBB"/>
    <w:rsid w:val="1E057D63"/>
    <w:rsid w:val="1E081AA0"/>
    <w:rsid w:val="1E090190"/>
    <w:rsid w:val="1E09779B"/>
    <w:rsid w:val="1E0A0373"/>
    <w:rsid w:val="1E0A1680"/>
    <w:rsid w:val="1E0B3330"/>
    <w:rsid w:val="1E0C1559"/>
    <w:rsid w:val="1E0C246B"/>
    <w:rsid w:val="1E0D50C0"/>
    <w:rsid w:val="1E0E00D0"/>
    <w:rsid w:val="1E1141C2"/>
    <w:rsid w:val="1E115BEE"/>
    <w:rsid w:val="1E117F3F"/>
    <w:rsid w:val="1E125921"/>
    <w:rsid w:val="1E125EC8"/>
    <w:rsid w:val="1E13695D"/>
    <w:rsid w:val="1E1547AD"/>
    <w:rsid w:val="1E162091"/>
    <w:rsid w:val="1E18008F"/>
    <w:rsid w:val="1E18448E"/>
    <w:rsid w:val="1E18727C"/>
    <w:rsid w:val="1E19372F"/>
    <w:rsid w:val="1E19404C"/>
    <w:rsid w:val="1E1A0FCE"/>
    <w:rsid w:val="1E1A47E3"/>
    <w:rsid w:val="1E1A48B2"/>
    <w:rsid w:val="1E1A48EE"/>
    <w:rsid w:val="1E1A5E47"/>
    <w:rsid w:val="1E1B34EE"/>
    <w:rsid w:val="1E1B5404"/>
    <w:rsid w:val="1E1B73A1"/>
    <w:rsid w:val="1E1C7453"/>
    <w:rsid w:val="1E1E51A3"/>
    <w:rsid w:val="1E202521"/>
    <w:rsid w:val="1E20293C"/>
    <w:rsid w:val="1E220707"/>
    <w:rsid w:val="1E222CBC"/>
    <w:rsid w:val="1E23005A"/>
    <w:rsid w:val="1E23433D"/>
    <w:rsid w:val="1E252249"/>
    <w:rsid w:val="1E2751B3"/>
    <w:rsid w:val="1E2827C7"/>
    <w:rsid w:val="1E292DBB"/>
    <w:rsid w:val="1E296163"/>
    <w:rsid w:val="1E2D4A87"/>
    <w:rsid w:val="1E2D687E"/>
    <w:rsid w:val="1E2E3D1B"/>
    <w:rsid w:val="1E2E5344"/>
    <w:rsid w:val="1E2F2D97"/>
    <w:rsid w:val="1E313C20"/>
    <w:rsid w:val="1E320DBD"/>
    <w:rsid w:val="1E322D1F"/>
    <w:rsid w:val="1E323D70"/>
    <w:rsid w:val="1E32416C"/>
    <w:rsid w:val="1E340F3F"/>
    <w:rsid w:val="1E36000F"/>
    <w:rsid w:val="1E3643A4"/>
    <w:rsid w:val="1E371CF0"/>
    <w:rsid w:val="1E397E3E"/>
    <w:rsid w:val="1E3A25E1"/>
    <w:rsid w:val="1E3C168A"/>
    <w:rsid w:val="1E3D298A"/>
    <w:rsid w:val="1E3D5313"/>
    <w:rsid w:val="1E3E6FF3"/>
    <w:rsid w:val="1E3F38EC"/>
    <w:rsid w:val="1E3F4AE2"/>
    <w:rsid w:val="1E3F74CC"/>
    <w:rsid w:val="1E414861"/>
    <w:rsid w:val="1E442749"/>
    <w:rsid w:val="1E442FEB"/>
    <w:rsid w:val="1E455E73"/>
    <w:rsid w:val="1E4569AA"/>
    <w:rsid w:val="1E473923"/>
    <w:rsid w:val="1E482DAA"/>
    <w:rsid w:val="1E492436"/>
    <w:rsid w:val="1E495E39"/>
    <w:rsid w:val="1E4B3655"/>
    <w:rsid w:val="1E4C00C6"/>
    <w:rsid w:val="1E4D028D"/>
    <w:rsid w:val="1E4E45F4"/>
    <w:rsid w:val="1E4E7AAC"/>
    <w:rsid w:val="1E4F02B7"/>
    <w:rsid w:val="1E50731B"/>
    <w:rsid w:val="1E52011B"/>
    <w:rsid w:val="1E524A20"/>
    <w:rsid w:val="1E540D07"/>
    <w:rsid w:val="1E547FA9"/>
    <w:rsid w:val="1E5553BE"/>
    <w:rsid w:val="1E5613A9"/>
    <w:rsid w:val="1E566E09"/>
    <w:rsid w:val="1E583A41"/>
    <w:rsid w:val="1E5A24BD"/>
    <w:rsid w:val="1E5A79BB"/>
    <w:rsid w:val="1E5B326A"/>
    <w:rsid w:val="1E5B5496"/>
    <w:rsid w:val="1E5B7211"/>
    <w:rsid w:val="1E5C31B6"/>
    <w:rsid w:val="1E5C335B"/>
    <w:rsid w:val="1E5C74F6"/>
    <w:rsid w:val="1E5D00F0"/>
    <w:rsid w:val="1E5D6C7C"/>
    <w:rsid w:val="1E5F2A07"/>
    <w:rsid w:val="1E5F2D41"/>
    <w:rsid w:val="1E5F7E0E"/>
    <w:rsid w:val="1E6008A1"/>
    <w:rsid w:val="1E605865"/>
    <w:rsid w:val="1E613616"/>
    <w:rsid w:val="1E617701"/>
    <w:rsid w:val="1E6312CA"/>
    <w:rsid w:val="1E6343A9"/>
    <w:rsid w:val="1E6377F1"/>
    <w:rsid w:val="1E64545C"/>
    <w:rsid w:val="1E651FC1"/>
    <w:rsid w:val="1E661360"/>
    <w:rsid w:val="1E682982"/>
    <w:rsid w:val="1E68496D"/>
    <w:rsid w:val="1E686136"/>
    <w:rsid w:val="1E687213"/>
    <w:rsid w:val="1E693CDD"/>
    <w:rsid w:val="1E6A5F6A"/>
    <w:rsid w:val="1E6A61A8"/>
    <w:rsid w:val="1E6B6C6A"/>
    <w:rsid w:val="1E6C0CD1"/>
    <w:rsid w:val="1E6C3F37"/>
    <w:rsid w:val="1E6C648A"/>
    <w:rsid w:val="1E6D07B7"/>
    <w:rsid w:val="1E6D5BD6"/>
    <w:rsid w:val="1E6E2316"/>
    <w:rsid w:val="1E6F08C0"/>
    <w:rsid w:val="1E710522"/>
    <w:rsid w:val="1E717DFF"/>
    <w:rsid w:val="1E7203A4"/>
    <w:rsid w:val="1E7203E1"/>
    <w:rsid w:val="1E72286E"/>
    <w:rsid w:val="1E736EB3"/>
    <w:rsid w:val="1E744AEE"/>
    <w:rsid w:val="1E75022A"/>
    <w:rsid w:val="1E76230C"/>
    <w:rsid w:val="1E762E86"/>
    <w:rsid w:val="1E771DED"/>
    <w:rsid w:val="1E780DB0"/>
    <w:rsid w:val="1E792281"/>
    <w:rsid w:val="1E7A0408"/>
    <w:rsid w:val="1E7A513B"/>
    <w:rsid w:val="1E7B063F"/>
    <w:rsid w:val="1E7B77DA"/>
    <w:rsid w:val="1E7C2454"/>
    <w:rsid w:val="1E7C3701"/>
    <w:rsid w:val="1E7F010E"/>
    <w:rsid w:val="1E7F2822"/>
    <w:rsid w:val="1E806833"/>
    <w:rsid w:val="1E825272"/>
    <w:rsid w:val="1E827105"/>
    <w:rsid w:val="1E8372CA"/>
    <w:rsid w:val="1E846A02"/>
    <w:rsid w:val="1E852E90"/>
    <w:rsid w:val="1E854E21"/>
    <w:rsid w:val="1E857888"/>
    <w:rsid w:val="1E871500"/>
    <w:rsid w:val="1E872BBB"/>
    <w:rsid w:val="1E897EFE"/>
    <w:rsid w:val="1E8B5C2A"/>
    <w:rsid w:val="1E8C2FFD"/>
    <w:rsid w:val="1E8D3558"/>
    <w:rsid w:val="1E8E6D54"/>
    <w:rsid w:val="1E8F2CAA"/>
    <w:rsid w:val="1E907D41"/>
    <w:rsid w:val="1E912A82"/>
    <w:rsid w:val="1E92685D"/>
    <w:rsid w:val="1E927F58"/>
    <w:rsid w:val="1E93405C"/>
    <w:rsid w:val="1E93431A"/>
    <w:rsid w:val="1E95025E"/>
    <w:rsid w:val="1E96404E"/>
    <w:rsid w:val="1E9674C7"/>
    <w:rsid w:val="1E97231F"/>
    <w:rsid w:val="1E977C71"/>
    <w:rsid w:val="1E9C2E95"/>
    <w:rsid w:val="1E9D1F50"/>
    <w:rsid w:val="1E9D2EC0"/>
    <w:rsid w:val="1E9D3D0B"/>
    <w:rsid w:val="1E9D4D51"/>
    <w:rsid w:val="1E9F6368"/>
    <w:rsid w:val="1EA34ADB"/>
    <w:rsid w:val="1EA43ED3"/>
    <w:rsid w:val="1EA46A41"/>
    <w:rsid w:val="1EA518B6"/>
    <w:rsid w:val="1EA64D4E"/>
    <w:rsid w:val="1EA70165"/>
    <w:rsid w:val="1EA70B7E"/>
    <w:rsid w:val="1EA715E7"/>
    <w:rsid w:val="1EA738BD"/>
    <w:rsid w:val="1EA73D7B"/>
    <w:rsid w:val="1EA7648D"/>
    <w:rsid w:val="1EA86640"/>
    <w:rsid w:val="1EA90CE7"/>
    <w:rsid w:val="1EA93136"/>
    <w:rsid w:val="1EA9403E"/>
    <w:rsid w:val="1EA97B70"/>
    <w:rsid w:val="1EAC2BC6"/>
    <w:rsid w:val="1EAC325A"/>
    <w:rsid w:val="1EAD1FA4"/>
    <w:rsid w:val="1EB12291"/>
    <w:rsid w:val="1EB16A1A"/>
    <w:rsid w:val="1EB47272"/>
    <w:rsid w:val="1EB61C52"/>
    <w:rsid w:val="1EB95C0D"/>
    <w:rsid w:val="1EBD6426"/>
    <w:rsid w:val="1EBE3810"/>
    <w:rsid w:val="1EC44749"/>
    <w:rsid w:val="1EC532BA"/>
    <w:rsid w:val="1EC6022D"/>
    <w:rsid w:val="1EC66FE9"/>
    <w:rsid w:val="1EC7193E"/>
    <w:rsid w:val="1EC81B06"/>
    <w:rsid w:val="1EC90C01"/>
    <w:rsid w:val="1EC92E8B"/>
    <w:rsid w:val="1EC97A6C"/>
    <w:rsid w:val="1ECA2DFF"/>
    <w:rsid w:val="1ECB0E01"/>
    <w:rsid w:val="1ECB1D2B"/>
    <w:rsid w:val="1ECB5101"/>
    <w:rsid w:val="1ECD1252"/>
    <w:rsid w:val="1ECD353C"/>
    <w:rsid w:val="1ECF0394"/>
    <w:rsid w:val="1ECF3011"/>
    <w:rsid w:val="1ECF56B2"/>
    <w:rsid w:val="1ED31ADF"/>
    <w:rsid w:val="1ED3746A"/>
    <w:rsid w:val="1ED4269E"/>
    <w:rsid w:val="1ED5448F"/>
    <w:rsid w:val="1ED82063"/>
    <w:rsid w:val="1ED83BFE"/>
    <w:rsid w:val="1ED8770C"/>
    <w:rsid w:val="1ED907A8"/>
    <w:rsid w:val="1ED97235"/>
    <w:rsid w:val="1EDB18E6"/>
    <w:rsid w:val="1EDB30B2"/>
    <w:rsid w:val="1EDB3532"/>
    <w:rsid w:val="1EDB47EE"/>
    <w:rsid w:val="1EDB7DCD"/>
    <w:rsid w:val="1EDC6E06"/>
    <w:rsid w:val="1EDE1E8D"/>
    <w:rsid w:val="1EDE4B46"/>
    <w:rsid w:val="1EDF4499"/>
    <w:rsid w:val="1EDF4C6C"/>
    <w:rsid w:val="1EDF61ED"/>
    <w:rsid w:val="1EE272B1"/>
    <w:rsid w:val="1EE3630F"/>
    <w:rsid w:val="1EE367C6"/>
    <w:rsid w:val="1EE4273A"/>
    <w:rsid w:val="1EE62954"/>
    <w:rsid w:val="1EE7613C"/>
    <w:rsid w:val="1EE76CC8"/>
    <w:rsid w:val="1EEA00B0"/>
    <w:rsid w:val="1EEA204A"/>
    <w:rsid w:val="1EEA654E"/>
    <w:rsid w:val="1EEB0CFA"/>
    <w:rsid w:val="1EEB7629"/>
    <w:rsid w:val="1EEE0DF0"/>
    <w:rsid w:val="1EEE2316"/>
    <w:rsid w:val="1EEE381E"/>
    <w:rsid w:val="1EEE6A83"/>
    <w:rsid w:val="1EEF0B19"/>
    <w:rsid w:val="1EF012ED"/>
    <w:rsid w:val="1EF059F1"/>
    <w:rsid w:val="1EF06BCF"/>
    <w:rsid w:val="1EF3302A"/>
    <w:rsid w:val="1EF3776C"/>
    <w:rsid w:val="1EF42D4D"/>
    <w:rsid w:val="1EF45B66"/>
    <w:rsid w:val="1EF51471"/>
    <w:rsid w:val="1EF52CAC"/>
    <w:rsid w:val="1EF61ACB"/>
    <w:rsid w:val="1EF66A34"/>
    <w:rsid w:val="1EF70785"/>
    <w:rsid w:val="1EF71D4B"/>
    <w:rsid w:val="1EF748E2"/>
    <w:rsid w:val="1EF80FDF"/>
    <w:rsid w:val="1EF869B9"/>
    <w:rsid w:val="1EFA411F"/>
    <w:rsid w:val="1EFB00F2"/>
    <w:rsid w:val="1EFD3ECC"/>
    <w:rsid w:val="1EFF41AA"/>
    <w:rsid w:val="1F001510"/>
    <w:rsid w:val="1F014CC6"/>
    <w:rsid w:val="1F026649"/>
    <w:rsid w:val="1F027D8D"/>
    <w:rsid w:val="1F05350E"/>
    <w:rsid w:val="1F084CC5"/>
    <w:rsid w:val="1F08794F"/>
    <w:rsid w:val="1F0975C0"/>
    <w:rsid w:val="1F0B0316"/>
    <w:rsid w:val="1F0B4A90"/>
    <w:rsid w:val="1F0C4573"/>
    <w:rsid w:val="1F0D42CD"/>
    <w:rsid w:val="1F0D454C"/>
    <w:rsid w:val="1F0F79D8"/>
    <w:rsid w:val="1F1106EB"/>
    <w:rsid w:val="1F1248BF"/>
    <w:rsid w:val="1F125FDD"/>
    <w:rsid w:val="1F130081"/>
    <w:rsid w:val="1F13155B"/>
    <w:rsid w:val="1F141195"/>
    <w:rsid w:val="1F14710E"/>
    <w:rsid w:val="1F152FDA"/>
    <w:rsid w:val="1F167F68"/>
    <w:rsid w:val="1F17080A"/>
    <w:rsid w:val="1F1A7E37"/>
    <w:rsid w:val="1F1C387F"/>
    <w:rsid w:val="1F1D11F9"/>
    <w:rsid w:val="1F1D4641"/>
    <w:rsid w:val="1F1D6AE6"/>
    <w:rsid w:val="1F1E1493"/>
    <w:rsid w:val="1F1F008E"/>
    <w:rsid w:val="1F1F3C4D"/>
    <w:rsid w:val="1F1F7037"/>
    <w:rsid w:val="1F1F752F"/>
    <w:rsid w:val="1F1F78AF"/>
    <w:rsid w:val="1F2105F3"/>
    <w:rsid w:val="1F234173"/>
    <w:rsid w:val="1F243DE4"/>
    <w:rsid w:val="1F24734C"/>
    <w:rsid w:val="1F250399"/>
    <w:rsid w:val="1F285BD4"/>
    <w:rsid w:val="1F2A4802"/>
    <w:rsid w:val="1F2A63E5"/>
    <w:rsid w:val="1F2B2FAE"/>
    <w:rsid w:val="1F2B3779"/>
    <w:rsid w:val="1F2C0AA6"/>
    <w:rsid w:val="1F2E5E52"/>
    <w:rsid w:val="1F301734"/>
    <w:rsid w:val="1F3031B6"/>
    <w:rsid w:val="1F30519E"/>
    <w:rsid w:val="1F32168E"/>
    <w:rsid w:val="1F3303AE"/>
    <w:rsid w:val="1F342D18"/>
    <w:rsid w:val="1F3524A5"/>
    <w:rsid w:val="1F3621E9"/>
    <w:rsid w:val="1F380C6D"/>
    <w:rsid w:val="1F3A1452"/>
    <w:rsid w:val="1F3B763C"/>
    <w:rsid w:val="1F3B7BBC"/>
    <w:rsid w:val="1F3C1A48"/>
    <w:rsid w:val="1F3C2FE6"/>
    <w:rsid w:val="1F3E3AEB"/>
    <w:rsid w:val="1F3F6C40"/>
    <w:rsid w:val="1F3F6C9F"/>
    <w:rsid w:val="1F40661E"/>
    <w:rsid w:val="1F41033E"/>
    <w:rsid w:val="1F416E8F"/>
    <w:rsid w:val="1F417168"/>
    <w:rsid w:val="1F4317C2"/>
    <w:rsid w:val="1F4327E9"/>
    <w:rsid w:val="1F470E61"/>
    <w:rsid w:val="1F492BB3"/>
    <w:rsid w:val="1F4B07F0"/>
    <w:rsid w:val="1F4C502B"/>
    <w:rsid w:val="1F4D4E5E"/>
    <w:rsid w:val="1F4E2BDC"/>
    <w:rsid w:val="1F4E3DA4"/>
    <w:rsid w:val="1F4E5A38"/>
    <w:rsid w:val="1F4E6B31"/>
    <w:rsid w:val="1F51384E"/>
    <w:rsid w:val="1F526005"/>
    <w:rsid w:val="1F530B66"/>
    <w:rsid w:val="1F532ED1"/>
    <w:rsid w:val="1F5354B4"/>
    <w:rsid w:val="1F542071"/>
    <w:rsid w:val="1F556E0F"/>
    <w:rsid w:val="1F563C58"/>
    <w:rsid w:val="1F56636C"/>
    <w:rsid w:val="1F5718BD"/>
    <w:rsid w:val="1F5720D1"/>
    <w:rsid w:val="1F584F4E"/>
    <w:rsid w:val="1F5850A5"/>
    <w:rsid w:val="1F590673"/>
    <w:rsid w:val="1F59400B"/>
    <w:rsid w:val="1F5C2097"/>
    <w:rsid w:val="1F5C396E"/>
    <w:rsid w:val="1F5D2DB1"/>
    <w:rsid w:val="1F5D4350"/>
    <w:rsid w:val="1F5E26E0"/>
    <w:rsid w:val="1F5E6877"/>
    <w:rsid w:val="1F600748"/>
    <w:rsid w:val="1F605C65"/>
    <w:rsid w:val="1F6074B4"/>
    <w:rsid w:val="1F6115C2"/>
    <w:rsid w:val="1F633ED1"/>
    <w:rsid w:val="1F6410B2"/>
    <w:rsid w:val="1F64244F"/>
    <w:rsid w:val="1F64446D"/>
    <w:rsid w:val="1F6542D8"/>
    <w:rsid w:val="1F674433"/>
    <w:rsid w:val="1F683FDA"/>
    <w:rsid w:val="1F6941AF"/>
    <w:rsid w:val="1F6A680B"/>
    <w:rsid w:val="1F6B7004"/>
    <w:rsid w:val="1F6C0A8C"/>
    <w:rsid w:val="1F6C10CB"/>
    <w:rsid w:val="1F6C12B9"/>
    <w:rsid w:val="1F6C71B9"/>
    <w:rsid w:val="1F6D2572"/>
    <w:rsid w:val="1F6D4177"/>
    <w:rsid w:val="1F6D57EE"/>
    <w:rsid w:val="1F6D7536"/>
    <w:rsid w:val="1F6D7890"/>
    <w:rsid w:val="1F6E3092"/>
    <w:rsid w:val="1F6F48D3"/>
    <w:rsid w:val="1F70702F"/>
    <w:rsid w:val="1F712935"/>
    <w:rsid w:val="1F72509D"/>
    <w:rsid w:val="1F725F85"/>
    <w:rsid w:val="1F746174"/>
    <w:rsid w:val="1F7A2A5A"/>
    <w:rsid w:val="1F7A7919"/>
    <w:rsid w:val="1F7C0B2E"/>
    <w:rsid w:val="1F7C1B4A"/>
    <w:rsid w:val="1F7C2437"/>
    <w:rsid w:val="1F7E025A"/>
    <w:rsid w:val="1F7E3373"/>
    <w:rsid w:val="1F7F0D55"/>
    <w:rsid w:val="1F7F4847"/>
    <w:rsid w:val="1F7F4CFE"/>
    <w:rsid w:val="1F81267C"/>
    <w:rsid w:val="1F812DB1"/>
    <w:rsid w:val="1F813EF2"/>
    <w:rsid w:val="1F8336BD"/>
    <w:rsid w:val="1F833C2E"/>
    <w:rsid w:val="1F851CD0"/>
    <w:rsid w:val="1F855F20"/>
    <w:rsid w:val="1F86727A"/>
    <w:rsid w:val="1F8762EE"/>
    <w:rsid w:val="1F8801CB"/>
    <w:rsid w:val="1F887176"/>
    <w:rsid w:val="1F892935"/>
    <w:rsid w:val="1F8A3658"/>
    <w:rsid w:val="1F8A76E7"/>
    <w:rsid w:val="1F8B1A72"/>
    <w:rsid w:val="1F8D474B"/>
    <w:rsid w:val="1F8E1770"/>
    <w:rsid w:val="1F906EA4"/>
    <w:rsid w:val="1F921234"/>
    <w:rsid w:val="1F92520B"/>
    <w:rsid w:val="1F937B24"/>
    <w:rsid w:val="1F941D00"/>
    <w:rsid w:val="1F953BA8"/>
    <w:rsid w:val="1F9553CF"/>
    <w:rsid w:val="1F957744"/>
    <w:rsid w:val="1F967C23"/>
    <w:rsid w:val="1F971AEB"/>
    <w:rsid w:val="1F982C21"/>
    <w:rsid w:val="1F9A2DD1"/>
    <w:rsid w:val="1F9A75DA"/>
    <w:rsid w:val="1F9B6E6D"/>
    <w:rsid w:val="1F9C2602"/>
    <w:rsid w:val="1F9C5605"/>
    <w:rsid w:val="1F9F09FC"/>
    <w:rsid w:val="1F9F51A6"/>
    <w:rsid w:val="1FA03592"/>
    <w:rsid w:val="1FA16752"/>
    <w:rsid w:val="1FA267A3"/>
    <w:rsid w:val="1FA60016"/>
    <w:rsid w:val="1FA7433A"/>
    <w:rsid w:val="1FA77301"/>
    <w:rsid w:val="1FA8074C"/>
    <w:rsid w:val="1FA866BA"/>
    <w:rsid w:val="1FA934DE"/>
    <w:rsid w:val="1FAB0164"/>
    <w:rsid w:val="1FAB022B"/>
    <w:rsid w:val="1FAC6EF1"/>
    <w:rsid w:val="1FB03493"/>
    <w:rsid w:val="1FB04548"/>
    <w:rsid w:val="1FB076D8"/>
    <w:rsid w:val="1FB13EE5"/>
    <w:rsid w:val="1FB1655F"/>
    <w:rsid w:val="1FB2602E"/>
    <w:rsid w:val="1FB514E9"/>
    <w:rsid w:val="1FB57757"/>
    <w:rsid w:val="1FB71188"/>
    <w:rsid w:val="1FB77038"/>
    <w:rsid w:val="1FB8606B"/>
    <w:rsid w:val="1FBA1E3C"/>
    <w:rsid w:val="1FBA26F5"/>
    <w:rsid w:val="1FBB38B5"/>
    <w:rsid w:val="1FBC3267"/>
    <w:rsid w:val="1FBC358D"/>
    <w:rsid w:val="1FBC3E16"/>
    <w:rsid w:val="1FBE7869"/>
    <w:rsid w:val="1FBF2C3A"/>
    <w:rsid w:val="1FBF6EA3"/>
    <w:rsid w:val="1FC356AC"/>
    <w:rsid w:val="1FC41436"/>
    <w:rsid w:val="1FC53C95"/>
    <w:rsid w:val="1FC61394"/>
    <w:rsid w:val="1FC63E26"/>
    <w:rsid w:val="1FC826FE"/>
    <w:rsid w:val="1FC91070"/>
    <w:rsid w:val="1FCA53B9"/>
    <w:rsid w:val="1FCA5876"/>
    <w:rsid w:val="1FCA7C2F"/>
    <w:rsid w:val="1FCB3A72"/>
    <w:rsid w:val="1FCB53EB"/>
    <w:rsid w:val="1FCC0E28"/>
    <w:rsid w:val="1FCC6BC7"/>
    <w:rsid w:val="1FCD11B4"/>
    <w:rsid w:val="1FCD3D70"/>
    <w:rsid w:val="1FCF1B90"/>
    <w:rsid w:val="1FD14630"/>
    <w:rsid w:val="1FD7350B"/>
    <w:rsid w:val="1FD73639"/>
    <w:rsid w:val="1FD758C5"/>
    <w:rsid w:val="1FD8522B"/>
    <w:rsid w:val="1FDA5F2D"/>
    <w:rsid w:val="1FDB391B"/>
    <w:rsid w:val="1FDC542C"/>
    <w:rsid w:val="1FDF58F7"/>
    <w:rsid w:val="1FE14C07"/>
    <w:rsid w:val="1FE15013"/>
    <w:rsid w:val="1FE36DA4"/>
    <w:rsid w:val="1FE53F05"/>
    <w:rsid w:val="1FE575A1"/>
    <w:rsid w:val="1FE57C5B"/>
    <w:rsid w:val="1FE60AEC"/>
    <w:rsid w:val="1FE66272"/>
    <w:rsid w:val="1FE70DE8"/>
    <w:rsid w:val="1FE8597D"/>
    <w:rsid w:val="1FE90017"/>
    <w:rsid w:val="1FE97C35"/>
    <w:rsid w:val="1FEA50FE"/>
    <w:rsid w:val="1FEA66A5"/>
    <w:rsid w:val="1FED28AE"/>
    <w:rsid w:val="1FEF595B"/>
    <w:rsid w:val="1FF016EA"/>
    <w:rsid w:val="1FF047FA"/>
    <w:rsid w:val="1FF10801"/>
    <w:rsid w:val="1FF217E2"/>
    <w:rsid w:val="1FF217F7"/>
    <w:rsid w:val="1FF26DF2"/>
    <w:rsid w:val="1FF43830"/>
    <w:rsid w:val="1FF54191"/>
    <w:rsid w:val="1FF56379"/>
    <w:rsid w:val="1FF57E6A"/>
    <w:rsid w:val="1FF64C58"/>
    <w:rsid w:val="1FF74C4D"/>
    <w:rsid w:val="1FF75816"/>
    <w:rsid w:val="1FF840A8"/>
    <w:rsid w:val="1FF90E40"/>
    <w:rsid w:val="1FFB44D2"/>
    <w:rsid w:val="1FFD637A"/>
    <w:rsid w:val="1FFE0F1C"/>
    <w:rsid w:val="1FFE296F"/>
    <w:rsid w:val="1FFE7336"/>
    <w:rsid w:val="1FFF4956"/>
    <w:rsid w:val="200015DA"/>
    <w:rsid w:val="20024D30"/>
    <w:rsid w:val="200268D7"/>
    <w:rsid w:val="200464D7"/>
    <w:rsid w:val="20051807"/>
    <w:rsid w:val="20052A1E"/>
    <w:rsid w:val="20067927"/>
    <w:rsid w:val="2009185E"/>
    <w:rsid w:val="200B461B"/>
    <w:rsid w:val="200D53BB"/>
    <w:rsid w:val="200F0D2D"/>
    <w:rsid w:val="200F77E2"/>
    <w:rsid w:val="201304B8"/>
    <w:rsid w:val="20134992"/>
    <w:rsid w:val="20134E54"/>
    <w:rsid w:val="20136D56"/>
    <w:rsid w:val="20140F41"/>
    <w:rsid w:val="20147391"/>
    <w:rsid w:val="20174BBA"/>
    <w:rsid w:val="2018410D"/>
    <w:rsid w:val="20194C07"/>
    <w:rsid w:val="201A1722"/>
    <w:rsid w:val="201A550D"/>
    <w:rsid w:val="201B6094"/>
    <w:rsid w:val="201B6103"/>
    <w:rsid w:val="201C0642"/>
    <w:rsid w:val="201D2FC0"/>
    <w:rsid w:val="201E51C0"/>
    <w:rsid w:val="201E6154"/>
    <w:rsid w:val="20206A07"/>
    <w:rsid w:val="20250EE3"/>
    <w:rsid w:val="20254337"/>
    <w:rsid w:val="20256E16"/>
    <w:rsid w:val="20264E1E"/>
    <w:rsid w:val="20270058"/>
    <w:rsid w:val="20270A5D"/>
    <w:rsid w:val="20271C0B"/>
    <w:rsid w:val="2027526C"/>
    <w:rsid w:val="202813EB"/>
    <w:rsid w:val="202858A2"/>
    <w:rsid w:val="202909C4"/>
    <w:rsid w:val="202A3793"/>
    <w:rsid w:val="202A539A"/>
    <w:rsid w:val="202C0180"/>
    <w:rsid w:val="202C01E8"/>
    <w:rsid w:val="202C1A2C"/>
    <w:rsid w:val="202C6073"/>
    <w:rsid w:val="202D4DAD"/>
    <w:rsid w:val="202D5062"/>
    <w:rsid w:val="202E380B"/>
    <w:rsid w:val="202F10ED"/>
    <w:rsid w:val="20330D93"/>
    <w:rsid w:val="20333998"/>
    <w:rsid w:val="20341B1E"/>
    <w:rsid w:val="20352236"/>
    <w:rsid w:val="203523E4"/>
    <w:rsid w:val="20363E73"/>
    <w:rsid w:val="2037273E"/>
    <w:rsid w:val="203765F4"/>
    <w:rsid w:val="2038285A"/>
    <w:rsid w:val="20390748"/>
    <w:rsid w:val="203959E3"/>
    <w:rsid w:val="20396090"/>
    <w:rsid w:val="203A6317"/>
    <w:rsid w:val="203B18C5"/>
    <w:rsid w:val="203C73B0"/>
    <w:rsid w:val="203D1DE5"/>
    <w:rsid w:val="203D3519"/>
    <w:rsid w:val="203D3918"/>
    <w:rsid w:val="203F3EF4"/>
    <w:rsid w:val="20420190"/>
    <w:rsid w:val="204275E4"/>
    <w:rsid w:val="204361B2"/>
    <w:rsid w:val="20443ECF"/>
    <w:rsid w:val="20450EAD"/>
    <w:rsid w:val="204570F6"/>
    <w:rsid w:val="2046629F"/>
    <w:rsid w:val="204669E1"/>
    <w:rsid w:val="2047254A"/>
    <w:rsid w:val="20491512"/>
    <w:rsid w:val="204A54D9"/>
    <w:rsid w:val="204A6957"/>
    <w:rsid w:val="204D4DDD"/>
    <w:rsid w:val="204D577D"/>
    <w:rsid w:val="204E27D5"/>
    <w:rsid w:val="204F1DD1"/>
    <w:rsid w:val="204F4731"/>
    <w:rsid w:val="205053B7"/>
    <w:rsid w:val="20540475"/>
    <w:rsid w:val="20541126"/>
    <w:rsid w:val="2054131F"/>
    <w:rsid w:val="205474B5"/>
    <w:rsid w:val="20552F43"/>
    <w:rsid w:val="20582F84"/>
    <w:rsid w:val="205927A0"/>
    <w:rsid w:val="205A5467"/>
    <w:rsid w:val="205E6904"/>
    <w:rsid w:val="205F14C5"/>
    <w:rsid w:val="205F5FB1"/>
    <w:rsid w:val="205F7A54"/>
    <w:rsid w:val="2060639C"/>
    <w:rsid w:val="20607F2F"/>
    <w:rsid w:val="20610184"/>
    <w:rsid w:val="20644F91"/>
    <w:rsid w:val="2065383D"/>
    <w:rsid w:val="20670E5A"/>
    <w:rsid w:val="20684BD2"/>
    <w:rsid w:val="20695BDC"/>
    <w:rsid w:val="206979A9"/>
    <w:rsid w:val="206A2307"/>
    <w:rsid w:val="206A7496"/>
    <w:rsid w:val="206B68F0"/>
    <w:rsid w:val="206C352E"/>
    <w:rsid w:val="206C6B20"/>
    <w:rsid w:val="207004C2"/>
    <w:rsid w:val="207011D8"/>
    <w:rsid w:val="207047DA"/>
    <w:rsid w:val="20705983"/>
    <w:rsid w:val="20713A86"/>
    <w:rsid w:val="20714CAB"/>
    <w:rsid w:val="20717ECC"/>
    <w:rsid w:val="2072057A"/>
    <w:rsid w:val="2072357F"/>
    <w:rsid w:val="20724D34"/>
    <w:rsid w:val="207379F1"/>
    <w:rsid w:val="20743C6E"/>
    <w:rsid w:val="20756AC6"/>
    <w:rsid w:val="20775A1C"/>
    <w:rsid w:val="207E43F5"/>
    <w:rsid w:val="207E6E62"/>
    <w:rsid w:val="207F493D"/>
    <w:rsid w:val="207F7A36"/>
    <w:rsid w:val="2080086A"/>
    <w:rsid w:val="20803077"/>
    <w:rsid w:val="20803D6A"/>
    <w:rsid w:val="208204AF"/>
    <w:rsid w:val="208318B8"/>
    <w:rsid w:val="2084463B"/>
    <w:rsid w:val="208506E4"/>
    <w:rsid w:val="20853BC5"/>
    <w:rsid w:val="20860A52"/>
    <w:rsid w:val="20867663"/>
    <w:rsid w:val="20890D77"/>
    <w:rsid w:val="20892F03"/>
    <w:rsid w:val="208966AD"/>
    <w:rsid w:val="208A2801"/>
    <w:rsid w:val="208D03E8"/>
    <w:rsid w:val="208E1E90"/>
    <w:rsid w:val="208E6BE5"/>
    <w:rsid w:val="208F214F"/>
    <w:rsid w:val="208F2B62"/>
    <w:rsid w:val="208F4770"/>
    <w:rsid w:val="208F4AAC"/>
    <w:rsid w:val="20906E4D"/>
    <w:rsid w:val="20931C4F"/>
    <w:rsid w:val="20940F41"/>
    <w:rsid w:val="20940FF0"/>
    <w:rsid w:val="20941DA5"/>
    <w:rsid w:val="2096572D"/>
    <w:rsid w:val="20983A31"/>
    <w:rsid w:val="20986806"/>
    <w:rsid w:val="209868C2"/>
    <w:rsid w:val="2098712A"/>
    <w:rsid w:val="2098724A"/>
    <w:rsid w:val="20987D85"/>
    <w:rsid w:val="20990D94"/>
    <w:rsid w:val="209A5016"/>
    <w:rsid w:val="209B07DC"/>
    <w:rsid w:val="209B4FA7"/>
    <w:rsid w:val="209B6232"/>
    <w:rsid w:val="209D1BA3"/>
    <w:rsid w:val="209D3BB6"/>
    <w:rsid w:val="209E1F2D"/>
    <w:rsid w:val="20A11D82"/>
    <w:rsid w:val="20A16281"/>
    <w:rsid w:val="20A209AE"/>
    <w:rsid w:val="20A45D59"/>
    <w:rsid w:val="20A53106"/>
    <w:rsid w:val="20A60C80"/>
    <w:rsid w:val="20A742A6"/>
    <w:rsid w:val="20A94669"/>
    <w:rsid w:val="20AC1DD9"/>
    <w:rsid w:val="20AC2396"/>
    <w:rsid w:val="20AD78CE"/>
    <w:rsid w:val="20AE05F2"/>
    <w:rsid w:val="20AE2D1A"/>
    <w:rsid w:val="20AF0828"/>
    <w:rsid w:val="20AF45DC"/>
    <w:rsid w:val="20B033CE"/>
    <w:rsid w:val="20B215E0"/>
    <w:rsid w:val="20B337A9"/>
    <w:rsid w:val="20B34401"/>
    <w:rsid w:val="20B36159"/>
    <w:rsid w:val="20B5633A"/>
    <w:rsid w:val="20B63727"/>
    <w:rsid w:val="20B706C8"/>
    <w:rsid w:val="20B95A5E"/>
    <w:rsid w:val="20B978E0"/>
    <w:rsid w:val="20B97E79"/>
    <w:rsid w:val="20BA790F"/>
    <w:rsid w:val="20BB0156"/>
    <w:rsid w:val="20BB178F"/>
    <w:rsid w:val="20BB54C1"/>
    <w:rsid w:val="20BC2C08"/>
    <w:rsid w:val="20BC59D7"/>
    <w:rsid w:val="20BD6DA6"/>
    <w:rsid w:val="20BE4114"/>
    <w:rsid w:val="20C01F7A"/>
    <w:rsid w:val="20C02DF6"/>
    <w:rsid w:val="20C12946"/>
    <w:rsid w:val="20C12CEC"/>
    <w:rsid w:val="20C1770C"/>
    <w:rsid w:val="20C244DD"/>
    <w:rsid w:val="20C31631"/>
    <w:rsid w:val="20C31E08"/>
    <w:rsid w:val="20C66869"/>
    <w:rsid w:val="20C7028B"/>
    <w:rsid w:val="20CA763A"/>
    <w:rsid w:val="20CB5D13"/>
    <w:rsid w:val="20CD0E7C"/>
    <w:rsid w:val="20CF2D88"/>
    <w:rsid w:val="20D02A32"/>
    <w:rsid w:val="20D11AFE"/>
    <w:rsid w:val="20D20FB6"/>
    <w:rsid w:val="20D22847"/>
    <w:rsid w:val="20D233FC"/>
    <w:rsid w:val="20D40959"/>
    <w:rsid w:val="20D42D51"/>
    <w:rsid w:val="20D440FA"/>
    <w:rsid w:val="20D47AFA"/>
    <w:rsid w:val="20D67106"/>
    <w:rsid w:val="20D720E5"/>
    <w:rsid w:val="20D750B9"/>
    <w:rsid w:val="20D753B5"/>
    <w:rsid w:val="20D802CF"/>
    <w:rsid w:val="20D802F9"/>
    <w:rsid w:val="20D8340E"/>
    <w:rsid w:val="20D86E98"/>
    <w:rsid w:val="20D912C0"/>
    <w:rsid w:val="20D96AB0"/>
    <w:rsid w:val="20DB0121"/>
    <w:rsid w:val="20DB7344"/>
    <w:rsid w:val="20DC438A"/>
    <w:rsid w:val="20DC4592"/>
    <w:rsid w:val="20DD178F"/>
    <w:rsid w:val="20DE0937"/>
    <w:rsid w:val="20E30152"/>
    <w:rsid w:val="20E30F60"/>
    <w:rsid w:val="20E31DEB"/>
    <w:rsid w:val="20E37583"/>
    <w:rsid w:val="20E421C6"/>
    <w:rsid w:val="20E46A72"/>
    <w:rsid w:val="20E50204"/>
    <w:rsid w:val="20E56F3A"/>
    <w:rsid w:val="20E60869"/>
    <w:rsid w:val="20E6658C"/>
    <w:rsid w:val="20E67D84"/>
    <w:rsid w:val="20E928DD"/>
    <w:rsid w:val="20EA2CDE"/>
    <w:rsid w:val="20EB2874"/>
    <w:rsid w:val="20EB4D85"/>
    <w:rsid w:val="20EC2908"/>
    <w:rsid w:val="20EC75B1"/>
    <w:rsid w:val="20EE076B"/>
    <w:rsid w:val="20EF6F66"/>
    <w:rsid w:val="20EF742A"/>
    <w:rsid w:val="20F06655"/>
    <w:rsid w:val="20F071D5"/>
    <w:rsid w:val="20F14BC7"/>
    <w:rsid w:val="20F20F5B"/>
    <w:rsid w:val="20F24003"/>
    <w:rsid w:val="20F326ED"/>
    <w:rsid w:val="20F352F3"/>
    <w:rsid w:val="20F46465"/>
    <w:rsid w:val="20F479D0"/>
    <w:rsid w:val="20F54848"/>
    <w:rsid w:val="20F5718B"/>
    <w:rsid w:val="20F81BEF"/>
    <w:rsid w:val="20F827BA"/>
    <w:rsid w:val="20FA7C41"/>
    <w:rsid w:val="20FB77F4"/>
    <w:rsid w:val="20FC022D"/>
    <w:rsid w:val="20FC2CC4"/>
    <w:rsid w:val="20FC59AF"/>
    <w:rsid w:val="20FD2B45"/>
    <w:rsid w:val="20FD39C4"/>
    <w:rsid w:val="20FD7FCC"/>
    <w:rsid w:val="20FE1BD4"/>
    <w:rsid w:val="20FE423D"/>
    <w:rsid w:val="20FF5BE5"/>
    <w:rsid w:val="21010748"/>
    <w:rsid w:val="21011A83"/>
    <w:rsid w:val="2102680E"/>
    <w:rsid w:val="21032B0D"/>
    <w:rsid w:val="210369DD"/>
    <w:rsid w:val="210457B7"/>
    <w:rsid w:val="21045C02"/>
    <w:rsid w:val="210721B3"/>
    <w:rsid w:val="2107268F"/>
    <w:rsid w:val="21080873"/>
    <w:rsid w:val="21087E57"/>
    <w:rsid w:val="2109090B"/>
    <w:rsid w:val="21090D21"/>
    <w:rsid w:val="2109540C"/>
    <w:rsid w:val="210A1CE9"/>
    <w:rsid w:val="210A5AAC"/>
    <w:rsid w:val="210E752C"/>
    <w:rsid w:val="210F4667"/>
    <w:rsid w:val="210F7B10"/>
    <w:rsid w:val="211008C5"/>
    <w:rsid w:val="21103012"/>
    <w:rsid w:val="21123F83"/>
    <w:rsid w:val="21130EE4"/>
    <w:rsid w:val="21143AEC"/>
    <w:rsid w:val="21151A57"/>
    <w:rsid w:val="2115331C"/>
    <w:rsid w:val="211613D4"/>
    <w:rsid w:val="211A0026"/>
    <w:rsid w:val="211A1646"/>
    <w:rsid w:val="211B4908"/>
    <w:rsid w:val="211B7253"/>
    <w:rsid w:val="211C1CAB"/>
    <w:rsid w:val="211C453C"/>
    <w:rsid w:val="211D1129"/>
    <w:rsid w:val="211D3BCD"/>
    <w:rsid w:val="211D54EC"/>
    <w:rsid w:val="211E3E1C"/>
    <w:rsid w:val="2123343E"/>
    <w:rsid w:val="21234B35"/>
    <w:rsid w:val="21236527"/>
    <w:rsid w:val="21241356"/>
    <w:rsid w:val="21246B77"/>
    <w:rsid w:val="212712FF"/>
    <w:rsid w:val="21286B15"/>
    <w:rsid w:val="21287B93"/>
    <w:rsid w:val="2129084D"/>
    <w:rsid w:val="212B2771"/>
    <w:rsid w:val="212C1C92"/>
    <w:rsid w:val="212C673F"/>
    <w:rsid w:val="212D663C"/>
    <w:rsid w:val="212F71C9"/>
    <w:rsid w:val="212F78D7"/>
    <w:rsid w:val="21302C1A"/>
    <w:rsid w:val="2132007F"/>
    <w:rsid w:val="2132225A"/>
    <w:rsid w:val="21333A05"/>
    <w:rsid w:val="21337507"/>
    <w:rsid w:val="21340435"/>
    <w:rsid w:val="21343778"/>
    <w:rsid w:val="21353B9F"/>
    <w:rsid w:val="21373FF3"/>
    <w:rsid w:val="21377824"/>
    <w:rsid w:val="21380A48"/>
    <w:rsid w:val="2139116D"/>
    <w:rsid w:val="21393CA2"/>
    <w:rsid w:val="213B0270"/>
    <w:rsid w:val="213C585C"/>
    <w:rsid w:val="213C6DD6"/>
    <w:rsid w:val="213E6730"/>
    <w:rsid w:val="213E725A"/>
    <w:rsid w:val="213F250B"/>
    <w:rsid w:val="21414DAE"/>
    <w:rsid w:val="214166EE"/>
    <w:rsid w:val="2146249F"/>
    <w:rsid w:val="21474DB0"/>
    <w:rsid w:val="214814DD"/>
    <w:rsid w:val="21487AF6"/>
    <w:rsid w:val="214967B1"/>
    <w:rsid w:val="214A03FF"/>
    <w:rsid w:val="214A4070"/>
    <w:rsid w:val="214B3AFF"/>
    <w:rsid w:val="214D7998"/>
    <w:rsid w:val="214F1916"/>
    <w:rsid w:val="214F2783"/>
    <w:rsid w:val="214F3620"/>
    <w:rsid w:val="214F718A"/>
    <w:rsid w:val="21511586"/>
    <w:rsid w:val="21536F1C"/>
    <w:rsid w:val="21537630"/>
    <w:rsid w:val="215475B5"/>
    <w:rsid w:val="21560158"/>
    <w:rsid w:val="215601FE"/>
    <w:rsid w:val="21576793"/>
    <w:rsid w:val="21586626"/>
    <w:rsid w:val="21595CF3"/>
    <w:rsid w:val="21596A9B"/>
    <w:rsid w:val="215A275E"/>
    <w:rsid w:val="215C13BC"/>
    <w:rsid w:val="215C2BF6"/>
    <w:rsid w:val="215D0283"/>
    <w:rsid w:val="215D0E4B"/>
    <w:rsid w:val="215D776D"/>
    <w:rsid w:val="215E0226"/>
    <w:rsid w:val="215E1B1A"/>
    <w:rsid w:val="215E2D46"/>
    <w:rsid w:val="21605073"/>
    <w:rsid w:val="21611BA9"/>
    <w:rsid w:val="216169AD"/>
    <w:rsid w:val="21622EA9"/>
    <w:rsid w:val="21623A41"/>
    <w:rsid w:val="21632BC8"/>
    <w:rsid w:val="216435EB"/>
    <w:rsid w:val="216B4BF9"/>
    <w:rsid w:val="216C5B3B"/>
    <w:rsid w:val="21701766"/>
    <w:rsid w:val="217030BF"/>
    <w:rsid w:val="21740CBC"/>
    <w:rsid w:val="217441A3"/>
    <w:rsid w:val="217472AC"/>
    <w:rsid w:val="2175244F"/>
    <w:rsid w:val="2175641A"/>
    <w:rsid w:val="217579AE"/>
    <w:rsid w:val="21766614"/>
    <w:rsid w:val="21777BE8"/>
    <w:rsid w:val="21796FC3"/>
    <w:rsid w:val="217A7508"/>
    <w:rsid w:val="217B061C"/>
    <w:rsid w:val="217B3033"/>
    <w:rsid w:val="217F42CA"/>
    <w:rsid w:val="218047BF"/>
    <w:rsid w:val="21804D60"/>
    <w:rsid w:val="21817155"/>
    <w:rsid w:val="2182206D"/>
    <w:rsid w:val="21823861"/>
    <w:rsid w:val="21823BDC"/>
    <w:rsid w:val="21833D87"/>
    <w:rsid w:val="21872627"/>
    <w:rsid w:val="218831C3"/>
    <w:rsid w:val="218A10FC"/>
    <w:rsid w:val="218A6E2D"/>
    <w:rsid w:val="218B77ED"/>
    <w:rsid w:val="218D1296"/>
    <w:rsid w:val="218D288D"/>
    <w:rsid w:val="218E7A75"/>
    <w:rsid w:val="218F01A4"/>
    <w:rsid w:val="218F3820"/>
    <w:rsid w:val="21931EA7"/>
    <w:rsid w:val="2193735B"/>
    <w:rsid w:val="219407D1"/>
    <w:rsid w:val="219467CC"/>
    <w:rsid w:val="219537A4"/>
    <w:rsid w:val="219729E3"/>
    <w:rsid w:val="21984345"/>
    <w:rsid w:val="2199554F"/>
    <w:rsid w:val="21995DE8"/>
    <w:rsid w:val="21995FAA"/>
    <w:rsid w:val="219B4986"/>
    <w:rsid w:val="219B49C1"/>
    <w:rsid w:val="219D4B8A"/>
    <w:rsid w:val="219E008B"/>
    <w:rsid w:val="219E545D"/>
    <w:rsid w:val="219F0FB7"/>
    <w:rsid w:val="219F2B3B"/>
    <w:rsid w:val="219F6D0B"/>
    <w:rsid w:val="21A1003F"/>
    <w:rsid w:val="21A33253"/>
    <w:rsid w:val="21A40912"/>
    <w:rsid w:val="21A41B6F"/>
    <w:rsid w:val="21A47CD4"/>
    <w:rsid w:val="21A64CEB"/>
    <w:rsid w:val="21A70D52"/>
    <w:rsid w:val="21A87827"/>
    <w:rsid w:val="21A944D2"/>
    <w:rsid w:val="21AA26F5"/>
    <w:rsid w:val="21AA2BF3"/>
    <w:rsid w:val="21AB0164"/>
    <w:rsid w:val="21AB3EE8"/>
    <w:rsid w:val="21AD54B4"/>
    <w:rsid w:val="21AD7F97"/>
    <w:rsid w:val="21AE0821"/>
    <w:rsid w:val="21AE3FC9"/>
    <w:rsid w:val="21B00620"/>
    <w:rsid w:val="21B26CAB"/>
    <w:rsid w:val="21B34BAD"/>
    <w:rsid w:val="21B41676"/>
    <w:rsid w:val="21B4409C"/>
    <w:rsid w:val="21B52099"/>
    <w:rsid w:val="21B53699"/>
    <w:rsid w:val="21B62110"/>
    <w:rsid w:val="21B66667"/>
    <w:rsid w:val="21B77621"/>
    <w:rsid w:val="21B77BBF"/>
    <w:rsid w:val="21B87A53"/>
    <w:rsid w:val="21BA3DB7"/>
    <w:rsid w:val="21BA5177"/>
    <w:rsid w:val="21BB085A"/>
    <w:rsid w:val="21BB20AD"/>
    <w:rsid w:val="21BD4654"/>
    <w:rsid w:val="21BD4BD8"/>
    <w:rsid w:val="21BD58B6"/>
    <w:rsid w:val="21C01148"/>
    <w:rsid w:val="21C122BF"/>
    <w:rsid w:val="21C21EC5"/>
    <w:rsid w:val="21C61605"/>
    <w:rsid w:val="21C63188"/>
    <w:rsid w:val="21C64C66"/>
    <w:rsid w:val="21C7278A"/>
    <w:rsid w:val="21CA03C8"/>
    <w:rsid w:val="21CA66CB"/>
    <w:rsid w:val="21CB366A"/>
    <w:rsid w:val="21CB60F8"/>
    <w:rsid w:val="21CB76C7"/>
    <w:rsid w:val="21CD6AB6"/>
    <w:rsid w:val="21CF108A"/>
    <w:rsid w:val="21CF27F3"/>
    <w:rsid w:val="21D13615"/>
    <w:rsid w:val="21D14A95"/>
    <w:rsid w:val="21D15EB5"/>
    <w:rsid w:val="21D16E44"/>
    <w:rsid w:val="21D20A21"/>
    <w:rsid w:val="21D2768E"/>
    <w:rsid w:val="21D30EF5"/>
    <w:rsid w:val="21D33DFF"/>
    <w:rsid w:val="21D35DCC"/>
    <w:rsid w:val="21D473AE"/>
    <w:rsid w:val="21D544E9"/>
    <w:rsid w:val="21D5551E"/>
    <w:rsid w:val="21D57A2C"/>
    <w:rsid w:val="21D61CA1"/>
    <w:rsid w:val="21D625F5"/>
    <w:rsid w:val="21D63A68"/>
    <w:rsid w:val="21D710BD"/>
    <w:rsid w:val="21D7343B"/>
    <w:rsid w:val="21D7383F"/>
    <w:rsid w:val="21D82265"/>
    <w:rsid w:val="21D82EB8"/>
    <w:rsid w:val="21D93B5C"/>
    <w:rsid w:val="21DA0376"/>
    <w:rsid w:val="21DA5D11"/>
    <w:rsid w:val="21DB0F0A"/>
    <w:rsid w:val="21DC633E"/>
    <w:rsid w:val="21DE20A9"/>
    <w:rsid w:val="21DF11EA"/>
    <w:rsid w:val="21DF41CF"/>
    <w:rsid w:val="21E15816"/>
    <w:rsid w:val="21E2341E"/>
    <w:rsid w:val="21E4758A"/>
    <w:rsid w:val="21E50D98"/>
    <w:rsid w:val="21E6190E"/>
    <w:rsid w:val="21E6317B"/>
    <w:rsid w:val="21E9445E"/>
    <w:rsid w:val="21E95F71"/>
    <w:rsid w:val="21EA1F75"/>
    <w:rsid w:val="21EC3AA5"/>
    <w:rsid w:val="21ED32F7"/>
    <w:rsid w:val="21ED424D"/>
    <w:rsid w:val="21EF092F"/>
    <w:rsid w:val="21EF3A06"/>
    <w:rsid w:val="21F15DDC"/>
    <w:rsid w:val="21F20A86"/>
    <w:rsid w:val="21F336EE"/>
    <w:rsid w:val="21F34A02"/>
    <w:rsid w:val="21F350E5"/>
    <w:rsid w:val="21F474A8"/>
    <w:rsid w:val="21F52495"/>
    <w:rsid w:val="21F63EFF"/>
    <w:rsid w:val="21F67658"/>
    <w:rsid w:val="21F67EEA"/>
    <w:rsid w:val="21F82969"/>
    <w:rsid w:val="21F96348"/>
    <w:rsid w:val="21FB2637"/>
    <w:rsid w:val="21FC6B3B"/>
    <w:rsid w:val="21FD5E53"/>
    <w:rsid w:val="21FE1720"/>
    <w:rsid w:val="21FF547D"/>
    <w:rsid w:val="22000E79"/>
    <w:rsid w:val="22026FE5"/>
    <w:rsid w:val="22031EF3"/>
    <w:rsid w:val="220415D0"/>
    <w:rsid w:val="22041D0B"/>
    <w:rsid w:val="220442A3"/>
    <w:rsid w:val="22051855"/>
    <w:rsid w:val="2206130D"/>
    <w:rsid w:val="220737A2"/>
    <w:rsid w:val="2208241E"/>
    <w:rsid w:val="22094156"/>
    <w:rsid w:val="22094730"/>
    <w:rsid w:val="22095C4B"/>
    <w:rsid w:val="220B0EDF"/>
    <w:rsid w:val="220B76B0"/>
    <w:rsid w:val="220C3D93"/>
    <w:rsid w:val="220C5F7E"/>
    <w:rsid w:val="220F6AC3"/>
    <w:rsid w:val="22111D88"/>
    <w:rsid w:val="2211262C"/>
    <w:rsid w:val="22137138"/>
    <w:rsid w:val="221424A5"/>
    <w:rsid w:val="22143294"/>
    <w:rsid w:val="22146EDA"/>
    <w:rsid w:val="221478D1"/>
    <w:rsid w:val="22157543"/>
    <w:rsid w:val="22166B6C"/>
    <w:rsid w:val="22196F9C"/>
    <w:rsid w:val="221B25E5"/>
    <w:rsid w:val="221B5355"/>
    <w:rsid w:val="221C26E7"/>
    <w:rsid w:val="221C4B93"/>
    <w:rsid w:val="221D7E6A"/>
    <w:rsid w:val="221E1076"/>
    <w:rsid w:val="221E1D0B"/>
    <w:rsid w:val="221F2623"/>
    <w:rsid w:val="222058D2"/>
    <w:rsid w:val="222114DC"/>
    <w:rsid w:val="2221541E"/>
    <w:rsid w:val="22263212"/>
    <w:rsid w:val="22274B4A"/>
    <w:rsid w:val="22274D44"/>
    <w:rsid w:val="222907A1"/>
    <w:rsid w:val="2229451D"/>
    <w:rsid w:val="222A5209"/>
    <w:rsid w:val="222A58D8"/>
    <w:rsid w:val="222D38DC"/>
    <w:rsid w:val="222F75E5"/>
    <w:rsid w:val="22301FFC"/>
    <w:rsid w:val="223126A2"/>
    <w:rsid w:val="223256C4"/>
    <w:rsid w:val="22325F20"/>
    <w:rsid w:val="223405DD"/>
    <w:rsid w:val="2234162A"/>
    <w:rsid w:val="223467AA"/>
    <w:rsid w:val="22346E69"/>
    <w:rsid w:val="223474AC"/>
    <w:rsid w:val="22354D53"/>
    <w:rsid w:val="223663C4"/>
    <w:rsid w:val="22374FD2"/>
    <w:rsid w:val="22392FF3"/>
    <w:rsid w:val="223952C0"/>
    <w:rsid w:val="2239638F"/>
    <w:rsid w:val="2239716E"/>
    <w:rsid w:val="223A08D3"/>
    <w:rsid w:val="223A0DA2"/>
    <w:rsid w:val="223A3693"/>
    <w:rsid w:val="223A60BE"/>
    <w:rsid w:val="223B0E6D"/>
    <w:rsid w:val="223C635D"/>
    <w:rsid w:val="223D1AE3"/>
    <w:rsid w:val="223F05E7"/>
    <w:rsid w:val="223F1357"/>
    <w:rsid w:val="224004B9"/>
    <w:rsid w:val="2240161A"/>
    <w:rsid w:val="22416D47"/>
    <w:rsid w:val="22417F8E"/>
    <w:rsid w:val="22436CE4"/>
    <w:rsid w:val="22460EAC"/>
    <w:rsid w:val="224636CD"/>
    <w:rsid w:val="22473488"/>
    <w:rsid w:val="2248354A"/>
    <w:rsid w:val="22487BB1"/>
    <w:rsid w:val="224A27E1"/>
    <w:rsid w:val="224B32C7"/>
    <w:rsid w:val="224B5EE3"/>
    <w:rsid w:val="224C31BE"/>
    <w:rsid w:val="224C6559"/>
    <w:rsid w:val="224D2374"/>
    <w:rsid w:val="224E0C68"/>
    <w:rsid w:val="224E1926"/>
    <w:rsid w:val="224F2218"/>
    <w:rsid w:val="224F2E55"/>
    <w:rsid w:val="22512177"/>
    <w:rsid w:val="22513B6F"/>
    <w:rsid w:val="225153C5"/>
    <w:rsid w:val="225231D1"/>
    <w:rsid w:val="225249F0"/>
    <w:rsid w:val="22533760"/>
    <w:rsid w:val="22546CAC"/>
    <w:rsid w:val="22547FE6"/>
    <w:rsid w:val="225550D3"/>
    <w:rsid w:val="22555236"/>
    <w:rsid w:val="22567DEC"/>
    <w:rsid w:val="22570E7B"/>
    <w:rsid w:val="22576CAC"/>
    <w:rsid w:val="2258696C"/>
    <w:rsid w:val="225869CF"/>
    <w:rsid w:val="225957D8"/>
    <w:rsid w:val="225A08CA"/>
    <w:rsid w:val="225A0FA8"/>
    <w:rsid w:val="225B2FC3"/>
    <w:rsid w:val="225C225F"/>
    <w:rsid w:val="225D0AAE"/>
    <w:rsid w:val="225D7198"/>
    <w:rsid w:val="2260474B"/>
    <w:rsid w:val="226106CE"/>
    <w:rsid w:val="22627E6B"/>
    <w:rsid w:val="22630154"/>
    <w:rsid w:val="22633853"/>
    <w:rsid w:val="22637ABB"/>
    <w:rsid w:val="2265009E"/>
    <w:rsid w:val="22650CA1"/>
    <w:rsid w:val="2265586D"/>
    <w:rsid w:val="226B7030"/>
    <w:rsid w:val="226C3DC9"/>
    <w:rsid w:val="226D64CF"/>
    <w:rsid w:val="226E0468"/>
    <w:rsid w:val="226F16DC"/>
    <w:rsid w:val="226F537B"/>
    <w:rsid w:val="227058F7"/>
    <w:rsid w:val="22705B44"/>
    <w:rsid w:val="2272507C"/>
    <w:rsid w:val="2273604B"/>
    <w:rsid w:val="22746D83"/>
    <w:rsid w:val="22776674"/>
    <w:rsid w:val="22784696"/>
    <w:rsid w:val="2278681C"/>
    <w:rsid w:val="22791BA7"/>
    <w:rsid w:val="227A6B41"/>
    <w:rsid w:val="227C14F1"/>
    <w:rsid w:val="227D4EE0"/>
    <w:rsid w:val="227E0A20"/>
    <w:rsid w:val="227E12F8"/>
    <w:rsid w:val="228043A3"/>
    <w:rsid w:val="2281410A"/>
    <w:rsid w:val="22817F91"/>
    <w:rsid w:val="22821F7B"/>
    <w:rsid w:val="228277FB"/>
    <w:rsid w:val="22835A2B"/>
    <w:rsid w:val="22847225"/>
    <w:rsid w:val="22847DBA"/>
    <w:rsid w:val="22847F2D"/>
    <w:rsid w:val="22852665"/>
    <w:rsid w:val="22854166"/>
    <w:rsid w:val="228555BF"/>
    <w:rsid w:val="22871B09"/>
    <w:rsid w:val="22896F24"/>
    <w:rsid w:val="228972B9"/>
    <w:rsid w:val="228A0016"/>
    <w:rsid w:val="228A084E"/>
    <w:rsid w:val="228A23D3"/>
    <w:rsid w:val="228C0430"/>
    <w:rsid w:val="228C4553"/>
    <w:rsid w:val="228C7347"/>
    <w:rsid w:val="228D7655"/>
    <w:rsid w:val="22906BE1"/>
    <w:rsid w:val="2292541A"/>
    <w:rsid w:val="22934A12"/>
    <w:rsid w:val="22960F16"/>
    <w:rsid w:val="22963F61"/>
    <w:rsid w:val="22964094"/>
    <w:rsid w:val="2297352F"/>
    <w:rsid w:val="22975F39"/>
    <w:rsid w:val="22983E31"/>
    <w:rsid w:val="22984916"/>
    <w:rsid w:val="229A0790"/>
    <w:rsid w:val="229A205A"/>
    <w:rsid w:val="229A40EC"/>
    <w:rsid w:val="229A4525"/>
    <w:rsid w:val="229C6D88"/>
    <w:rsid w:val="229E332A"/>
    <w:rsid w:val="229E3B73"/>
    <w:rsid w:val="229E7A19"/>
    <w:rsid w:val="22A10950"/>
    <w:rsid w:val="22A1203F"/>
    <w:rsid w:val="22A1593A"/>
    <w:rsid w:val="22A159E8"/>
    <w:rsid w:val="22A44038"/>
    <w:rsid w:val="22A46AFB"/>
    <w:rsid w:val="22A6533B"/>
    <w:rsid w:val="22A747D2"/>
    <w:rsid w:val="22A84AF3"/>
    <w:rsid w:val="22A862D1"/>
    <w:rsid w:val="22AA2506"/>
    <w:rsid w:val="22AA4893"/>
    <w:rsid w:val="22AB1D29"/>
    <w:rsid w:val="22AD6A4D"/>
    <w:rsid w:val="22AE2DB3"/>
    <w:rsid w:val="22AE5E97"/>
    <w:rsid w:val="22B14E4E"/>
    <w:rsid w:val="22B326B9"/>
    <w:rsid w:val="22B35238"/>
    <w:rsid w:val="22B36329"/>
    <w:rsid w:val="22B47275"/>
    <w:rsid w:val="22B64EAE"/>
    <w:rsid w:val="22B66B55"/>
    <w:rsid w:val="22BA2A87"/>
    <w:rsid w:val="22BA7D28"/>
    <w:rsid w:val="22BE1A40"/>
    <w:rsid w:val="22BE3F82"/>
    <w:rsid w:val="22BE612A"/>
    <w:rsid w:val="22BF11C2"/>
    <w:rsid w:val="22BF1BA7"/>
    <w:rsid w:val="22BF3A57"/>
    <w:rsid w:val="22BF4F13"/>
    <w:rsid w:val="22C05519"/>
    <w:rsid w:val="22C06F22"/>
    <w:rsid w:val="22C16384"/>
    <w:rsid w:val="22C250C7"/>
    <w:rsid w:val="22C41690"/>
    <w:rsid w:val="22C576D7"/>
    <w:rsid w:val="22C6007E"/>
    <w:rsid w:val="22C67B2B"/>
    <w:rsid w:val="22C71C12"/>
    <w:rsid w:val="22C72618"/>
    <w:rsid w:val="22C758FC"/>
    <w:rsid w:val="22C80939"/>
    <w:rsid w:val="22C834AB"/>
    <w:rsid w:val="22C9564A"/>
    <w:rsid w:val="22CA7A72"/>
    <w:rsid w:val="22CD4D62"/>
    <w:rsid w:val="22D019A0"/>
    <w:rsid w:val="22D23C29"/>
    <w:rsid w:val="22D250AF"/>
    <w:rsid w:val="22D54CF7"/>
    <w:rsid w:val="22D60519"/>
    <w:rsid w:val="22D61287"/>
    <w:rsid w:val="22D753A0"/>
    <w:rsid w:val="22D874CD"/>
    <w:rsid w:val="22D92BEC"/>
    <w:rsid w:val="22DB4CBE"/>
    <w:rsid w:val="22DC0D5E"/>
    <w:rsid w:val="22DC1877"/>
    <w:rsid w:val="22DE608F"/>
    <w:rsid w:val="22E25328"/>
    <w:rsid w:val="22E30542"/>
    <w:rsid w:val="22E36F12"/>
    <w:rsid w:val="22E53339"/>
    <w:rsid w:val="22E72DBB"/>
    <w:rsid w:val="22E81454"/>
    <w:rsid w:val="22EA39D1"/>
    <w:rsid w:val="22EC0664"/>
    <w:rsid w:val="22EC0CF1"/>
    <w:rsid w:val="22EE5215"/>
    <w:rsid w:val="22F23532"/>
    <w:rsid w:val="22F30ACC"/>
    <w:rsid w:val="22F310A1"/>
    <w:rsid w:val="22F34742"/>
    <w:rsid w:val="22F47BAF"/>
    <w:rsid w:val="22F52DA0"/>
    <w:rsid w:val="22F655DF"/>
    <w:rsid w:val="22F6682D"/>
    <w:rsid w:val="22F85DD7"/>
    <w:rsid w:val="22F9321B"/>
    <w:rsid w:val="22F95CD8"/>
    <w:rsid w:val="22FA6789"/>
    <w:rsid w:val="22FC044F"/>
    <w:rsid w:val="22FC2459"/>
    <w:rsid w:val="22FC4869"/>
    <w:rsid w:val="22FC75F4"/>
    <w:rsid w:val="22FE2BBB"/>
    <w:rsid w:val="22FE559A"/>
    <w:rsid w:val="23032AF9"/>
    <w:rsid w:val="23066A9B"/>
    <w:rsid w:val="23067D86"/>
    <w:rsid w:val="23086596"/>
    <w:rsid w:val="230A0C9F"/>
    <w:rsid w:val="230A4EED"/>
    <w:rsid w:val="230B4E65"/>
    <w:rsid w:val="230C7CA6"/>
    <w:rsid w:val="230D223B"/>
    <w:rsid w:val="23113A54"/>
    <w:rsid w:val="23120618"/>
    <w:rsid w:val="23132D09"/>
    <w:rsid w:val="23141C51"/>
    <w:rsid w:val="23144974"/>
    <w:rsid w:val="2315029C"/>
    <w:rsid w:val="23151041"/>
    <w:rsid w:val="2316490B"/>
    <w:rsid w:val="23172195"/>
    <w:rsid w:val="231815AB"/>
    <w:rsid w:val="23183EBB"/>
    <w:rsid w:val="231878C1"/>
    <w:rsid w:val="231A0405"/>
    <w:rsid w:val="231B1EC4"/>
    <w:rsid w:val="231C3B47"/>
    <w:rsid w:val="231E73C9"/>
    <w:rsid w:val="231F0A1E"/>
    <w:rsid w:val="231F53EA"/>
    <w:rsid w:val="23203075"/>
    <w:rsid w:val="232043C3"/>
    <w:rsid w:val="232120F4"/>
    <w:rsid w:val="23220544"/>
    <w:rsid w:val="23235766"/>
    <w:rsid w:val="23247295"/>
    <w:rsid w:val="23247F9D"/>
    <w:rsid w:val="23250C2A"/>
    <w:rsid w:val="232553DD"/>
    <w:rsid w:val="23272059"/>
    <w:rsid w:val="232727C5"/>
    <w:rsid w:val="232773A9"/>
    <w:rsid w:val="23292DA2"/>
    <w:rsid w:val="2329336A"/>
    <w:rsid w:val="23295B83"/>
    <w:rsid w:val="232B0177"/>
    <w:rsid w:val="232D083A"/>
    <w:rsid w:val="232D3B20"/>
    <w:rsid w:val="232E537A"/>
    <w:rsid w:val="232F064D"/>
    <w:rsid w:val="232F074F"/>
    <w:rsid w:val="233022BA"/>
    <w:rsid w:val="23306DE6"/>
    <w:rsid w:val="23317AAC"/>
    <w:rsid w:val="23333F35"/>
    <w:rsid w:val="23357983"/>
    <w:rsid w:val="23363BA9"/>
    <w:rsid w:val="233642B8"/>
    <w:rsid w:val="233646BD"/>
    <w:rsid w:val="23367D37"/>
    <w:rsid w:val="23382DF4"/>
    <w:rsid w:val="233B270A"/>
    <w:rsid w:val="233B3D95"/>
    <w:rsid w:val="233C1162"/>
    <w:rsid w:val="233D5859"/>
    <w:rsid w:val="2340700E"/>
    <w:rsid w:val="23425F23"/>
    <w:rsid w:val="23427C70"/>
    <w:rsid w:val="234373C0"/>
    <w:rsid w:val="23444AE1"/>
    <w:rsid w:val="23472244"/>
    <w:rsid w:val="234764C4"/>
    <w:rsid w:val="23486B53"/>
    <w:rsid w:val="23495675"/>
    <w:rsid w:val="234972E5"/>
    <w:rsid w:val="234A14BE"/>
    <w:rsid w:val="234B0E8A"/>
    <w:rsid w:val="234B2A5D"/>
    <w:rsid w:val="234B7654"/>
    <w:rsid w:val="234C009C"/>
    <w:rsid w:val="234C1205"/>
    <w:rsid w:val="234D25B5"/>
    <w:rsid w:val="234D35B2"/>
    <w:rsid w:val="234E00AF"/>
    <w:rsid w:val="234E6301"/>
    <w:rsid w:val="234F3830"/>
    <w:rsid w:val="234F5698"/>
    <w:rsid w:val="23510BF2"/>
    <w:rsid w:val="23514972"/>
    <w:rsid w:val="23515AA7"/>
    <w:rsid w:val="23523B06"/>
    <w:rsid w:val="23524DEA"/>
    <w:rsid w:val="23530B27"/>
    <w:rsid w:val="23566138"/>
    <w:rsid w:val="2356724A"/>
    <w:rsid w:val="2359044D"/>
    <w:rsid w:val="235A0B30"/>
    <w:rsid w:val="235B27DB"/>
    <w:rsid w:val="235B6E72"/>
    <w:rsid w:val="235C72C1"/>
    <w:rsid w:val="235D128E"/>
    <w:rsid w:val="235D4796"/>
    <w:rsid w:val="235F1B0B"/>
    <w:rsid w:val="23633B60"/>
    <w:rsid w:val="236475F4"/>
    <w:rsid w:val="23673D99"/>
    <w:rsid w:val="23677516"/>
    <w:rsid w:val="23682946"/>
    <w:rsid w:val="2368683E"/>
    <w:rsid w:val="236B2207"/>
    <w:rsid w:val="236C11AD"/>
    <w:rsid w:val="236E75E3"/>
    <w:rsid w:val="236F1A0E"/>
    <w:rsid w:val="236F4649"/>
    <w:rsid w:val="237106DC"/>
    <w:rsid w:val="237129CB"/>
    <w:rsid w:val="237252B2"/>
    <w:rsid w:val="2372617A"/>
    <w:rsid w:val="23733AB0"/>
    <w:rsid w:val="23751340"/>
    <w:rsid w:val="23755068"/>
    <w:rsid w:val="2376015A"/>
    <w:rsid w:val="23762FD9"/>
    <w:rsid w:val="23766F62"/>
    <w:rsid w:val="23772320"/>
    <w:rsid w:val="237A1467"/>
    <w:rsid w:val="237A26B3"/>
    <w:rsid w:val="237C18CA"/>
    <w:rsid w:val="237C3CC2"/>
    <w:rsid w:val="237D6321"/>
    <w:rsid w:val="237E1276"/>
    <w:rsid w:val="237E4C45"/>
    <w:rsid w:val="23801029"/>
    <w:rsid w:val="23804D8E"/>
    <w:rsid w:val="23826821"/>
    <w:rsid w:val="23834C5A"/>
    <w:rsid w:val="23836C82"/>
    <w:rsid w:val="23847D03"/>
    <w:rsid w:val="23864FFD"/>
    <w:rsid w:val="23865F28"/>
    <w:rsid w:val="23875393"/>
    <w:rsid w:val="238762EF"/>
    <w:rsid w:val="23881947"/>
    <w:rsid w:val="238A1D58"/>
    <w:rsid w:val="238B0A94"/>
    <w:rsid w:val="238B3AD9"/>
    <w:rsid w:val="238B46A6"/>
    <w:rsid w:val="238C6F0B"/>
    <w:rsid w:val="238F06EF"/>
    <w:rsid w:val="238F187C"/>
    <w:rsid w:val="23902D8C"/>
    <w:rsid w:val="23905E76"/>
    <w:rsid w:val="23930E24"/>
    <w:rsid w:val="23937BA5"/>
    <w:rsid w:val="239426CA"/>
    <w:rsid w:val="23946498"/>
    <w:rsid w:val="23947722"/>
    <w:rsid w:val="2395689E"/>
    <w:rsid w:val="239642AA"/>
    <w:rsid w:val="239669B7"/>
    <w:rsid w:val="23970A8B"/>
    <w:rsid w:val="239767C3"/>
    <w:rsid w:val="239930D2"/>
    <w:rsid w:val="239B2B3E"/>
    <w:rsid w:val="239B54D7"/>
    <w:rsid w:val="239E7514"/>
    <w:rsid w:val="239F39FA"/>
    <w:rsid w:val="23A06F63"/>
    <w:rsid w:val="23A300D9"/>
    <w:rsid w:val="23A351EB"/>
    <w:rsid w:val="23A4383A"/>
    <w:rsid w:val="23A46FE4"/>
    <w:rsid w:val="23A52F05"/>
    <w:rsid w:val="23A63095"/>
    <w:rsid w:val="23A774FC"/>
    <w:rsid w:val="23A91C65"/>
    <w:rsid w:val="23A94D9E"/>
    <w:rsid w:val="23AA6FFF"/>
    <w:rsid w:val="23AB3F11"/>
    <w:rsid w:val="23AB5A38"/>
    <w:rsid w:val="23AC1EAE"/>
    <w:rsid w:val="23AD10BD"/>
    <w:rsid w:val="23AD1C18"/>
    <w:rsid w:val="23AD6F7C"/>
    <w:rsid w:val="23AD74CB"/>
    <w:rsid w:val="23B02109"/>
    <w:rsid w:val="23B03168"/>
    <w:rsid w:val="23B1063E"/>
    <w:rsid w:val="23B17986"/>
    <w:rsid w:val="23B242EE"/>
    <w:rsid w:val="23B44B9F"/>
    <w:rsid w:val="23B469A2"/>
    <w:rsid w:val="23B63FDA"/>
    <w:rsid w:val="23B6625D"/>
    <w:rsid w:val="23B664DD"/>
    <w:rsid w:val="23B84766"/>
    <w:rsid w:val="23BB4092"/>
    <w:rsid w:val="23C235D7"/>
    <w:rsid w:val="23C30A9D"/>
    <w:rsid w:val="23C324F9"/>
    <w:rsid w:val="23C34F4D"/>
    <w:rsid w:val="23C36382"/>
    <w:rsid w:val="23C438F6"/>
    <w:rsid w:val="23C47016"/>
    <w:rsid w:val="23C75CA5"/>
    <w:rsid w:val="23C83225"/>
    <w:rsid w:val="23C9276F"/>
    <w:rsid w:val="23C97C8D"/>
    <w:rsid w:val="23CA5D04"/>
    <w:rsid w:val="23CB182B"/>
    <w:rsid w:val="23CE7AA0"/>
    <w:rsid w:val="23D0113F"/>
    <w:rsid w:val="23D042AD"/>
    <w:rsid w:val="23D11C45"/>
    <w:rsid w:val="23D139CD"/>
    <w:rsid w:val="23D14B43"/>
    <w:rsid w:val="23D160F3"/>
    <w:rsid w:val="23D20199"/>
    <w:rsid w:val="23D226E1"/>
    <w:rsid w:val="23D302B1"/>
    <w:rsid w:val="23D42279"/>
    <w:rsid w:val="23D44908"/>
    <w:rsid w:val="23D634C0"/>
    <w:rsid w:val="23D639C8"/>
    <w:rsid w:val="23D71AAD"/>
    <w:rsid w:val="23D85220"/>
    <w:rsid w:val="23DB2CAB"/>
    <w:rsid w:val="23DB589F"/>
    <w:rsid w:val="23DB7D93"/>
    <w:rsid w:val="23DC13B3"/>
    <w:rsid w:val="23DC7E46"/>
    <w:rsid w:val="23DF38FE"/>
    <w:rsid w:val="23E07778"/>
    <w:rsid w:val="23E12CD1"/>
    <w:rsid w:val="23E46569"/>
    <w:rsid w:val="23E56B3C"/>
    <w:rsid w:val="23E61C22"/>
    <w:rsid w:val="23E65C4D"/>
    <w:rsid w:val="23E67D73"/>
    <w:rsid w:val="23E7003B"/>
    <w:rsid w:val="23E92622"/>
    <w:rsid w:val="23EA611A"/>
    <w:rsid w:val="23EB256A"/>
    <w:rsid w:val="23EB4328"/>
    <w:rsid w:val="23EB515E"/>
    <w:rsid w:val="23EC0A8A"/>
    <w:rsid w:val="23EC62DB"/>
    <w:rsid w:val="23EF0772"/>
    <w:rsid w:val="23EF07E9"/>
    <w:rsid w:val="23F04433"/>
    <w:rsid w:val="23F049D4"/>
    <w:rsid w:val="23F146D9"/>
    <w:rsid w:val="23F24F2D"/>
    <w:rsid w:val="23F32271"/>
    <w:rsid w:val="23F41DF4"/>
    <w:rsid w:val="23F54C83"/>
    <w:rsid w:val="23F57BD4"/>
    <w:rsid w:val="23F70746"/>
    <w:rsid w:val="23F777B7"/>
    <w:rsid w:val="23F81F1E"/>
    <w:rsid w:val="23FC1084"/>
    <w:rsid w:val="23FD5624"/>
    <w:rsid w:val="23FE6A2B"/>
    <w:rsid w:val="24002B4E"/>
    <w:rsid w:val="24005209"/>
    <w:rsid w:val="24013DA5"/>
    <w:rsid w:val="24023F33"/>
    <w:rsid w:val="240341D9"/>
    <w:rsid w:val="240346B1"/>
    <w:rsid w:val="24037A71"/>
    <w:rsid w:val="240460B9"/>
    <w:rsid w:val="24050FD6"/>
    <w:rsid w:val="240564A0"/>
    <w:rsid w:val="2406346F"/>
    <w:rsid w:val="240638FA"/>
    <w:rsid w:val="24071360"/>
    <w:rsid w:val="24071C68"/>
    <w:rsid w:val="24084973"/>
    <w:rsid w:val="24085315"/>
    <w:rsid w:val="24087595"/>
    <w:rsid w:val="2409514B"/>
    <w:rsid w:val="240B02D2"/>
    <w:rsid w:val="240C18C8"/>
    <w:rsid w:val="240C4142"/>
    <w:rsid w:val="240C6073"/>
    <w:rsid w:val="240E0A62"/>
    <w:rsid w:val="240F0BE0"/>
    <w:rsid w:val="24115B64"/>
    <w:rsid w:val="241237D2"/>
    <w:rsid w:val="24143EB3"/>
    <w:rsid w:val="24164778"/>
    <w:rsid w:val="24177E60"/>
    <w:rsid w:val="24186086"/>
    <w:rsid w:val="24191BCA"/>
    <w:rsid w:val="241A0FB0"/>
    <w:rsid w:val="241D34C6"/>
    <w:rsid w:val="241F5E39"/>
    <w:rsid w:val="242054F5"/>
    <w:rsid w:val="24221752"/>
    <w:rsid w:val="2422373B"/>
    <w:rsid w:val="24232271"/>
    <w:rsid w:val="24235D79"/>
    <w:rsid w:val="242532A8"/>
    <w:rsid w:val="24266D64"/>
    <w:rsid w:val="24267D93"/>
    <w:rsid w:val="24270BC4"/>
    <w:rsid w:val="242717D7"/>
    <w:rsid w:val="24272774"/>
    <w:rsid w:val="24273655"/>
    <w:rsid w:val="24273EAB"/>
    <w:rsid w:val="24280900"/>
    <w:rsid w:val="24287655"/>
    <w:rsid w:val="2429142A"/>
    <w:rsid w:val="242A074C"/>
    <w:rsid w:val="242A600B"/>
    <w:rsid w:val="242B2468"/>
    <w:rsid w:val="242C288A"/>
    <w:rsid w:val="242F097F"/>
    <w:rsid w:val="242F384C"/>
    <w:rsid w:val="242F3963"/>
    <w:rsid w:val="2431240B"/>
    <w:rsid w:val="24312B95"/>
    <w:rsid w:val="2431505E"/>
    <w:rsid w:val="24315FA9"/>
    <w:rsid w:val="24332CC7"/>
    <w:rsid w:val="243344AC"/>
    <w:rsid w:val="243477C2"/>
    <w:rsid w:val="24377EF5"/>
    <w:rsid w:val="24380E9B"/>
    <w:rsid w:val="24383715"/>
    <w:rsid w:val="24396B21"/>
    <w:rsid w:val="243B1B35"/>
    <w:rsid w:val="243B57B8"/>
    <w:rsid w:val="243B65B9"/>
    <w:rsid w:val="243B7FC5"/>
    <w:rsid w:val="243C48A1"/>
    <w:rsid w:val="243E3E50"/>
    <w:rsid w:val="243E62B8"/>
    <w:rsid w:val="24433C75"/>
    <w:rsid w:val="2443573A"/>
    <w:rsid w:val="244371D9"/>
    <w:rsid w:val="24440963"/>
    <w:rsid w:val="244461DA"/>
    <w:rsid w:val="24470C3E"/>
    <w:rsid w:val="24483593"/>
    <w:rsid w:val="24494585"/>
    <w:rsid w:val="244D2726"/>
    <w:rsid w:val="244D5170"/>
    <w:rsid w:val="244F0590"/>
    <w:rsid w:val="2450479F"/>
    <w:rsid w:val="245067AB"/>
    <w:rsid w:val="24520166"/>
    <w:rsid w:val="2452081F"/>
    <w:rsid w:val="24521F38"/>
    <w:rsid w:val="24536CFB"/>
    <w:rsid w:val="24554743"/>
    <w:rsid w:val="245636BF"/>
    <w:rsid w:val="245642E1"/>
    <w:rsid w:val="24574C6D"/>
    <w:rsid w:val="24585B48"/>
    <w:rsid w:val="24587A23"/>
    <w:rsid w:val="24590639"/>
    <w:rsid w:val="245A0BCD"/>
    <w:rsid w:val="245A74DA"/>
    <w:rsid w:val="245B1443"/>
    <w:rsid w:val="245F1589"/>
    <w:rsid w:val="245F7237"/>
    <w:rsid w:val="246061E4"/>
    <w:rsid w:val="24623F13"/>
    <w:rsid w:val="246356C5"/>
    <w:rsid w:val="24650316"/>
    <w:rsid w:val="246521F5"/>
    <w:rsid w:val="2466444F"/>
    <w:rsid w:val="246A79FA"/>
    <w:rsid w:val="246B253F"/>
    <w:rsid w:val="246C0700"/>
    <w:rsid w:val="246C29C1"/>
    <w:rsid w:val="246D10A9"/>
    <w:rsid w:val="246D21A3"/>
    <w:rsid w:val="246F0EB4"/>
    <w:rsid w:val="246F1723"/>
    <w:rsid w:val="24714E0D"/>
    <w:rsid w:val="247154F4"/>
    <w:rsid w:val="24715620"/>
    <w:rsid w:val="24736C3B"/>
    <w:rsid w:val="24744F4F"/>
    <w:rsid w:val="24747FE9"/>
    <w:rsid w:val="247B32E2"/>
    <w:rsid w:val="247B6DA5"/>
    <w:rsid w:val="247C1B21"/>
    <w:rsid w:val="247C65E3"/>
    <w:rsid w:val="247D306F"/>
    <w:rsid w:val="247E059A"/>
    <w:rsid w:val="247E25C8"/>
    <w:rsid w:val="2480073C"/>
    <w:rsid w:val="2481239A"/>
    <w:rsid w:val="24822226"/>
    <w:rsid w:val="248233F4"/>
    <w:rsid w:val="2484296F"/>
    <w:rsid w:val="24843BBD"/>
    <w:rsid w:val="24847325"/>
    <w:rsid w:val="248513BF"/>
    <w:rsid w:val="248518C0"/>
    <w:rsid w:val="248621AB"/>
    <w:rsid w:val="24882CD3"/>
    <w:rsid w:val="248B7119"/>
    <w:rsid w:val="248C31FE"/>
    <w:rsid w:val="248E5EAC"/>
    <w:rsid w:val="248E60EF"/>
    <w:rsid w:val="248F1168"/>
    <w:rsid w:val="2491689D"/>
    <w:rsid w:val="24920F9B"/>
    <w:rsid w:val="24921D09"/>
    <w:rsid w:val="249266B4"/>
    <w:rsid w:val="2493595F"/>
    <w:rsid w:val="24935C9D"/>
    <w:rsid w:val="2495709E"/>
    <w:rsid w:val="24960554"/>
    <w:rsid w:val="249609F7"/>
    <w:rsid w:val="2496338C"/>
    <w:rsid w:val="24964291"/>
    <w:rsid w:val="24970FA7"/>
    <w:rsid w:val="24981CF9"/>
    <w:rsid w:val="24995369"/>
    <w:rsid w:val="249A5A1C"/>
    <w:rsid w:val="249A688A"/>
    <w:rsid w:val="249B4037"/>
    <w:rsid w:val="249C2DBF"/>
    <w:rsid w:val="249C5625"/>
    <w:rsid w:val="249C7B28"/>
    <w:rsid w:val="249D27BB"/>
    <w:rsid w:val="24A05677"/>
    <w:rsid w:val="24A13810"/>
    <w:rsid w:val="24A21EE9"/>
    <w:rsid w:val="24A44E3D"/>
    <w:rsid w:val="24A45BEE"/>
    <w:rsid w:val="24A52760"/>
    <w:rsid w:val="24A66D87"/>
    <w:rsid w:val="24A75653"/>
    <w:rsid w:val="24A8015F"/>
    <w:rsid w:val="24A87FFA"/>
    <w:rsid w:val="24A90D2D"/>
    <w:rsid w:val="24AD155E"/>
    <w:rsid w:val="24AF780F"/>
    <w:rsid w:val="24B12624"/>
    <w:rsid w:val="24B179E9"/>
    <w:rsid w:val="24B21888"/>
    <w:rsid w:val="24B23C8E"/>
    <w:rsid w:val="24B253FB"/>
    <w:rsid w:val="24B3488B"/>
    <w:rsid w:val="24B362CD"/>
    <w:rsid w:val="24B525D9"/>
    <w:rsid w:val="24B63E0A"/>
    <w:rsid w:val="24B67738"/>
    <w:rsid w:val="24B82F22"/>
    <w:rsid w:val="24B86165"/>
    <w:rsid w:val="24B87DEE"/>
    <w:rsid w:val="24BA4F60"/>
    <w:rsid w:val="24BD64BA"/>
    <w:rsid w:val="24BE3AD9"/>
    <w:rsid w:val="24BF282A"/>
    <w:rsid w:val="24C001C9"/>
    <w:rsid w:val="24C07135"/>
    <w:rsid w:val="24C07862"/>
    <w:rsid w:val="24C101AA"/>
    <w:rsid w:val="24C15F76"/>
    <w:rsid w:val="24C23DA5"/>
    <w:rsid w:val="24C2689A"/>
    <w:rsid w:val="24C459EE"/>
    <w:rsid w:val="24C71492"/>
    <w:rsid w:val="24C7544A"/>
    <w:rsid w:val="24C81145"/>
    <w:rsid w:val="24C850E0"/>
    <w:rsid w:val="24C85B28"/>
    <w:rsid w:val="24C91B10"/>
    <w:rsid w:val="24CA5994"/>
    <w:rsid w:val="24CB7899"/>
    <w:rsid w:val="24CC313E"/>
    <w:rsid w:val="24CC5E6F"/>
    <w:rsid w:val="24CD0076"/>
    <w:rsid w:val="24CD084B"/>
    <w:rsid w:val="24CD103B"/>
    <w:rsid w:val="24CE5897"/>
    <w:rsid w:val="24CF4D86"/>
    <w:rsid w:val="24CF6D9E"/>
    <w:rsid w:val="24CF7872"/>
    <w:rsid w:val="24D03B26"/>
    <w:rsid w:val="24D04710"/>
    <w:rsid w:val="24D05288"/>
    <w:rsid w:val="24D06A2C"/>
    <w:rsid w:val="24D10CEA"/>
    <w:rsid w:val="24D16E6E"/>
    <w:rsid w:val="24D216C1"/>
    <w:rsid w:val="24D22DDD"/>
    <w:rsid w:val="24D33CFB"/>
    <w:rsid w:val="24D40720"/>
    <w:rsid w:val="24D43F8B"/>
    <w:rsid w:val="24D4759B"/>
    <w:rsid w:val="24D60A32"/>
    <w:rsid w:val="24D646FC"/>
    <w:rsid w:val="24D670E0"/>
    <w:rsid w:val="24D74CE3"/>
    <w:rsid w:val="24D7517F"/>
    <w:rsid w:val="24D82510"/>
    <w:rsid w:val="24D932BB"/>
    <w:rsid w:val="24DB3EBE"/>
    <w:rsid w:val="24DC1889"/>
    <w:rsid w:val="24DD29FA"/>
    <w:rsid w:val="24DD3E2A"/>
    <w:rsid w:val="24DD460C"/>
    <w:rsid w:val="24DE1C3C"/>
    <w:rsid w:val="24E073A0"/>
    <w:rsid w:val="24E12BF5"/>
    <w:rsid w:val="24E16164"/>
    <w:rsid w:val="24E21B1F"/>
    <w:rsid w:val="24E3690A"/>
    <w:rsid w:val="24E51B2E"/>
    <w:rsid w:val="24EB34B9"/>
    <w:rsid w:val="24EC01A3"/>
    <w:rsid w:val="24EC29D2"/>
    <w:rsid w:val="24EC3C76"/>
    <w:rsid w:val="24EE4F11"/>
    <w:rsid w:val="24F01CA1"/>
    <w:rsid w:val="24F01CA5"/>
    <w:rsid w:val="24F421AD"/>
    <w:rsid w:val="24F45085"/>
    <w:rsid w:val="24F558EF"/>
    <w:rsid w:val="24F63168"/>
    <w:rsid w:val="24FA421E"/>
    <w:rsid w:val="24FA431C"/>
    <w:rsid w:val="24FE534D"/>
    <w:rsid w:val="24FE64B6"/>
    <w:rsid w:val="24FE6B3C"/>
    <w:rsid w:val="24FE6E54"/>
    <w:rsid w:val="24FF4E75"/>
    <w:rsid w:val="250028D3"/>
    <w:rsid w:val="25024064"/>
    <w:rsid w:val="25026893"/>
    <w:rsid w:val="25027F8C"/>
    <w:rsid w:val="25033E54"/>
    <w:rsid w:val="25041B5A"/>
    <w:rsid w:val="25050C41"/>
    <w:rsid w:val="25081F68"/>
    <w:rsid w:val="250824DF"/>
    <w:rsid w:val="25093D35"/>
    <w:rsid w:val="250B03B2"/>
    <w:rsid w:val="250C0016"/>
    <w:rsid w:val="250D050C"/>
    <w:rsid w:val="250D13BB"/>
    <w:rsid w:val="251019CA"/>
    <w:rsid w:val="25114240"/>
    <w:rsid w:val="25114A7B"/>
    <w:rsid w:val="25127A59"/>
    <w:rsid w:val="25131C4A"/>
    <w:rsid w:val="251600BA"/>
    <w:rsid w:val="25170FFD"/>
    <w:rsid w:val="25171CEE"/>
    <w:rsid w:val="25174BA3"/>
    <w:rsid w:val="2518381E"/>
    <w:rsid w:val="25194931"/>
    <w:rsid w:val="251A2C36"/>
    <w:rsid w:val="251B6E82"/>
    <w:rsid w:val="251C6462"/>
    <w:rsid w:val="251D41DD"/>
    <w:rsid w:val="251E3358"/>
    <w:rsid w:val="251F1656"/>
    <w:rsid w:val="25203AF1"/>
    <w:rsid w:val="25205D85"/>
    <w:rsid w:val="252217F3"/>
    <w:rsid w:val="25221F44"/>
    <w:rsid w:val="2522382B"/>
    <w:rsid w:val="25250B4D"/>
    <w:rsid w:val="25251489"/>
    <w:rsid w:val="25256905"/>
    <w:rsid w:val="252618B7"/>
    <w:rsid w:val="25264F5F"/>
    <w:rsid w:val="2526570D"/>
    <w:rsid w:val="25271998"/>
    <w:rsid w:val="25275A67"/>
    <w:rsid w:val="25275BD3"/>
    <w:rsid w:val="25276500"/>
    <w:rsid w:val="252806F9"/>
    <w:rsid w:val="25280E77"/>
    <w:rsid w:val="252845E9"/>
    <w:rsid w:val="25286A06"/>
    <w:rsid w:val="25296C78"/>
    <w:rsid w:val="252A10D1"/>
    <w:rsid w:val="252A1550"/>
    <w:rsid w:val="252A3055"/>
    <w:rsid w:val="252B4670"/>
    <w:rsid w:val="252C533C"/>
    <w:rsid w:val="252C5D14"/>
    <w:rsid w:val="252C738C"/>
    <w:rsid w:val="252E1072"/>
    <w:rsid w:val="252F4D1B"/>
    <w:rsid w:val="25304DE1"/>
    <w:rsid w:val="253134B4"/>
    <w:rsid w:val="25314EF7"/>
    <w:rsid w:val="253156FF"/>
    <w:rsid w:val="25316B39"/>
    <w:rsid w:val="25317C88"/>
    <w:rsid w:val="253346CE"/>
    <w:rsid w:val="253357AE"/>
    <w:rsid w:val="2534589E"/>
    <w:rsid w:val="25346515"/>
    <w:rsid w:val="25347762"/>
    <w:rsid w:val="2536362A"/>
    <w:rsid w:val="253676C0"/>
    <w:rsid w:val="25372371"/>
    <w:rsid w:val="25383D2A"/>
    <w:rsid w:val="2538711D"/>
    <w:rsid w:val="25387269"/>
    <w:rsid w:val="25391EFE"/>
    <w:rsid w:val="25396595"/>
    <w:rsid w:val="253B38C2"/>
    <w:rsid w:val="253D323F"/>
    <w:rsid w:val="253D558B"/>
    <w:rsid w:val="253E1ED2"/>
    <w:rsid w:val="25414170"/>
    <w:rsid w:val="2541659C"/>
    <w:rsid w:val="25425B70"/>
    <w:rsid w:val="25436DAE"/>
    <w:rsid w:val="25442ED7"/>
    <w:rsid w:val="254563B7"/>
    <w:rsid w:val="25456E39"/>
    <w:rsid w:val="25461F21"/>
    <w:rsid w:val="254649F2"/>
    <w:rsid w:val="25474E98"/>
    <w:rsid w:val="25493EC1"/>
    <w:rsid w:val="254B12D2"/>
    <w:rsid w:val="254B14FD"/>
    <w:rsid w:val="254C6B91"/>
    <w:rsid w:val="254E5A36"/>
    <w:rsid w:val="254F4F50"/>
    <w:rsid w:val="2550438C"/>
    <w:rsid w:val="2551032A"/>
    <w:rsid w:val="25510B06"/>
    <w:rsid w:val="25513D10"/>
    <w:rsid w:val="25522149"/>
    <w:rsid w:val="2553437C"/>
    <w:rsid w:val="255704A2"/>
    <w:rsid w:val="255843C9"/>
    <w:rsid w:val="25595411"/>
    <w:rsid w:val="255969F2"/>
    <w:rsid w:val="255A4AC6"/>
    <w:rsid w:val="255C680F"/>
    <w:rsid w:val="255D3A5B"/>
    <w:rsid w:val="255F42F8"/>
    <w:rsid w:val="255F612E"/>
    <w:rsid w:val="255F765A"/>
    <w:rsid w:val="25600A79"/>
    <w:rsid w:val="25607B3F"/>
    <w:rsid w:val="25611FEE"/>
    <w:rsid w:val="25620DA2"/>
    <w:rsid w:val="256238C9"/>
    <w:rsid w:val="25633304"/>
    <w:rsid w:val="25644C0F"/>
    <w:rsid w:val="256500DE"/>
    <w:rsid w:val="256516E0"/>
    <w:rsid w:val="25651D04"/>
    <w:rsid w:val="25654719"/>
    <w:rsid w:val="25693AAD"/>
    <w:rsid w:val="256D30EA"/>
    <w:rsid w:val="256D357E"/>
    <w:rsid w:val="25714190"/>
    <w:rsid w:val="2572004A"/>
    <w:rsid w:val="2572088F"/>
    <w:rsid w:val="25721C0F"/>
    <w:rsid w:val="25726698"/>
    <w:rsid w:val="25734BE1"/>
    <w:rsid w:val="257410E6"/>
    <w:rsid w:val="25764DD3"/>
    <w:rsid w:val="2576588D"/>
    <w:rsid w:val="25767555"/>
    <w:rsid w:val="2579484D"/>
    <w:rsid w:val="25795A7C"/>
    <w:rsid w:val="257A41C5"/>
    <w:rsid w:val="257B1DC6"/>
    <w:rsid w:val="257B1EC0"/>
    <w:rsid w:val="257B4454"/>
    <w:rsid w:val="257E21BB"/>
    <w:rsid w:val="257F6801"/>
    <w:rsid w:val="25804D4E"/>
    <w:rsid w:val="25812FCA"/>
    <w:rsid w:val="25822809"/>
    <w:rsid w:val="25830D04"/>
    <w:rsid w:val="258422E5"/>
    <w:rsid w:val="25850311"/>
    <w:rsid w:val="25852CCF"/>
    <w:rsid w:val="25884E83"/>
    <w:rsid w:val="258C10AF"/>
    <w:rsid w:val="258C4DA8"/>
    <w:rsid w:val="258F2872"/>
    <w:rsid w:val="258F2CEA"/>
    <w:rsid w:val="258F7A14"/>
    <w:rsid w:val="25914C85"/>
    <w:rsid w:val="25922C09"/>
    <w:rsid w:val="25922E23"/>
    <w:rsid w:val="259243D6"/>
    <w:rsid w:val="25924933"/>
    <w:rsid w:val="25932603"/>
    <w:rsid w:val="25934A09"/>
    <w:rsid w:val="25935E9D"/>
    <w:rsid w:val="2594255A"/>
    <w:rsid w:val="25942D11"/>
    <w:rsid w:val="25950354"/>
    <w:rsid w:val="25960D38"/>
    <w:rsid w:val="25961240"/>
    <w:rsid w:val="25966127"/>
    <w:rsid w:val="25967EBF"/>
    <w:rsid w:val="259708C5"/>
    <w:rsid w:val="25970C36"/>
    <w:rsid w:val="259810CA"/>
    <w:rsid w:val="25991F29"/>
    <w:rsid w:val="25993403"/>
    <w:rsid w:val="259A5107"/>
    <w:rsid w:val="259B33A9"/>
    <w:rsid w:val="259B4AF0"/>
    <w:rsid w:val="259B4B15"/>
    <w:rsid w:val="259C06B2"/>
    <w:rsid w:val="259C3323"/>
    <w:rsid w:val="259C6884"/>
    <w:rsid w:val="259D0D8C"/>
    <w:rsid w:val="259D1490"/>
    <w:rsid w:val="259D6F9B"/>
    <w:rsid w:val="259E48DA"/>
    <w:rsid w:val="259F05AC"/>
    <w:rsid w:val="259F21A2"/>
    <w:rsid w:val="25A048D8"/>
    <w:rsid w:val="25A0673E"/>
    <w:rsid w:val="25A161B7"/>
    <w:rsid w:val="25A221DA"/>
    <w:rsid w:val="25A226AF"/>
    <w:rsid w:val="25A330FA"/>
    <w:rsid w:val="25A338FD"/>
    <w:rsid w:val="25AA7065"/>
    <w:rsid w:val="25AB6B3F"/>
    <w:rsid w:val="25AC33FE"/>
    <w:rsid w:val="25AC5561"/>
    <w:rsid w:val="25AE4595"/>
    <w:rsid w:val="25B0620C"/>
    <w:rsid w:val="25B14ABA"/>
    <w:rsid w:val="25B23630"/>
    <w:rsid w:val="25B24AB4"/>
    <w:rsid w:val="25B34C68"/>
    <w:rsid w:val="25B371E9"/>
    <w:rsid w:val="25B70C52"/>
    <w:rsid w:val="25B7584F"/>
    <w:rsid w:val="25B77C05"/>
    <w:rsid w:val="25B93433"/>
    <w:rsid w:val="25B94130"/>
    <w:rsid w:val="25B97841"/>
    <w:rsid w:val="25BB347F"/>
    <w:rsid w:val="25BB3542"/>
    <w:rsid w:val="25BB7C1E"/>
    <w:rsid w:val="25BC5B03"/>
    <w:rsid w:val="25BD5AD8"/>
    <w:rsid w:val="25BE09B8"/>
    <w:rsid w:val="25C04A73"/>
    <w:rsid w:val="25C04F99"/>
    <w:rsid w:val="25C060EE"/>
    <w:rsid w:val="25C104CB"/>
    <w:rsid w:val="25C14DA4"/>
    <w:rsid w:val="25C27FE1"/>
    <w:rsid w:val="25C3579F"/>
    <w:rsid w:val="25C358CC"/>
    <w:rsid w:val="25C3712F"/>
    <w:rsid w:val="25C651D7"/>
    <w:rsid w:val="25C766E6"/>
    <w:rsid w:val="25C7705A"/>
    <w:rsid w:val="25C81A0B"/>
    <w:rsid w:val="25C94584"/>
    <w:rsid w:val="25C9527B"/>
    <w:rsid w:val="25CD0A94"/>
    <w:rsid w:val="25CD37E3"/>
    <w:rsid w:val="25CE19EB"/>
    <w:rsid w:val="25CE660B"/>
    <w:rsid w:val="25CE78D8"/>
    <w:rsid w:val="25CF7160"/>
    <w:rsid w:val="25D060CC"/>
    <w:rsid w:val="25D10F82"/>
    <w:rsid w:val="25D22758"/>
    <w:rsid w:val="25D432FB"/>
    <w:rsid w:val="25D47494"/>
    <w:rsid w:val="25D6542C"/>
    <w:rsid w:val="25D725DE"/>
    <w:rsid w:val="25D803DF"/>
    <w:rsid w:val="25D81E5C"/>
    <w:rsid w:val="25D82B74"/>
    <w:rsid w:val="25D90E2F"/>
    <w:rsid w:val="25DA6D85"/>
    <w:rsid w:val="25DB171A"/>
    <w:rsid w:val="25DB46CF"/>
    <w:rsid w:val="25DC4B72"/>
    <w:rsid w:val="25DD2A12"/>
    <w:rsid w:val="25DE5CA1"/>
    <w:rsid w:val="25DF10E3"/>
    <w:rsid w:val="25E051A7"/>
    <w:rsid w:val="25E13A3F"/>
    <w:rsid w:val="25E20C9E"/>
    <w:rsid w:val="25E25B8B"/>
    <w:rsid w:val="25E31A5D"/>
    <w:rsid w:val="25E63C4C"/>
    <w:rsid w:val="25E72417"/>
    <w:rsid w:val="25E80097"/>
    <w:rsid w:val="25E92EAE"/>
    <w:rsid w:val="25E9368D"/>
    <w:rsid w:val="25E96E2C"/>
    <w:rsid w:val="25EA0545"/>
    <w:rsid w:val="25EA150E"/>
    <w:rsid w:val="25EA6F7C"/>
    <w:rsid w:val="25EC323B"/>
    <w:rsid w:val="25EC5630"/>
    <w:rsid w:val="25EC5A4F"/>
    <w:rsid w:val="25EC6437"/>
    <w:rsid w:val="25EC6650"/>
    <w:rsid w:val="25EE7927"/>
    <w:rsid w:val="25F01217"/>
    <w:rsid w:val="25F206B4"/>
    <w:rsid w:val="25F27513"/>
    <w:rsid w:val="25F32C61"/>
    <w:rsid w:val="25F41860"/>
    <w:rsid w:val="25F52F73"/>
    <w:rsid w:val="25F555E2"/>
    <w:rsid w:val="25F56F08"/>
    <w:rsid w:val="25F8163B"/>
    <w:rsid w:val="25F85EF5"/>
    <w:rsid w:val="25F97839"/>
    <w:rsid w:val="25FA3CF5"/>
    <w:rsid w:val="25FA5178"/>
    <w:rsid w:val="25FB59D3"/>
    <w:rsid w:val="25FD0687"/>
    <w:rsid w:val="25FD79FF"/>
    <w:rsid w:val="25FF7B70"/>
    <w:rsid w:val="260057C6"/>
    <w:rsid w:val="260120EE"/>
    <w:rsid w:val="26016FAD"/>
    <w:rsid w:val="26020972"/>
    <w:rsid w:val="26021E2E"/>
    <w:rsid w:val="26031343"/>
    <w:rsid w:val="260379CA"/>
    <w:rsid w:val="26044266"/>
    <w:rsid w:val="26065952"/>
    <w:rsid w:val="26070707"/>
    <w:rsid w:val="26072A5E"/>
    <w:rsid w:val="26073D65"/>
    <w:rsid w:val="260833F7"/>
    <w:rsid w:val="26084311"/>
    <w:rsid w:val="260A5F2F"/>
    <w:rsid w:val="260B0655"/>
    <w:rsid w:val="260C15E8"/>
    <w:rsid w:val="260E1FAB"/>
    <w:rsid w:val="260E4F5D"/>
    <w:rsid w:val="260E7686"/>
    <w:rsid w:val="260F3561"/>
    <w:rsid w:val="261036FF"/>
    <w:rsid w:val="26107074"/>
    <w:rsid w:val="261111DA"/>
    <w:rsid w:val="26111BE0"/>
    <w:rsid w:val="26121194"/>
    <w:rsid w:val="26121AB4"/>
    <w:rsid w:val="261302C2"/>
    <w:rsid w:val="26132ABA"/>
    <w:rsid w:val="2613521C"/>
    <w:rsid w:val="26146F64"/>
    <w:rsid w:val="261518FD"/>
    <w:rsid w:val="26153E0C"/>
    <w:rsid w:val="26160061"/>
    <w:rsid w:val="26161B27"/>
    <w:rsid w:val="26163CB7"/>
    <w:rsid w:val="26181E05"/>
    <w:rsid w:val="26194582"/>
    <w:rsid w:val="261A129B"/>
    <w:rsid w:val="261B69B2"/>
    <w:rsid w:val="261D3509"/>
    <w:rsid w:val="261E4279"/>
    <w:rsid w:val="261F1CEA"/>
    <w:rsid w:val="262036CC"/>
    <w:rsid w:val="26203856"/>
    <w:rsid w:val="26231A83"/>
    <w:rsid w:val="26242C4E"/>
    <w:rsid w:val="262433A1"/>
    <w:rsid w:val="26256FD9"/>
    <w:rsid w:val="26261C9E"/>
    <w:rsid w:val="26263CD8"/>
    <w:rsid w:val="262701DD"/>
    <w:rsid w:val="2628699D"/>
    <w:rsid w:val="2629323F"/>
    <w:rsid w:val="262B35D4"/>
    <w:rsid w:val="262B7022"/>
    <w:rsid w:val="262D044F"/>
    <w:rsid w:val="262E091F"/>
    <w:rsid w:val="262E2404"/>
    <w:rsid w:val="262E732F"/>
    <w:rsid w:val="262F523B"/>
    <w:rsid w:val="2630697C"/>
    <w:rsid w:val="26321B10"/>
    <w:rsid w:val="263332F9"/>
    <w:rsid w:val="26333BC7"/>
    <w:rsid w:val="263378A5"/>
    <w:rsid w:val="2634283D"/>
    <w:rsid w:val="2635202E"/>
    <w:rsid w:val="26360470"/>
    <w:rsid w:val="26362108"/>
    <w:rsid w:val="263859F5"/>
    <w:rsid w:val="26392FB5"/>
    <w:rsid w:val="2639448B"/>
    <w:rsid w:val="263A1A52"/>
    <w:rsid w:val="263A2B6C"/>
    <w:rsid w:val="263B3B9C"/>
    <w:rsid w:val="263B6E5A"/>
    <w:rsid w:val="263C6FE9"/>
    <w:rsid w:val="263F0C5D"/>
    <w:rsid w:val="26403E11"/>
    <w:rsid w:val="26410A3E"/>
    <w:rsid w:val="2641214D"/>
    <w:rsid w:val="26416891"/>
    <w:rsid w:val="2642411B"/>
    <w:rsid w:val="26427049"/>
    <w:rsid w:val="26441E58"/>
    <w:rsid w:val="26444A97"/>
    <w:rsid w:val="264569C8"/>
    <w:rsid w:val="26456F53"/>
    <w:rsid w:val="26467DF2"/>
    <w:rsid w:val="26483380"/>
    <w:rsid w:val="264857D7"/>
    <w:rsid w:val="26493C72"/>
    <w:rsid w:val="264967EB"/>
    <w:rsid w:val="264B5616"/>
    <w:rsid w:val="264C6350"/>
    <w:rsid w:val="264D63A9"/>
    <w:rsid w:val="264E0EDF"/>
    <w:rsid w:val="264E3CDC"/>
    <w:rsid w:val="264F7B39"/>
    <w:rsid w:val="26503723"/>
    <w:rsid w:val="265315A5"/>
    <w:rsid w:val="26543801"/>
    <w:rsid w:val="26547864"/>
    <w:rsid w:val="26553C6A"/>
    <w:rsid w:val="26553D14"/>
    <w:rsid w:val="26555BC6"/>
    <w:rsid w:val="2656391E"/>
    <w:rsid w:val="26594475"/>
    <w:rsid w:val="265962D9"/>
    <w:rsid w:val="265A1EE0"/>
    <w:rsid w:val="265A4C55"/>
    <w:rsid w:val="265C3D77"/>
    <w:rsid w:val="265C5F71"/>
    <w:rsid w:val="265C7BDF"/>
    <w:rsid w:val="265D0E63"/>
    <w:rsid w:val="265D1BCA"/>
    <w:rsid w:val="265D237C"/>
    <w:rsid w:val="265D2F63"/>
    <w:rsid w:val="265D34FD"/>
    <w:rsid w:val="265D3AC5"/>
    <w:rsid w:val="26603B46"/>
    <w:rsid w:val="266100C4"/>
    <w:rsid w:val="26613415"/>
    <w:rsid w:val="26624381"/>
    <w:rsid w:val="26646C34"/>
    <w:rsid w:val="26646C56"/>
    <w:rsid w:val="26654230"/>
    <w:rsid w:val="26662A5C"/>
    <w:rsid w:val="2666570F"/>
    <w:rsid w:val="266708FC"/>
    <w:rsid w:val="2667725D"/>
    <w:rsid w:val="266876DA"/>
    <w:rsid w:val="26687AFF"/>
    <w:rsid w:val="266E4F8E"/>
    <w:rsid w:val="266F10D9"/>
    <w:rsid w:val="266F1C3F"/>
    <w:rsid w:val="266F474C"/>
    <w:rsid w:val="2670141A"/>
    <w:rsid w:val="267071D6"/>
    <w:rsid w:val="26715E33"/>
    <w:rsid w:val="26724928"/>
    <w:rsid w:val="26745F42"/>
    <w:rsid w:val="26746CC3"/>
    <w:rsid w:val="267A0E26"/>
    <w:rsid w:val="267B0C61"/>
    <w:rsid w:val="267D1649"/>
    <w:rsid w:val="267F62A2"/>
    <w:rsid w:val="26803564"/>
    <w:rsid w:val="26804524"/>
    <w:rsid w:val="2680507B"/>
    <w:rsid w:val="26817768"/>
    <w:rsid w:val="268249FB"/>
    <w:rsid w:val="26824D2C"/>
    <w:rsid w:val="26833A6D"/>
    <w:rsid w:val="26865DB2"/>
    <w:rsid w:val="26883167"/>
    <w:rsid w:val="268838D8"/>
    <w:rsid w:val="268A1052"/>
    <w:rsid w:val="268A1FE0"/>
    <w:rsid w:val="268B01D3"/>
    <w:rsid w:val="268B0A97"/>
    <w:rsid w:val="268B350C"/>
    <w:rsid w:val="268C77E2"/>
    <w:rsid w:val="268D345A"/>
    <w:rsid w:val="268E2224"/>
    <w:rsid w:val="26912F4D"/>
    <w:rsid w:val="269263F3"/>
    <w:rsid w:val="2697066E"/>
    <w:rsid w:val="26970D12"/>
    <w:rsid w:val="26994137"/>
    <w:rsid w:val="269A0BEF"/>
    <w:rsid w:val="269A57F0"/>
    <w:rsid w:val="269A6948"/>
    <w:rsid w:val="269B06C8"/>
    <w:rsid w:val="269B135F"/>
    <w:rsid w:val="269C77C4"/>
    <w:rsid w:val="269D2132"/>
    <w:rsid w:val="269D3B1A"/>
    <w:rsid w:val="269D4750"/>
    <w:rsid w:val="269D49E1"/>
    <w:rsid w:val="269E2C31"/>
    <w:rsid w:val="269E46D2"/>
    <w:rsid w:val="26A07876"/>
    <w:rsid w:val="26A15F82"/>
    <w:rsid w:val="26A22AF8"/>
    <w:rsid w:val="26A35E0F"/>
    <w:rsid w:val="26A43D08"/>
    <w:rsid w:val="26A47B2E"/>
    <w:rsid w:val="26A571F2"/>
    <w:rsid w:val="26A76FF6"/>
    <w:rsid w:val="26A86938"/>
    <w:rsid w:val="26AA2758"/>
    <w:rsid w:val="26AA3DE9"/>
    <w:rsid w:val="26AA4B75"/>
    <w:rsid w:val="26AB412A"/>
    <w:rsid w:val="26AB67F1"/>
    <w:rsid w:val="26AE0FDA"/>
    <w:rsid w:val="26AE6763"/>
    <w:rsid w:val="26AF14E5"/>
    <w:rsid w:val="26B13E72"/>
    <w:rsid w:val="26B1706D"/>
    <w:rsid w:val="26B216C0"/>
    <w:rsid w:val="26B2525A"/>
    <w:rsid w:val="26B30FA6"/>
    <w:rsid w:val="26B45F1A"/>
    <w:rsid w:val="26B53678"/>
    <w:rsid w:val="26B64172"/>
    <w:rsid w:val="26B84E6E"/>
    <w:rsid w:val="26B930AA"/>
    <w:rsid w:val="26BA4BAD"/>
    <w:rsid w:val="26BB702F"/>
    <w:rsid w:val="26BC597C"/>
    <w:rsid w:val="26BD5DF7"/>
    <w:rsid w:val="26BE09E1"/>
    <w:rsid w:val="26BF750A"/>
    <w:rsid w:val="26BF7AB4"/>
    <w:rsid w:val="26BF7D43"/>
    <w:rsid w:val="26C03090"/>
    <w:rsid w:val="26C07516"/>
    <w:rsid w:val="26C12105"/>
    <w:rsid w:val="26C12857"/>
    <w:rsid w:val="26C12F3D"/>
    <w:rsid w:val="26C234A4"/>
    <w:rsid w:val="26C312AA"/>
    <w:rsid w:val="26C441A1"/>
    <w:rsid w:val="26C60BFB"/>
    <w:rsid w:val="26C64610"/>
    <w:rsid w:val="26C75286"/>
    <w:rsid w:val="26C92A51"/>
    <w:rsid w:val="26CA4A89"/>
    <w:rsid w:val="26CB0B2A"/>
    <w:rsid w:val="26CB48CD"/>
    <w:rsid w:val="26CE57DD"/>
    <w:rsid w:val="26CF13D7"/>
    <w:rsid w:val="26CF1E93"/>
    <w:rsid w:val="26D07CBE"/>
    <w:rsid w:val="26D15AF4"/>
    <w:rsid w:val="26D17876"/>
    <w:rsid w:val="26D24858"/>
    <w:rsid w:val="26D27E2A"/>
    <w:rsid w:val="26D36433"/>
    <w:rsid w:val="26D46B1D"/>
    <w:rsid w:val="26D527AC"/>
    <w:rsid w:val="26D66EB2"/>
    <w:rsid w:val="26D755A7"/>
    <w:rsid w:val="26D854B9"/>
    <w:rsid w:val="26D95D9F"/>
    <w:rsid w:val="26DA02FE"/>
    <w:rsid w:val="26DB344E"/>
    <w:rsid w:val="26DC22FA"/>
    <w:rsid w:val="26DF3B26"/>
    <w:rsid w:val="26DF7DFB"/>
    <w:rsid w:val="26E127D7"/>
    <w:rsid w:val="26E15650"/>
    <w:rsid w:val="26E15C16"/>
    <w:rsid w:val="26E221AF"/>
    <w:rsid w:val="26E2468A"/>
    <w:rsid w:val="26E319D3"/>
    <w:rsid w:val="26E34599"/>
    <w:rsid w:val="26E40C22"/>
    <w:rsid w:val="26E41AB8"/>
    <w:rsid w:val="26E4408A"/>
    <w:rsid w:val="26E53348"/>
    <w:rsid w:val="26E65663"/>
    <w:rsid w:val="26E71443"/>
    <w:rsid w:val="26E75268"/>
    <w:rsid w:val="26EA6E57"/>
    <w:rsid w:val="26EB3E67"/>
    <w:rsid w:val="26EC2451"/>
    <w:rsid w:val="26EC3488"/>
    <w:rsid w:val="26EC5EFD"/>
    <w:rsid w:val="26EE09A1"/>
    <w:rsid w:val="26EF3957"/>
    <w:rsid w:val="26EF4865"/>
    <w:rsid w:val="26F11B11"/>
    <w:rsid w:val="26F21020"/>
    <w:rsid w:val="26F359CE"/>
    <w:rsid w:val="26F42031"/>
    <w:rsid w:val="26F47932"/>
    <w:rsid w:val="26F52BD0"/>
    <w:rsid w:val="26F87413"/>
    <w:rsid w:val="26F90CF7"/>
    <w:rsid w:val="26F93E7C"/>
    <w:rsid w:val="26FD0AFF"/>
    <w:rsid w:val="27001BB4"/>
    <w:rsid w:val="270053D0"/>
    <w:rsid w:val="2701582E"/>
    <w:rsid w:val="270269C6"/>
    <w:rsid w:val="27045BA1"/>
    <w:rsid w:val="27057595"/>
    <w:rsid w:val="270673A0"/>
    <w:rsid w:val="2708249F"/>
    <w:rsid w:val="27091321"/>
    <w:rsid w:val="270A1923"/>
    <w:rsid w:val="270A7B7E"/>
    <w:rsid w:val="270B7BC7"/>
    <w:rsid w:val="270C4719"/>
    <w:rsid w:val="270D77E8"/>
    <w:rsid w:val="270E30D2"/>
    <w:rsid w:val="270E7DB7"/>
    <w:rsid w:val="270F1B3E"/>
    <w:rsid w:val="27103608"/>
    <w:rsid w:val="271121F0"/>
    <w:rsid w:val="2711717F"/>
    <w:rsid w:val="27143A3C"/>
    <w:rsid w:val="2715548B"/>
    <w:rsid w:val="271647CC"/>
    <w:rsid w:val="27167545"/>
    <w:rsid w:val="2717167A"/>
    <w:rsid w:val="27171CF6"/>
    <w:rsid w:val="27177463"/>
    <w:rsid w:val="271912AF"/>
    <w:rsid w:val="271A1E92"/>
    <w:rsid w:val="271A576E"/>
    <w:rsid w:val="271B66C0"/>
    <w:rsid w:val="271B793A"/>
    <w:rsid w:val="271C0091"/>
    <w:rsid w:val="271C0D17"/>
    <w:rsid w:val="271C0F87"/>
    <w:rsid w:val="271D5EAB"/>
    <w:rsid w:val="271E0988"/>
    <w:rsid w:val="271E4EB1"/>
    <w:rsid w:val="272059D3"/>
    <w:rsid w:val="27205BA6"/>
    <w:rsid w:val="272105B7"/>
    <w:rsid w:val="27210DC8"/>
    <w:rsid w:val="27212AE6"/>
    <w:rsid w:val="27217212"/>
    <w:rsid w:val="27227EEC"/>
    <w:rsid w:val="272312AF"/>
    <w:rsid w:val="27233A46"/>
    <w:rsid w:val="272409AB"/>
    <w:rsid w:val="27250B66"/>
    <w:rsid w:val="27254A60"/>
    <w:rsid w:val="272559C3"/>
    <w:rsid w:val="272663A4"/>
    <w:rsid w:val="27270A55"/>
    <w:rsid w:val="27271E06"/>
    <w:rsid w:val="27275887"/>
    <w:rsid w:val="272A5FCA"/>
    <w:rsid w:val="272B6E52"/>
    <w:rsid w:val="272D0235"/>
    <w:rsid w:val="272D097B"/>
    <w:rsid w:val="272D3845"/>
    <w:rsid w:val="272D5794"/>
    <w:rsid w:val="272E4F73"/>
    <w:rsid w:val="272F4526"/>
    <w:rsid w:val="2731558D"/>
    <w:rsid w:val="27322214"/>
    <w:rsid w:val="273300C0"/>
    <w:rsid w:val="2733010A"/>
    <w:rsid w:val="273415A1"/>
    <w:rsid w:val="27345815"/>
    <w:rsid w:val="273520D3"/>
    <w:rsid w:val="27356548"/>
    <w:rsid w:val="27377836"/>
    <w:rsid w:val="2738033B"/>
    <w:rsid w:val="273826E1"/>
    <w:rsid w:val="27383225"/>
    <w:rsid w:val="273B4908"/>
    <w:rsid w:val="273C2AFC"/>
    <w:rsid w:val="273E2B0E"/>
    <w:rsid w:val="27405A96"/>
    <w:rsid w:val="2741445B"/>
    <w:rsid w:val="274243CE"/>
    <w:rsid w:val="27433189"/>
    <w:rsid w:val="2744198B"/>
    <w:rsid w:val="274517C9"/>
    <w:rsid w:val="2745533F"/>
    <w:rsid w:val="274A44D1"/>
    <w:rsid w:val="274A470C"/>
    <w:rsid w:val="274B2797"/>
    <w:rsid w:val="274B612B"/>
    <w:rsid w:val="274D1A2D"/>
    <w:rsid w:val="274E756B"/>
    <w:rsid w:val="274F0DAE"/>
    <w:rsid w:val="2752465F"/>
    <w:rsid w:val="27525B1F"/>
    <w:rsid w:val="27530D2A"/>
    <w:rsid w:val="27536C7B"/>
    <w:rsid w:val="27545312"/>
    <w:rsid w:val="275459DF"/>
    <w:rsid w:val="27551E7F"/>
    <w:rsid w:val="275611CA"/>
    <w:rsid w:val="27562A06"/>
    <w:rsid w:val="27596300"/>
    <w:rsid w:val="275A206D"/>
    <w:rsid w:val="275A6740"/>
    <w:rsid w:val="275B13DE"/>
    <w:rsid w:val="275B7EC8"/>
    <w:rsid w:val="275D68BA"/>
    <w:rsid w:val="275E0D46"/>
    <w:rsid w:val="275F312E"/>
    <w:rsid w:val="275F39E0"/>
    <w:rsid w:val="275F515A"/>
    <w:rsid w:val="275F5AFE"/>
    <w:rsid w:val="27614025"/>
    <w:rsid w:val="27621920"/>
    <w:rsid w:val="276500BD"/>
    <w:rsid w:val="276503EB"/>
    <w:rsid w:val="27650D06"/>
    <w:rsid w:val="27656671"/>
    <w:rsid w:val="27673050"/>
    <w:rsid w:val="27685472"/>
    <w:rsid w:val="276871A0"/>
    <w:rsid w:val="276910E6"/>
    <w:rsid w:val="276B58AF"/>
    <w:rsid w:val="276B65DA"/>
    <w:rsid w:val="276C6DA8"/>
    <w:rsid w:val="276E51D7"/>
    <w:rsid w:val="276E64FF"/>
    <w:rsid w:val="276F0940"/>
    <w:rsid w:val="276F4C34"/>
    <w:rsid w:val="277005B8"/>
    <w:rsid w:val="27707B2F"/>
    <w:rsid w:val="27713395"/>
    <w:rsid w:val="2772671A"/>
    <w:rsid w:val="2773259B"/>
    <w:rsid w:val="27756A7F"/>
    <w:rsid w:val="27764239"/>
    <w:rsid w:val="2776616D"/>
    <w:rsid w:val="27775904"/>
    <w:rsid w:val="27782F99"/>
    <w:rsid w:val="27784789"/>
    <w:rsid w:val="277A4214"/>
    <w:rsid w:val="277B6872"/>
    <w:rsid w:val="277C27D2"/>
    <w:rsid w:val="277D69FF"/>
    <w:rsid w:val="277E0E7D"/>
    <w:rsid w:val="277E11ED"/>
    <w:rsid w:val="277E44EB"/>
    <w:rsid w:val="277F0E89"/>
    <w:rsid w:val="277F36E9"/>
    <w:rsid w:val="277F70C7"/>
    <w:rsid w:val="2781014E"/>
    <w:rsid w:val="2781323B"/>
    <w:rsid w:val="27830B33"/>
    <w:rsid w:val="27837E07"/>
    <w:rsid w:val="27840507"/>
    <w:rsid w:val="27840F3D"/>
    <w:rsid w:val="2785032A"/>
    <w:rsid w:val="278724F1"/>
    <w:rsid w:val="27886C36"/>
    <w:rsid w:val="278A1364"/>
    <w:rsid w:val="278A3359"/>
    <w:rsid w:val="278B2446"/>
    <w:rsid w:val="278B50B7"/>
    <w:rsid w:val="278B7B24"/>
    <w:rsid w:val="278B7FC2"/>
    <w:rsid w:val="278C0B6B"/>
    <w:rsid w:val="278D1E70"/>
    <w:rsid w:val="278D49A6"/>
    <w:rsid w:val="278D56A4"/>
    <w:rsid w:val="278D788D"/>
    <w:rsid w:val="278E73E9"/>
    <w:rsid w:val="278F3151"/>
    <w:rsid w:val="27910D86"/>
    <w:rsid w:val="27915D6A"/>
    <w:rsid w:val="279428B7"/>
    <w:rsid w:val="279462AC"/>
    <w:rsid w:val="279608DE"/>
    <w:rsid w:val="279609A8"/>
    <w:rsid w:val="27967990"/>
    <w:rsid w:val="27967D83"/>
    <w:rsid w:val="27967EF1"/>
    <w:rsid w:val="27970DA3"/>
    <w:rsid w:val="27971EAF"/>
    <w:rsid w:val="27991BCC"/>
    <w:rsid w:val="279A3B25"/>
    <w:rsid w:val="279B7007"/>
    <w:rsid w:val="279E731A"/>
    <w:rsid w:val="27A007C5"/>
    <w:rsid w:val="27A158A6"/>
    <w:rsid w:val="27A1767D"/>
    <w:rsid w:val="27A57393"/>
    <w:rsid w:val="27A63832"/>
    <w:rsid w:val="27A67853"/>
    <w:rsid w:val="27A7525D"/>
    <w:rsid w:val="27A833B1"/>
    <w:rsid w:val="27AA11AD"/>
    <w:rsid w:val="27AB2A6A"/>
    <w:rsid w:val="27AB6CAA"/>
    <w:rsid w:val="27AC36C1"/>
    <w:rsid w:val="27AC4342"/>
    <w:rsid w:val="27AC66F9"/>
    <w:rsid w:val="27AC7A9A"/>
    <w:rsid w:val="27AC7C47"/>
    <w:rsid w:val="27AF2278"/>
    <w:rsid w:val="27AF586F"/>
    <w:rsid w:val="27B03A9E"/>
    <w:rsid w:val="27B1185B"/>
    <w:rsid w:val="27B1262D"/>
    <w:rsid w:val="27B1517F"/>
    <w:rsid w:val="27B21D76"/>
    <w:rsid w:val="27B31BBC"/>
    <w:rsid w:val="27B36248"/>
    <w:rsid w:val="27B37AA9"/>
    <w:rsid w:val="27B44ABB"/>
    <w:rsid w:val="27B656E3"/>
    <w:rsid w:val="27B80B6F"/>
    <w:rsid w:val="27B84205"/>
    <w:rsid w:val="27B92902"/>
    <w:rsid w:val="27B975F5"/>
    <w:rsid w:val="27BA1731"/>
    <w:rsid w:val="27BC0D09"/>
    <w:rsid w:val="27BC0F48"/>
    <w:rsid w:val="27BC1A3F"/>
    <w:rsid w:val="27BD192E"/>
    <w:rsid w:val="27BD1CDE"/>
    <w:rsid w:val="27BF5A1F"/>
    <w:rsid w:val="27C0030A"/>
    <w:rsid w:val="27C137E6"/>
    <w:rsid w:val="27C66765"/>
    <w:rsid w:val="27C70D41"/>
    <w:rsid w:val="27C73942"/>
    <w:rsid w:val="27C86C91"/>
    <w:rsid w:val="27C92E1D"/>
    <w:rsid w:val="27C97125"/>
    <w:rsid w:val="27CB3A36"/>
    <w:rsid w:val="27CE771E"/>
    <w:rsid w:val="27CF69FC"/>
    <w:rsid w:val="27D03163"/>
    <w:rsid w:val="27D068E5"/>
    <w:rsid w:val="27D070D5"/>
    <w:rsid w:val="27D141CD"/>
    <w:rsid w:val="27D222BB"/>
    <w:rsid w:val="27D23A07"/>
    <w:rsid w:val="27D245C9"/>
    <w:rsid w:val="27D667C8"/>
    <w:rsid w:val="27D72500"/>
    <w:rsid w:val="27D77BFF"/>
    <w:rsid w:val="27D804D7"/>
    <w:rsid w:val="27D81A33"/>
    <w:rsid w:val="27D90435"/>
    <w:rsid w:val="27DA3CA3"/>
    <w:rsid w:val="27DC2F94"/>
    <w:rsid w:val="27DC3542"/>
    <w:rsid w:val="27DD1C94"/>
    <w:rsid w:val="27DE623F"/>
    <w:rsid w:val="27DF4B8E"/>
    <w:rsid w:val="27E0070F"/>
    <w:rsid w:val="27E13301"/>
    <w:rsid w:val="27E16F5D"/>
    <w:rsid w:val="27E25984"/>
    <w:rsid w:val="27E3345C"/>
    <w:rsid w:val="27E47234"/>
    <w:rsid w:val="27E65CEA"/>
    <w:rsid w:val="27E66644"/>
    <w:rsid w:val="27E8526A"/>
    <w:rsid w:val="27EA039C"/>
    <w:rsid w:val="27EA63B3"/>
    <w:rsid w:val="27EB2B63"/>
    <w:rsid w:val="27EB52AE"/>
    <w:rsid w:val="27EC7E96"/>
    <w:rsid w:val="27ED3F44"/>
    <w:rsid w:val="27ED5B8A"/>
    <w:rsid w:val="27EE7708"/>
    <w:rsid w:val="27F10839"/>
    <w:rsid w:val="27F117D9"/>
    <w:rsid w:val="27F153B4"/>
    <w:rsid w:val="27F21537"/>
    <w:rsid w:val="27F23893"/>
    <w:rsid w:val="27F24FF1"/>
    <w:rsid w:val="27F2653D"/>
    <w:rsid w:val="27F308E9"/>
    <w:rsid w:val="27F651F0"/>
    <w:rsid w:val="27F65544"/>
    <w:rsid w:val="27F709B8"/>
    <w:rsid w:val="27F74ED1"/>
    <w:rsid w:val="27F96E87"/>
    <w:rsid w:val="27FA57DA"/>
    <w:rsid w:val="27FA6E52"/>
    <w:rsid w:val="27FC660F"/>
    <w:rsid w:val="27FD21AC"/>
    <w:rsid w:val="27FD3017"/>
    <w:rsid w:val="27FD7DAF"/>
    <w:rsid w:val="27FE5FBD"/>
    <w:rsid w:val="27FE7007"/>
    <w:rsid w:val="280121A2"/>
    <w:rsid w:val="2801521D"/>
    <w:rsid w:val="28044FC6"/>
    <w:rsid w:val="28054133"/>
    <w:rsid w:val="28056828"/>
    <w:rsid w:val="28061466"/>
    <w:rsid w:val="28066C33"/>
    <w:rsid w:val="280724BE"/>
    <w:rsid w:val="28081FBA"/>
    <w:rsid w:val="28082121"/>
    <w:rsid w:val="28097581"/>
    <w:rsid w:val="280979CB"/>
    <w:rsid w:val="280A0827"/>
    <w:rsid w:val="280A3FB3"/>
    <w:rsid w:val="280B1F66"/>
    <w:rsid w:val="280B5EEB"/>
    <w:rsid w:val="280F189D"/>
    <w:rsid w:val="28103829"/>
    <w:rsid w:val="2811328A"/>
    <w:rsid w:val="28115CBC"/>
    <w:rsid w:val="28117E94"/>
    <w:rsid w:val="281239C4"/>
    <w:rsid w:val="28124628"/>
    <w:rsid w:val="28132589"/>
    <w:rsid w:val="28132784"/>
    <w:rsid w:val="28137DCB"/>
    <w:rsid w:val="28142518"/>
    <w:rsid w:val="28155B1E"/>
    <w:rsid w:val="281669A9"/>
    <w:rsid w:val="28187241"/>
    <w:rsid w:val="2819048C"/>
    <w:rsid w:val="281A07B8"/>
    <w:rsid w:val="281A4AEC"/>
    <w:rsid w:val="281B38A9"/>
    <w:rsid w:val="281B71CC"/>
    <w:rsid w:val="281C5F73"/>
    <w:rsid w:val="28207F46"/>
    <w:rsid w:val="2822674D"/>
    <w:rsid w:val="2826086A"/>
    <w:rsid w:val="28262D61"/>
    <w:rsid w:val="28267498"/>
    <w:rsid w:val="28270FD0"/>
    <w:rsid w:val="28271106"/>
    <w:rsid w:val="28285DA4"/>
    <w:rsid w:val="282945AB"/>
    <w:rsid w:val="282A14B4"/>
    <w:rsid w:val="282A62C7"/>
    <w:rsid w:val="282A762D"/>
    <w:rsid w:val="282C4E33"/>
    <w:rsid w:val="282C5403"/>
    <w:rsid w:val="282C7486"/>
    <w:rsid w:val="282D1AE3"/>
    <w:rsid w:val="282D4ACB"/>
    <w:rsid w:val="282E43D6"/>
    <w:rsid w:val="282E618A"/>
    <w:rsid w:val="282E6B74"/>
    <w:rsid w:val="282F4490"/>
    <w:rsid w:val="28344BF3"/>
    <w:rsid w:val="283713E3"/>
    <w:rsid w:val="283751C7"/>
    <w:rsid w:val="283830DC"/>
    <w:rsid w:val="28393D62"/>
    <w:rsid w:val="283B67EB"/>
    <w:rsid w:val="283C4AD9"/>
    <w:rsid w:val="283D012C"/>
    <w:rsid w:val="283E1223"/>
    <w:rsid w:val="283F44D2"/>
    <w:rsid w:val="283F6367"/>
    <w:rsid w:val="28400027"/>
    <w:rsid w:val="284030D0"/>
    <w:rsid w:val="28423705"/>
    <w:rsid w:val="2842511C"/>
    <w:rsid w:val="28426DE5"/>
    <w:rsid w:val="28445FDB"/>
    <w:rsid w:val="28450D2C"/>
    <w:rsid w:val="28464D86"/>
    <w:rsid w:val="28472CB3"/>
    <w:rsid w:val="2848501E"/>
    <w:rsid w:val="284933F1"/>
    <w:rsid w:val="28495B22"/>
    <w:rsid w:val="28507897"/>
    <w:rsid w:val="28515758"/>
    <w:rsid w:val="28521A5B"/>
    <w:rsid w:val="2852275F"/>
    <w:rsid w:val="285238EF"/>
    <w:rsid w:val="28525F86"/>
    <w:rsid w:val="2853066C"/>
    <w:rsid w:val="285338A6"/>
    <w:rsid w:val="285508CB"/>
    <w:rsid w:val="2855457E"/>
    <w:rsid w:val="28557726"/>
    <w:rsid w:val="285725E9"/>
    <w:rsid w:val="28573300"/>
    <w:rsid w:val="28573363"/>
    <w:rsid w:val="28573B4E"/>
    <w:rsid w:val="28573D1F"/>
    <w:rsid w:val="28585184"/>
    <w:rsid w:val="28593419"/>
    <w:rsid w:val="285C3EFB"/>
    <w:rsid w:val="285D769A"/>
    <w:rsid w:val="285F47BA"/>
    <w:rsid w:val="28602C3C"/>
    <w:rsid w:val="28606947"/>
    <w:rsid w:val="28607DF7"/>
    <w:rsid w:val="28611E94"/>
    <w:rsid w:val="28617E5B"/>
    <w:rsid w:val="28627221"/>
    <w:rsid w:val="286305F8"/>
    <w:rsid w:val="286559A8"/>
    <w:rsid w:val="28671247"/>
    <w:rsid w:val="286832E8"/>
    <w:rsid w:val="28691846"/>
    <w:rsid w:val="28695531"/>
    <w:rsid w:val="286A594F"/>
    <w:rsid w:val="286B1114"/>
    <w:rsid w:val="286B48D7"/>
    <w:rsid w:val="286E2D43"/>
    <w:rsid w:val="286E48DC"/>
    <w:rsid w:val="286E57C8"/>
    <w:rsid w:val="286F2CDA"/>
    <w:rsid w:val="287017A7"/>
    <w:rsid w:val="287042B4"/>
    <w:rsid w:val="28704461"/>
    <w:rsid w:val="287122FB"/>
    <w:rsid w:val="28712E60"/>
    <w:rsid w:val="287277EB"/>
    <w:rsid w:val="28732E3A"/>
    <w:rsid w:val="287559B7"/>
    <w:rsid w:val="28775D15"/>
    <w:rsid w:val="287834A5"/>
    <w:rsid w:val="287972EA"/>
    <w:rsid w:val="287C0CC0"/>
    <w:rsid w:val="287D466E"/>
    <w:rsid w:val="287D602D"/>
    <w:rsid w:val="287F6C3F"/>
    <w:rsid w:val="288073CA"/>
    <w:rsid w:val="28812B87"/>
    <w:rsid w:val="28824A31"/>
    <w:rsid w:val="288325A9"/>
    <w:rsid w:val="2884719C"/>
    <w:rsid w:val="28855E0B"/>
    <w:rsid w:val="28861678"/>
    <w:rsid w:val="288670D4"/>
    <w:rsid w:val="28877E38"/>
    <w:rsid w:val="28880A2E"/>
    <w:rsid w:val="28895D95"/>
    <w:rsid w:val="288A66A9"/>
    <w:rsid w:val="288A74E8"/>
    <w:rsid w:val="288C7C89"/>
    <w:rsid w:val="288D120F"/>
    <w:rsid w:val="288E1857"/>
    <w:rsid w:val="288E51E9"/>
    <w:rsid w:val="288E6D61"/>
    <w:rsid w:val="28912683"/>
    <w:rsid w:val="28927EAF"/>
    <w:rsid w:val="28932770"/>
    <w:rsid w:val="289778F4"/>
    <w:rsid w:val="289803E0"/>
    <w:rsid w:val="28980E1B"/>
    <w:rsid w:val="28981D0E"/>
    <w:rsid w:val="289A755C"/>
    <w:rsid w:val="289A7EE0"/>
    <w:rsid w:val="289B2EA2"/>
    <w:rsid w:val="289B5CA3"/>
    <w:rsid w:val="289C7856"/>
    <w:rsid w:val="289E2965"/>
    <w:rsid w:val="289E7409"/>
    <w:rsid w:val="289F1F3B"/>
    <w:rsid w:val="289F42E9"/>
    <w:rsid w:val="28A27020"/>
    <w:rsid w:val="28A3138C"/>
    <w:rsid w:val="28A52B8B"/>
    <w:rsid w:val="28A71898"/>
    <w:rsid w:val="28A76F34"/>
    <w:rsid w:val="28A80039"/>
    <w:rsid w:val="28A8200F"/>
    <w:rsid w:val="28A85570"/>
    <w:rsid w:val="28A95751"/>
    <w:rsid w:val="28AA19EF"/>
    <w:rsid w:val="28AC4845"/>
    <w:rsid w:val="28AE2E7D"/>
    <w:rsid w:val="28AF032B"/>
    <w:rsid w:val="28B25561"/>
    <w:rsid w:val="28B27E91"/>
    <w:rsid w:val="28B310B0"/>
    <w:rsid w:val="28B66264"/>
    <w:rsid w:val="28B76932"/>
    <w:rsid w:val="28B80E3C"/>
    <w:rsid w:val="28B85BB2"/>
    <w:rsid w:val="28BA135A"/>
    <w:rsid w:val="28BA28E9"/>
    <w:rsid w:val="28BA32B1"/>
    <w:rsid w:val="28BA557E"/>
    <w:rsid w:val="28BC2301"/>
    <w:rsid w:val="28BC437F"/>
    <w:rsid w:val="28BC4808"/>
    <w:rsid w:val="28BC5530"/>
    <w:rsid w:val="28BE288D"/>
    <w:rsid w:val="28BF710A"/>
    <w:rsid w:val="28C07373"/>
    <w:rsid w:val="28C24882"/>
    <w:rsid w:val="28C24FDF"/>
    <w:rsid w:val="28C4545F"/>
    <w:rsid w:val="28C61C31"/>
    <w:rsid w:val="28C62274"/>
    <w:rsid w:val="28C730BB"/>
    <w:rsid w:val="28C927C8"/>
    <w:rsid w:val="28CA0F28"/>
    <w:rsid w:val="28CA58CB"/>
    <w:rsid w:val="28CB3667"/>
    <w:rsid w:val="28CC1404"/>
    <w:rsid w:val="28CC5712"/>
    <w:rsid w:val="28CE1897"/>
    <w:rsid w:val="28CF40DD"/>
    <w:rsid w:val="28CF7137"/>
    <w:rsid w:val="28D119AF"/>
    <w:rsid w:val="28D21782"/>
    <w:rsid w:val="28D30F81"/>
    <w:rsid w:val="28D417AE"/>
    <w:rsid w:val="28D5141E"/>
    <w:rsid w:val="28D6415C"/>
    <w:rsid w:val="28D64DCE"/>
    <w:rsid w:val="28D711AE"/>
    <w:rsid w:val="28D72984"/>
    <w:rsid w:val="28D7397D"/>
    <w:rsid w:val="28D9666D"/>
    <w:rsid w:val="28DB22F4"/>
    <w:rsid w:val="28DD18AE"/>
    <w:rsid w:val="28DD4318"/>
    <w:rsid w:val="28DD7E6F"/>
    <w:rsid w:val="28DE6BD1"/>
    <w:rsid w:val="28E031FB"/>
    <w:rsid w:val="28E03B60"/>
    <w:rsid w:val="28E357A9"/>
    <w:rsid w:val="28E361EE"/>
    <w:rsid w:val="28E56262"/>
    <w:rsid w:val="28E6123C"/>
    <w:rsid w:val="28E629AC"/>
    <w:rsid w:val="28E62E6F"/>
    <w:rsid w:val="28E6730F"/>
    <w:rsid w:val="28E7490A"/>
    <w:rsid w:val="28E776B4"/>
    <w:rsid w:val="28EA35BC"/>
    <w:rsid w:val="28EB12AE"/>
    <w:rsid w:val="28EC1C73"/>
    <w:rsid w:val="28ED3482"/>
    <w:rsid w:val="28ED6A62"/>
    <w:rsid w:val="28ED7C6C"/>
    <w:rsid w:val="28EE70B0"/>
    <w:rsid w:val="28EF0B8C"/>
    <w:rsid w:val="28EF0C8B"/>
    <w:rsid w:val="28EF61D1"/>
    <w:rsid w:val="28EF7135"/>
    <w:rsid w:val="28F00244"/>
    <w:rsid w:val="28F11F5B"/>
    <w:rsid w:val="28F17AE0"/>
    <w:rsid w:val="28F251F7"/>
    <w:rsid w:val="28F3179E"/>
    <w:rsid w:val="28F36C30"/>
    <w:rsid w:val="28F44E6D"/>
    <w:rsid w:val="28F632F1"/>
    <w:rsid w:val="28F71C29"/>
    <w:rsid w:val="28F74D45"/>
    <w:rsid w:val="28F9379F"/>
    <w:rsid w:val="28FC6F60"/>
    <w:rsid w:val="28FD0923"/>
    <w:rsid w:val="28FD4BD4"/>
    <w:rsid w:val="28FD5366"/>
    <w:rsid w:val="28FD6178"/>
    <w:rsid w:val="28FE60C4"/>
    <w:rsid w:val="28FF662E"/>
    <w:rsid w:val="2901087B"/>
    <w:rsid w:val="29032D27"/>
    <w:rsid w:val="29036C8F"/>
    <w:rsid w:val="29046036"/>
    <w:rsid w:val="29051210"/>
    <w:rsid w:val="29057292"/>
    <w:rsid w:val="29067701"/>
    <w:rsid w:val="290C2C74"/>
    <w:rsid w:val="290D3CFF"/>
    <w:rsid w:val="290D6DD5"/>
    <w:rsid w:val="29110B8E"/>
    <w:rsid w:val="29112D9E"/>
    <w:rsid w:val="291154BF"/>
    <w:rsid w:val="29123A4E"/>
    <w:rsid w:val="29123D8B"/>
    <w:rsid w:val="2912510A"/>
    <w:rsid w:val="291404EE"/>
    <w:rsid w:val="29147152"/>
    <w:rsid w:val="291623B0"/>
    <w:rsid w:val="29181444"/>
    <w:rsid w:val="29191213"/>
    <w:rsid w:val="291D6EAF"/>
    <w:rsid w:val="291E7E1F"/>
    <w:rsid w:val="291F33F2"/>
    <w:rsid w:val="29204C4F"/>
    <w:rsid w:val="29221E82"/>
    <w:rsid w:val="2924488F"/>
    <w:rsid w:val="29244F01"/>
    <w:rsid w:val="292507D0"/>
    <w:rsid w:val="292556B5"/>
    <w:rsid w:val="2926121D"/>
    <w:rsid w:val="2926445D"/>
    <w:rsid w:val="29270192"/>
    <w:rsid w:val="29276973"/>
    <w:rsid w:val="292814B4"/>
    <w:rsid w:val="2928660C"/>
    <w:rsid w:val="29291D64"/>
    <w:rsid w:val="292B2EA6"/>
    <w:rsid w:val="292B7F46"/>
    <w:rsid w:val="292C4706"/>
    <w:rsid w:val="292D52F3"/>
    <w:rsid w:val="292D5C57"/>
    <w:rsid w:val="292E2C32"/>
    <w:rsid w:val="292F64CF"/>
    <w:rsid w:val="29311909"/>
    <w:rsid w:val="293227F8"/>
    <w:rsid w:val="29326E77"/>
    <w:rsid w:val="29344F86"/>
    <w:rsid w:val="29351272"/>
    <w:rsid w:val="293670C7"/>
    <w:rsid w:val="29367D91"/>
    <w:rsid w:val="2939731C"/>
    <w:rsid w:val="293B5B9F"/>
    <w:rsid w:val="293D125C"/>
    <w:rsid w:val="293E73C2"/>
    <w:rsid w:val="293E793A"/>
    <w:rsid w:val="293F761F"/>
    <w:rsid w:val="29404336"/>
    <w:rsid w:val="29437362"/>
    <w:rsid w:val="29437FD2"/>
    <w:rsid w:val="29442B55"/>
    <w:rsid w:val="29453D02"/>
    <w:rsid w:val="29464DE2"/>
    <w:rsid w:val="29484D38"/>
    <w:rsid w:val="2948674A"/>
    <w:rsid w:val="29495831"/>
    <w:rsid w:val="29497312"/>
    <w:rsid w:val="294A207A"/>
    <w:rsid w:val="294C11B9"/>
    <w:rsid w:val="294C68B1"/>
    <w:rsid w:val="294E3DB5"/>
    <w:rsid w:val="294E52E4"/>
    <w:rsid w:val="294E754E"/>
    <w:rsid w:val="294F4B81"/>
    <w:rsid w:val="294F55E0"/>
    <w:rsid w:val="2950130E"/>
    <w:rsid w:val="295156CB"/>
    <w:rsid w:val="295315AF"/>
    <w:rsid w:val="2954777A"/>
    <w:rsid w:val="295842D6"/>
    <w:rsid w:val="29585DA1"/>
    <w:rsid w:val="29594BD6"/>
    <w:rsid w:val="295B1FB3"/>
    <w:rsid w:val="295C5A27"/>
    <w:rsid w:val="295C70DE"/>
    <w:rsid w:val="295E297C"/>
    <w:rsid w:val="295E6EB9"/>
    <w:rsid w:val="295F7ADD"/>
    <w:rsid w:val="296074C5"/>
    <w:rsid w:val="29615C8F"/>
    <w:rsid w:val="296244FA"/>
    <w:rsid w:val="29632019"/>
    <w:rsid w:val="296629DD"/>
    <w:rsid w:val="296636F4"/>
    <w:rsid w:val="296642D2"/>
    <w:rsid w:val="29666B2C"/>
    <w:rsid w:val="29677A76"/>
    <w:rsid w:val="296A2AC9"/>
    <w:rsid w:val="296A3574"/>
    <w:rsid w:val="296A3DE1"/>
    <w:rsid w:val="296B04A0"/>
    <w:rsid w:val="296B4D1E"/>
    <w:rsid w:val="296B530A"/>
    <w:rsid w:val="296C34F2"/>
    <w:rsid w:val="296E11F8"/>
    <w:rsid w:val="296F1F1E"/>
    <w:rsid w:val="296F3F56"/>
    <w:rsid w:val="29702C74"/>
    <w:rsid w:val="297057F8"/>
    <w:rsid w:val="2970620F"/>
    <w:rsid w:val="29730A7D"/>
    <w:rsid w:val="29741E40"/>
    <w:rsid w:val="29763B49"/>
    <w:rsid w:val="29765B31"/>
    <w:rsid w:val="29786193"/>
    <w:rsid w:val="29793D56"/>
    <w:rsid w:val="297A5699"/>
    <w:rsid w:val="297B3553"/>
    <w:rsid w:val="297D3E65"/>
    <w:rsid w:val="297E6193"/>
    <w:rsid w:val="297F7665"/>
    <w:rsid w:val="298028AA"/>
    <w:rsid w:val="29807B61"/>
    <w:rsid w:val="29811471"/>
    <w:rsid w:val="2981749A"/>
    <w:rsid w:val="29837124"/>
    <w:rsid w:val="29844DAA"/>
    <w:rsid w:val="298465B0"/>
    <w:rsid w:val="29856147"/>
    <w:rsid w:val="29865E7E"/>
    <w:rsid w:val="29865F99"/>
    <w:rsid w:val="29867CFA"/>
    <w:rsid w:val="298701E8"/>
    <w:rsid w:val="29871D74"/>
    <w:rsid w:val="29873F1C"/>
    <w:rsid w:val="29880CF4"/>
    <w:rsid w:val="2988318F"/>
    <w:rsid w:val="298A6269"/>
    <w:rsid w:val="298C068D"/>
    <w:rsid w:val="298C6DEB"/>
    <w:rsid w:val="298D7564"/>
    <w:rsid w:val="298F0895"/>
    <w:rsid w:val="298F2454"/>
    <w:rsid w:val="298F31CF"/>
    <w:rsid w:val="2990730E"/>
    <w:rsid w:val="29924CC5"/>
    <w:rsid w:val="2995364F"/>
    <w:rsid w:val="29970430"/>
    <w:rsid w:val="29975A19"/>
    <w:rsid w:val="29982D42"/>
    <w:rsid w:val="29991338"/>
    <w:rsid w:val="29995A61"/>
    <w:rsid w:val="29996BB2"/>
    <w:rsid w:val="299A4C71"/>
    <w:rsid w:val="299D2041"/>
    <w:rsid w:val="299D2AB1"/>
    <w:rsid w:val="299E237A"/>
    <w:rsid w:val="299E2A95"/>
    <w:rsid w:val="299F358F"/>
    <w:rsid w:val="29A07C90"/>
    <w:rsid w:val="29A24E2A"/>
    <w:rsid w:val="29A40B2C"/>
    <w:rsid w:val="29A4547A"/>
    <w:rsid w:val="29A5146A"/>
    <w:rsid w:val="29A547A1"/>
    <w:rsid w:val="29A637DC"/>
    <w:rsid w:val="29A6498B"/>
    <w:rsid w:val="29A85E74"/>
    <w:rsid w:val="29A86ADD"/>
    <w:rsid w:val="29A91CDE"/>
    <w:rsid w:val="29AA1626"/>
    <w:rsid w:val="29AA1B00"/>
    <w:rsid w:val="29AA46B9"/>
    <w:rsid w:val="29AD5A08"/>
    <w:rsid w:val="29AE6E88"/>
    <w:rsid w:val="29AF3B0A"/>
    <w:rsid w:val="29AF7A61"/>
    <w:rsid w:val="29B140F0"/>
    <w:rsid w:val="29B167E6"/>
    <w:rsid w:val="29B30ED0"/>
    <w:rsid w:val="29B35651"/>
    <w:rsid w:val="29B40104"/>
    <w:rsid w:val="29B419AA"/>
    <w:rsid w:val="29B64C24"/>
    <w:rsid w:val="29B670BB"/>
    <w:rsid w:val="29B722FF"/>
    <w:rsid w:val="29B7426E"/>
    <w:rsid w:val="29B91508"/>
    <w:rsid w:val="29BA1E07"/>
    <w:rsid w:val="29BA43A4"/>
    <w:rsid w:val="29BD349A"/>
    <w:rsid w:val="29BE0633"/>
    <w:rsid w:val="29C06C31"/>
    <w:rsid w:val="29C212ED"/>
    <w:rsid w:val="29C220E7"/>
    <w:rsid w:val="29C22C21"/>
    <w:rsid w:val="29C31F54"/>
    <w:rsid w:val="29C336F5"/>
    <w:rsid w:val="29C341FF"/>
    <w:rsid w:val="29C62678"/>
    <w:rsid w:val="29C673CC"/>
    <w:rsid w:val="29C72193"/>
    <w:rsid w:val="29C81568"/>
    <w:rsid w:val="29C91BFB"/>
    <w:rsid w:val="29CD71ED"/>
    <w:rsid w:val="29CE3B50"/>
    <w:rsid w:val="29D33089"/>
    <w:rsid w:val="29D53029"/>
    <w:rsid w:val="29D565FF"/>
    <w:rsid w:val="29D87AE7"/>
    <w:rsid w:val="29D96C1B"/>
    <w:rsid w:val="29DA3121"/>
    <w:rsid w:val="29DB7117"/>
    <w:rsid w:val="29DC30C8"/>
    <w:rsid w:val="29DE7AD6"/>
    <w:rsid w:val="29DF3634"/>
    <w:rsid w:val="29E141FC"/>
    <w:rsid w:val="29E15D22"/>
    <w:rsid w:val="29E24F34"/>
    <w:rsid w:val="29E32011"/>
    <w:rsid w:val="29E33B19"/>
    <w:rsid w:val="29E34C51"/>
    <w:rsid w:val="29E45080"/>
    <w:rsid w:val="29E70E63"/>
    <w:rsid w:val="29E77503"/>
    <w:rsid w:val="29E84696"/>
    <w:rsid w:val="29E8792B"/>
    <w:rsid w:val="29E90AB5"/>
    <w:rsid w:val="29E974D5"/>
    <w:rsid w:val="29EA0643"/>
    <w:rsid w:val="29EA23C4"/>
    <w:rsid w:val="29EC1918"/>
    <w:rsid w:val="29ED2D83"/>
    <w:rsid w:val="29EE7E8D"/>
    <w:rsid w:val="29EF4283"/>
    <w:rsid w:val="29EF6C3B"/>
    <w:rsid w:val="29F04DB1"/>
    <w:rsid w:val="29F1589C"/>
    <w:rsid w:val="29F21DAD"/>
    <w:rsid w:val="29F22AC2"/>
    <w:rsid w:val="29F23C22"/>
    <w:rsid w:val="29F244FE"/>
    <w:rsid w:val="29F44E4B"/>
    <w:rsid w:val="29F45C30"/>
    <w:rsid w:val="29F656F6"/>
    <w:rsid w:val="29F83830"/>
    <w:rsid w:val="29F94550"/>
    <w:rsid w:val="29FA4C37"/>
    <w:rsid w:val="29FB4CFB"/>
    <w:rsid w:val="29FB7815"/>
    <w:rsid w:val="29FC11E3"/>
    <w:rsid w:val="29FC75B1"/>
    <w:rsid w:val="29FD23E3"/>
    <w:rsid w:val="29FD7716"/>
    <w:rsid w:val="29FE7F32"/>
    <w:rsid w:val="29FF2266"/>
    <w:rsid w:val="29FF31C4"/>
    <w:rsid w:val="2A002AB1"/>
    <w:rsid w:val="2A0040A8"/>
    <w:rsid w:val="2A021C63"/>
    <w:rsid w:val="2A0233DB"/>
    <w:rsid w:val="2A0239A1"/>
    <w:rsid w:val="2A026027"/>
    <w:rsid w:val="2A060EAE"/>
    <w:rsid w:val="2A0644C9"/>
    <w:rsid w:val="2A0804D9"/>
    <w:rsid w:val="2A092B2F"/>
    <w:rsid w:val="2A0A12CC"/>
    <w:rsid w:val="2A0A67DC"/>
    <w:rsid w:val="2A0B11C5"/>
    <w:rsid w:val="2A0E232A"/>
    <w:rsid w:val="2A0F7398"/>
    <w:rsid w:val="2A112B0D"/>
    <w:rsid w:val="2A122EF3"/>
    <w:rsid w:val="2A1261DE"/>
    <w:rsid w:val="2A15218B"/>
    <w:rsid w:val="2A152A00"/>
    <w:rsid w:val="2A1672D3"/>
    <w:rsid w:val="2A1843B6"/>
    <w:rsid w:val="2A193750"/>
    <w:rsid w:val="2A1A2E0A"/>
    <w:rsid w:val="2A1B602C"/>
    <w:rsid w:val="2A1C6ABA"/>
    <w:rsid w:val="2A1E1889"/>
    <w:rsid w:val="2A1E724F"/>
    <w:rsid w:val="2A200C9D"/>
    <w:rsid w:val="2A207664"/>
    <w:rsid w:val="2A2250CA"/>
    <w:rsid w:val="2A231A6C"/>
    <w:rsid w:val="2A246B31"/>
    <w:rsid w:val="2A253189"/>
    <w:rsid w:val="2A2650EB"/>
    <w:rsid w:val="2A2656EB"/>
    <w:rsid w:val="2A26686C"/>
    <w:rsid w:val="2A281F5D"/>
    <w:rsid w:val="2A285D6A"/>
    <w:rsid w:val="2A291881"/>
    <w:rsid w:val="2A2A3FD5"/>
    <w:rsid w:val="2A2A49E0"/>
    <w:rsid w:val="2A2A5956"/>
    <w:rsid w:val="2A2B11C2"/>
    <w:rsid w:val="2A2B246B"/>
    <w:rsid w:val="2A2B4932"/>
    <w:rsid w:val="2A2C0DB0"/>
    <w:rsid w:val="2A2C314F"/>
    <w:rsid w:val="2A2C32E8"/>
    <w:rsid w:val="2A2E6CB4"/>
    <w:rsid w:val="2A2F0D78"/>
    <w:rsid w:val="2A30050E"/>
    <w:rsid w:val="2A306C80"/>
    <w:rsid w:val="2A323E22"/>
    <w:rsid w:val="2A326594"/>
    <w:rsid w:val="2A344964"/>
    <w:rsid w:val="2A3472F8"/>
    <w:rsid w:val="2A350877"/>
    <w:rsid w:val="2A360347"/>
    <w:rsid w:val="2A360682"/>
    <w:rsid w:val="2A3A03D9"/>
    <w:rsid w:val="2A3A4A42"/>
    <w:rsid w:val="2A3B6A17"/>
    <w:rsid w:val="2A3C5F45"/>
    <w:rsid w:val="2A3D5F5A"/>
    <w:rsid w:val="2A3E4B89"/>
    <w:rsid w:val="2A3E69B4"/>
    <w:rsid w:val="2A3F3FBF"/>
    <w:rsid w:val="2A401C92"/>
    <w:rsid w:val="2A402A00"/>
    <w:rsid w:val="2A4033D0"/>
    <w:rsid w:val="2A41096D"/>
    <w:rsid w:val="2A4226BE"/>
    <w:rsid w:val="2A432574"/>
    <w:rsid w:val="2A432D21"/>
    <w:rsid w:val="2A440A8E"/>
    <w:rsid w:val="2A457E18"/>
    <w:rsid w:val="2A460E83"/>
    <w:rsid w:val="2A464E7B"/>
    <w:rsid w:val="2A465415"/>
    <w:rsid w:val="2A4933B7"/>
    <w:rsid w:val="2A4B37FA"/>
    <w:rsid w:val="2A4C0441"/>
    <w:rsid w:val="2A4D1E55"/>
    <w:rsid w:val="2A4E25FA"/>
    <w:rsid w:val="2A4E47F7"/>
    <w:rsid w:val="2A4F61AC"/>
    <w:rsid w:val="2A5043E4"/>
    <w:rsid w:val="2A5314C7"/>
    <w:rsid w:val="2A5472D4"/>
    <w:rsid w:val="2A5545CE"/>
    <w:rsid w:val="2A555358"/>
    <w:rsid w:val="2A557965"/>
    <w:rsid w:val="2A5614A7"/>
    <w:rsid w:val="2A575A97"/>
    <w:rsid w:val="2A57719D"/>
    <w:rsid w:val="2A592AA7"/>
    <w:rsid w:val="2A595C9F"/>
    <w:rsid w:val="2A5970E5"/>
    <w:rsid w:val="2A600812"/>
    <w:rsid w:val="2A6177D0"/>
    <w:rsid w:val="2A635EC6"/>
    <w:rsid w:val="2A645584"/>
    <w:rsid w:val="2A651A96"/>
    <w:rsid w:val="2A67300B"/>
    <w:rsid w:val="2A696E71"/>
    <w:rsid w:val="2A6A5966"/>
    <w:rsid w:val="2A6B35C8"/>
    <w:rsid w:val="2A6C0BFD"/>
    <w:rsid w:val="2A6C0D78"/>
    <w:rsid w:val="2A6D60AE"/>
    <w:rsid w:val="2A6E7EAA"/>
    <w:rsid w:val="2A6F0317"/>
    <w:rsid w:val="2A6F5C1F"/>
    <w:rsid w:val="2A6F6B1E"/>
    <w:rsid w:val="2A713121"/>
    <w:rsid w:val="2A7345B1"/>
    <w:rsid w:val="2A74440E"/>
    <w:rsid w:val="2A75287C"/>
    <w:rsid w:val="2A7609B9"/>
    <w:rsid w:val="2A771E63"/>
    <w:rsid w:val="2A773C44"/>
    <w:rsid w:val="2A7B41D0"/>
    <w:rsid w:val="2A7B52DE"/>
    <w:rsid w:val="2A7C7BF7"/>
    <w:rsid w:val="2A7E4453"/>
    <w:rsid w:val="2A7E5967"/>
    <w:rsid w:val="2A803368"/>
    <w:rsid w:val="2A804B80"/>
    <w:rsid w:val="2A810AF9"/>
    <w:rsid w:val="2A8111FA"/>
    <w:rsid w:val="2A8174BF"/>
    <w:rsid w:val="2A82084F"/>
    <w:rsid w:val="2A824CAF"/>
    <w:rsid w:val="2A831937"/>
    <w:rsid w:val="2A837F7C"/>
    <w:rsid w:val="2A8453B9"/>
    <w:rsid w:val="2A862C29"/>
    <w:rsid w:val="2A865903"/>
    <w:rsid w:val="2A880D86"/>
    <w:rsid w:val="2A893A6E"/>
    <w:rsid w:val="2A8A29E3"/>
    <w:rsid w:val="2A8B0B0A"/>
    <w:rsid w:val="2A8D0328"/>
    <w:rsid w:val="2A8E6869"/>
    <w:rsid w:val="2A905523"/>
    <w:rsid w:val="2A923887"/>
    <w:rsid w:val="2A937EB3"/>
    <w:rsid w:val="2A9432E7"/>
    <w:rsid w:val="2A954399"/>
    <w:rsid w:val="2A9566F2"/>
    <w:rsid w:val="2A972902"/>
    <w:rsid w:val="2A9762C4"/>
    <w:rsid w:val="2A9921ED"/>
    <w:rsid w:val="2A9A36E8"/>
    <w:rsid w:val="2A9B38B0"/>
    <w:rsid w:val="2A9C087C"/>
    <w:rsid w:val="2A9C302A"/>
    <w:rsid w:val="2A9C4DE6"/>
    <w:rsid w:val="2A9F54C6"/>
    <w:rsid w:val="2AA260FF"/>
    <w:rsid w:val="2AA265D4"/>
    <w:rsid w:val="2AA2769A"/>
    <w:rsid w:val="2AA34EA2"/>
    <w:rsid w:val="2AA44E1B"/>
    <w:rsid w:val="2AA5237E"/>
    <w:rsid w:val="2AA54B65"/>
    <w:rsid w:val="2AA64603"/>
    <w:rsid w:val="2AA771AF"/>
    <w:rsid w:val="2AA83CF9"/>
    <w:rsid w:val="2AA848C7"/>
    <w:rsid w:val="2AA86705"/>
    <w:rsid w:val="2AAB3291"/>
    <w:rsid w:val="2AAB619E"/>
    <w:rsid w:val="2AAB6CD4"/>
    <w:rsid w:val="2AAE0B3A"/>
    <w:rsid w:val="2AB00742"/>
    <w:rsid w:val="2AB16B8F"/>
    <w:rsid w:val="2AB31E85"/>
    <w:rsid w:val="2AB40F43"/>
    <w:rsid w:val="2AB42E0A"/>
    <w:rsid w:val="2AB44B17"/>
    <w:rsid w:val="2AB463B9"/>
    <w:rsid w:val="2AB507D9"/>
    <w:rsid w:val="2AB65FFA"/>
    <w:rsid w:val="2AB77B82"/>
    <w:rsid w:val="2ABA5380"/>
    <w:rsid w:val="2ABA67D3"/>
    <w:rsid w:val="2ABB00A0"/>
    <w:rsid w:val="2ABB060D"/>
    <w:rsid w:val="2ABB1A7C"/>
    <w:rsid w:val="2ABD204D"/>
    <w:rsid w:val="2ABE0621"/>
    <w:rsid w:val="2ABE087E"/>
    <w:rsid w:val="2ABE6995"/>
    <w:rsid w:val="2ABF5E39"/>
    <w:rsid w:val="2AC0315D"/>
    <w:rsid w:val="2AC03CCC"/>
    <w:rsid w:val="2AC05ECA"/>
    <w:rsid w:val="2AC06683"/>
    <w:rsid w:val="2AC10E24"/>
    <w:rsid w:val="2AC15A30"/>
    <w:rsid w:val="2AC21AB7"/>
    <w:rsid w:val="2AC4427E"/>
    <w:rsid w:val="2AC45CB6"/>
    <w:rsid w:val="2AC54FF3"/>
    <w:rsid w:val="2AC604C4"/>
    <w:rsid w:val="2AC61C56"/>
    <w:rsid w:val="2AC656B8"/>
    <w:rsid w:val="2AC90D01"/>
    <w:rsid w:val="2ACB0237"/>
    <w:rsid w:val="2ACB72A3"/>
    <w:rsid w:val="2ACB7B57"/>
    <w:rsid w:val="2ACD33DA"/>
    <w:rsid w:val="2ACD54AE"/>
    <w:rsid w:val="2ACD5C49"/>
    <w:rsid w:val="2ACE1F0E"/>
    <w:rsid w:val="2ACE25BC"/>
    <w:rsid w:val="2ACE62C5"/>
    <w:rsid w:val="2ACF4A14"/>
    <w:rsid w:val="2ACF68D6"/>
    <w:rsid w:val="2AD416AB"/>
    <w:rsid w:val="2AD417E1"/>
    <w:rsid w:val="2AD555F2"/>
    <w:rsid w:val="2AD74A51"/>
    <w:rsid w:val="2AD754BD"/>
    <w:rsid w:val="2AD77E37"/>
    <w:rsid w:val="2AD80420"/>
    <w:rsid w:val="2AD938CF"/>
    <w:rsid w:val="2AD954BB"/>
    <w:rsid w:val="2ADB1A40"/>
    <w:rsid w:val="2ADF0C7B"/>
    <w:rsid w:val="2ADF28AB"/>
    <w:rsid w:val="2ADF3E07"/>
    <w:rsid w:val="2ADF5F09"/>
    <w:rsid w:val="2AE02E01"/>
    <w:rsid w:val="2AE13AAA"/>
    <w:rsid w:val="2AE17A5A"/>
    <w:rsid w:val="2AE20CEC"/>
    <w:rsid w:val="2AE3290C"/>
    <w:rsid w:val="2AE33D87"/>
    <w:rsid w:val="2AE51861"/>
    <w:rsid w:val="2AE53DFC"/>
    <w:rsid w:val="2AE65C06"/>
    <w:rsid w:val="2AE728C9"/>
    <w:rsid w:val="2AE87ACA"/>
    <w:rsid w:val="2AE87FE5"/>
    <w:rsid w:val="2AEA4F87"/>
    <w:rsid w:val="2AEA56C5"/>
    <w:rsid w:val="2AEC2A2D"/>
    <w:rsid w:val="2AEC5AD1"/>
    <w:rsid w:val="2AED7469"/>
    <w:rsid w:val="2AEE16C6"/>
    <w:rsid w:val="2AEF4925"/>
    <w:rsid w:val="2AF00C87"/>
    <w:rsid w:val="2AF02E62"/>
    <w:rsid w:val="2AF03DC5"/>
    <w:rsid w:val="2AF05687"/>
    <w:rsid w:val="2AF21D43"/>
    <w:rsid w:val="2AF24BB0"/>
    <w:rsid w:val="2AF36753"/>
    <w:rsid w:val="2AF377A7"/>
    <w:rsid w:val="2AFC2722"/>
    <w:rsid w:val="2AFC4B6C"/>
    <w:rsid w:val="2AFD074D"/>
    <w:rsid w:val="2AFD5532"/>
    <w:rsid w:val="2B0371D1"/>
    <w:rsid w:val="2B044B31"/>
    <w:rsid w:val="2B05511C"/>
    <w:rsid w:val="2B0608EE"/>
    <w:rsid w:val="2B0619D7"/>
    <w:rsid w:val="2B0721FA"/>
    <w:rsid w:val="2B09070F"/>
    <w:rsid w:val="2B097F87"/>
    <w:rsid w:val="2B0A0D85"/>
    <w:rsid w:val="2B0B185B"/>
    <w:rsid w:val="2B0B7110"/>
    <w:rsid w:val="2B0C2BDA"/>
    <w:rsid w:val="2B0F1F70"/>
    <w:rsid w:val="2B0F2D53"/>
    <w:rsid w:val="2B0F3156"/>
    <w:rsid w:val="2B102F1B"/>
    <w:rsid w:val="2B110340"/>
    <w:rsid w:val="2B113916"/>
    <w:rsid w:val="2B1246EF"/>
    <w:rsid w:val="2B134764"/>
    <w:rsid w:val="2B1433F2"/>
    <w:rsid w:val="2B1506BF"/>
    <w:rsid w:val="2B1631C9"/>
    <w:rsid w:val="2B164D39"/>
    <w:rsid w:val="2B176349"/>
    <w:rsid w:val="2B18236A"/>
    <w:rsid w:val="2B1861D6"/>
    <w:rsid w:val="2B19188F"/>
    <w:rsid w:val="2B1921F2"/>
    <w:rsid w:val="2B1A1A7A"/>
    <w:rsid w:val="2B1A3CCF"/>
    <w:rsid w:val="2B1B0E15"/>
    <w:rsid w:val="2B1B5463"/>
    <w:rsid w:val="2B1B6590"/>
    <w:rsid w:val="2B1B78BE"/>
    <w:rsid w:val="2B1C0AED"/>
    <w:rsid w:val="2B1C4BED"/>
    <w:rsid w:val="2B1D110A"/>
    <w:rsid w:val="2B1D7A66"/>
    <w:rsid w:val="2B207890"/>
    <w:rsid w:val="2B215574"/>
    <w:rsid w:val="2B226F33"/>
    <w:rsid w:val="2B233960"/>
    <w:rsid w:val="2B2519DD"/>
    <w:rsid w:val="2B27660A"/>
    <w:rsid w:val="2B291A74"/>
    <w:rsid w:val="2B292ADF"/>
    <w:rsid w:val="2B2C21AE"/>
    <w:rsid w:val="2B2C3CC9"/>
    <w:rsid w:val="2B2C425D"/>
    <w:rsid w:val="2B2D2CA0"/>
    <w:rsid w:val="2B2D57E2"/>
    <w:rsid w:val="2B2E11FD"/>
    <w:rsid w:val="2B2E19F0"/>
    <w:rsid w:val="2B2F27CA"/>
    <w:rsid w:val="2B3035CC"/>
    <w:rsid w:val="2B3122C6"/>
    <w:rsid w:val="2B31442E"/>
    <w:rsid w:val="2B31789F"/>
    <w:rsid w:val="2B320B7B"/>
    <w:rsid w:val="2B33332E"/>
    <w:rsid w:val="2B337A32"/>
    <w:rsid w:val="2B341815"/>
    <w:rsid w:val="2B343E6C"/>
    <w:rsid w:val="2B3758CA"/>
    <w:rsid w:val="2B3A113B"/>
    <w:rsid w:val="2B3B38CF"/>
    <w:rsid w:val="2B3D137F"/>
    <w:rsid w:val="2B3E6C5B"/>
    <w:rsid w:val="2B3E7B54"/>
    <w:rsid w:val="2B3F47D2"/>
    <w:rsid w:val="2B400DAF"/>
    <w:rsid w:val="2B404269"/>
    <w:rsid w:val="2B40716A"/>
    <w:rsid w:val="2B4124ED"/>
    <w:rsid w:val="2B413A83"/>
    <w:rsid w:val="2B41443A"/>
    <w:rsid w:val="2B41446E"/>
    <w:rsid w:val="2B4358F5"/>
    <w:rsid w:val="2B473D5E"/>
    <w:rsid w:val="2B473D61"/>
    <w:rsid w:val="2B47741A"/>
    <w:rsid w:val="2B480DB1"/>
    <w:rsid w:val="2B490F23"/>
    <w:rsid w:val="2B4C581C"/>
    <w:rsid w:val="2B4C5E6B"/>
    <w:rsid w:val="2B4E20CF"/>
    <w:rsid w:val="2B4E6F2E"/>
    <w:rsid w:val="2B4F33D6"/>
    <w:rsid w:val="2B4F493E"/>
    <w:rsid w:val="2B4F621F"/>
    <w:rsid w:val="2B50370E"/>
    <w:rsid w:val="2B5039EC"/>
    <w:rsid w:val="2B5102C3"/>
    <w:rsid w:val="2B5145A4"/>
    <w:rsid w:val="2B514873"/>
    <w:rsid w:val="2B522055"/>
    <w:rsid w:val="2B5461E9"/>
    <w:rsid w:val="2B54647E"/>
    <w:rsid w:val="2B552C3E"/>
    <w:rsid w:val="2B557432"/>
    <w:rsid w:val="2B56486D"/>
    <w:rsid w:val="2B567F0B"/>
    <w:rsid w:val="2B571B20"/>
    <w:rsid w:val="2B571C75"/>
    <w:rsid w:val="2B5727F4"/>
    <w:rsid w:val="2B590D99"/>
    <w:rsid w:val="2B5A0C68"/>
    <w:rsid w:val="2B5C007C"/>
    <w:rsid w:val="2B5D0D65"/>
    <w:rsid w:val="2B5D4121"/>
    <w:rsid w:val="2B5D5752"/>
    <w:rsid w:val="2B5E0038"/>
    <w:rsid w:val="2B5E25F9"/>
    <w:rsid w:val="2B604115"/>
    <w:rsid w:val="2B604E23"/>
    <w:rsid w:val="2B606CF8"/>
    <w:rsid w:val="2B610C8D"/>
    <w:rsid w:val="2B611A36"/>
    <w:rsid w:val="2B6157F2"/>
    <w:rsid w:val="2B6225B6"/>
    <w:rsid w:val="2B634F2E"/>
    <w:rsid w:val="2B646C95"/>
    <w:rsid w:val="2B651E68"/>
    <w:rsid w:val="2B654B92"/>
    <w:rsid w:val="2B6735AB"/>
    <w:rsid w:val="2B6762FD"/>
    <w:rsid w:val="2B681152"/>
    <w:rsid w:val="2B6848DD"/>
    <w:rsid w:val="2B6A275B"/>
    <w:rsid w:val="2B6A493D"/>
    <w:rsid w:val="2B6D25CB"/>
    <w:rsid w:val="2B6E26D3"/>
    <w:rsid w:val="2B700D49"/>
    <w:rsid w:val="2B702E3F"/>
    <w:rsid w:val="2B721467"/>
    <w:rsid w:val="2B722794"/>
    <w:rsid w:val="2B731EAF"/>
    <w:rsid w:val="2B7338FE"/>
    <w:rsid w:val="2B737AA6"/>
    <w:rsid w:val="2B745BD6"/>
    <w:rsid w:val="2B746DE6"/>
    <w:rsid w:val="2B762576"/>
    <w:rsid w:val="2B770562"/>
    <w:rsid w:val="2B780BE4"/>
    <w:rsid w:val="2B784E2A"/>
    <w:rsid w:val="2B7924D3"/>
    <w:rsid w:val="2B7B3DE9"/>
    <w:rsid w:val="2B7B7EDF"/>
    <w:rsid w:val="2B7E6116"/>
    <w:rsid w:val="2B7F0D04"/>
    <w:rsid w:val="2B7F5420"/>
    <w:rsid w:val="2B7F5ABE"/>
    <w:rsid w:val="2B824A67"/>
    <w:rsid w:val="2B827252"/>
    <w:rsid w:val="2B843F88"/>
    <w:rsid w:val="2B8610CF"/>
    <w:rsid w:val="2B8727E9"/>
    <w:rsid w:val="2B885164"/>
    <w:rsid w:val="2B886128"/>
    <w:rsid w:val="2B886544"/>
    <w:rsid w:val="2B89113A"/>
    <w:rsid w:val="2B893402"/>
    <w:rsid w:val="2B8938A6"/>
    <w:rsid w:val="2B8C1402"/>
    <w:rsid w:val="2B8C6FF8"/>
    <w:rsid w:val="2B8D6B3A"/>
    <w:rsid w:val="2B8D7B39"/>
    <w:rsid w:val="2B8F4B22"/>
    <w:rsid w:val="2B922C95"/>
    <w:rsid w:val="2B923620"/>
    <w:rsid w:val="2B926EA3"/>
    <w:rsid w:val="2B9405AF"/>
    <w:rsid w:val="2B9438BE"/>
    <w:rsid w:val="2B9608F0"/>
    <w:rsid w:val="2B9614B0"/>
    <w:rsid w:val="2B9763D7"/>
    <w:rsid w:val="2B995346"/>
    <w:rsid w:val="2B9A0CF0"/>
    <w:rsid w:val="2B9B6CC1"/>
    <w:rsid w:val="2B9D0028"/>
    <w:rsid w:val="2B9E4714"/>
    <w:rsid w:val="2B9E47F7"/>
    <w:rsid w:val="2BA016C4"/>
    <w:rsid w:val="2BA34CA1"/>
    <w:rsid w:val="2BA42C2C"/>
    <w:rsid w:val="2BA52083"/>
    <w:rsid w:val="2BA61C84"/>
    <w:rsid w:val="2BA70CA4"/>
    <w:rsid w:val="2BA91C75"/>
    <w:rsid w:val="2BAA4898"/>
    <w:rsid w:val="2BAB597B"/>
    <w:rsid w:val="2BAB62AC"/>
    <w:rsid w:val="2BAC1368"/>
    <w:rsid w:val="2BAC4E58"/>
    <w:rsid w:val="2BAF20D5"/>
    <w:rsid w:val="2BB0102D"/>
    <w:rsid w:val="2BB100E5"/>
    <w:rsid w:val="2BB16A90"/>
    <w:rsid w:val="2BB218DD"/>
    <w:rsid w:val="2BB415E5"/>
    <w:rsid w:val="2BB50EBB"/>
    <w:rsid w:val="2BB55B71"/>
    <w:rsid w:val="2BB7074A"/>
    <w:rsid w:val="2BB8044A"/>
    <w:rsid w:val="2BB90CB0"/>
    <w:rsid w:val="2BB91520"/>
    <w:rsid w:val="2BB91921"/>
    <w:rsid w:val="2BBB6B67"/>
    <w:rsid w:val="2BBB7CFE"/>
    <w:rsid w:val="2BBC7A2F"/>
    <w:rsid w:val="2BBD3DB9"/>
    <w:rsid w:val="2BBD771C"/>
    <w:rsid w:val="2BBF1410"/>
    <w:rsid w:val="2BBF429F"/>
    <w:rsid w:val="2BC05048"/>
    <w:rsid w:val="2BC20FFC"/>
    <w:rsid w:val="2BC342C0"/>
    <w:rsid w:val="2BC35634"/>
    <w:rsid w:val="2BC40F9B"/>
    <w:rsid w:val="2BC4168A"/>
    <w:rsid w:val="2BC44B9A"/>
    <w:rsid w:val="2BC53A0A"/>
    <w:rsid w:val="2BC627A6"/>
    <w:rsid w:val="2BC67518"/>
    <w:rsid w:val="2BCA7153"/>
    <w:rsid w:val="2BCB0E46"/>
    <w:rsid w:val="2BCB2F0C"/>
    <w:rsid w:val="2BCB5EE8"/>
    <w:rsid w:val="2BCC2785"/>
    <w:rsid w:val="2BCD7B2C"/>
    <w:rsid w:val="2BCE6045"/>
    <w:rsid w:val="2BD109D8"/>
    <w:rsid w:val="2BD12500"/>
    <w:rsid w:val="2BD311EE"/>
    <w:rsid w:val="2BD44E15"/>
    <w:rsid w:val="2BD47B8B"/>
    <w:rsid w:val="2BDA0B0C"/>
    <w:rsid w:val="2BDA3EE9"/>
    <w:rsid w:val="2BDA5300"/>
    <w:rsid w:val="2BDA7108"/>
    <w:rsid w:val="2BDB0CAD"/>
    <w:rsid w:val="2BDB79A4"/>
    <w:rsid w:val="2BDC47F6"/>
    <w:rsid w:val="2BDF40E5"/>
    <w:rsid w:val="2BDF613F"/>
    <w:rsid w:val="2BE0192B"/>
    <w:rsid w:val="2BE03114"/>
    <w:rsid w:val="2BE05F64"/>
    <w:rsid w:val="2BE073E2"/>
    <w:rsid w:val="2BE113BE"/>
    <w:rsid w:val="2BE17336"/>
    <w:rsid w:val="2BE2362D"/>
    <w:rsid w:val="2BE30749"/>
    <w:rsid w:val="2BE41B3A"/>
    <w:rsid w:val="2BE43167"/>
    <w:rsid w:val="2BE575FB"/>
    <w:rsid w:val="2BE6380E"/>
    <w:rsid w:val="2BE96ED1"/>
    <w:rsid w:val="2BEA7DA6"/>
    <w:rsid w:val="2BEB66B3"/>
    <w:rsid w:val="2BEB67A6"/>
    <w:rsid w:val="2BEB71C7"/>
    <w:rsid w:val="2BEC4C3B"/>
    <w:rsid w:val="2BEC7840"/>
    <w:rsid w:val="2BED27E3"/>
    <w:rsid w:val="2BEE0CCB"/>
    <w:rsid w:val="2BEF7392"/>
    <w:rsid w:val="2BEF75D1"/>
    <w:rsid w:val="2BEF763E"/>
    <w:rsid w:val="2BF17D09"/>
    <w:rsid w:val="2BF21C5E"/>
    <w:rsid w:val="2BF4201A"/>
    <w:rsid w:val="2BF5036E"/>
    <w:rsid w:val="2BF563B8"/>
    <w:rsid w:val="2BF82790"/>
    <w:rsid w:val="2BF84631"/>
    <w:rsid w:val="2BF86487"/>
    <w:rsid w:val="2BF86BDB"/>
    <w:rsid w:val="2BF905E1"/>
    <w:rsid w:val="2BF93EE0"/>
    <w:rsid w:val="2BF95DE2"/>
    <w:rsid w:val="2BFA32EB"/>
    <w:rsid w:val="2BFB5FD3"/>
    <w:rsid w:val="2BFC1F56"/>
    <w:rsid w:val="2BFC27F5"/>
    <w:rsid w:val="2BFE39A7"/>
    <w:rsid w:val="2BFE4E6F"/>
    <w:rsid w:val="2BFF2651"/>
    <w:rsid w:val="2C003534"/>
    <w:rsid w:val="2C014A39"/>
    <w:rsid w:val="2C034349"/>
    <w:rsid w:val="2C036ACD"/>
    <w:rsid w:val="2C081A53"/>
    <w:rsid w:val="2C087D8B"/>
    <w:rsid w:val="2C094315"/>
    <w:rsid w:val="2C0A3B6B"/>
    <w:rsid w:val="2C0B1233"/>
    <w:rsid w:val="2C0B3A04"/>
    <w:rsid w:val="2C0C1778"/>
    <w:rsid w:val="2C0D41D1"/>
    <w:rsid w:val="2C0F65A1"/>
    <w:rsid w:val="2C100144"/>
    <w:rsid w:val="2C11707D"/>
    <w:rsid w:val="2C132462"/>
    <w:rsid w:val="2C14260A"/>
    <w:rsid w:val="2C146CE5"/>
    <w:rsid w:val="2C151713"/>
    <w:rsid w:val="2C15693D"/>
    <w:rsid w:val="2C165563"/>
    <w:rsid w:val="2C191F76"/>
    <w:rsid w:val="2C195621"/>
    <w:rsid w:val="2C1A61C7"/>
    <w:rsid w:val="2C1B4727"/>
    <w:rsid w:val="2C1D1295"/>
    <w:rsid w:val="2C1F2B2E"/>
    <w:rsid w:val="2C203C31"/>
    <w:rsid w:val="2C210A56"/>
    <w:rsid w:val="2C2434CB"/>
    <w:rsid w:val="2C2763CE"/>
    <w:rsid w:val="2C2A0BD9"/>
    <w:rsid w:val="2C2B5148"/>
    <w:rsid w:val="2C2C2536"/>
    <w:rsid w:val="2C2F008A"/>
    <w:rsid w:val="2C305202"/>
    <w:rsid w:val="2C314FDE"/>
    <w:rsid w:val="2C3215F5"/>
    <w:rsid w:val="2C334F87"/>
    <w:rsid w:val="2C341787"/>
    <w:rsid w:val="2C3455E3"/>
    <w:rsid w:val="2C3462A0"/>
    <w:rsid w:val="2C352F03"/>
    <w:rsid w:val="2C3646BE"/>
    <w:rsid w:val="2C365DCE"/>
    <w:rsid w:val="2C3700E5"/>
    <w:rsid w:val="2C381A8B"/>
    <w:rsid w:val="2C38441A"/>
    <w:rsid w:val="2C385580"/>
    <w:rsid w:val="2C385D30"/>
    <w:rsid w:val="2C3907C6"/>
    <w:rsid w:val="2C39336D"/>
    <w:rsid w:val="2C394507"/>
    <w:rsid w:val="2C3B2F2F"/>
    <w:rsid w:val="2C3B7C11"/>
    <w:rsid w:val="2C3D33B6"/>
    <w:rsid w:val="2C3F0C1F"/>
    <w:rsid w:val="2C404064"/>
    <w:rsid w:val="2C40547C"/>
    <w:rsid w:val="2C431B11"/>
    <w:rsid w:val="2C433AB6"/>
    <w:rsid w:val="2C437F2D"/>
    <w:rsid w:val="2C444358"/>
    <w:rsid w:val="2C452D18"/>
    <w:rsid w:val="2C4622C6"/>
    <w:rsid w:val="2C462DB3"/>
    <w:rsid w:val="2C463FFD"/>
    <w:rsid w:val="2C477EB6"/>
    <w:rsid w:val="2C484BA9"/>
    <w:rsid w:val="2C4A2D49"/>
    <w:rsid w:val="2C4C2CF6"/>
    <w:rsid w:val="2C4C306D"/>
    <w:rsid w:val="2C4C334F"/>
    <w:rsid w:val="2C4C4FC2"/>
    <w:rsid w:val="2C4C52EA"/>
    <w:rsid w:val="2C4D32F1"/>
    <w:rsid w:val="2C507548"/>
    <w:rsid w:val="2C512248"/>
    <w:rsid w:val="2C527427"/>
    <w:rsid w:val="2C5342F1"/>
    <w:rsid w:val="2C5379A5"/>
    <w:rsid w:val="2C552EB4"/>
    <w:rsid w:val="2C553595"/>
    <w:rsid w:val="2C55425C"/>
    <w:rsid w:val="2C572948"/>
    <w:rsid w:val="2C57380D"/>
    <w:rsid w:val="2C5948F6"/>
    <w:rsid w:val="2C5C07C2"/>
    <w:rsid w:val="2C5C6C6F"/>
    <w:rsid w:val="2C5D0281"/>
    <w:rsid w:val="2C5D1363"/>
    <w:rsid w:val="2C5E57DB"/>
    <w:rsid w:val="2C5E6F10"/>
    <w:rsid w:val="2C5E6F25"/>
    <w:rsid w:val="2C604959"/>
    <w:rsid w:val="2C63384A"/>
    <w:rsid w:val="2C6411DB"/>
    <w:rsid w:val="2C64268F"/>
    <w:rsid w:val="2C647F24"/>
    <w:rsid w:val="2C68057D"/>
    <w:rsid w:val="2C681C82"/>
    <w:rsid w:val="2C686531"/>
    <w:rsid w:val="2C6A659B"/>
    <w:rsid w:val="2C6B2FB0"/>
    <w:rsid w:val="2C6B3AC2"/>
    <w:rsid w:val="2C6D0199"/>
    <w:rsid w:val="2C6F1E43"/>
    <w:rsid w:val="2C6F498D"/>
    <w:rsid w:val="2C700C40"/>
    <w:rsid w:val="2C721B12"/>
    <w:rsid w:val="2C727A0A"/>
    <w:rsid w:val="2C761C1B"/>
    <w:rsid w:val="2C761F94"/>
    <w:rsid w:val="2C763CB0"/>
    <w:rsid w:val="2C767ECF"/>
    <w:rsid w:val="2C7755B8"/>
    <w:rsid w:val="2C777E9B"/>
    <w:rsid w:val="2C783A28"/>
    <w:rsid w:val="2C7A2E35"/>
    <w:rsid w:val="2C7B17C8"/>
    <w:rsid w:val="2C7B4F25"/>
    <w:rsid w:val="2C7B7C6C"/>
    <w:rsid w:val="2C7D4DD7"/>
    <w:rsid w:val="2C7E119B"/>
    <w:rsid w:val="2C7E28B0"/>
    <w:rsid w:val="2C7E692D"/>
    <w:rsid w:val="2C7F7B5B"/>
    <w:rsid w:val="2C7F7E40"/>
    <w:rsid w:val="2C801525"/>
    <w:rsid w:val="2C804F74"/>
    <w:rsid w:val="2C807D36"/>
    <w:rsid w:val="2C825CA9"/>
    <w:rsid w:val="2C825D9B"/>
    <w:rsid w:val="2C825FF2"/>
    <w:rsid w:val="2C837A9C"/>
    <w:rsid w:val="2C850C44"/>
    <w:rsid w:val="2C8560AF"/>
    <w:rsid w:val="2C8667B0"/>
    <w:rsid w:val="2C883FA3"/>
    <w:rsid w:val="2C884510"/>
    <w:rsid w:val="2C89099B"/>
    <w:rsid w:val="2C8A5A30"/>
    <w:rsid w:val="2C8A72F0"/>
    <w:rsid w:val="2C8B4132"/>
    <w:rsid w:val="2C8B4777"/>
    <w:rsid w:val="2C8B6EA2"/>
    <w:rsid w:val="2C8D4C8F"/>
    <w:rsid w:val="2C8E348A"/>
    <w:rsid w:val="2C8E3D6B"/>
    <w:rsid w:val="2C8E405A"/>
    <w:rsid w:val="2C8F2B9F"/>
    <w:rsid w:val="2C951B6E"/>
    <w:rsid w:val="2C953639"/>
    <w:rsid w:val="2C96206B"/>
    <w:rsid w:val="2C9755F8"/>
    <w:rsid w:val="2C992A1E"/>
    <w:rsid w:val="2C9B39C4"/>
    <w:rsid w:val="2C9B3D3A"/>
    <w:rsid w:val="2C9B65BB"/>
    <w:rsid w:val="2C9D1B4D"/>
    <w:rsid w:val="2C9D243A"/>
    <w:rsid w:val="2C9D59E4"/>
    <w:rsid w:val="2C9E4ACB"/>
    <w:rsid w:val="2C9E7581"/>
    <w:rsid w:val="2C9F4594"/>
    <w:rsid w:val="2CA13945"/>
    <w:rsid w:val="2CA20632"/>
    <w:rsid w:val="2CA22CB4"/>
    <w:rsid w:val="2CA362D5"/>
    <w:rsid w:val="2CA40A38"/>
    <w:rsid w:val="2CA42EFB"/>
    <w:rsid w:val="2CA43276"/>
    <w:rsid w:val="2CA46B16"/>
    <w:rsid w:val="2CA51091"/>
    <w:rsid w:val="2CA73544"/>
    <w:rsid w:val="2CA74A55"/>
    <w:rsid w:val="2CA74B0D"/>
    <w:rsid w:val="2CA825E5"/>
    <w:rsid w:val="2CAA47D8"/>
    <w:rsid w:val="2CAB2AF3"/>
    <w:rsid w:val="2CAB44BD"/>
    <w:rsid w:val="2CAB7E53"/>
    <w:rsid w:val="2CAD403F"/>
    <w:rsid w:val="2CAD5E46"/>
    <w:rsid w:val="2CAD7069"/>
    <w:rsid w:val="2CAF2835"/>
    <w:rsid w:val="2CB10164"/>
    <w:rsid w:val="2CB13D80"/>
    <w:rsid w:val="2CB23DB5"/>
    <w:rsid w:val="2CB3121A"/>
    <w:rsid w:val="2CB42416"/>
    <w:rsid w:val="2CB73903"/>
    <w:rsid w:val="2CB75DEF"/>
    <w:rsid w:val="2CB8394C"/>
    <w:rsid w:val="2CB90C8F"/>
    <w:rsid w:val="2CBD1869"/>
    <w:rsid w:val="2CBD603D"/>
    <w:rsid w:val="2CBE2FC5"/>
    <w:rsid w:val="2CBE7AA3"/>
    <w:rsid w:val="2CC04738"/>
    <w:rsid w:val="2CC12969"/>
    <w:rsid w:val="2CC147C7"/>
    <w:rsid w:val="2CC31972"/>
    <w:rsid w:val="2CC32912"/>
    <w:rsid w:val="2CC521E5"/>
    <w:rsid w:val="2CC535AE"/>
    <w:rsid w:val="2CC67DF2"/>
    <w:rsid w:val="2CC755A8"/>
    <w:rsid w:val="2CC77649"/>
    <w:rsid w:val="2CC83B06"/>
    <w:rsid w:val="2CC874AF"/>
    <w:rsid w:val="2CC91CCD"/>
    <w:rsid w:val="2CCA13D6"/>
    <w:rsid w:val="2CCB451E"/>
    <w:rsid w:val="2CCE2B4A"/>
    <w:rsid w:val="2CCE3766"/>
    <w:rsid w:val="2CCF0F55"/>
    <w:rsid w:val="2CCF5635"/>
    <w:rsid w:val="2CD00925"/>
    <w:rsid w:val="2CD22825"/>
    <w:rsid w:val="2CDC2BF3"/>
    <w:rsid w:val="2CDC5540"/>
    <w:rsid w:val="2CDC55AD"/>
    <w:rsid w:val="2CDC5F42"/>
    <w:rsid w:val="2CDF3296"/>
    <w:rsid w:val="2CE07AE7"/>
    <w:rsid w:val="2CE172D3"/>
    <w:rsid w:val="2CE17AF1"/>
    <w:rsid w:val="2CE22789"/>
    <w:rsid w:val="2CE23A29"/>
    <w:rsid w:val="2CE81B33"/>
    <w:rsid w:val="2CE9396D"/>
    <w:rsid w:val="2CEA2082"/>
    <w:rsid w:val="2CEB263C"/>
    <w:rsid w:val="2CED2D4C"/>
    <w:rsid w:val="2CED7383"/>
    <w:rsid w:val="2CEE099D"/>
    <w:rsid w:val="2CEE4E83"/>
    <w:rsid w:val="2CEF5CA0"/>
    <w:rsid w:val="2CF0244A"/>
    <w:rsid w:val="2CF618F6"/>
    <w:rsid w:val="2CF670DF"/>
    <w:rsid w:val="2CF7436B"/>
    <w:rsid w:val="2CF76E21"/>
    <w:rsid w:val="2CF77F46"/>
    <w:rsid w:val="2CF85716"/>
    <w:rsid w:val="2CFA03C8"/>
    <w:rsid w:val="2CFA41EE"/>
    <w:rsid w:val="2CFA5509"/>
    <w:rsid w:val="2CFD3EEB"/>
    <w:rsid w:val="2CFE5B1F"/>
    <w:rsid w:val="2CFF1F54"/>
    <w:rsid w:val="2D017906"/>
    <w:rsid w:val="2D0219D1"/>
    <w:rsid w:val="2D021C8A"/>
    <w:rsid w:val="2D02306C"/>
    <w:rsid w:val="2D02746A"/>
    <w:rsid w:val="2D0308FE"/>
    <w:rsid w:val="2D0557B2"/>
    <w:rsid w:val="2D064D78"/>
    <w:rsid w:val="2D082004"/>
    <w:rsid w:val="2D092EF1"/>
    <w:rsid w:val="2D094B3E"/>
    <w:rsid w:val="2D09706C"/>
    <w:rsid w:val="2D0C49A1"/>
    <w:rsid w:val="2D0C5D93"/>
    <w:rsid w:val="2D0C61E7"/>
    <w:rsid w:val="2D0E40B0"/>
    <w:rsid w:val="2D0F512A"/>
    <w:rsid w:val="2D107538"/>
    <w:rsid w:val="2D13348A"/>
    <w:rsid w:val="2D1520E1"/>
    <w:rsid w:val="2D153E7F"/>
    <w:rsid w:val="2D15531C"/>
    <w:rsid w:val="2D1611AE"/>
    <w:rsid w:val="2D16249E"/>
    <w:rsid w:val="2D1653D3"/>
    <w:rsid w:val="2D1661A4"/>
    <w:rsid w:val="2D191A58"/>
    <w:rsid w:val="2D192A18"/>
    <w:rsid w:val="2D193275"/>
    <w:rsid w:val="2D197705"/>
    <w:rsid w:val="2D1C6EAE"/>
    <w:rsid w:val="2D1D442C"/>
    <w:rsid w:val="2D1F06C9"/>
    <w:rsid w:val="2D1F70BF"/>
    <w:rsid w:val="2D2029E0"/>
    <w:rsid w:val="2D22193C"/>
    <w:rsid w:val="2D2219A2"/>
    <w:rsid w:val="2D23063A"/>
    <w:rsid w:val="2D244F33"/>
    <w:rsid w:val="2D250328"/>
    <w:rsid w:val="2D256B20"/>
    <w:rsid w:val="2D264EAB"/>
    <w:rsid w:val="2D29570F"/>
    <w:rsid w:val="2D296E8B"/>
    <w:rsid w:val="2D2A56E9"/>
    <w:rsid w:val="2D2D249E"/>
    <w:rsid w:val="2D2D4ECB"/>
    <w:rsid w:val="2D2E1638"/>
    <w:rsid w:val="2D2E21B1"/>
    <w:rsid w:val="2D2E2480"/>
    <w:rsid w:val="2D2E7E40"/>
    <w:rsid w:val="2D3015EC"/>
    <w:rsid w:val="2D316603"/>
    <w:rsid w:val="2D327FB3"/>
    <w:rsid w:val="2D33596D"/>
    <w:rsid w:val="2D3403F8"/>
    <w:rsid w:val="2D3A6D01"/>
    <w:rsid w:val="2D3B71EF"/>
    <w:rsid w:val="2D3C0B86"/>
    <w:rsid w:val="2D3E399E"/>
    <w:rsid w:val="2D3E436C"/>
    <w:rsid w:val="2D3E68A9"/>
    <w:rsid w:val="2D4009F6"/>
    <w:rsid w:val="2D4014A2"/>
    <w:rsid w:val="2D402999"/>
    <w:rsid w:val="2D410C84"/>
    <w:rsid w:val="2D41198E"/>
    <w:rsid w:val="2D432089"/>
    <w:rsid w:val="2D4412AA"/>
    <w:rsid w:val="2D4548BD"/>
    <w:rsid w:val="2D456E4E"/>
    <w:rsid w:val="2D463B52"/>
    <w:rsid w:val="2D465905"/>
    <w:rsid w:val="2D473F96"/>
    <w:rsid w:val="2D474F17"/>
    <w:rsid w:val="2D483DC1"/>
    <w:rsid w:val="2D49322F"/>
    <w:rsid w:val="2D495AC8"/>
    <w:rsid w:val="2D4B2ABE"/>
    <w:rsid w:val="2D4D3738"/>
    <w:rsid w:val="2D4D4C12"/>
    <w:rsid w:val="2D4F18E9"/>
    <w:rsid w:val="2D516258"/>
    <w:rsid w:val="2D525E1B"/>
    <w:rsid w:val="2D527175"/>
    <w:rsid w:val="2D540083"/>
    <w:rsid w:val="2D543FE0"/>
    <w:rsid w:val="2D552A73"/>
    <w:rsid w:val="2D552E01"/>
    <w:rsid w:val="2D553AE1"/>
    <w:rsid w:val="2D554110"/>
    <w:rsid w:val="2D55661E"/>
    <w:rsid w:val="2D565E2A"/>
    <w:rsid w:val="2D583154"/>
    <w:rsid w:val="2D595C16"/>
    <w:rsid w:val="2D5A56FE"/>
    <w:rsid w:val="2D5C0092"/>
    <w:rsid w:val="2D5C5232"/>
    <w:rsid w:val="2D5C5AB8"/>
    <w:rsid w:val="2D5D0774"/>
    <w:rsid w:val="2D5D08DC"/>
    <w:rsid w:val="2D5E1836"/>
    <w:rsid w:val="2D5E35E4"/>
    <w:rsid w:val="2D5F6F8D"/>
    <w:rsid w:val="2D61013A"/>
    <w:rsid w:val="2D61134B"/>
    <w:rsid w:val="2D61264D"/>
    <w:rsid w:val="2D616C10"/>
    <w:rsid w:val="2D6219AA"/>
    <w:rsid w:val="2D651ABF"/>
    <w:rsid w:val="2D6741FB"/>
    <w:rsid w:val="2D6946B4"/>
    <w:rsid w:val="2D6952DB"/>
    <w:rsid w:val="2D6B2CA3"/>
    <w:rsid w:val="2D6D0161"/>
    <w:rsid w:val="2D6D6A38"/>
    <w:rsid w:val="2D6E1F76"/>
    <w:rsid w:val="2D6E293D"/>
    <w:rsid w:val="2D6E5D99"/>
    <w:rsid w:val="2D6F27F6"/>
    <w:rsid w:val="2D7223C2"/>
    <w:rsid w:val="2D723F57"/>
    <w:rsid w:val="2D72526B"/>
    <w:rsid w:val="2D7352E2"/>
    <w:rsid w:val="2D760396"/>
    <w:rsid w:val="2D763F82"/>
    <w:rsid w:val="2D7642FD"/>
    <w:rsid w:val="2D790DA1"/>
    <w:rsid w:val="2D7A15B7"/>
    <w:rsid w:val="2D7A7327"/>
    <w:rsid w:val="2D7C413D"/>
    <w:rsid w:val="2D7D0EAC"/>
    <w:rsid w:val="2D7E1D4A"/>
    <w:rsid w:val="2D7E1F30"/>
    <w:rsid w:val="2D7E77E3"/>
    <w:rsid w:val="2D80348A"/>
    <w:rsid w:val="2D815DA2"/>
    <w:rsid w:val="2D823904"/>
    <w:rsid w:val="2D826049"/>
    <w:rsid w:val="2D8271E0"/>
    <w:rsid w:val="2D8323AA"/>
    <w:rsid w:val="2D837C31"/>
    <w:rsid w:val="2D842946"/>
    <w:rsid w:val="2D847917"/>
    <w:rsid w:val="2D851002"/>
    <w:rsid w:val="2D8543CF"/>
    <w:rsid w:val="2D8553C3"/>
    <w:rsid w:val="2D856E29"/>
    <w:rsid w:val="2D890616"/>
    <w:rsid w:val="2D8C5A64"/>
    <w:rsid w:val="2D8D102A"/>
    <w:rsid w:val="2D8E2307"/>
    <w:rsid w:val="2D910C90"/>
    <w:rsid w:val="2D9151E7"/>
    <w:rsid w:val="2D915461"/>
    <w:rsid w:val="2D933DE1"/>
    <w:rsid w:val="2D937212"/>
    <w:rsid w:val="2D95268E"/>
    <w:rsid w:val="2D956EC1"/>
    <w:rsid w:val="2D964F97"/>
    <w:rsid w:val="2D990EB9"/>
    <w:rsid w:val="2D9B67B8"/>
    <w:rsid w:val="2D9C0BA6"/>
    <w:rsid w:val="2D9E1F8A"/>
    <w:rsid w:val="2D9F3B1F"/>
    <w:rsid w:val="2DA0434D"/>
    <w:rsid w:val="2DA0738E"/>
    <w:rsid w:val="2DA07DBF"/>
    <w:rsid w:val="2DA11371"/>
    <w:rsid w:val="2DA14A5B"/>
    <w:rsid w:val="2DA15FAE"/>
    <w:rsid w:val="2DA24B83"/>
    <w:rsid w:val="2DA24E5B"/>
    <w:rsid w:val="2DA340F8"/>
    <w:rsid w:val="2DA4173A"/>
    <w:rsid w:val="2DA552FF"/>
    <w:rsid w:val="2DA57BEE"/>
    <w:rsid w:val="2DA604AB"/>
    <w:rsid w:val="2DA60646"/>
    <w:rsid w:val="2DA608C3"/>
    <w:rsid w:val="2DA60B55"/>
    <w:rsid w:val="2DA9063D"/>
    <w:rsid w:val="2DAB0864"/>
    <w:rsid w:val="2DAD3585"/>
    <w:rsid w:val="2DAF6129"/>
    <w:rsid w:val="2DB01225"/>
    <w:rsid w:val="2DB035B9"/>
    <w:rsid w:val="2DB0435A"/>
    <w:rsid w:val="2DB072F6"/>
    <w:rsid w:val="2DB13985"/>
    <w:rsid w:val="2DB33E12"/>
    <w:rsid w:val="2DB41D1F"/>
    <w:rsid w:val="2DB4216E"/>
    <w:rsid w:val="2DB623DA"/>
    <w:rsid w:val="2DBA7773"/>
    <w:rsid w:val="2DBB4D7F"/>
    <w:rsid w:val="2DBC67C2"/>
    <w:rsid w:val="2DBD7A2D"/>
    <w:rsid w:val="2DBE59F2"/>
    <w:rsid w:val="2DC4721D"/>
    <w:rsid w:val="2DC67C70"/>
    <w:rsid w:val="2DC76455"/>
    <w:rsid w:val="2DC924A0"/>
    <w:rsid w:val="2DCA2A7A"/>
    <w:rsid w:val="2DCA472B"/>
    <w:rsid w:val="2DCB72BA"/>
    <w:rsid w:val="2DCD0321"/>
    <w:rsid w:val="2DCE093C"/>
    <w:rsid w:val="2DCE5CC9"/>
    <w:rsid w:val="2DCE5E3B"/>
    <w:rsid w:val="2DD12008"/>
    <w:rsid w:val="2DD22E85"/>
    <w:rsid w:val="2DD4134F"/>
    <w:rsid w:val="2DD50204"/>
    <w:rsid w:val="2DD575D0"/>
    <w:rsid w:val="2DD75081"/>
    <w:rsid w:val="2DD75450"/>
    <w:rsid w:val="2DD8793D"/>
    <w:rsid w:val="2DDA38CC"/>
    <w:rsid w:val="2DDB3BFF"/>
    <w:rsid w:val="2DDB50C8"/>
    <w:rsid w:val="2DDB5AAB"/>
    <w:rsid w:val="2DDB6B96"/>
    <w:rsid w:val="2DDE64D3"/>
    <w:rsid w:val="2DDF6140"/>
    <w:rsid w:val="2DE03390"/>
    <w:rsid w:val="2DE04F41"/>
    <w:rsid w:val="2DE10049"/>
    <w:rsid w:val="2DE17B23"/>
    <w:rsid w:val="2DE24629"/>
    <w:rsid w:val="2DE34F9F"/>
    <w:rsid w:val="2DE41565"/>
    <w:rsid w:val="2DE417C5"/>
    <w:rsid w:val="2DE51B43"/>
    <w:rsid w:val="2DE60597"/>
    <w:rsid w:val="2DE66E50"/>
    <w:rsid w:val="2DE738A5"/>
    <w:rsid w:val="2DEB2F08"/>
    <w:rsid w:val="2DEC4990"/>
    <w:rsid w:val="2DEC6CDE"/>
    <w:rsid w:val="2DED02CF"/>
    <w:rsid w:val="2DED0539"/>
    <w:rsid w:val="2DEE2BBA"/>
    <w:rsid w:val="2DF01866"/>
    <w:rsid w:val="2DF047FB"/>
    <w:rsid w:val="2DF0797F"/>
    <w:rsid w:val="2DF16206"/>
    <w:rsid w:val="2DF31B6F"/>
    <w:rsid w:val="2DF356BB"/>
    <w:rsid w:val="2DF432E5"/>
    <w:rsid w:val="2DF52059"/>
    <w:rsid w:val="2DF5793B"/>
    <w:rsid w:val="2DF65436"/>
    <w:rsid w:val="2DF740AA"/>
    <w:rsid w:val="2DF8117E"/>
    <w:rsid w:val="2DF82FC9"/>
    <w:rsid w:val="2DF853DA"/>
    <w:rsid w:val="2DF857E7"/>
    <w:rsid w:val="2DFB1B64"/>
    <w:rsid w:val="2DFD3E2D"/>
    <w:rsid w:val="2DFD606E"/>
    <w:rsid w:val="2DFE574A"/>
    <w:rsid w:val="2DFF7D20"/>
    <w:rsid w:val="2E001BFC"/>
    <w:rsid w:val="2E005F6B"/>
    <w:rsid w:val="2E012C92"/>
    <w:rsid w:val="2E014D60"/>
    <w:rsid w:val="2E0225E4"/>
    <w:rsid w:val="2E0244C5"/>
    <w:rsid w:val="2E044771"/>
    <w:rsid w:val="2E061976"/>
    <w:rsid w:val="2E06393D"/>
    <w:rsid w:val="2E06623A"/>
    <w:rsid w:val="2E075CAC"/>
    <w:rsid w:val="2E081AC9"/>
    <w:rsid w:val="2E082524"/>
    <w:rsid w:val="2E097648"/>
    <w:rsid w:val="2E0A196E"/>
    <w:rsid w:val="2E0A3235"/>
    <w:rsid w:val="2E0B1534"/>
    <w:rsid w:val="2E0C27EF"/>
    <w:rsid w:val="2E0D08E7"/>
    <w:rsid w:val="2E0D7905"/>
    <w:rsid w:val="2E0E6CF8"/>
    <w:rsid w:val="2E102281"/>
    <w:rsid w:val="2E106E4D"/>
    <w:rsid w:val="2E111527"/>
    <w:rsid w:val="2E116BA1"/>
    <w:rsid w:val="2E117CAA"/>
    <w:rsid w:val="2E1304A9"/>
    <w:rsid w:val="2E133F7D"/>
    <w:rsid w:val="2E1519B7"/>
    <w:rsid w:val="2E17583A"/>
    <w:rsid w:val="2E196921"/>
    <w:rsid w:val="2E1A0A47"/>
    <w:rsid w:val="2E1A0FE2"/>
    <w:rsid w:val="2E1B44A3"/>
    <w:rsid w:val="2E1B4C78"/>
    <w:rsid w:val="2E1D0DFB"/>
    <w:rsid w:val="2E202D5C"/>
    <w:rsid w:val="2E212480"/>
    <w:rsid w:val="2E225920"/>
    <w:rsid w:val="2E27044B"/>
    <w:rsid w:val="2E2740EA"/>
    <w:rsid w:val="2E2757A7"/>
    <w:rsid w:val="2E275B4F"/>
    <w:rsid w:val="2E281E5D"/>
    <w:rsid w:val="2E286FB1"/>
    <w:rsid w:val="2E2936EE"/>
    <w:rsid w:val="2E296EAE"/>
    <w:rsid w:val="2E2B758B"/>
    <w:rsid w:val="2E2D4BA5"/>
    <w:rsid w:val="2E2E1C48"/>
    <w:rsid w:val="2E300049"/>
    <w:rsid w:val="2E3017F9"/>
    <w:rsid w:val="2E301A1B"/>
    <w:rsid w:val="2E312A7A"/>
    <w:rsid w:val="2E3241D6"/>
    <w:rsid w:val="2E333EAE"/>
    <w:rsid w:val="2E346612"/>
    <w:rsid w:val="2E3478AB"/>
    <w:rsid w:val="2E3731E0"/>
    <w:rsid w:val="2E382CDE"/>
    <w:rsid w:val="2E385615"/>
    <w:rsid w:val="2E3916C7"/>
    <w:rsid w:val="2E3968DF"/>
    <w:rsid w:val="2E3A195C"/>
    <w:rsid w:val="2E3A5295"/>
    <w:rsid w:val="2E3A7A95"/>
    <w:rsid w:val="2E3B40B2"/>
    <w:rsid w:val="2E3B61FC"/>
    <w:rsid w:val="2E3D2DC0"/>
    <w:rsid w:val="2E3E1FE1"/>
    <w:rsid w:val="2E3E2B3C"/>
    <w:rsid w:val="2E3E5A8C"/>
    <w:rsid w:val="2E3F0878"/>
    <w:rsid w:val="2E3F444F"/>
    <w:rsid w:val="2E3F53FD"/>
    <w:rsid w:val="2E3F5C39"/>
    <w:rsid w:val="2E40639E"/>
    <w:rsid w:val="2E423AEC"/>
    <w:rsid w:val="2E4269B3"/>
    <w:rsid w:val="2E430E33"/>
    <w:rsid w:val="2E431F72"/>
    <w:rsid w:val="2E45421F"/>
    <w:rsid w:val="2E455EBD"/>
    <w:rsid w:val="2E460DE9"/>
    <w:rsid w:val="2E4647A4"/>
    <w:rsid w:val="2E483E78"/>
    <w:rsid w:val="2E4923A6"/>
    <w:rsid w:val="2E493AA6"/>
    <w:rsid w:val="2E4962D4"/>
    <w:rsid w:val="2E4A5FCE"/>
    <w:rsid w:val="2E4C40DF"/>
    <w:rsid w:val="2E4C606D"/>
    <w:rsid w:val="2E4D7EBC"/>
    <w:rsid w:val="2E4F449A"/>
    <w:rsid w:val="2E4F76BA"/>
    <w:rsid w:val="2E521B66"/>
    <w:rsid w:val="2E526105"/>
    <w:rsid w:val="2E545702"/>
    <w:rsid w:val="2E5647EB"/>
    <w:rsid w:val="2E5B1FEE"/>
    <w:rsid w:val="2E5D389C"/>
    <w:rsid w:val="2E5E4B2B"/>
    <w:rsid w:val="2E60160B"/>
    <w:rsid w:val="2E603F42"/>
    <w:rsid w:val="2E64710B"/>
    <w:rsid w:val="2E690347"/>
    <w:rsid w:val="2E691CA2"/>
    <w:rsid w:val="2E695EFB"/>
    <w:rsid w:val="2E6C3111"/>
    <w:rsid w:val="2E6C68DE"/>
    <w:rsid w:val="2E6D1902"/>
    <w:rsid w:val="2E6E3E31"/>
    <w:rsid w:val="2E6E4389"/>
    <w:rsid w:val="2E703757"/>
    <w:rsid w:val="2E743A24"/>
    <w:rsid w:val="2E7461C0"/>
    <w:rsid w:val="2E762423"/>
    <w:rsid w:val="2E7667E0"/>
    <w:rsid w:val="2E773759"/>
    <w:rsid w:val="2E781A55"/>
    <w:rsid w:val="2E785E1D"/>
    <w:rsid w:val="2E786928"/>
    <w:rsid w:val="2E796AFA"/>
    <w:rsid w:val="2E797F0F"/>
    <w:rsid w:val="2E7A07E3"/>
    <w:rsid w:val="2E7A7A83"/>
    <w:rsid w:val="2E7B54AA"/>
    <w:rsid w:val="2E7D3B7E"/>
    <w:rsid w:val="2E7E7ED9"/>
    <w:rsid w:val="2E7F1A64"/>
    <w:rsid w:val="2E7F59EF"/>
    <w:rsid w:val="2E8020F0"/>
    <w:rsid w:val="2E8048D7"/>
    <w:rsid w:val="2E806957"/>
    <w:rsid w:val="2E826997"/>
    <w:rsid w:val="2E853040"/>
    <w:rsid w:val="2E866249"/>
    <w:rsid w:val="2E870A75"/>
    <w:rsid w:val="2E883475"/>
    <w:rsid w:val="2E8E1B62"/>
    <w:rsid w:val="2E8E407A"/>
    <w:rsid w:val="2E8F5DBF"/>
    <w:rsid w:val="2E8F618A"/>
    <w:rsid w:val="2E9257C9"/>
    <w:rsid w:val="2E931212"/>
    <w:rsid w:val="2E970E9F"/>
    <w:rsid w:val="2E97130C"/>
    <w:rsid w:val="2E9765FF"/>
    <w:rsid w:val="2E980BC1"/>
    <w:rsid w:val="2E9864C4"/>
    <w:rsid w:val="2E9C1A2D"/>
    <w:rsid w:val="2E9C4621"/>
    <w:rsid w:val="2E9E520B"/>
    <w:rsid w:val="2E9E5404"/>
    <w:rsid w:val="2E9F45CD"/>
    <w:rsid w:val="2EA006C3"/>
    <w:rsid w:val="2EA11D8D"/>
    <w:rsid w:val="2EA14CE9"/>
    <w:rsid w:val="2EA35A7F"/>
    <w:rsid w:val="2EA52A2B"/>
    <w:rsid w:val="2EA76924"/>
    <w:rsid w:val="2EA9784F"/>
    <w:rsid w:val="2EAA55F7"/>
    <w:rsid w:val="2EAB0AAB"/>
    <w:rsid w:val="2EB0788F"/>
    <w:rsid w:val="2EB14150"/>
    <w:rsid w:val="2EB1457E"/>
    <w:rsid w:val="2EB43D9A"/>
    <w:rsid w:val="2EB47A8E"/>
    <w:rsid w:val="2EB93346"/>
    <w:rsid w:val="2EB94145"/>
    <w:rsid w:val="2EBB0965"/>
    <w:rsid w:val="2EBB1296"/>
    <w:rsid w:val="2EBB43F4"/>
    <w:rsid w:val="2EBB4C95"/>
    <w:rsid w:val="2EBD658E"/>
    <w:rsid w:val="2EBF5AB6"/>
    <w:rsid w:val="2EC04EBA"/>
    <w:rsid w:val="2EC132B7"/>
    <w:rsid w:val="2EC14CF6"/>
    <w:rsid w:val="2EC23C59"/>
    <w:rsid w:val="2EC26945"/>
    <w:rsid w:val="2EC32F23"/>
    <w:rsid w:val="2EC34314"/>
    <w:rsid w:val="2EC36839"/>
    <w:rsid w:val="2EC43399"/>
    <w:rsid w:val="2EC522BA"/>
    <w:rsid w:val="2EC62604"/>
    <w:rsid w:val="2EC7494F"/>
    <w:rsid w:val="2EC902F3"/>
    <w:rsid w:val="2EC9107B"/>
    <w:rsid w:val="2ECA4D33"/>
    <w:rsid w:val="2ECA5F50"/>
    <w:rsid w:val="2ECA7503"/>
    <w:rsid w:val="2ECB5DC8"/>
    <w:rsid w:val="2ECC1EB6"/>
    <w:rsid w:val="2ECC3FE8"/>
    <w:rsid w:val="2ECD51AE"/>
    <w:rsid w:val="2ECE7757"/>
    <w:rsid w:val="2ECF1F62"/>
    <w:rsid w:val="2ED03F61"/>
    <w:rsid w:val="2ED159FC"/>
    <w:rsid w:val="2ED17132"/>
    <w:rsid w:val="2ED26EDC"/>
    <w:rsid w:val="2ED40761"/>
    <w:rsid w:val="2ED432E1"/>
    <w:rsid w:val="2ED465E1"/>
    <w:rsid w:val="2ED4665E"/>
    <w:rsid w:val="2ED63B69"/>
    <w:rsid w:val="2ED74924"/>
    <w:rsid w:val="2ED81D1D"/>
    <w:rsid w:val="2ED8231C"/>
    <w:rsid w:val="2ED83001"/>
    <w:rsid w:val="2ED92336"/>
    <w:rsid w:val="2ED9732E"/>
    <w:rsid w:val="2ED9772B"/>
    <w:rsid w:val="2EDC2F3D"/>
    <w:rsid w:val="2EDD17B2"/>
    <w:rsid w:val="2EDD25BC"/>
    <w:rsid w:val="2EDE1AB9"/>
    <w:rsid w:val="2EDF5BF6"/>
    <w:rsid w:val="2EDF7AF9"/>
    <w:rsid w:val="2EDF7F2E"/>
    <w:rsid w:val="2EE009B3"/>
    <w:rsid w:val="2EE06E6C"/>
    <w:rsid w:val="2EE20831"/>
    <w:rsid w:val="2EE35DFE"/>
    <w:rsid w:val="2EE42E53"/>
    <w:rsid w:val="2EE5429F"/>
    <w:rsid w:val="2EE61F4D"/>
    <w:rsid w:val="2EE62C91"/>
    <w:rsid w:val="2EE633C2"/>
    <w:rsid w:val="2EE75A94"/>
    <w:rsid w:val="2EE82F88"/>
    <w:rsid w:val="2EEA2082"/>
    <w:rsid w:val="2EEA2577"/>
    <w:rsid w:val="2EEA2A53"/>
    <w:rsid w:val="2EEA5C6D"/>
    <w:rsid w:val="2EEB14EE"/>
    <w:rsid w:val="2EEB329F"/>
    <w:rsid w:val="2EEC0D69"/>
    <w:rsid w:val="2EEC2CDB"/>
    <w:rsid w:val="2EEC32DD"/>
    <w:rsid w:val="2EED4A96"/>
    <w:rsid w:val="2EEF0D81"/>
    <w:rsid w:val="2EEF1179"/>
    <w:rsid w:val="2EEF6FBF"/>
    <w:rsid w:val="2EEF778B"/>
    <w:rsid w:val="2EF01BA5"/>
    <w:rsid w:val="2EF173F4"/>
    <w:rsid w:val="2EF20AEF"/>
    <w:rsid w:val="2EF23BA3"/>
    <w:rsid w:val="2EF245CB"/>
    <w:rsid w:val="2EF44200"/>
    <w:rsid w:val="2EF4635F"/>
    <w:rsid w:val="2EF61FEB"/>
    <w:rsid w:val="2EF67661"/>
    <w:rsid w:val="2EFA6750"/>
    <w:rsid w:val="2EFC4C17"/>
    <w:rsid w:val="2EFE06F3"/>
    <w:rsid w:val="2EFE351E"/>
    <w:rsid w:val="2EFF2A6B"/>
    <w:rsid w:val="2F01418C"/>
    <w:rsid w:val="2F014F5D"/>
    <w:rsid w:val="2F026570"/>
    <w:rsid w:val="2F034276"/>
    <w:rsid w:val="2F0345F3"/>
    <w:rsid w:val="2F042995"/>
    <w:rsid w:val="2F063C0B"/>
    <w:rsid w:val="2F083808"/>
    <w:rsid w:val="2F0855DD"/>
    <w:rsid w:val="2F094BE2"/>
    <w:rsid w:val="2F0B3126"/>
    <w:rsid w:val="2F0E4834"/>
    <w:rsid w:val="2F100A8C"/>
    <w:rsid w:val="2F105327"/>
    <w:rsid w:val="2F123597"/>
    <w:rsid w:val="2F127721"/>
    <w:rsid w:val="2F132775"/>
    <w:rsid w:val="2F1358B4"/>
    <w:rsid w:val="2F1563EE"/>
    <w:rsid w:val="2F1744F8"/>
    <w:rsid w:val="2F185438"/>
    <w:rsid w:val="2F191A3C"/>
    <w:rsid w:val="2F192A54"/>
    <w:rsid w:val="2F197365"/>
    <w:rsid w:val="2F1B41DE"/>
    <w:rsid w:val="2F1D0DFF"/>
    <w:rsid w:val="2F1D77C3"/>
    <w:rsid w:val="2F211B13"/>
    <w:rsid w:val="2F215C91"/>
    <w:rsid w:val="2F215FC2"/>
    <w:rsid w:val="2F2453B1"/>
    <w:rsid w:val="2F254A6E"/>
    <w:rsid w:val="2F272D7F"/>
    <w:rsid w:val="2F280830"/>
    <w:rsid w:val="2F280AE8"/>
    <w:rsid w:val="2F280B57"/>
    <w:rsid w:val="2F2856FB"/>
    <w:rsid w:val="2F2B41D9"/>
    <w:rsid w:val="2F2B7672"/>
    <w:rsid w:val="2F2C74FE"/>
    <w:rsid w:val="2F310C79"/>
    <w:rsid w:val="2F314107"/>
    <w:rsid w:val="2F322E0F"/>
    <w:rsid w:val="2F331E01"/>
    <w:rsid w:val="2F3338BD"/>
    <w:rsid w:val="2F345611"/>
    <w:rsid w:val="2F346FA9"/>
    <w:rsid w:val="2F350D2D"/>
    <w:rsid w:val="2F352146"/>
    <w:rsid w:val="2F37542F"/>
    <w:rsid w:val="2F3A3A40"/>
    <w:rsid w:val="2F3C03E1"/>
    <w:rsid w:val="2F3E6B5A"/>
    <w:rsid w:val="2F3F0402"/>
    <w:rsid w:val="2F41436F"/>
    <w:rsid w:val="2F427E5D"/>
    <w:rsid w:val="2F442098"/>
    <w:rsid w:val="2F4431BD"/>
    <w:rsid w:val="2F447092"/>
    <w:rsid w:val="2F45032C"/>
    <w:rsid w:val="2F4759BA"/>
    <w:rsid w:val="2F476514"/>
    <w:rsid w:val="2F481458"/>
    <w:rsid w:val="2F4B0658"/>
    <w:rsid w:val="2F4C4C55"/>
    <w:rsid w:val="2F4D522B"/>
    <w:rsid w:val="2F4E521B"/>
    <w:rsid w:val="2F4F4C67"/>
    <w:rsid w:val="2F4F6E47"/>
    <w:rsid w:val="2F500B32"/>
    <w:rsid w:val="2F501D0C"/>
    <w:rsid w:val="2F507058"/>
    <w:rsid w:val="2F5356B2"/>
    <w:rsid w:val="2F5428F6"/>
    <w:rsid w:val="2F5629A8"/>
    <w:rsid w:val="2F575D75"/>
    <w:rsid w:val="2F5865FB"/>
    <w:rsid w:val="2F593D7F"/>
    <w:rsid w:val="2F5977CB"/>
    <w:rsid w:val="2F5A054C"/>
    <w:rsid w:val="2F5B3EFA"/>
    <w:rsid w:val="2F5D0CEA"/>
    <w:rsid w:val="2F5D3F9E"/>
    <w:rsid w:val="2F5E170E"/>
    <w:rsid w:val="2F5E5502"/>
    <w:rsid w:val="2F5E5A08"/>
    <w:rsid w:val="2F5F50CB"/>
    <w:rsid w:val="2F6020E1"/>
    <w:rsid w:val="2F606CB6"/>
    <w:rsid w:val="2F622270"/>
    <w:rsid w:val="2F6243F9"/>
    <w:rsid w:val="2F6258ED"/>
    <w:rsid w:val="2F633CBD"/>
    <w:rsid w:val="2F634612"/>
    <w:rsid w:val="2F634E44"/>
    <w:rsid w:val="2F655E62"/>
    <w:rsid w:val="2F663726"/>
    <w:rsid w:val="2F676AE7"/>
    <w:rsid w:val="2F677C22"/>
    <w:rsid w:val="2F684FE0"/>
    <w:rsid w:val="2F6961F2"/>
    <w:rsid w:val="2F6A5219"/>
    <w:rsid w:val="2F6A6539"/>
    <w:rsid w:val="2F6B68E3"/>
    <w:rsid w:val="2F6C48FD"/>
    <w:rsid w:val="2F6E5F01"/>
    <w:rsid w:val="2F732DAC"/>
    <w:rsid w:val="2F735755"/>
    <w:rsid w:val="2F740630"/>
    <w:rsid w:val="2F745ED6"/>
    <w:rsid w:val="2F750C06"/>
    <w:rsid w:val="2F75482A"/>
    <w:rsid w:val="2F7563C5"/>
    <w:rsid w:val="2F767545"/>
    <w:rsid w:val="2F7754F5"/>
    <w:rsid w:val="2F7820EE"/>
    <w:rsid w:val="2F783D90"/>
    <w:rsid w:val="2F7A4018"/>
    <w:rsid w:val="2F7B6824"/>
    <w:rsid w:val="2F7D14D6"/>
    <w:rsid w:val="2F8120FD"/>
    <w:rsid w:val="2F8505B0"/>
    <w:rsid w:val="2F857992"/>
    <w:rsid w:val="2F87029C"/>
    <w:rsid w:val="2F8831F0"/>
    <w:rsid w:val="2F883CCB"/>
    <w:rsid w:val="2F890ED3"/>
    <w:rsid w:val="2F891F1D"/>
    <w:rsid w:val="2F892A19"/>
    <w:rsid w:val="2F8946DE"/>
    <w:rsid w:val="2F8B1BDE"/>
    <w:rsid w:val="2F8B2288"/>
    <w:rsid w:val="2F8C474D"/>
    <w:rsid w:val="2F904656"/>
    <w:rsid w:val="2F907C1A"/>
    <w:rsid w:val="2F9123C7"/>
    <w:rsid w:val="2F922269"/>
    <w:rsid w:val="2F92749F"/>
    <w:rsid w:val="2F93077C"/>
    <w:rsid w:val="2F93706A"/>
    <w:rsid w:val="2F9441AB"/>
    <w:rsid w:val="2F950A89"/>
    <w:rsid w:val="2F9512AE"/>
    <w:rsid w:val="2F952F52"/>
    <w:rsid w:val="2F965773"/>
    <w:rsid w:val="2F966B8C"/>
    <w:rsid w:val="2F985EE2"/>
    <w:rsid w:val="2F9A32C3"/>
    <w:rsid w:val="2F9A3B48"/>
    <w:rsid w:val="2F9A6949"/>
    <w:rsid w:val="2F9C0A19"/>
    <w:rsid w:val="2F9C3555"/>
    <w:rsid w:val="2F9D2025"/>
    <w:rsid w:val="2F9E5F1A"/>
    <w:rsid w:val="2F9F198F"/>
    <w:rsid w:val="2F9F7EBB"/>
    <w:rsid w:val="2FA014BF"/>
    <w:rsid w:val="2FA0755E"/>
    <w:rsid w:val="2FA148A9"/>
    <w:rsid w:val="2FA15A0A"/>
    <w:rsid w:val="2FA22477"/>
    <w:rsid w:val="2FA34F6F"/>
    <w:rsid w:val="2FA552C3"/>
    <w:rsid w:val="2FA5616E"/>
    <w:rsid w:val="2FA80B42"/>
    <w:rsid w:val="2FA85ADC"/>
    <w:rsid w:val="2FA864EA"/>
    <w:rsid w:val="2FA95554"/>
    <w:rsid w:val="2FAE2DAB"/>
    <w:rsid w:val="2FAF1BBA"/>
    <w:rsid w:val="2FB04B55"/>
    <w:rsid w:val="2FB06DB0"/>
    <w:rsid w:val="2FB3181F"/>
    <w:rsid w:val="2FB342D5"/>
    <w:rsid w:val="2FB42595"/>
    <w:rsid w:val="2FB5701C"/>
    <w:rsid w:val="2FB667EA"/>
    <w:rsid w:val="2FB93303"/>
    <w:rsid w:val="2FB95AE8"/>
    <w:rsid w:val="2FBA607C"/>
    <w:rsid w:val="2FBC08F7"/>
    <w:rsid w:val="2FBC390E"/>
    <w:rsid w:val="2FBD0A96"/>
    <w:rsid w:val="2FBD31A6"/>
    <w:rsid w:val="2FBD383D"/>
    <w:rsid w:val="2FBE7EDF"/>
    <w:rsid w:val="2FBF27EF"/>
    <w:rsid w:val="2FBF66AE"/>
    <w:rsid w:val="2FC02145"/>
    <w:rsid w:val="2FC02449"/>
    <w:rsid w:val="2FC04F47"/>
    <w:rsid w:val="2FC176D3"/>
    <w:rsid w:val="2FC24E86"/>
    <w:rsid w:val="2FC26381"/>
    <w:rsid w:val="2FC26DB3"/>
    <w:rsid w:val="2FC32C59"/>
    <w:rsid w:val="2FC35D3A"/>
    <w:rsid w:val="2FC4041C"/>
    <w:rsid w:val="2FC43971"/>
    <w:rsid w:val="2FC47401"/>
    <w:rsid w:val="2FC64D99"/>
    <w:rsid w:val="2FC74BFF"/>
    <w:rsid w:val="2FC85452"/>
    <w:rsid w:val="2FCB786E"/>
    <w:rsid w:val="2FCD2E29"/>
    <w:rsid w:val="2FCD3208"/>
    <w:rsid w:val="2FCE64E2"/>
    <w:rsid w:val="2FCF340A"/>
    <w:rsid w:val="2FCF4BF7"/>
    <w:rsid w:val="2FD14C7C"/>
    <w:rsid w:val="2FD16896"/>
    <w:rsid w:val="2FD21F90"/>
    <w:rsid w:val="2FD22A32"/>
    <w:rsid w:val="2FD43232"/>
    <w:rsid w:val="2FD6574A"/>
    <w:rsid w:val="2FD67636"/>
    <w:rsid w:val="2FD74A0F"/>
    <w:rsid w:val="2FD80B23"/>
    <w:rsid w:val="2FD87ADB"/>
    <w:rsid w:val="2FD93F5F"/>
    <w:rsid w:val="2FD97B86"/>
    <w:rsid w:val="2FDA1170"/>
    <w:rsid w:val="2FDA2514"/>
    <w:rsid w:val="2FDA3651"/>
    <w:rsid w:val="2FDA5F57"/>
    <w:rsid w:val="2FDB4BF8"/>
    <w:rsid w:val="2FDC1A06"/>
    <w:rsid w:val="2FDD0F2F"/>
    <w:rsid w:val="2FDD474A"/>
    <w:rsid w:val="2FDF39FD"/>
    <w:rsid w:val="2FDF5B92"/>
    <w:rsid w:val="2FE03269"/>
    <w:rsid w:val="2FE15242"/>
    <w:rsid w:val="2FE17A82"/>
    <w:rsid w:val="2FE24030"/>
    <w:rsid w:val="2FE36A0A"/>
    <w:rsid w:val="2FE50D66"/>
    <w:rsid w:val="2FE51F4B"/>
    <w:rsid w:val="2FE5384B"/>
    <w:rsid w:val="2FE64820"/>
    <w:rsid w:val="2FE64B89"/>
    <w:rsid w:val="2FE868FA"/>
    <w:rsid w:val="2FEC5B12"/>
    <w:rsid w:val="2FED2660"/>
    <w:rsid w:val="2FEE781D"/>
    <w:rsid w:val="2FEE7E29"/>
    <w:rsid w:val="2FF06AD1"/>
    <w:rsid w:val="2FF10740"/>
    <w:rsid w:val="2FF3161F"/>
    <w:rsid w:val="2FF3270A"/>
    <w:rsid w:val="2FF50055"/>
    <w:rsid w:val="2FF85C2C"/>
    <w:rsid w:val="2FF97DDA"/>
    <w:rsid w:val="2FFA1260"/>
    <w:rsid w:val="2FFB54FB"/>
    <w:rsid w:val="2FFB65A5"/>
    <w:rsid w:val="2FFB7CD8"/>
    <w:rsid w:val="2FFC00DB"/>
    <w:rsid w:val="2FFC3161"/>
    <w:rsid w:val="2FFD0194"/>
    <w:rsid w:val="2FFD6FBB"/>
    <w:rsid w:val="2FFE29B5"/>
    <w:rsid w:val="2FFE3B02"/>
    <w:rsid w:val="2FFE4EC3"/>
    <w:rsid w:val="2FFE76B9"/>
    <w:rsid w:val="2FFF60EA"/>
    <w:rsid w:val="3001164E"/>
    <w:rsid w:val="30012276"/>
    <w:rsid w:val="30015B9E"/>
    <w:rsid w:val="30024D22"/>
    <w:rsid w:val="30036A92"/>
    <w:rsid w:val="300403EA"/>
    <w:rsid w:val="30044F2C"/>
    <w:rsid w:val="30072B90"/>
    <w:rsid w:val="30073ABF"/>
    <w:rsid w:val="300813FC"/>
    <w:rsid w:val="30082DC6"/>
    <w:rsid w:val="300A053D"/>
    <w:rsid w:val="300A10BD"/>
    <w:rsid w:val="300B1766"/>
    <w:rsid w:val="300D04C8"/>
    <w:rsid w:val="300D6971"/>
    <w:rsid w:val="300D729F"/>
    <w:rsid w:val="300D75F4"/>
    <w:rsid w:val="300E47AE"/>
    <w:rsid w:val="300F02E1"/>
    <w:rsid w:val="30111D1F"/>
    <w:rsid w:val="30113F27"/>
    <w:rsid w:val="30122BE1"/>
    <w:rsid w:val="30135606"/>
    <w:rsid w:val="30147008"/>
    <w:rsid w:val="301612B3"/>
    <w:rsid w:val="3017489E"/>
    <w:rsid w:val="301779C7"/>
    <w:rsid w:val="301A59BD"/>
    <w:rsid w:val="301A6463"/>
    <w:rsid w:val="301D4B98"/>
    <w:rsid w:val="301E1061"/>
    <w:rsid w:val="301F5821"/>
    <w:rsid w:val="30217172"/>
    <w:rsid w:val="30222DA1"/>
    <w:rsid w:val="30224336"/>
    <w:rsid w:val="30234FAF"/>
    <w:rsid w:val="302428C3"/>
    <w:rsid w:val="3029179D"/>
    <w:rsid w:val="30292E2D"/>
    <w:rsid w:val="30296057"/>
    <w:rsid w:val="30297481"/>
    <w:rsid w:val="30297593"/>
    <w:rsid w:val="302A2BD9"/>
    <w:rsid w:val="302C7D20"/>
    <w:rsid w:val="302D06A3"/>
    <w:rsid w:val="302E7BD7"/>
    <w:rsid w:val="30305374"/>
    <w:rsid w:val="303055AD"/>
    <w:rsid w:val="30305AAD"/>
    <w:rsid w:val="303126EA"/>
    <w:rsid w:val="303137C4"/>
    <w:rsid w:val="30314FE0"/>
    <w:rsid w:val="30323C4A"/>
    <w:rsid w:val="303655E0"/>
    <w:rsid w:val="303660A0"/>
    <w:rsid w:val="30366EC9"/>
    <w:rsid w:val="3037178D"/>
    <w:rsid w:val="30371B31"/>
    <w:rsid w:val="3038011D"/>
    <w:rsid w:val="30395C43"/>
    <w:rsid w:val="303A0095"/>
    <w:rsid w:val="303A26EA"/>
    <w:rsid w:val="303A60F9"/>
    <w:rsid w:val="303A7820"/>
    <w:rsid w:val="303A7B9F"/>
    <w:rsid w:val="303B0BF6"/>
    <w:rsid w:val="303B725D"/>
    <w:rsid w:val="303C0F51"/>
    <w:rsid w:val="303C2B86"/>
    <w:rsid w:val="30403A1E"/>
    <w:rsid w:val="30423847"/>
    <w:rsid w:val="30435BF6"/>
    <w:rsid w:val="304423AB"/>
    <w:rsid w:val="30452631"/>
    <w:rsid w:val="3047528A"/>
    <w:rsid w:val="3049661F"/>
    <w:rsid w:val="304A0B6A"/>
    <w:rsid w:val="304A1ED3"/>
    <w:rsid w:val="304B444F"/>
    <w:rsid w:val="304C2858"/>
    <w:rsid w:val="304C792B"/>
    <w:rsid w:val="304F4B8F"/>
    <w:rsid w:val="3050631A"/>
    <w:rsid w:val="30510505"/>
    <w:rsid w:val="3054117B"/>
    <w:rsid w:val="3055310B"/>
    <w:rsid w:val="30555E50"/>
    <w:rsid w:val="30563698"/>
    <w:rsid w:val="30570CF7"/>
    <w:rsid w:val="30572C72"/>
    <w:rsid w:val="30584FA1"/>
    <w:rsid w:val="30585D3F"/>
    <w:rsid w:val="30587E36"/>
    <w:rsid w:val="30595067"/>
    <w:rsid w:val="30597708"/>
    <w:rsid w:val="305A7D11"/>
    <w:rsid w:val="305B3FF1"/>
    <w:rsid w:val="305B52B9"/>
    <w:rsid w:val="305E76BC"/>
    <w:rsid w:val="305F0D47"/>
    <w:rsid w:val="306040DA"/>
    <w:rsid w:val="30615FE8"/>
    <w:rsid w:val="3062244F"/>
    <w:rsid w:val="30645B60"/>
    <w:rsid w:val="30665490"/>
    <w:rsid w:val="306659EE"/>
    <w:rsid w:val="3066604E"/>
    <w:rsid w:val="306766E1"/>
    <w:rsid w:val="30680A99"/>
    <w:rsid w:val="3068712D"/>
    <w:rsid w:val="306962FB"/>
    <w:rsid w:val="30696E65"/>
    <w:rsid w:val="30696EA5"/>
    <w:rsid w:val="306A0DC1"/>
    <w:rsid w:val="306B668A"/>
    <w:rsid w:val="306C0BEE"/>
    <w:rsid w:val="306C4744"/>
    <w:rsid w:val="306C6B3C"/>
    <w:rsid w:val="306D1762"/>
    <w:rsid w:val="306D3917"/>
    <w:rsid w:val="306E1218"/>
    <w:rsid w:val="306E38B1"/>
    <w:rsid w:val="306E5985"/>
    <w:rsid w:val="306F2655"/>
    <w:rsid w:val="306F3077"/>
    <w:rsid w:val="307049AD"/>
    <w:rsid w:val="30721A34"/>
    <w:rsid w:val="3076087A"/>
    <w:rsid w:val="30760B1B"/>
    <w:rsid w:val="30761AB4"/>
    <w:rsid w:val="30781EB2"/>
    <w:rsid w:val="3078386C"/>
    <w:rsid w:val="30785BE3"/>
    <w:rsid w:val="30797648"/>
    <w:rsid w:val="307B263A"/>
    <w:rsid w:val="307D177D"/>
    <w:rsid w:val="307D443E"/>
    <w:rsid w:val="307D6477"/>
    <w:rsid w:val="307D7A9A"/>
    <w:rsid w:val="307E0F60"/>
    <w:rsid w:val="307E7332"/>
    <w:rsid w:val="307F3919"/>
    <w:rsid w:val="307F3EF4"/>
    <w:rsid w:val="308009FA"/>
    <w:rsid w:val="30802865"/>
    <w:rsid w:val="30832542"/>
    <w:rsid w:val="308334E8"/>
    <w:rsid w:val="30836ABF"/>
    <w:rsid w:val="308539EC"/>
    <w:rsid w:val="30866722"/>
    <w:rsid w:val="30882D58"/>
    <w:rsid w:val="308F107D"/>
    <w:rsid w:val="30913CD1"/>
    <w:rsid w:val="309142BA"/>
    <w:rsid w:val="3092290B"/>
    <w:rsid w:val="30930FF3"/>
    <w:rsid w:val="30952771"/>
    <w:rsid w:val="30962575"/>
    <w:rsid w:val="30965F9F"/>
    <w:rsid w:val="3097281B"/>
    <w:rsid w:val="309838E8"/>
    <w:rsid w:val="30992623"/>
    <w:rsid w:val="309957A9"/>
    <w:rsid w:val="3099799B"/>
    <w:rsid w:val="309B184A"/>
    <w:rsid w:val="309C5980"/>
    <w:rsid w:val="309E647A"/>
    <w:rsid w:val="309F7E6D"/>
    <w:rsid w:val="30A10581"/>
    <w:rsid w:val="30A167A2"/>
    <w:rsid w:val="30A31B51"/>
    <w:rsid w:val="30A3487C"/>
    <w:rsid w:val="30A41E4F"/>
    <w:rsid w:val="30A46964"/>
    <w:rsid w:val="30A53B9D"/>
    <w:rsid w:val="30A5467E"/>
    <w:rsid w:val="30A752A2"/>
    <w:rsid w:val="30A7647F"/>
    <w:rsid w:val="30AA3D37"/>
    <w:rsid w:val="30AB4C7C"/>
    <w:rsid w:val="30B15D4C"/>
    <w:rsid w:val="30B21229"/>
    <w:rsid w:val="30B42155"/>
    <w:rsid w:val="30B45FC5"/>
    <w:rsid w:val="30B7379F"/>
    <w:rsid w:val="30B73E15"/>
    <w:rsid w:val="30B82446"/>
    <w:rsid w:val="30B9167B"/>
    <w:rsid w:val="30B92A6B"/>
    <w:rsid w:val="30BA3B37"/>
    <w:rsid w:val="30BD403E"/>
    <w:rsid w:val="30BF4917"/>
    <w:rsid w:val="30BF6ED1"/>
    <w:rsid w:val="30BF7B66"/>
    <w:rsid w:val="30C071E0"/>
    <w:rsid w:val="30C11D01"/>
    <w:rsid w:val="30C14A56"/>
    <w:rsid w:val="30C21701"/>
    <w:rsid w:val="30C40EC3"/>
    <w:rsid w:val="30C42171"/>
    <w:rsid w:val="30C45205"/>
    <w:rsid w:val="30C4640B"/>
    <w:rsid w:val="30C60F80"/>
    <w:rsid w:val="30C61C07"/>
    <w:rsid w:val="30C64547"/>
    <w:rsid w:val="30C73FE7"/>
    <w:rsid w:val="30C87569"/>
    <w:rsid w:val="30C939A0"/>
    <w:rsid w:val="30C9664D"/>
    <w:rsid w:val="30C97BCF"/>
    <w:rsid w:val="30CA4816"/>
    <w:rsid w:val="30CB58F3"/>
    <w:rsid w:val="30CC1989"/>
    <w:rsid w:val="30CD089F"/>
    <w:rsid w:val="30CD5D94"/>
    <w:rsid w:val="30D0146E"/>
    <w:rsid w:val="30D065A7"/>
    <w:rsid w:val="30D221EE"/>
    <w:rsid w:val="30D25146"/>
    <w:rsid w:val="30D268B7"/>
    <w:rsid w:val="30D41B96"/>
    <w:rsid w:val="30D54ACB"/>
    <w:rsid w:val="30D618B6"/>
    <w:rsid w:val="30D61ADD"/>
    <w:rsid w:val="30D65219"/>
    <w:rsid w:val="30D8151E"/>
    <w:rsid w:val="30D81D0D"/>
    <w:rsid w:val="30D83ED7"/>
    <w:rsid w:val="30D9670C"/>
    <w:rsid w:val="30DA27AD"/>
    <w:rsid w:val="30DB2B7A"/>
    <w:rsid w:val="30DB3B6D"/>
    <w:rsid w:val="30DB3FE5"/>
    <w:rsid w:val="30DC03E0"/>
    <w:rsid w:val="30DC72FB"/>
    <w:rsid w:val="30DD1BD1"/>
    <w:rsid w:val="30DF552B"/>
    <w:rsid w:val="30E010AA"/>
    <w:rsid w:val="30E23037"/>
    <w:rsid w:val="30E276AF"/>
    <w:rsid w:val="30E34FAB"/>
    <w:rsid w:val="30E50868"/>
    <w:rsid w:val="30E538B7"/>
    <w:rsid w:val="30E60CBB"/>
    <w:rsid w:val="30E7040D"/>
    <w:rsid w:val="30E90C8E"/>
    <w:rsid w:val="30EB0D63"/>
    <w:rsid w:val="30EB340A"/>
    <w:rsid w:val="30EB7EBA"/>
    <w:rsid w:val="30ED2A8C"/>
    <w:rsid w:val="30F027E3"/>
    <w:rsid w:val="30F10588"/>
    <w:rsid w:val="30F124A1"/>
    <w:rsid w:val="30F416AA"/>
    <w:rsid w:val="30F41C42"/>
    <w:rsid w:val="30F56DD2"/>
    <w:rsid w:val="30F60714"/>
    <w:rsid w:val="30F62C6A"/>
    <w:rsid w:val="30F665BE"/>
    <w:rsid w:val="30F7203A"/>
    <w:rsid w:val="30F87033"/>
    <w:rsid w:val="30F91B97"/>
    <w:rsid w:val="30F972E2"/>
    <w:rsid w:val="30FA2DF6"/>
    <w:rsid w:val="30FA7A7E"/>
    <w:rsid w:val="30FB6C85"/>
    <w:rsid w:val="30FD1E08"/>
    <w:rsid w:val="30FE0DB9"/>
    <w:rsid w:val="30FF3D1E"/>
    <w:rsid w:val="310015F7"/>
    <w:rsid w:val="3101591D"/>
    <w:rsid w:val="31033D84"/>
    <w:rsid w:val="31057644"/>
    <w:rsid w:val="31060B1E"/>
    <w:rsid w:val="3109372C"/>
    <w:rsid w:val="310C7410"/>
    <w:rsid w:val="310E5E2A"/>
    <w:rsid w:val="3110080C"/>
    <w:rsid w:val="311131C4"/>
    <w:rsid w:val="31122E05"/>
    <w:rsid w:val="31123735"/>
    <w:rsid w:val="311247B4"/>
    <w:rsid w:val="31137684"/>
    <w:rsid w:val="31147EEE"/>
    <w:rsid w:val="31152F3A"/>
    <w:rsid w:val="311608BD"/>
    <w:rsid w:val="31174B30"/>
    <w:rsid w:val="31175DDD"/>
    <w:rsid w:val="3118459C"/>
    <w:rsid w:val="31185AE4"/>
    <w:rsid w:val="31191120"/>
    <w:rsid w:val="31191C4A"/>
    <w:rsid w:val="311A51B9"/>
    <w:rsid w:val="311B5905"/>
    <w:rsid w:val="311C4737"/>
    <w:rsid w:val="311E09BE"/>
    <w:rsid w:val="311E79B9"/>
    <w:rsid w:val="311F71C5"/>
    <w:rsid w:val="31215F5D"/>
    <w:rsid w:val="31217A28"/>
    <w:rsid w:val="31224929"/>
    <w:rsid w:val="31235417"/>
    <w:rsid w:val="31241DB4"/>
    <w:rsid w:val="31244080"/>
    <w:rsid w:val="312563A3"/>
    <w:rsid w:val="31265713"/>
    <w:rsid w:val="31274BFC"/>
    <w:rsid w:val="31280428"/>
    <w:rsid w:val="31285196"/>
    <w:rsid w:val="31285C55"/>
    <w:rsid w:val="312A5358"/>
    <w:rsid w:val="312C58BA"/>
    <w:rsid w:val="312C739B"/>
    <w:rsid w:val="312E04F6"/>
    <w:rsid w:val="312F2CFB"/>
    <w:rsid w:val="312F5E90"/>
    <w:rsid w:val="312F621D"/>
    <w:rsid w:val="31310143"/>
    <w:rsid w:val="31312989"/>
    <w:rsid w:val="31343892"/>
    <w:rsid w:val="31373F9D"/>
    <w:rsid w:val="31394185"/>
    <w:rsid w:val="313949BC"/>
    <w:rsid w:val="3139687C"/>
    <w:rsid w:val="313A465A"/>
    <w:rsid w:val="313A7CED"/>
    <w:rsid w:val="313B028E"/>
    <w:rsid w:val="313B6B32"/>
    <w:rsid w:val="31403F87"/>
    <w:rsid w:val="31411110"/>
    <w:rsid w:val="31412BB3"/>
    <w:rsid w:val="314321EF"/>
    <w:rsid w:val="31437D4A"/>
    <w:rsid w:val="31462406"/>
    <w:rsid w:val="31462994"/>
    <w:rsid w:val="31482384"/>
    <w:rsid w:val="31483AC4"/>
    <w:rsid w:val="31490EAC"/>
    <w:rsid w:val="314A0C57"/>
    <w:rsid w:val="314A2731"/>
    <w:rsid w:val="314B3CE2"/>
    <w:rsid w:val="314B7D61"/>
    <w:rsid w:val="314D4DEE"/>
    <w:rsid w:val="314E2F6A"/>
    <w:rsid w:val="314F6A9B"/>
    <w:rsid w:val="3150687C"/>
    <w:rsid w:val="3150690A"/>
    <w:rsid w:val="31507B44"/>
    <w:rsid w:val="315125C3"/>
    <w:rsid w:val="31525765"/>
    <w:rsid w:val="31535728"/>
    <w:rsid w:val="31542F6B"/>
    <w:rsid w:val="31543FB3"/>
    <w:rsid w:val="315556A7"/>
    <w:rsid w:val="31560ADF"/>
    <w:rsid w:val="315620C1"/>
    <w:rsid w:val="31571F14"/>
    <w:rsid w:val="31572824"/>
    <w:rsid w:val="31573E89"/>
    <w:rsid w:val="31581AFB"/>
    <w:rsid w:val="315A33CD"/>
    <w:rsid w:val="315B173D"/>
    <w:rsid w:val="315E3498"/>
    <w:rsid w:val="315E6664"/>
    <w:rsid w:val="315F56B0"/>
    <w:rsid w:val="31602042"/>
    <w:rsid w:val="316061B2"/>
    <w:rsid w:val="31606429"/>
    <w:rsid w:val="31610BCE"/>
    <w:rsid w:val="31617A86"/>
    <w:rsid w:val="31624B27"/>
    <w:rsid w:val="31641F85"/>
    <w:rsid w:val="316513E5"/>
    <w:rsid w:val="316522CA"/>
    <w:rsid w:val="31653441"/>
    <w:rsid w:val="31655322"/>
    <w:rsid w:val="316574F5"/>
    <w:rsid w:val="3166062C"/>
    <w:rsid w:val="31681E82"/>
    <w:rsid w:val="316836D3"/>
    <w:rsid w:val="316A5A1D"/>
    <w:rsid w:val="316A6B4D"/>
    <w:rsid w:val="316A7F35"/>
    <w:rsid w:val="316C1645"/>
    <w:rsid w:val="316C4245"/>
    <w:rsid w:val="316C7ECC"/>
    <w:rsid w:val="316D4B91"/>
    <w:rsid w:val="316F7085"/>
    <w:rsid w:val="31703229"/>
    <w:rsid w:val="317149B6"/>
    <w:rsid w:val="31764FDA"/>
    <w:rsid w:val="31766272"/>
    <w:rsid w:val="31774C32"/>
    <w:rsid w:val="31782F5B"/>
    <w:rsid w:val="31787FEF"/>
    <w:rsid w:val="3179654E"/>
    <w:rsid w:val="317972E9"/>
    <w:rsid w:val="317A036F"/>
    <w:rsid w:val="317A4617"/>
    <w:rsid w:val="317A4765"/>
    <w:rsid w:val="317B3A9F"/>
    <w:rsid w:val="317B5C0C"/>
    <w:rsid w:val="317D5490"/>
    <w:rsid w:val="317D57F1"/>
    <w:rsid w:val="317E0232"/>
    <w:rsid w:val="317E4953"/>
    <w:rsid w:val="317F13EB"/>
    <w:rsid w:val="31802798"/>
    <w:rsid w:val="31806CC4"/>
    <w:rsid w:val="31807FCD"/>
    <w:rsid w:val="3182276C"/>
    <w:rsid w:val="31826167"/>
    <w:rsid w:val="31833A61"/>
    <w:rsid w:val="31844384"/>
    <w:rsid w:val="31850FF4"/>
    <w:rsid w:val="318611A7"/>
    <w:rsid w:val="31861FD9"/>
    <w:rsid w:val="318637E7"/>
    <w:rsid w:val="318657BE"/>
    <w:rsid w:val="31874A55"/>
    <w:rsid w:val="31885561"/>
    <w:rsid w:val="318932AF"/>
    <w:rsid w:val="318A1E4E"/>
    <w:rsid w:val="318A1F50"/>
    <w:rsid w:val="318A650F"/>
    <w:rsid w:val="318E1B8D"/>
    <w:rsid w:val="31903636"/>
    <w:rsid w:val="31906645"/>
    <w:rsid w:val="3191389E"/>
    <w:rsid w:val="31914208"/>
    <w:rsid w:val="31916921"/>
    <w:rsid w:val="31924E98"/>
    <w:rsid w:val="31926E39"/>
    <w:rsid w:val="31926E75"/>
    <w:rsid w:val="31932286"/>
    <w:rsid w:val="31935ECE"/>
    <w:rsid w:val="31944CF5"/>
    <w:rsid w:val="319451A5"/>
    <w:rsid w:val="31952DEF"/>
    <w:rsid w:val="319541FB"/>
    <w:rsid w:val="31964CE1"/>
    <w:rsid w:val="3196748B"/>
    <w:rsid w:val="31974D04"/>
    <w:rsid w:val="319752D4"/>
    <w:rsid w:val="31976276"/>
    <w:rsid w:val="319849F3"/>
    <w:rsid w:val="319A134E"/>
    <w:rsid w:val="319A6B08"/>
    <w:rsid w:val="319B644B"/>
    <w:rsid w:val="319D182A"/>
    <w:rsid w:val="319D3B0D"/>
    <w:rsid w:val="319E4424"/>
    <w:rsid w:val="319E4A5E"/>
    <w:rsid w:val="319E6F46"/>
    <w:rsid w:val="319E7CAA"/>
    <w:rsid w:val="319F6055"/>
    <w:rsid w:val="319F6C1D"/>
    <w:rsid w:val="31A03526"/>
    <w:rsid w:val="31A216D0"/>
    <w:rsid w:val="31A2363F"/>
    <w:rsid w:val="31A42954"/>
    <w:rsid w:val="31A42D5F"/>
    <w:rsid w:val="31A458E8"/>
    <w:rsid w:val="31A633DF"/>
    <w:rsid w:val="31A6544C"/>
    <w:rsid w:val="31A72C80"/>
    <w:rsid w:val="31AA1EE6"/>
    <w:rsid w:val="31AA3DC5"/>
    <w:rsid w:val="31AB4089"/>
    <w:rsid w:val="31AC3841"/>
    <w:rsid w:val="31AC48DC"/>
    <w:rsid w:val="31AD22AF"/>
    <w:rsid w:val="31B03E27"/>
    <w:rsid w:val="31B23EFF"/>
    <w:rsid w:val="31B36C4B"/>
    <w:rsid w:val="31B57973"/>
    <w:rsid w:val="31B601A9"/>
    <w:rsid w:val="31B62792"/>
    <w:rsid w:val="31B63C8E"/>
    <w:rsid w:val="31B63F4B"/>
    <w:rsid w:val="31B651DD"/>
    <w:rsid w:val="31B81795"/>
    <w:rsid w:val="31B93071"/>
    <w:rsid w:val="31B9309C"/>
    <w:rsid w:val="31BA252C"/>
    <w:rsid w:val="31BB21E3"/>
    <w:rsid w:val="31BB2F64"/>
    <w:rsid w:val="31BC59AF"/>
    <w:rsid w:val="31C03D17"/>
    <w:rsid w:val="31C12129"/>
    <w:rsid w:val="31C124A7"/>
    <w:rsid w:val="31C30046"/>
    <w:rsid w:val="31C43859"/>
    <w:rsid w:val="31C51516"/>
    <w:rsid w:val="31C51969"/>
    <w:rsid w:val="31C5291F"/>
    <w:rsid w:val="31C57E47"/>
    <w:rsid w:val="31C637A8"/>
    <w:rsid w:val="31C76C5D"/>
    <w:rsid w:val="31C97F6A"/>
    <w:rsid w:val="31CC292F"/>
    <w:rsid w:val="31CC3DDA"/>
    <w:rsid w:val="31CC71E2"/>
    <w:rsid w:val="31CD3B83"/>
    <w:rsid w:val="31CE0C90"/>
    <w:rsid w:val="31CE3BE9"/>
    <w:rsid w:val="31CE6B87"/>
    <w:rsid w:val="31CE7A96"/>
    <w:rsid w:val="31CE7ABA"/>
    <w:rsid w:val="31D043E0"/>
    <w:rsid w:val="31D053AE"/>
    <w:rsid w:val="31D16B78"/>
    <w:rsid w:val="31D2632D"/>
    <w:rsid w:val="31D37E79"/>
    <w:rsid w:val="31D423DE"/>
    <w:rsid w:val="31D45068"/>
    <w:rsid w:val="31D5474B"/>
    <w:rsid w:val="31D5606B"/>
    <w:rsid w:val="31D57221"/>
    <w:rsid w:val="31D7558F"/>
    <w:rsid w:val="31D825F1"/>
    <w:rsid w:val="31D87B83"/>
    <w:rsid w:val="31D94BC9"/>
    <w:rsid w:val="31D96884"/>
    <w:rsid w:val="31DA0B26"/>
    <w:rsid w:val="31DA2151"/>
    <w:rsid w:val="31DC1521"/>
    <w:rsid w:val="31DE15EF"/>
    <w:rsid w:val="31DE394E"/>
    <w:rsid w:val="31DE63B9"/>
    <w:rsid w:val="31E13662"/>
    <w:rsid w:val="31E220FB"/>
    <w:rsid w:val="31E347E9"/>
    <w:rsid w:val="31E57789"/>
    <w:rsid w:val="31E65EFD"/>
    <w:rsid w:val="31E65F7F"/>
    <w:rsid w:val="31E869C1"/>
    <w:rsid w:val="31E901BC"/>
    <w:rsid w:val="31E96EFF"/>
    <w:rsid w:val="31E9737D"/>
    <w:rsid w:val="31EA0C4E"/>
    <w:rsid w:val="31EA6F2F"/>
    <w:rsid w:val="31EA6FEE"/>
    <w:rsid w:val="31EC5719"/>
    <w:rsid w:val="31EE0651"/>
    <w:rsid w:val="31EF438B"/>
    <w:rsid w:val="31EF61E5"/>
    <w:rsid w:val="31F220AC"/>
    <w:rsid w:val="31F2766D"/>
    <w:rsid w:val="31F35B92"/>
    <w:rsid w:val="31F3605C"/>
    <w:rsid w:val="31F601B0"/>
    <w:rsid w:val="31F6702A"/>
    <w:rsid w:val="31F72A96"/>
    <w:rsid w:val="31F73A94"/>
    <w:rsid w:val="31F7515A"/>
    <w:rsid w:val="31F773DC"/>
    <w:rsid w:val="31F96274"/>
    <w:rsid w:val="31FB4EC5"/>
    <w:rsid w:val="31FC7982"/>
    <w:rsid w:val="31FC7DDA"/>
    <w:rsid w:val="31FD5B3E"/>
    <w:rsid w:val="31FE4FD4"/>
    <w:rsid w:val="31FE529F"/>
    <w:rsid w:val="31FE59AB"/>
    <w:rsid w:val="31FF39E8"/>
    <w:rsid w:val="32004AF8"/>
    <w:rsid w:val="32006809"/>
    <w:rsid w:val="32012E1B"/>
    <w:rsid w:val="32016EE8"/>
    <w:rsid w:val="32021D0E"/>
    <w:rsid w:val="32024AAB"/>
    <w:rsid w:val="32042A4D"/>
    <w:rsid w:val="3205033A"/>
    <w:rsid w:val="32052886"/>
    <w:rsid w:val="32061FC2"/>
    <w:rsid w:val="32064501"/>
    <w:rsid w:val="3206495E"/>
    <w:rsid w:val="32084A56"/>
    <w:rsid w:val="32086B5B"/>
    <w:rsid w:val="32092EA0"/>
    <w:rsid w:val="32096A41"/>
    <w:rsid w:val="320B26E9"/>
    <w:rsid w:val="320B3EB0"/>
    <w:rsid w:val="320B473A"/>
    <w:rsid w:val="320B721A"/>
    <w:rsid w:val="320C370A"/>
    <w:rsid w:val="320E6618"/>
    <w:rsid w:val="321065A8"/>
    <w:rsid w:val="32120A9F"/>
    <w:rsid w:val="321220FB"/>
    <w:rsid w:val="321234A0"/>
    <w:rsid w:val="321239AC"/>
    <w:rsid w:val="32124506"/>
    <w:rsid w:val="32151C4B"/>
    <w:rsid w:val="32156530"/>
    <w:rsid w:val="32163270"/>
    <w:rsid w:val="321675A3"/>
    <w:rsid w:val="32180F79"/>
    <w:rsid w:val="321C75CA"/>
    <w:rsid w:val="321D36E7"/>
    <w:rsid w:val="321D5243"/>
    <w:rsid w:val="321E1A8D"/>
    <w:rsid w:val="321E2E05"/>
    <w:rsid w:val="321E31D4"/>
    <w:rsid w:val="321E4ECF"/>
    <w:rsid w:val="321F0AF2"/>
    <w:rsid w:val="321F13B1"/>
    <w:rsid w:val="32216FA6"/>
    <w:rsid w:val="322209C2"/>
    <w:rsid w:val="322257D0"/>
    <w:rsid w:val="32234A9E"/>
    <w:rsid w:val="32235CBB"/>
    <w:rsid w:val="32242828"/>
    <w:rsid w:val="32260B63"/>
    <w:rsid w:val="322616CB"/>
    <w:rsid w:val="32282425"/>
    <w:rsid w:val="32292843"/>
    <w:rsid w:val="322B19A4"/>
    <w:rsid w:val="322B2ED9"/>
    <w:rsid w:val="322B75B4"/>
    <w:rsid w:val="322C0405"/>
    <w:rsid w:val="322C4029"/>
    <w:rsid w:val="322C67A2"/>
    <w:rsid w:val="322C71FC"/>
    <w:rsid w:val="322D39EE"/>
    <w:rsid w:val="322E063E"/>
    <w:rsid w:val="322E17EF"/>
    <w:rsid w:val="322E4A7C"/>
    <w:rsid w:val="322F38C9"/>
    <w:rsid w:val="3230254A"/>
    <w:rsid w:val="323106B7"/>
    <w:rsid w:val="32321CCC"/>
    <w:rsid w:val="323234F6"/>
    <w:rsid w:val="32325229"/>
    <w:rsid w:val="32331FE1"/>
    <w:rsid w:val="32340FEB"/>
    <w:rsid w:val="32352704"/>
    <w:rsid w:val="32353030"/>
    <w:rsid w:val="32372306"/>
    <w:rsid w:val="32391D4B"/>
    <w:rsid w:val="3239505D"/>
    <w:rsid w:val="323A2F2C"/>
    <w:rsid w:val="323B7A66"/>
    <w:rsid w:val="323B7EC2"/>
    <w:rsid w:val="323C3C72"/>
    <w:rsid w:val="323C7861"/>
    <w:rsid w:val="323D050C"/>
    <w:rsid w:val="323D666D"/>
    <w:rsid w:val="323E6F3C"/>
    <w:rsid w:val="32401AC8"/>
    <w:rsid w:val="32414110"/>
    <w:rsid w:val="32425283"/>
    <w:rsid w:val="324324DA"/>
    <w:rsid w:val="3243330D"/>
    <w:rsid w:val="32472A1C"/>
    <w:rsid w:val="324912E9"/>
    <w:rsid w:val="32494E7C"/>
    <w:rsid w:val="324B5DCA"/>
    <w:rsid w:val="324C70A5"/>
    <w:rsid w:val="324D5E29"/>
    <w:rsid w:val="324F0360"/>
    <w:rsid w:val="32510EC1"/>
    <w:rsid w:val="32524C4F"/>
    <w:rsid w:val="325322B0"/>
    <w:rsid w:val="32545973"/>
    <w:rsid w:val="32563764"/>
    <w:rsid w:val="32577235"/>
    <w:rsid w:val="325839CF"/>
    <w:rsid w:val="32585160"/>
    <w:rsid w:val="3259290A"/>
    <w:rsid w:val="325945FB"/>
    <w:rsid w:val="325950AA"/>
    <w:rsid w:val="325A1E11"/>
    <w:rsid w:val="325B238B"/>
    <w:rsid w:val="325B4FED"/>
    <w:rsid w:val="325C7ED8"/>
    <w:rsid w:val="325E28CA"/>
    <w:rsid w:val="326003FE"/>
    <w:rsid w:val="32601F5D"/>
    <w:rsid w:val="326028D8"/>
    <w:rsid w:val="326144A5"/>
    <w:rsid w:val="32630F8A"/>
    <w:rsid w:val="326436E5"/>
    <w:rsid w:val="32643AD8"/>
    <w:rsid w:val="32650426"/>
    <w:rsid w:val="32650F71"/>
    <w:rsid w:val="32654E9C"/>
    <w:rsid w:val="32682BC7"/>
    <w:rsid w:val="326C45A3"/>
    <w:rsid w:val="326C6E8D"/>
    <w:rsid w:val="326D315D"/>
    <w:rsid w:val="326D7CB9"/>
    <w:rsid w:val="326E7E26"/>
    <w:rsid w:val="326F10E1"/>
    <w:rsid w:val="32701219"/>
    <w:rsid w:val="32724A5A"/>
    <w:rsid w:val="3272505D"/>
    <w:rsid w:val="32730A86"/>
    <w:rsid w:val="32732EBB"/>
    <w:rsid w:val="32736CF8"/>
    <w:rsid w:val="32744FE4"/>
    <w:rsid w:val="327710F5"/>
    <w:rsid w:val="32772015"/>
    <w:rsid w:val="32781E12"/>
    <w:rsid w:val="32793FD9"/>
    <w:rsid w:val="327945CE"/>
    <w:rsid w:val="327A2E1A"/>
    <w:rsid w:val="327B1703"/>
    <w:rsid w:val="327D7DFE"/>
    <w:rsid w:val="327F66BE"/>
    <w:rsid w:val="32805CC6"/>
    <w:rsid w:val="32816014"/>
    <w:rsid w:val="328222B6"/>
    <w:rsid w:val="32823322"/>
    <w:rsid w:val="32827076"/>
    <w:rsid w:val="32832839"/>
    <w:rsid w:val="328458AA"/>
    <w:rsid w:val="3284642E"/>
    <w:rsid w:val="32870C83"/>
    <w:rsid w:val="32873D8F"/>
    <w:rsid w:val="3287504E"/>
    <w:rsid w:val="32877B3F"/>
    <w:rsid w:val="3288665C"/>
    <w:rsid w:val="328961CE"/>
    <w:rsid w:val="328B73DB"/>
    <w:rsid w:val="328C1277"/>
    <w:rsid w:val="328C2D18"/>
    <w:rsid w:val="328C531D"/>
    <w:rsid w:val="328D6235"/>
    <w:rsid w:val="328E672A"/>
    <w:rsid w:val="328F1988"/>
    <w:rsid w:val="328F1B43"/>
    <w:rsid w:val="328F59D7"/>
    <w:rsid w:val="32914B11"/>
    <w:rsid w:val="32917FB8"/>
    <w:rsid w:val="32930C00"/>
    <w:rsid w:val="3293703A"/>
    <w:rsid w:val="32950C8D"/>
    <w:rsid w:val="32961568"/>
    <w:rsid w:val="32961862"/>
    <w:rsid w:val="329808E4"/>
    <w:rsid w:val="32981A5A"/>
    <w:rsid w:val="329A6E6D"/>
    <w:rsid w:val="329C2DD6"/>
    <w:rsid w:val="329C6955"/>
    <w:rsid w:val="329D5761"/>
    <w:rsid w:val="329F0532"/>
    <w:rsid w:val="32A06313"/>
    <w:rsid w:val="32A13927"/>
    <w:rsid w:val="32A20586"/>
    <w:rsid w:val="32A239C1"/>
    <w:rsid w:val="32A33150"/>
    <w:rsid w:val="32A418C2"/>
    <w:rsid w:val="32A41A99"/>
    <w:rsid w:val="32A45976"/>
    <w:rsid w:val="32A45CDC"/>
    <w:rsid w:val="32A50C01"/>
    <w:rsid w:val="32A55C23"/>
    <w:rsid w:val="32A624BF"/>
    <w:rsid w:val="32A7158A"/>
    <w:rsid w:val="32A721A3"/>
    <w:rsid w:val="32A83FF1"/>
    <w:rsid w:val="32AA6AA3"/>
    <w:rsid w:val="32AB21E6"/>
    <w:rsid w:val="32AB64BD"/>
    <w:rsid w:val="32AB6D1A"/>
    <w:rsid w:val="32AC5E45"/>
    <w:rsid w:val="32AC7DA2"/>
    <w:rsid w:val="32AE4B1D"/>
    <w:rsid w:val="32B04D05"/>
    <w:rsid w:val="32B1179A"/>
    <w:rsid w:val="32B2044E"/>
    <w:rsid w:val="32B23030"/>
    <w:rsid w:val="32B30946"/>
    <w:rsid w:val="32B51C44"/>
    <w:rsid w:val="32B63441"/>
    <w:rsid w:val="32B72EE5"/>
    <w:rsid w:val="32B814D6"/>
    <w:rsid w:val="32B93AE2"/>
    <w:rsid w:val="32BB2521"/>
    <w:rsid w:val="32BB71E7"/>
    <w:rsid w:val="32BE763B"/>
    <w:rsid w:val="32BF646C"/>
    <w:rsid w:val="32C015E8"/>
    <w:rsid w:val="32C01D4D"/>
    <w:rsid w:val="32C05267"/>
    <w:rsid w:val="32C10C47"/>
    <w:rsid w:val="32C1270A"/>
    <w:rsid w:val="32C436B2"/>
    <w:rsid w:val="32C50AE5"/>
    <w:rsid w:val="32C71F63"/>
    <w:rsid w:val="32C72020"/>
    <w:rsid w:val="32C77EC9"/>
    <w:rsid w:val="32C87D82"/>
    <w:rsid w:val="32C972BC"/>
    <w:rsid w:val="32CA283E"/>
    <w:rsid w:val="32CA2929"/>
    <w:rsid w:val="32CA409B"/>
    <w:rsid w:val="32CB56AF"/>
    <w:rsid w:val="32CC2908"/>
    <w:rsid w:val="32CE4904"/>
    <w:rsid w:val="32CF0542"/>
    <w:rsid w:val="32D00B4A"/>
    <w:rsid w:val="32D02914"/>
    <w:rsid w:val="32D11019"/>
    <w:rsid w:val="32D14479"/>
    <w:rsid w:val="32D149DB"/>
    <w:rsid w:val="32D21C60"/>
    <w:rsid w:val="32D34332"/>
    <w:rsid w:val="32D40F8B"/>
    <w:rsid w:val="32D44B4E"/>
    <w:rsid w:val="32D47265"/>
    <w:rsid w:val="32D54349"/>
    <w:rsid w:val="32D5548F"/>
    <w:rsid w:val="32D76D91"/>
    <w:rsid w:val="32DB1455"/>
    <w:rsid w:val="32DB2717"/>
    <w:rsid w:val="32DB384B"/>
    <w:rsid w:val="32DC1BDB"/>
    <w:rsid w:val="32DC4B67"/>
    <w:rsid w:val="32DC5D44"/>
    <w:rsid w:val="32DD4B33"/>
    <w:rsid w:val="32DF27BE"/>
    <w:rsid w:val="32DF7271"/>
    <w:rsid w:val="32E01818"/>
    <w:rsid w:val="32E02443"/>
    <w:rsid w:val="32E16854"/>
    <w:rsid w:val="32E42CE0"/>
    <w:rsid w:val="32E43B50"/>
    <w:rsid w:val="32E4458C"/>
    <w:rsid w:val="32E50E7E"/>
    <w:rsid w:val="32E5777F"/>
    <w:rsid w:val="32E838E8"/>
    <w:rsid w:val="32E91BA2"/>
    <w:rsid w:val="32E94973"/>
    <w:rsid w:val="32E94C4C"/>
    <w:rsid w:val="32E95FF8"/>
    <w:rsid w:val="32EA628C"/>
    <w:rsid w:val="32EB33A9"/>
    <w:rsid w:val="32EB3A4B"/>
    <w:rsid w:val="32EB591A"/>
    <w:rsid w:val="32ED7ED3"/>
    <w:rsid w:val="32EE1C45"/>
    <w:rsid w:val="32EE50CC"/>
    <w:rsid w:val="32F146C8"/>
    <w:rsid w:val="32F453C6"/>
    <w:rsid w:val="32F776C8"/>
    <w:rsid w:val="32FA5C7F"/>
    <w:rsid w:val="32FB3093"/>
    <w:rsid w:val="32FC103C"/>
    <w:rsid w:val="32FC4A19"/>
    <w:rsid w:val="32FD3848"/>
    <w:rsid w:val="330056F4"/>
    <w:rsid w:val="33006483"/>
    <w:rsid w:val="33014185"/>
    <w:rsid w:val="3303450A"/>
    <w:rsid w:val="330348A1"/>
    <w:rsid w:val="3303610A"/>
    <w:rsid w:val="330405B2"/>
    <w:rsid w:val="33045642"/>
    <w:rsid w:val="33063554"/>
    <w:rsid w:val="33096CA6"/>
    <w:rsid w:val="330B7B55"/>
    <w:rsid w:val="330C4A0E"/>
    <w:rsid w:val="330D3AE3"/>
    <w:rsid w:val="330D5C34"/>
    <w:rsid w:val="330D6A7F"/>
    <w:rsid w:val="330E2306"/>
    <w:rsid w:val="330F3464"/>
    <w:rsid w:val="331279A4"/>
    <w:rsid w:val="33134E71"/>
    <w:rsid w:val="33145C23"/>
    <w:rsid w:val="33147956"/>
    <w:rsid w:val="33155773"/>
    <w:rsid w:val="33165DE2"/>
    <w:rsid w:val="33183545"/>
    <w:rsid w:val="331870D1"/>
    <w:rsid w:val="331A17A1"/>
    <w:rsid w:val="331B2D92"/>
    <w:rsid w:val="331C0EBB"/>
    <w:rsid w:val="331D1B5E"/>
    <w:rsid w:val="331D24C3"/>
    <w:rsid w:val="331F18F1"/>
    <w:rsid w:val="33221CE5"/>
    <w:rsid w:val="33225144"/>
    <w:rsid w:val="33257A78"/>
    <w:rsid w:val="33271347"/>
    <w:rsid w:val="33283AF7"/>
    <w:rsid w:val="332A0EAD"/>
    <w:rsid w:val="332C4DA0"/>
    <w:rsid w:val="332C6251"/>
    <w:rsid w:val="332E2DB8"/>
    <w:rsid w:val="332F303F"/>
    <w:rsid w:val="33307279"/>
    <w:rsid w:val="33310B9C"/>
    <w:rsid w:val="333131FE"/>
    <w:rsid w:val="33316F49"/>
    <w:rsid w:val="33325063"/>
    <w:rsid w:val="33333B45"/>
    <w:rsid w:val="333638D8"/>
    <w:rsid w:val="33371B48"/>
    <w:rsid w:val="33385FD5"/>
    <w:rsid w:val="33396249"/>
    <w:rsid w:val="333B4B41"/>
    <w:rsid w:val="333B63F3"/>
    <w:rsid w:val="333C117A"/>
    <w:rsid w:val="333C6176"/>
    <w:rsid w:val="334109FE"/>
    <w:rsid w:val="334116F7"/>
    <w:rsid w:val="33413C4D"/>
    <w:rsid w:val="334517DB"/>
    <w:rsid w:val="334528EA"/>
    <w:rsid w:val="3345776E"/>
    <w:rsid w:val="334642C0"/>
    <w:rsid w:val="33476F36"/>
    <w:rsid w:val="33482986"/>
    <w:rsid w:val="33490B92"/>
    <w:rsid w:val="33493478"/>
    <w:rsid w:val="33494029"/>
    <w:rsid w:val="334B0913"/>
    <w:rsid w:val="334C2BB1"/>
    <w:rsid w:val="334D08B3"/>
    <w:rsid w:val="334D1792"/>
    <w:rsid w:val="334D1FE9"/>
    <w:rsid w:val="334D27D4"/>
    <w:rsid w:val="334D2D8B"/>
    <w:rsid w:val="334D3311"/>
    <w:rsid w:val="334D63FF"/>
    <w:rsid w:val="334E4BB8"/>
    <w:rsid w:val="335056CC"/>
    <w:rsid w:val="335119CF"/>
    <w:rsid w:val="335125CF"/>
    <w:rsid w:val="3352332E"/>
    <w:rsid w:val="3352394D"/>
    <w:rsid w:val="335371C9"/>
    <w:rsid w:val="33545F1C"/>
    <w:rsid w:val="33554937"/>
    <w:rsid w:val="3355561E"/>
    <w:rsid w:val="3355725C"/>
    <w:rsid w:val="335721FF"/>
    <w:rsid w:val="33580C9D"/>
    <w:rsid w:val="33597C1B"/>
    <w:rsid w:val="335A011C"/>
    <w:rsid w:val="335C71FA"/>
    <w:rsid w:val="335E43CA"/>
    <w:rsid w:val="335F08A0"/>
    <w:rsid w:val="33601C9C"/>
    <w:rsid w:val="33605944"/>
    <w:rsid w:val="336127E3"/>
    <w:rsid w:val="33632232"/>
    <w:rsid w:val="336356AE"/>
    <w:rsid w:val="33670D36"/>
    <w:rsid w:val="336731CC"/>
    <w:rsid w:val="33694D9D"/>
    <w:rsid w:val="33696BBE"/>
    <w:rsid w:val="336B1586"/>
    <w:rsid w:val="336B75D1"/>
    <w:rsid w:val="336C0316"/>
    <w:rsid w:val="336D1720"/>
    <w:rsid w:val="33732BEF"/>
    <w:rsid w:val="337405AB"/>
    <w:rsid w:val="337460CE"/>
    <w:rsid w:val="33753436"/>
    <w:rsid w:val="33766091"/>
    <w:rsid w:val="337716DD"/>
    <w:rsid w:val="337775B2"/>
    <w:rsid w:val="3378627B"/>
    <w:rsid w:val="337878C8"/>
    <w:rsid w:val="33795BB2"/>
    <w:rsid w:val="33797552"/>
    <w:rsid w:val="337B11E1"/>
    <w:rsid w:val="337B298E"/>
    <w:rsid w:val="337B36EE"/>
    <w:rsid w:val="337E13A0"/>
    <w:rsid w:val="337F2757"/>
    <w:rsid w:val="337F4DB9"/>
    <w:rsid w:val="33806C62"/>
    <w:rsid w:val="338150CF"/>
    <w:rsid w:val="33832135"/>
    <w:rsid w:val="338327E9"/>
    <w:rsid w:val="338409B7"/>
    <w:rsid w:val="33854A61"/>
    <w:rsid w:val="33857795"/>
    <w:rsid w:val="33870F3D"/>
    <w:rsid w:val="33872B3C"/>
    <w:rsid w:val="33885C41"/>
    <w:rsid w:val="3389301F"/>
    <w:rsid w:val="338A6413"/>
    <w:rsid w:val="338B7780"/>
    <w:rsid w:val="338C0EEC"/>
    <w:rsid w:val="338D7B7A"/>
    <w:rsid w:val="338E6E4C"/>
    <w:rsid w:val="338F15C1"/>
    <w:rsid w:val="33902F0D"/>
    <w:rsid w:val="33921DBB"/>
    <w:rsid w:val="33927809"/>
    <w:rsid w:val="33952A08"/>
    <w:rsid w:val="33960420"/>
    <w:rsid w:val="339638EE"/>
    <w:rsid w:val="339702C9"/>
    <w:rsid w:val="33973FDA"/>
    <w:rsid w:val="3398691C"/>
    <w:rsid w:val="33996F11"/>
    <w:rsid w:val="339A10EE"/>
    <w:rsid w:val="339B236B"/>
    <w:rsid w:val="339D5D88"/>
    <w:rsid w:val="33A06767"/>
    <w:rsid w:val="33A104AD"/>
    <w:rsid w:val="33A22E63"/>
    <w:rsid w:val="33A27942"/>
    <w:rsid w:val="33A37262"/>
    <w:rsid w:val="33A41DA8"/>
    <w:rsid w:val="33A4275F"/>
    <w:rsid w:val="33A501B7"/>
    <w:rsid w:val="33A51B09"/>
    <w:rsid w:val="33A5373E"/>
    <w:rsid w:val="33A53D1B"/>
    <w:rsid w:val="33A735D3"/>
    <w:rsid w:val="33A758B8"/>
    <w:rsid w:val="33A81AC1"/>
    <w:rsid w:val="33A930DF"/>
    <w:rsid w:val="33AC1BA0"/>
    <w:rsid w:val="33AC443E"/>
    <w:rsid w:val="33AD211B"/>
    <w:rsid w:val="33AD2A5D"/>
    <w:rsid w:val="33AD3462"/>
    <w:rsid w:val="33AD479E"/>
    <w:rsid w:val="33AE03C7"/>
    <w:rsid w:val="33AF2723"/>
    <w:rsid w:val="33AF2BE4"/>
    <w:rsid w:val="33B015B2"/>
    <w:rsid w:val="33B0326F"/>
    <w:rsid w:val="33B0695B"/>
    <w:rsid w:val="33B14A78"/>
    <w:rsid w:val="33B2077D"/>
    <w:rsid w:val="33B30B71"/>
    <w:rsid w:val="33B377A7"/>
    <w:rsid w:val="33B61EC3"/>
    <w:rsid w:val="33B7609D"/>
    <w:rsid w:val="33B831A2"/>
    <w:rsid w:val="33B93B99"/>
    <w:rsid w:val="33B93F12"/>
    <w:rsid w:val="33B9543E"/>
    <w:rsid w:val="33BA0715"/>
    <w:rsid w:val="33BB24CB"/>
    <w:rsid w:val="33BD016A"/>
    <w:rsid w:val="33BD3BCE"/>
    <w:rsid w:val="33BE0B54"/>
    <w:rsid w:val="33BF4BCD"/>
    <w:rsid w:val="33C007B5"/>
    <w:rsid w:val="33C21FF6"/>
    <w:rsid w:val="33C262FB"/>
    <w:rsid w:val="33C325DC"/>
    <w:rsid w:val="33C347E0"/>
    <w:rsid w:val="33C50555"/>
    <w:rsid w:val="33C50A9E"/>
    <w:rsid w:val="33C556D8"/>
    <w:rsid w:val="33C8519C"/>
    <w:rsid w:val="33C906F4"/>
    <w:rsid w:val="33CB74FA"/>
    <w:rsid w:val="33CC574C"/>
    <w:rsid w:val="33CD3272"/>
    <w:rsid w:val="33CE56D8"/>
    <w:rsid w:val="33CF0B9D"/>
    <w:rsid w:val="33CF45A9"/>
    <w:rsid w:val="33D05992"/>
    <w:rsid w:val="33D14FCA"/>
    <w:rsid w:val="33D26C6F"/>
    <w:rsid w:val="33D2752B"/>
    <w:rsid w:val="33D27FE9"/>
    <w:rsid w:val="33D44641"/>
    <w:rsid w:val="33D44A80"/>
    <w:rsid w:val="33D473C3"/>
    <w:rsid w:val="33D476C6"/>
    <w:rsid w:val="33D57C57"/>
    <w:rsid w:val="33D77F07"/>
    <w:rsid w:val="33D94749"/>
    <w:rsid w:val="33DC387A"/>
    <w:rsid w:val="33DC4D43"/>
    <w:rsid w:val="33DD703B"/>
    <w:rsid w:val="33E203D0"/>
    <w:rsid w:val="33E3312A"/>
    <w:rsid w:val="33E34843"/>
    <w:rsid w:val="33E53135"/>
    <w:rsid w:val="33E62F39"/>
    <w:rsid w:val="33E71A7B"/>
    <w:rsid w:val="33E75871"/>
    <w:rsid w:val="33E9781F"/>
    <w:rsid w:val="33E97BB9"/>
    <w:rsid w:val="33EB7FF1"/>
    <w:rsid w:val="33EC19B4"/>
    <w:rsid w:val="33EC7B9C"/>
    <w:rsid w:val="33ED1CE3"/>
    <w:rsid w:val="33ED7C69"/>
    <w:rsid w:val="33EE0615"/>
    <w:rsid w:val="33EE7241"/>
    <w:rsid w:val="33EE73B3"/>
    <w:rsid w:val="33EF27ED"/>
    <w:rsid w:val="33F130FC"/>
    <w:rsid w:val="33F22640"/>
    <w:rsid w:val="33F22CD8"/>
    <w:rsid w:val="33F2373F"/>
    <w:rsid w:val="33F273DA"/>
    <w:rsid w:val="33F35282"/>
    <w:rsid w:val="33F42BAD"/>
    <w:rsid w:val="33F42F05"/>
    <w:rsid w:val="33F51C36"/>
    <w:rsid w:val="33F564FD"/>
    <w:rsid w:val="33F57420"/>
    <w:rsid w:val="33F61826"/>
    <w:rsid w:val="33F711B6"/>
    <w:rsid w:val="33F72C6D"/>
    <w:rsid w:val="33F773DF"/>
    <w:rsid w:val="33F87216"/>
    <w:rsid w:val="33FA5B81"/>
    <w:rsid w:val="33FC5C91"/>
    <w:rsid w:val="33FD55AC"/>
    <w:rsid w:val="33FE2C47"/>
    <w:rsid w:val="33FF4B98"/>
    <w:rsid w:val="34022C28"/>
    <w:rsid w:val="340259B2"/>
    <w:rsid w:val="340334A9"/>
    <w:rsid w:val="34064A15"/>
    <w:rsid w:val="3406604A"/>
    <w:rsid w:val="34081A99"/>
    <w:rsid w:val="340838A1"/>
    <w:rsid w:val="34084DB4"/>
    <w:rsid w:val="340A760E"/>
    <w:rsid w:val="340B221F"/>
    <w:rsid w:val="340B25F3"/>
    <w:rsid w:val="340D0619"/>
    <w:rsid w:val="340D23B0"/>
    <w:rsid w:val="340D5DC6"/>
    <w:rsid w:val="340E28F5"/>
    <w:rsid w:val="341004C6"/>
    <w:rsid w:val="34100CA8"/>
    <w:rsid w:val="34106767"/>
    <w:rsid w:val="3412079F"/>
    <w:rsid w:val="341207B8"/>
    <w:rsid w:val="34122211"/>
    <w:rsid w:val="34130B95"/>
    <w:rsid w:val="341333CA"/>
    <w:rsid w:val="341339B3"/>
    <w:rsid w:val="34153ABF"/>
    <w:rsid w:val="34167498"/>
    <w:rsid w:val="341831A7"/>
    <w:rsid w:val="34190265"/>
    <w:rsid w:val="34191349"/>
    <w:rsid w:val="341A24DA"/>
    <w:rsid w:val="341A4777"/>
    <w:rsid w:val="341C7E52"/>
    <w:rsid w:val="341D4CB7"/>
    <w:rsid w:val="341D67D5"/>
    <w:rsid w:val="341E05AE"/>
    <w:rsid w:val="341E77C4"/>
    <w:rsid w:val="341F590A"/>
    <w:rsid w:val="34206F91"/>
    <w:rsid w:val="34207476"/>
    <w:rsid w:val="34207DAD"/>
    <w:rsid w:val="34212F61"/>
    <w:rsid w:val="34216AAB"/>
    <w:rsid w:val="34221950"/>
    <w:rsid w:val="342418AB"/>
    <w:rsid w:val="34255364"/>
    <w:rsid w:val="342571E3"/>
    <w:rsid w:val="342675C3"/>
    <w:rsid w:val="342835C8"/>
    <w:rsid w:val="34286E45"/>
    <w:rsid w:val="3429058A"/>
    <w:rsid w:val="3429456C"/>
    <w:rsid w:val="34294777"/>
    <w:rsid w:val="34295E88"/>
    <w:rsid w:val="342C4A46"/>
    <w:rsid w:val="342D0671"/>
    <w:rsid w:val="342D3B66"/>
    <w:rsid w:val="342F1A0F"/>
    <w:rsid w:val="3431604A"/>
    <w:rsid w:val="34333DAE"/>
    <w:rsid w:val="34334DC8"/>
    <w:rsid w:val="34342DDD"/>
    <w:rsid w:val="343459D6"/>
    <w:rsid w:val="34354823"/>
    <w:rsid w:val="3436464C"/>
    <w:rsid w:val="34373238"/>
    <w:rsid w:val="34390BD4"/>
    <w:rsid w:val="343B05F4"/>
    <w:rsid w:val="343B2EFB"/>
    <w:rsid w:val="343C3896"/>
    <w:rsid w:val="343C6682"/>
    <w:rsid w:val="343D1220"/>
    <w:rsid w:val="343D273E"/>
    <w:rsid w:val="343D4F8D"/>
    <w:rsid w:val="343D598D"/>
    <w:rsid w:val="343E1AE9"/>
    <w:rsid w:val="343E5E12"/>
    <w:rsid w:val="34406CF3"/>
    <w:rsid w:val="344138B7"/>
    <w:rsid w:val="34415D41"/>
    <w:rsid w:val="344410A9"/>
    <w:rsid w:val="34441E6B"/>
    <w:rsid w:val="34442C90"/>
    <w:rsid w:val="344458F7"/>
    <w:rsid w:val="34456D11"/>
    <w:rsid w:val="344620DF"/>
    <w:rsid w:val="34472A78"/>
    <w:rsid w:val="34487E1C"/>
    <w:rsid w:val="344C6A05"/>
    <w:rsid w:val="344D5F1F"/>
    <w:rsid w:val="344D6687"/>
    <w:rsid w:val="344D77CD"/>
    <w:rsid w:val="344E7D17"/>
    <w:rsid w:val="344F1ED9"/>
    <w:rsid w:val="34511068"/>
    <w:rsid w:val="34520E5A"/>
    <w:rsid w:val="34521D52"/>
    <w:rsid w:val="34554153"/>
    <w:rsid w:val="34554EDD"/>
    <w:rsid w:val="345608E8"/>
    <w:rsid w:val="34571886"/>
    <w:rsid w:val="3457236C"/>
    <w:rsid w:val="34573AB8"/>
    <w:rsid w:val="345A2021"/>
    <w:rsid w:val="345C07DC"/>
    <w:rsid w:val="345C2472"/>
    <w:rsid w:val="345C7CF4"/>
    <w:rsid w:val="345D05B9"/>
    <w:rsid w:val="345E03CA"/>
    <w:rsid w:val="345E492D"/>
    <w:rsid w:val="346040E6"/>
    <w:rsid w:val="34604C1D"/>
    <w:rsid w:val="3460675C"/>
    <w:rsid w:val="34607654"/>
    <w:rsid w:val="34625665"/>
    <w:rsid w:val="34647DFB"/>
    <w:rsid w:val="34657F4A"/>
    <w:rsid w:val="346A13B2"/>
    <w:rsid w:val="346A3E59"/>
    <w:rsid w:val="346B3DE3"/>
    <w:rsid w:val="346C2FBD"/>
    <w:rsid w:val="346C5752"/>
    <w:rsid w:val="346C6B49"/>
    <w:rsid w:val="34716C96"/>
    <w:rsid w:val="34726C1E"/>
    <w:rsid w:val="3472786E"/>
    <w:rsid w:val="34754A5B"/>
    <w:rsid w:val="347673E9"/>
    <w:rsid w:val="3477417C"/>
    <w:rsid w:val="34784255"/>
    <w:rsid w:val="34786833"/>
    <w:rsid w:val="34794B7C"/>
    <w:rsid w:val="347A5118"/>
    <w:rsid w:val="347A686D"/>
    <w:rsid w:val="347D0A6F"/>
    <w:rsid w:val="347D11E3"/>
    <w:rsid w:val="347E3921"/>
    <w:rsid w:val="347F21CD"/>
    <w:rsid w:val="347F5C66"/>
    <w:rsid w:val="347F7E64"/>
    <w:rsid w:val="348056CE"/>
    <w:rsid w:val="348142EF"/>
    <w:rsid w:val="34817CEB"/>
    <w:rsid w:val="3482701E"/>
    <w:rsid w:val="3482781E"/>
    <w:rsid w:val="348373DA"/>
    <w:rsid w:val="34845615"/>
    <w:rsid w:val="3485053C"/>
    <w:rsid w:val="34866D32"/>
    <w:rsid w:val="34890959"/>
    <w:rsid w:val="348953EB"/>
    <w:rsid w:val="348A3C7C"/>
    <w:rsid w:val="348A5AA2"/>
    <w:rsid w:val="348B3430"/>
    <w:rsid w:val="348B563C"/>
    <w:rsid w:val="348C51EA"/>
    <w:rsid w:val="348C60ED"/>
    <w:rsid w:val="348C7224"/>
    <w:rsid w:val="348D1043"/>
    <w:rsid w:val="348E5E78"/>
    <w:rsid w:val="3490483A"/>
    <w:rsid w:val="34907690"/>
    <w:rsid w:val="34914ABE"/>
    <w:rsid w:val="34920FD5"/>
    <w:rsid w:val="34922062"/>
    <w:rsid w:val="34923699"/>
    <w:rsid w:val="34937F3A"/>
    <w:rsid w:val="3494526F"/>
    <w:rsid w:val="3494765B"/>
    <w:rsid w:val="34950EF2"/>
    <w:rsid w:val="34954890"/>
    <w:rsid w:val="3495581D"/>
    <w:rsid w:val="349560F7"/>
    <w:rsid w:val="34957065"/>
    <w:rsid w:val="349618B6"/>
    <w:rsid w:val="349723DD"/>
    <w:rsid w:val="349733C0"/>
    <w:rsid w:val="34973BB2"/>
    <w:rsid w:val="3498084C"/>
    <w:rsid w:val="349A1FB3"/>
    <w:rsid w:val="349B34FD"/>
    <w:rsid w:val="349B511E"/>
    <w:rsid w:val="349B6210"/>
    <w:rsid w:val="349F4D18"/>
    <w:rsid w:val="349F691F"/>
    <w:rsid w:val="34A26FD5"/>
    <w:rsid w:val="34A40D2E"/>
    <w:rsid w:val="34A42225"/>
    <w:rsid w:val="34A56473"/>
    <w:rsid w:val="34A667B8"/>
    <w:rsid w:val="34A73534"/>
    <w:rsid w:val="34A762C6"/>
    <w:rsid w:val="34A94A2B"/>
    <w:rsid w:val="34AA78E0"/>
    <w:rsid w:val="34AB790E"/>
    <w:rsid w:val="34AC0DD6"/>
    <w:rsid w:val="34AF0524"/>
    <w:rsid w:val="34B0191F"/>
    <w:rsid w:val="34B2164F"/>
    <w:rsid w:val="34B23219"/>
    <w:rsid w:val="34B34216"/>
    <w:rsid w:val="34B36692"/>
    <w:rsid w:val="34B43A25"/>
    <w:rsid w:val="34B53C55"/>
    <w:rsid w:val="34B72A5F"/>
    <w:rsid w:val="34B8764D"/>
    <w:rsid w:val="34BA47BB"/>
    <w:rsid w:val="34BA5AD4"/>
    <w:rsid w:val="34BB6678"/>
    <w:rsid w:val="34BB756E"/>
    <w:rsid w:val="34BD04F7"/>
    <w:rsid w:val="34BD38F2"/>
    <w:rsid w:val="34BD74F5"/>
    <w:rsid w:val="34BE3288"/>
    <w:rsid w:val="34BE6715"/>
    <w:rsid w:val="34BF63AC"/>
    <w:rsid w:val="34BF705E"/>
    <w:rsid w:val="34C04B85"/>
    <w:rsid w:val="34C5219B"/>
    <w:rsid w:val="34C637A0"/>
    <w:rsid w:val="34C745C5"/>
    <w:rsid w:val="34C94949"/>
    <w:rsid w:val="34C9527C"/>
    <w:rsid w:val="34CB6F9A"/>
    <w:rsid w:val="34CC0997"/>
    <w:rsid w:val="34CC274E"/>
    <w:rsid w:val="34CC5EA9"/>
    <w:rsid w:val="34CC65D3"/>
    <w:rsid w:val="34CC69A8"/>
    <w:rsid w:val="34CE72A2"/>
    <w:rsid w:val="34CF22A3"/>
    <w:rsid w:val="34D159AF"/>
    <w:rsid w:val="34D33CE5"/>
    <w:rsid w:val="34D41FD4"/>
    <w:rsid w:val="34D52A7E"/>
    <w:rsid w:val="34D52BB9"/>
    <w:rsid w:val="34D55823"/>
    <w:rsid w:val="34D77B16"/>
    <w:rsid w:val="34D93701"/>
    <w:rsid w:val="34DA64B4"/>
    <w:rsid w:val="34DA746B"/>
    <w:rsid w:val="34DA79F4"/>
    <w:rsid w:val="34DB17F5"/>
    <w:rsid w:val="34DE5A13"/>
    <w:rsid w:val="34DF35D2"/>
    <w:rsid w:val="34E00C70"/>
    <w:rsid w:val="34E02887"/>
    <w:rsid w:val="34E468AD"/>
    <w:rsid w:val="34E545F6"/>
    <w:rsid w:val="34E623D1"/>
    <w:rsid w:val="34E808C3"/>
    <w:rsid w:val="34E82AB0"/>
    <w:rsid w:val="34E8483A"/>
    <w:rsid w:val="34ED12E5"/>
    <w:rsid w:val="34EE5E92"/>
    <w:rsid w:val="34EE60AA"/>
    <w:rsid w:val="34F068C6"/>
    <w:rsid w:val="34F0752E"/>
    <w:rsid w:val="34F123BB"/>
    <w:rsid w:val="34F14B62"/>
    <w:rsid w:val="34F16D04"/>
    <w:rsid w:val="34F2562B"/>
    <w:rsid w:val="34F35558"/>
    <w:rsid w:val="34F40518"/>
    <w:rsid w:val="34F44046"/>
    <w:rsid w:val="34F53330"/>
    <w:rsid w:val="34F54F52"/>
    <w:rsid w:val="34F55788"/>
    <w:rsid w:val="34F660D3"/>
    <w:rsid w:val="34F739A1"/>
    <w:rsid w:val="34F86BB9"/>
    <w:rsid w:val="34FB064A"/>
    <w:rsid w:val="34FC5604"/>
    <w:rsid w:val="34FD0CBD"/>
    <w:rsid w:val="34FD7B87"/>
    <w:rsid w:val="34FE49EC"/>
    <w:rsid w:val="35017492"/>
    <w:rsid w:val="350226D7"/>
    <w:rsid w:val="350230FE"/>
    <w:rsid w:val="3502519D"/>
    <w:rsid w:val="350256A2"/>
    <w:rsid w:val="35032E91"/>
    <w:rsid w:val="35033B9C"/>
    <w:rsid w:val="35050B6D"/>
    <w:rsid w:val="350602B7"/>
    <w:rsid w:val="35060BAA"/>
    <w:rsid w:val="35073868"/>
    <w:rsid w:val="35073AE4"/>
    <w:rsid w:val="35093814"/>
    <w:rsid w:val="350A1116"/>
    <w:rsid w:val="350A455C"/>
    <w:rsid w:val="350A6F55"/>
    <w:rsid w:val="350C6422"/>
    <w:rsid w:val="350D0123"/>
    <w:rsid w:val="350D16C4"/>
    <w:rsid w:val="350F044E"/>
    <w:rsid w:val="350F128A"/>
    <w:rsid w:val="35112D31"/>
    <w:rsid w:val="35123BF9"/>
    <w:rsid w:val="35136695"/>
    <w:rsid w:val="35144919"/>
    <w:rsid w:val="3514522D"/>
    <w:rsid w:val="35160225"/>
    <w:rsid w:val="351702CB"/>
    <w:rsid w:val="35171410"/>
    <w:rsid w:val="351755A8"/>
    <w:rsid w:val="35176DD0"/>
    <w:rsid w:val="351A395D"/>
    <w:rsid w:val="351A7757"/>
    <w:rsid w:val="351D1833"/>
    <w:rsid w:val="351D1BF2"/>
    <w:rsid w:val="351D6603"/>
    <w:rsid w:val="351E4C0B"/>
    <w:rsid w:val="351F5D4A"/>
    <w:rsid w:val="3520771B"/>
    <w:rsid w:val="352227D8"/>
    <w:rsid w:val="35223BDB"/>
    <w:rsid w:val="35227732"/>
    <w:rsid w:val="35240BC7"/>
    <w:rsid w:val="35244CD6"/>
    <w:rsid w:val="35253716"/>
    <w:rsid w:val="352735A8"/>
    <w:rsid w:val="35292BE4"/>
    <w:rsid w:val="35296056"/>
    <w:rsid w:val="352A67C5"/>
    <w:rsid w:val="352C11AE"/>
    <w:rsid w:val="352C6457"/>
    <w:rsid w:val="352D33CA"/>
    <w:rsid w:val="352E01AE"/>
    <w:rsid w:val="353117A7"/>
    <w:rsid w:val="3532009C"/>
    <w:rsid w:val="3532276B"/>
    <w:rsid w:val="3533063F"/>
    <w:rsid w:val="35334195"/>
    <w:rsid w:val="353562E5"/>
    <w:rsid w:val="353677E6"/>
    <w:rsid w:val="35377E64"/>
    <w:rsid w:val="35396650"/>
    <w:rsid w:val="353B0096"/>
    <w:rsid w:val="353B67B0"/>
    <w:rsid w:val="353D1A16"/>
    <w:rsid w:val="353E2C2E"/>
    <w:rsid w:val="353F4F12"/>
    <w:rsid w:val="353F65EC"/>
    <w:rsid w:val="35401600"/>
    <w:rsid w:val="35406DC1"/>
    <w:rsid w:val="35412F5B"/>
    <w:rsid w:val="35423157"/>
    <w:rsid w:val="35426A33"/>
    <w:rsid w:val="354307C9"/>
    <w:rsid w:val="35465CC9"/>
    <w:rsid w:val="354667C5"/>
    <w:rsid w:val="35483B7A"/>
    <w:rsid w:val="354A5070"/>
    <w:rsid w:val="354B0138"/>
    <w:rsid w:val="354C05E1"/>
    <w:rsid w:val="354C0B94"/>
    <w:rsid w:val="354C59B6"/>
    <w:rsid w:val="354D4EB1"/>
    <w:rsid w:val="354E1922"/>
    <w:rsid w:val="354E42F2"/>
    <w:rsid w:val="3553684D"/>
    <w:rsid w:val="3556345D"/>
    <w:rsid w:val="35571787"/>
    <w:rsid w:val="355753E1"/>
    <w:rsid w:val="355769A6"/>
    <w:rsid w:val="35577502"/>
    <w:rsid w:val="3557770C"/>
    <w:rsid w:val="35586B6B"/>
    <w:rsid w:val="355915DD"/>
    <w:rsid w:val="35597ACD"/>
    <w:rsid w:val="355A28E3"/>
    <w:rsid w:val="355D3556"/>
    <w:rsid w:val="355D5BD6"/>
    <w:rsid w:val="355E5581"/>
    <w:rsid w:val="355F4E75"/>
    <w:rsid w:val="3561724F"/>
    <w:rsid w:val="356308C4"/>
    <w:rsid w:val="35633C3A"/>
    <w:rsid w:val="35643A04"/>
    <w:rsid w:val="35653694"/>
    <w:rsid w:val="35676D3C"/>
    <w:rsid w:val="35682A86"/>
    <w:rsid w:val="356A0533"/>
    <w:rsid w:val="356A7B47"/>
    <w:rsid w:val="356B1D23"/>
    <w:rsid w:val="356B315B"/>
    <w:rsid w:val="356B40CE"/>
    <w:rsid w:val="356B6B03"/>
    <w:rsid w:val="356C5178"/>
    <w:rsid w:val="356D1400"/>
    <w:rsid w:val="356D4386"/>
    <w:rsid w:val="356D529A"/>
    <w:rsid w:val="356D69D0"/>
    <w:rsid w:val="356D7084"/>
    <w:rsid w:val="356E0DCE"/>
    <w:rsid w:val="356E54B0"/>
    <w:rsid w:val="35715511"/>
    <w:rsid w:val="35724B39"/>
    <w:rsid w:val="35750129"/>
    <w:rsid w:val="35751F3B"/>
    <w:rsid w:val="35756BBF"/>
    <w:rsid w:val="35765239"/>
    <w:rsid w:val="35776BE5"/>
    <w:rsid w:val="357970C1"/>
    <w:rsid w:val="357A26EF"/>
    <w:rsid w:val="357A5F8D"/>
    <w:rsid w:val="357B2B0E"/>
    <w:rsid w:val="357C0698"/>
    <w:rsid w:val="35812AEA"/>
    <w:rsid w:val="35824B00"/>
    <w:rsid w:val="358729BE"/>
    <w:rsid w:val="35876164"/>
    <w:rsid w:val="358839D4"/>
    <w:rsid w:val="358A2AA0"/>
    <w:rsid w:val="358B2292"/>
    <w:rsid w:val="358B5088"/>
    <w:rsid w:val="358B5588"/>
    <w:rsid w:val="358C1D29"/>
    <w:rsid w:val="358C5152"/>
    <w:rsid w:val="358E07DF"/>
    <w:rsid w:val="358F1AE2"/>
    <w:rsid w:val="35930345"/>
    <w:rsid w:val="35942E2E"/>
    <w:rsid w:val="35945C9B"/>
    <w:rsid w:val="35946083"/>
    <w:rsid w:val="3596048F"/>
    <w:rsid w:val="359607F3"/>
    <w:rsid w:val="35984E39"/>
    <w:rsid w:val="3598514E"/>
    <w:rsid w:val="359902E6"/>
    <w:rsid w:val="359B06CF"/>
    <w:rsid w:val="359B0E29"/>
    <w:rsid w:val="359B3EF4"/>
    <w:rsid w:val="359B4F73"/>
    <w:rsid w:val="359C1D58"/>
    <w:rsid w:val="359D0A22"/>
    <w:rsid w:val="359D2ECA"/>
    <w:rsid w:val="359E59B5"/>
    <w:rsid w:val="35A028C2"/>
    <w:rsid w:val="35A144CE"/>
    <w:rsid w:val="35A234C0"/>
    <w:rsid w:val="35A60A78"/>
    <w:rsid w:val="35A768AE"/>
    <w:rsid w:val="35AA1FB3"/>
    <w:rsid w:val="35AA3967"/>
    <w:rsid w:val="35AA5A49"/>
    <w:rsid w:val="35AA668F"/>
    <w:rsid w:val="35B06993"/>
    <w:rsid w:val="35B22D08"/>
    <w:rsid w:val="35B246D6"/>
    <w:rsid w:val="35B272B3"/>
    <w:rsid w:val="35B34B1D"/>
    <w:rsid w:val="35B42848"/>
    <w:rsid w:val="35B5220F"/>
    <w:rsid w:val="35B54240"/>
    <w:rsid w:val="35B61A32"/>
    <w:rsid w:val="35B97D9B"/>
    <w:rsid w:val="35BA21F0"/>
    <w:rsid w:val="35BA6F5A"/>
    <w:rsid w:val="35BC12F8"/>
    <w:rsid w:val="35BC4012"/>
    <w:rsid w:val="35BC6AFF"/>
    <w:rsid w:val="35BD3570"/>
    <w:rsid w:val="35BE7316"/>
    <w:rsid w:val="35BF06FC"/>
    <w:rsid w:val="35C03A70"/>
    <w:rsid w:val="35C115A2"/>
    <w:rsid w:val="35C14143"/>
    <w:rsid w:val="35C1756A"/>
    <w:rsid w:val="35C37267"/>
    <w:rsid w:val="35C4624F"/>
    <w:rsid w:val="35C53DE7"/>
    <w:rsid w:val="35C558D4"/>
    <w:rsid w:val="35C660F3"/>
    <w:rsid w:val="35C740A4"/>
    <w:rsid w:val="35CA28D2"/>
    <w:rsid w:val="35CA5C72"/>
    <w:rsid w:val="35CD12C8"/>
    <w:rsid w:val="35CD2FBC"/>
    <w:rsid w:val="35D1551E"/>
    <w:rsid w:val="35D17C02"/>
    <w:rsid w:val="35D417D8"/>
    <w:rsid w:val="35D531D3"/>
    <w:rsid w:val="35D60931"/>
    <w:rsid w:val="35D6427F"/>
    <w:rsid w:val="35D66DDB"/>
    <w:rsid w:val="35D704E5"/>
    <w:rsid w:val="35D733CF"/>
    <w:rsid w:val="35D87BC7"/>
    <w:rsid w:val="35D95EFB"/>
    <w:rsid w:val="35DC162A"/>
    <w:rsid w:val="35DC68EF"/>
    <w:rsid w:val="35DD3C79"/>
    <w:rsid w:val="35DE3514"/>
    <w:rsid w:val="35DE468C"/>
    <w:rsid w:val="35DF2398"/>
    <w:rsid w:val="35DF64FA"/>
    <w:rsid w:val="35E0245C"/>
    <w:rsid w:val="35E115AD"/>
    <w:rsid w:val="35E34227"/>
    <w:rsid w:val="35E46BA0"/>
    <w:rsid w:val="35E6518E"/>
    <w:rsid w:val="35E86F35"/>
    <w:rsid w:val="35E87AD8"/>
    <w:rsid w:val="35E9276F"/>
    <w:rsid w:val="35E97315"/>
    <w:rsid w:val="35EA3647"/>
    <w:rsid w:val="35EB5997"/>
    <w:rsid w:val="35EB6057"/>
    <w:rsid w:val="35ED1EEC"/>
    <w:rsid w:val="35ED3209"/>
    <w:rsid w:val="35ED7178"/>
    <w:rsid w:val="35EF69DE"/>
    <w:rsid w:val="35EF74CF"/>
    <w:rsid w:val="35F1118A"/>
    <w:rsid w:val="35F1599E"/>
    <w:rsid w:val="35F26FC0"/>
    <w:rsid w:val="35F27003"/>
    <w:rsid w:val="35F353F2"/>
    <w:rsid w:val="35F368D0"/>
    <w:rsid w:val="35F43469"/>
    <w:rsid w:val="35F51CDE"/>
    <w:rsid w:val="35F51EE4"/>
    <w:rsid w:val="35F55B9C"/>
    <w:rsid w:val="35F572D0"/>
    <w:rsid w:val="35F572F2"/>
    <w:rsid w:val="35F76384"/>
    <w:rsid w:val="35F833AD"/>
    <w:rsid w:val="35F911B0"/>
    <w:rsid w:val="35FA1C69"/>
    <w:rsid w:val="35FA43D7"/>
    <w:rsid w:val="35FA4D1B"/>
    <w:rsid w:val="35FC0C62"/>
    <w:rsid w:val="35FD4593"/>
    <w:rsid w:val="35FE4504"/>
    <w:rsid w:val="35FF6F90"/>
    <w:rsid w:val="36002498"/>
    <w:rsid w:val="36003AB6"/>
    <w:rsid w:val="36007692"/>
    <w:rsid w:val="36022651"/>
    <w:rsid w:val="36023E9A"/>
    <w:rsid w:val="36024A57"/>
    <w:rsid w:val="36024FBC"/>
    <w:rsid w:val="36031684"/>
    <w:rsid w:val="360440D5"/>
    <w:rsid w:val="36047ACA"/>
    <w:rsid w:val="36053D19"/>
    <w:rsid w:val="36053FBF"/>
    <w:rsid w:val="36056B1D"/>
    <w:rsid w:val="360651B1"/>
    <w:rsid w:val="36067931"/>
    <w:rsid w:val="36094CD9"/>
    <w:rsid w:val="360D3CFD"/>
    <w:rsid w:val="360D4692"/>
    <w:rsid w:val="360D71C4"/>
    <w:rsid w:val="360E6E40"/>
    <w:rsid w:val="360E79BE"/>
    <w:rsid w:val="360F5EF3"/>
    <w:rsid w:val="36125C7B"/>
    <w:rsid w:val="36127147"/>
    <w:rsid w:val="361359D6"/>
    <w:rsid w:val="36137DE4"/>
    <w:rsid w:val="361536AD"/>
    <w:rsid w:val="36155521"/>
    <w:rsid w:val="36171AE2"/>
    <w:rsid w:val="3618585A"/>
    <w:rsid w:val="36196568"/>
    <w:rsid w:val="3619697F"/>
    <w:rsid w:val="36196DA6"/>
    <w:rsid w:val="361A0CE9"/>
    <w:rsid w:val="361B27A4"/>
    <w:rsid w:val="361B5455"/>
    <w:rsid w:val="361C19A3"/>
    <w:rsid w:val="361C1AA8"/>
    <w:rsid w:val="361C3704"/>
    <w:rsid w:val="361C5FFA"/>
    <w:rsid w:val="361D0942"/>
    <w:rsid w:val="361D2B1B"/>
    <w:rsid w:val="361D56E5"/>
    <w:rsid w:val="361E5EE5"/>
    <w:rsid w:val="361F3797"/>
    <w:rsid w:val="361F554A"/>
    <w:rsid w:val="36206210"/>
    <w:rsid w:val="362117CB"/>
    <w:rsid w:val="36213918"/>
    <w:rsid w:val="362222C1"/>
    <w:rsid w:val="36224E39"/>
    <w:rsid w:val="36225D48"/>
    <w:rsid w:val="36230789"/>
    <w:rsid w:val="362324B2"/>
    <w:rsid w:val="362335C8"/>
    <w:rsid w:val="36236BE2"/>
    <w:rsid w:val="36251E96"/>
    <w:rsid w:val="3625704C"/>
    <w:rsid w:val="36265DCE"/>
    <w:rsid w:val="3629579F"/>
    <w:rsid w:val="362A26C7"/>
    <w:rsid w:val="362D21F7"/>
    <w:rsid w:val="362D491D"/>
    <w:rsid w:val="362D65AB"/>
    <w:rsid w:val="362E1921"/>
    <w:rsid w:val="362E2305"/>
    <w:rsid w:val="362E4436"/>
    <w:rsid w:val="36302D67"/>
    <w:rsid w:val="36312119"/>
    <w:rsid w:val="36313383"/>
    <w:rsid w:val="36314F46"/>
    <w:rsid w:val="36320721"/>
    <w:rsid w:val="36320925"/>
    <w:rsid w:val="363275C5"/>
    <w:rsid w:val="363346D8"/>
    <w:rsid w:val="36344489"/>
    <w:rsid w:val="3634661D"/>
    <w:rsid w:val="36354A2F"/>
    <w:rsid w:val="363B4479"/>
    <w:rsid w:val="363B4CB1"/>
    <w:rsid w:val="363C6E14"/>
    <w:rsid w:val="363D0F5A"/>
    <w:rsid w:val="3641344D"/>
    <w:rsid w:val="36421FC3"/>
    <w:rsid w:val="364237F2"/>
    <w:rsid w:val="3642601D"/>
    <w:rsid w:val="364263EF"/>
    <w:rsid w:val="36437686"/>
    <w:rsid w:val="364410C2"/>
    <w:rsid w:val="3645066F"/>
    <w:rsid w:val="36460E87"/>
    <w:rsid w:val="36483A07"/>
    <w:rsid w:val="36486BE0"/>
    <w:rsid w:val="364A6E70"/>
    <w:rsid w:val="364B1C0E"/>
    <w:rsid w:val="364B55EC"/>
    <w:rsid w:val="364C0675"/>
    <w:rsid w:val="364C25E3"/>
    <w:rsid w:val="364C5D35"/>
    <w:rsid w:val="364D5C32"/>
    <w:rsid w:val="364E2A77"/>
    <w:rsid w:val="364F0702"/>
    <w:rsid w:val="364F48BA"/>
    <w:rsid w:val="36506CEE"/>
    <w:rsid w:val="3651122B"/>
    <w:rsid w:val="36512923"/>
    <w:rsid w:val="36512B0B"/>
    <w:rsid w:val="3652138B"/>
    <w:rsid w:val="3652180C"/>
    <w:rsid w:val="36554D00"/>
    <w:rsid w:val="36554F4B"/>
    <w:rsid w:val="36560950"/>
    <w:rsid w:val="365628BB"/>
    <w:rsid w:val="36570581"/>
    <w:rsid w:val="36571B0E"/>
    <w:rsid w:val="36576CB5"/>
    <w:rsid w:val="36593037"/>
    <w:rsid w:val="365953A2"/>
    <w:rsid w:val="365A0888"/>
    <w:rsid w:val="365A36D9"/>
    <w:rsid w:val="365B00F1"/>
    <w:rsid w:val="365B2442"/>
    <w:rsid w:val="365C4D16"/>
    <w:rsid w:val="365D6CAA"/>
    <w:rsid w:val="365E3381"/>
    <w:rsid w:val="365F1D72"/>
    <w:rsid w:val="365F4083"/>
    <w:rsid w:val="365F492F"/>
    <w:rsid w:val="3660058C"/>
    <w:rsid w:val="3660217B"/>
    <w:rsid w:val="36633511"/>
    <w:rsid w:val="3663474A"/>
    <w:rsid w:val="366559E4"/>
    <w:rsid w:val="36663B5D"/>
    <w:rsid w:val="36676226"/>
    <w:rsid w:val="36690E5C"/>
    <w:rsid w:val="3669538F"/>
    <w:rsid w:val="36695502"/>
    <w:rsid w:val="366A2FFA"/>
    <w:rsid w:val="366B4850"/>
    <w:rsid w:val="366B5984"/>
    <w:rsid w:val="366B7FCC"/>
    <w:rsid w:val="366C579A"/>
    <w:rsid w:val="366D6139"/>
    <w:rsid w:val="366F3273"/>
    <w:rsid w:val="367033E8"/>
    <w:rsid w:val="36710AF9"/>
    <w:rsid w:val="36717FDA"/>
    <w:rsid w:val="367429EE"/>
    <w:rsid w:val="36744CDE"/>
    <w:rsid w:val="36754612"/>
    <w:rsid w:val="36767DD9"/>
    <w:rsid w:val="36773F8A"/>
    <w:rsid w:val="36783969"/>
    <w:rsid w:val="36791446"/>
    <w:rsid w:val="36796A99"/>
    <w:rsid w:val="367B488C"/>
    <w:rsid w:val="367C7AB2"/>
    <w:rsid w:val="367F6B6E"/>
    <w:rsid w:val="367F757D"/>
    <w:rsid w:val="368113B6"/>
    <w:rsid w:val="36812A27"/>
    <w:rsid w:val="368140B6"/>
    <w:rsid w:val="36842B01"/>
    <w:rsid w:val="36861D4F"/>
    <w:rsid w:val="36880BAF"/>
    <w:rsid w:val="368865D9"/>
    <w:rsid w:val="368B21DC"/>
    <w:rsid w:val="368B4A1A"/>
    <w:rsid w:val="368C3D6D"/>
    <w:rsid w:val="368C77E5"/>
    <w:rsid w:val="368D0473"/>
    <w:rsid w:val="36900652"/>
    <w:rsid w:val="36910EB7"/>
    <w:rsid w:val="36912F22"/>
    <w:rsid w:val="369138EC"/>
    <w:rsid w:val="36916DC8"/>
    <w:rsid w:val="36926102"/>
    <w:rsid w:val="36932BF8"/>
    <w:rsid w:val="369431FC"/>
    <w:rsid w:val="369445E7"/>
    <w:rsid w:val="36951385"/>
    <w:rsid w:val="36960014"/>
    <w:rsid w:val="3696069C"/>
    <w:rsid w:val="36986807"/>
    <w:rsid w:val="36994241"/>
    <w:rsid w:val="369C0CB5"/>
    <w:rsid w:val="369E713D"/>
    <w:rsid w:val="369F5B8B"/>
    <w:rsid w:val="369F65B2"/>
    <w:rsid w:val="369F7588"/>
    <w:rsid w:val="36A00959"/>
    <w:rsid w:val="36A3003C"/>
    <w:rsid w:val="36A36772"/>
    <w:rsid w:val="36A52284"/>
    <w:rsid w:val="36A577F3"/>
    <w:rsid w:val="36A6082F"/>
    <w:rsid w:val="36A6141F"/>
    <w:rsid w:val="36A71FB6"/>
    <w:rsid w:val="36A779ED"/>
    <w:rsid w:val="36A81CAF"/>
    <w:rsid w:val="36AA0CBE"/>
    <w:rsid w:val="36AA17B2"/>
    <w:rsid w:val="36AA4A09"/>
    <w:rsid w:val="36AB21B7"/>
    <w:rsid w:val="36AB7757"/>
    <w:rsid w:val="36AC7434"/>
    <w:rsid w:val="36AD546B"/>
    <w:rsid w:val="36AE2FCC"/>
    <w:rsid w:val="36AE76D5"/>
    <w:rsid w:val="36B06A61"/>
    <w:rsid w:val="36B32FA4"/>
    <w:rsid w:val="36B35CF8"/>
    <w:rsid w:val="36B40D56"/>
    <w:rsid w:val="36B4542C"/>
    <w:rsid w:val="36B5539E"/>
    <w:rsid w:val="36B63692"/>
    <w:rsid w:val="36B928CD"/>
    <w:rsid w:val="36B96CD0"/>
    <w:rsid w:val="36BB4A44"/>
    <w:rsid w:val="36BC1E96"/>
    <w:rsid w:val="36BD3698"/>
    <w:rsid w:val="36BE52B8"/>
    <w:rsid w:val="36BF2007"/>
    <w:rsid w:val="36C056B8"/>
    <w:rsid w:val="36C10DD9"/>
    <w:rsid w:val="36C46124"/>
    <w:rsid w:val="36C54A37"/>
    <w:rsid w:val="36C747C0"/>
    <w:rsid w:val="36C86C35"/>
    <w:rsid w:val="36C93D5B"/>
    <w:rsid w:val="36CA3A99"/>
    <w:rsid w:val="36CC3ADD"/>
    <w:rsid w:val="36CD5604"/>
    <w:rsid w:val="36CD605F"/>
    <w:rsid w:val="36CE17DB"/>
    <w:rsid w:val="36CE269E"/>
    <w:rsid w:val="36CE77E6"/>
    <w:rsid w:val="36CF31D3"/>
    <w:rsid w:val="36CF42EF"/>
    <w:rsid w:val="36CF61B5"/>
    <w:rsid w:val="36D1174D"/>
    <w:rsid w:val="36D163D0"/>
    <w:rsid w:val="36D55136"/>
    <w:rsid w:val="36D604A5"/>
    <w:rsid w:val="36D64207"/>
    <w:rsid w:val="36D71FED"/>
    <w:rsid w:val="36D853D9"/>
    <w:rsid w:val="36DD4227"/>
    <w:rsid w:val="36DE50AA"/>
    <w:rsid w:val="36DF3D35"/>
    <w:rsid w:val="36DF5796"/>
    <w:rsid w:val="36E0126E"/>
    <w:rsid w:val="36E14315"/>
    <w:rsid w:val="36E1695C"/>
    <w:rsid w:val="36E27034"/>
    <w:rsid w:val="36E311FF"/>
    <w:rsid w:val="36E36759"/>
    <w:rsid w:val="36E52359"/>
    <w:rsid w:val="36E540ED"/>
    <w:rsid w:val="36E55D05"/>
    <w:rsid w:val="36E5621C"/>
    <w:rsid w:val="36E81F7E"/>
    <w:rsid w:val="36E90BC4"/>
    <w:rsid w:val="36E9126F"/>
    <w:rsid w:val="36EA22B0"/>
    <w:rsid w:val="36EA2AA3"/>
    <w:rsid w:val="36EA5CAD"/>
    <w:rsid w:val="36EE4528"/>
    <w:rsid w:val="36EF00E1"/>
    <w:rsid w:val="36F01F10"/>
    <w:rsid w:val="36F03B1E"/>
    <w:rsid w:val="36F164C1"/>
    <w:rsid w:val="36F46804"/>
    <w:rsid w:val="36F47418"/>
    <w:rsid w:val="36F514EF"/>
    <w:rsid w:val="36F564F0"/>
    <w:rsid w:val="36F6488E"/>
    <w:rsid w:val="36F73448"/>
    <w:rsid w:val="36F87A87"/>
    <w:rsid w:val="36F9210C"/>
    <w:rsid w:val="36F9378F"/>
    <w:rsid w:val="36FA437E"/>
    <w:rsid w:val="36FC1A0F"/>
    <w:rsid w:val="36FE691F"/>
    <w:rsid w:val="36FF26B5"/>
    <w:rsid w:val="36FF3742"/>
    <w:rsid w:val="37004E1C"/>
    <w:rsid w:val="370065D2"/>
    <w:rsid w:val="37040E7F"/>
    <w:rsid w:val="37041F03"/>
    <w:rsid w:val="3705543B"/>
    <w:rsid w:val="370610EB"/>
    <w:rsid w:val="37083456"/>
    <w:rsid w:val="37085B14"/>
    <w:rsid w:val="37093437"/>
    <w:rsid w:val="370A082A"/>
    <w:rsid w:val="370A13B5"/>
    <w:rsid w:val="370A67DF"/>
    <w:rsid w:val="370C3F83"/>
    <w:rsid w:val="370C40B1"/>
    <w:rsid w:val="370C478D"/>
    <w:rsid w:val="370C55F4"/>
    <w:rsid w:val="370D09B1"/>
    <w:rsid w:val="370D15CA"/>
    <w:rsid w:val="370D55CF"/>
    <w:rsid w:val="370E3627"/>
    <w:rsid w:val="370F2805"/>
    <w:rsid w:val="3710601B"/>
    <w:rsid w:val="371077F0"/>
    <w:rsid w:val="3711663D"/>
    <w:rsid w:val="37124ABE"/>
    <w:rsid w:val="37147625"/>
    <w:rsid w:val="37150720"/>
    <w:rsid w:val="37151E08"/>
    <w:rsid w:val="37190BAD"/>
    <w:rsid w:val="37197D00"/>
    <w:rsid w:val="371C057A"/>
    <w:rsid w:val="371C0A4B"/>
    <w:rsid w:val="371D1D31"/>
    <w:rsid w:val="371E090E"/>
    <w:rsid w:val="371E0EFB"/>
    <w:rsid w:val="371F2036"/>
    <w:rsid w:val="371F4537"/>
    <w:rsid w:val="3723170C"/>
    <w:rsid w:val="372333D0"/>
    <w:rsid w:val="37242805"/>
    <w:rsid w:val="372660AB"/>
    <w:rsid w:val="37272565"/>
    <w:rsid w:val="3727575E"/>
    <w:rsid w:val="3728456C"/>
    <w:rsid w:val="372907BF"/>
    <w:rsid w:val="372B5E6F"/>
    <w:rsid w:val="372C73D8"/>
    <w:rsid w:val="372D4984"/>
    <w:rsid w:val="372E1C92"/>
    <w:rsid w:val="37310232"/>
    <w:rsid w:val="37321E92"/>
    <w:rsid w:val="37323EBA"/>
    <w:rsid w:val="37327714"/>
    <w:rsid w:val="3735578D"/>
    <w:rsid w:val="37364338"/>
    <w:rsid w:val="37373485"/>
    <w:rsid w:val="37381002"/>
    <w:rsid w:val="3738252A"/>
    <w:rsid w:val="373A1126"/>
    <w:rsid w:val="373A74A2"/>
    <w:rsid w:val="373B4245"/>
    <w:rsid w:val="373D6F32"/>
    <w:rsid w:val="373E355D"/>
    <w:rsid w:val="37401570"/>
    <w:rsid w:val="37406D71"/>
    <w:rsid w:val="37407B0B"/>
    <w:rsid w:val="37410CEE"/>
    <w:rsid w:val="37412378"/>
    <w:rsid w:val="37421C3B"/>
    <w:rsid w:val="37423330"/>
    <w:rsid w:val="37423E1E"/>
    <w:rsid w:val="37434FA3"/>
    <w:rsid w:val="37442501"/>
    <w:rsid w:val="3746093E"/>
    <w:rsid w:val="374834F2"/>
    <w:rsid w:val="37484582"/>
    <w:rsid w:val="37487697"/>
    <w:rsid w:val="37494D64"/>
    <w:rsid w:val="37496E21"/>
    <w:rsid w:val="374A2B65"/>
    <w:rsid w:val="374D4F4A"/>
    <w:rsid w:val="374E57B1"/>
    <w:rsid w:val="374F5F58"/>
    <w:rsid w:val="37502094"/>
    <w:rsid w:val="37502EF6"/>
    <w:rsid w:val="3750713E"/>
    <w:rsid w:val="37530B1E"/>
    <w:rsid w:val="375325B8"/>
    <w:rsid w:val="37543D81"/>
    <w:rsid w:val="37564E1B"/>
    <w:rsid w:val="37564EFD"/>
    <w:rsid w:val="37570E7E"/>
    <w:rsid w:val="37575F19"/>
    <w:rsid w:val="37577C54"/>
    <w:rsid w:val="3759275C"/>
    <w:rsid w:val="37593391"/>
    <w:rsid w:val="37596252"/>
    <w:rsid w:val="375964BB"/>
    <w:rsid w:val="37596A3F"/>
    <w:rsid w:val="375B2943"/>
    <w:rsid w:val="375D16A3"/>
    <w:rsid w:val="375F0685"/>
    <w:rsid w:val="375F5A81"/>
    <w:rsid w:val="37601920"/>
    <w:rsid w:val="37603B0C"/>
    <w:rsid w:val="37606003"/>
    <w:rsid w:val="3761081C"/>
    <w:rsid w:val="37622BFD"/>
    <w:rsid w:val="3762709B"/>
    <w:rsid w:val="3763655A"/>
    <w:rsid w:val="37663C77"/>
    <w:rsid w:val="37682E62"/>
    <w:rsid w:val="376842CD"/>
    <w:rsid w:val="376B0E67"/>
    <w:rsid w:val="376C2A86"/>
    <w:rsid w:val="376D2CD4"/>
    <w:rsid w:val="376F0B32"/>
    <w:rsid w:val="376F1754"/>
    <w:rsid w:val="377063EE"/>
    <w:rsid w:val="37706AA9"/>
    <w:rsid w:val="377106E2"/>
    <w:rsid w:val="377152D6"/>
    <w:rsid w:val="3772399D"/>
    <w:rsid w:val="377400D1"/>
    <w:rsid w:val="37794C4C"/>
    <w:rsid w:val="377A3EB3"/>
    <w:rsid w:val="377B1578"/>
    <w:rsid w:val="377C5B18"/>
    <w:rsid w:val="377E25E3"/>
    <w:rsid w:val="377F4846"/>
    <w:rsid w:val="377F6B42"/>
    <w:rsid w:val="37804AED"/>
    <w:rsid w:val="3781260E"/>
    <w:rsid w:val="37815AB9"/>
    <w:rsid w:val="37822B13"/>
    <w:rsid w:val="37830529"/>
    <w:rsid w:val="37854F37"/>
    <w:rsid w:val="3786246B"/>
    <w:rsid w:val="37866BEB"/>
    <w:rsid w:val="378B4A54"/>
    <w:rsid w:val="378C6487"/>
    <w:rsid w:val="378D012A"/>
    <w:rsid w:val="37902844"/>
    <w:rsid w:val="37923C04"/>
    <w:rsid w:val="379266F4"/>
    <w:rsid w:val="37933608"/>
    <w:rsid w:val="3794235F"/>
    <w:rsid w:val="3795611C"/>
    <w:rsid w:val="37970A57"/>
    <w:rsid w:val="379732A8"/>
    <w:rsid w:val="379872F0"/>
    <w:rsid w:val="37987A6D"/>
    <w:rsid w:val="379B1586"/>
    <w:rsid w:val="379B173E"/>
    <w:rsid w:val="379B67CE"/>
    <w:rsid w:val="37A16D3D"/>
    <w:rsid w:val="37A22516"/>
    <w:rsid w:val="37A427F7"/>
    <w:rsid w:val="37A42C3A"/>
    <w:rsid w:val="37A42DF7"/>
    <w:rsid w:val="37A56736"/>
    <w:rsid w:val="37A74E39"/>
    <w:rsid w:val="37A83DDA"/>
    <w:rsid w:val="37A859BE"/>
    <w:rsid w:val="37A9210A"/>
    <w:rsid w:val="37AE6590"/>
    <w:rsid w:val="37AE7644"/>
    <w:rsid w:val="37B00826"/>
    <w:rsid w:val="37B05587"/>
    <w:rsid w:val="37B06914"/>
    <w:rsid w:val="37B3439F"/>
    <w:rsid w:val="37B369A7"/>
    <w:rsid w:val="37B4467A"/>
    <w:rsid w:val="37B91065"/>
    <w:rsid w:val="37B94322"/>
    <w:rsid w:val="37BA1D1F"/>
    <w:rsid w:val="37BA4D71"/>
    <w:rsid w:val="37BA50F4"/>
    <w:rsid w:val="37BA6ECA"/>
    <w:rsid w:val="37BA7BDA"/>
    <w:rsid w:val="37BE66D6"/>
    <w:rsid w:val="37BF5EE4"/>
    <w:rsid w:val="37C14158"/>
    <w:rsid w:val="37C207D7"/>
    <w:rsid w:val="37C22CE4"/>
    <w:rsid w:val="37C26D6E"/>
    <w:rsid w:val="37C35693"/>
    <w:rsid w:val="37C52BDE"/>
    <w:rsid w:val="37C552F8"/>
    <w:rsid w:val="37C665EC"/>
    <w:rsid w:val="37C728F4"/>
    <w:rsid w:val="37C7481C"/>
    <w:rsid w:val="37C8769B"/>
    <w:rsid w:val="37C906B6"/>
    <w:rsid w:val="37C92E69"/>
    <w:rsid w:val="37CB5D1A"/>
    <w:rsid w:val="37CD6037"/>
    <w:rsid w:val="37CF7348"/>
    <w:rsid w:val="37D0507A"/>
    <w:rsid w:val="37D071D8"/>
    <w:rsid w:val="37D11D6F"/>
    <w:rsid w:val="37D2162A"/>
    <w:rsid w:val="37D236CF"/>
    <w:rsid w:val="37D42E46"/>
    <w:rsid w:val="37D46B3A"/>
    <w:rsid w:val="37D51A12"/>
    <w:rsid w:val="37DA179A"/>
    <w:rsid w:val="37DA7590"/>
    <w:rsid w:val="37DE00B1"/>
    <w:rsid w:val="37E07D0B"/>
    <w:rsid w:val="37E24E84"/>
    <w:rsid w:val="37E40B8A"/>
    <w:rsid w:val="37E429E1"/>
    <w:rsid w:val="37E435DE"/>
    <w:rsid w:val="37E470B4"/>
    <w:rsid w:val="37E6732B"/>
    <w:rsid w:val="37E74CB4"/>
    <w:rsid w:val="37E76A50"/>
    <w:rsid w:val="37E94D24"/>
    <w:rsid w:val="37EA3864"/>
    <w:rsid w:val="37EB2EBC"/>
    <w:rsid w:val="37EC0FF6"/>
    <w:rsid w:val="37EC15F3"/>
    <w:rsid w:val="37EC398F"/>
    <w:rsid w:val="37ED4C51"/>
    <w:rsid w:val="37ED6060"/>
    <w:rsid w:val="37EF7250"/>
    <w:rsid w:val="37F03F7B"/>
    <w:rsid w:val="37F16D49"/>
    <w:rsid w:val="37F21765"/>
    <w:rsid w:val="37F227CE"/>
    <w:rsid w:val="37F3084C"/>
    <w:rsid w:val="37F43F16"/>
    <w:rsid w:val="37F449CE"/>
    <w:rsid w:val="37F51448"/>
    <w:rsid w:val="37F6221E"/>
    <w:rsid w:val="37F73022"/>
    <w:rsid w:val="37F802D7"/>
    <w:rsid w:val="37F80F16"/>
    <w:rsid w:val="37F913F8"/>
    <w:rsid w:val="37FB2E88"/>
    <w:rsid w:val="37FB3589"/>
    <w:rsid w:val="37FB4227"/>
    <w:rsid w:val="37FC1F07"/>
    <w:rsid w:val="37FD267D"/>
    <w:rsid w:val="37FD7A99"/>
    <w:rsid w:val="37FE1D23"/>
    <w:rsid w:val="37FE500A"/>
    <w:rsid w:val="37FF1EFD"/>
    <w:rsid w:val="38011AB2"/>
    <w:rsid w:val="380219AC"/>
    <w:rsid w:val="3803123F"/>
    <w:rsid w:val="380459E1"/>
    <w:rsid w:val="38046140"/>
    <w:rsid w:val="38052593"/>
    <w:rsid w:val="38054613"/>
    <w:rsid w:val="38090444"/>
    <w:rsid w:val="380B601D"/>
    <w:rsid w:val="380C6126"/>
    <w:rsid w:val="380C6710"/>
    <w:rsid w:val="380D41F1"/>
    <w:rsid w:val="380E20DE"/>
    <w:rsid w:val="380E24EE"/>
    <w:rsid w:val="380F0BCE"/>
    <w:rsid w:val="380F4E69"/>
    <w:rsid w:val="381050CA"/>
    <w:rsid w:val="38106865"/>
    <w:rsid w:val="38122D9B"/>
    <w:rsid w:val="3812662B"/>
    <w:rsid w:val="38152A85"/>
    <w:rsid w:val="38155DCF"/>
    <w:rsid w:val="38161B25"/>
    <w:rsid w:val="38167D9C"/>
    <w:rsid w:val="38182BB8"/>
    <w:rsid w:val="38187C48"/>
    <w:rsid w:val="38190A07"/>
    <w:rsid w:val="38193F3C"/>
    <w:rsid w:val="381A04CD"/>
    <w:rsid w:val="381A0EF5"/>
    <w:rsid w:val="381A28F4"/>
    <w:rsid w:val="381A7AD9"/>
    <w:rsid w:val="381A7C22"/>
    <w:rsid w:val="381C620B"/>
    <w:rsid w:val="381C6662"/>
    <w:rsid w:val="381C724D"/>
    <w:rsid w:val="381F6CE1"/>
    <w:rsid w:val="38216AB2"/>
    <w:rsid w:val="38227834"/>
    <w:rsid w:val="38235776"/>
    <w:rsid w:val="38236878"/>
    <w:rsid w:val="38237488"/>
    <w:rsid w:val="382509A0"/>
    <w:rsid w:val="3826293A"/>
    <w:rsid w:val="382937FD"/>
    <w:rsid w:val="382A550A"/>
    <w:rsid w:val="382B1413"/>
    <w:rsid w:val="382B6D27"/>
    <w:rsid w:val="382D4285"/>
    <w:rsid w:val="382D65EA"/>
    <w:rsid w:val="382E4329"/>
    <w:rsid w:val="3830014F"/>
    <w:rsid w:val="38303C5A"/>
    <w:rsid w:val="3832604E"/>
    <w:rsid w:val="383319C0"/>
    <w:rsid w:val="38337694"/>
    <w:rsid w:val="38343680"/>
    <w:rsid w:val="38347229"/>
    <w:rsid w:val="38363C97"/>
    <w:rsid w:val="38372DBA"/>
    <w:rsid w:val="383864F2"/>
    <w:rsid w:val="383910D6"/>
    <w:rsid w:val="383D1AFD"/>
    <w:rsid w:val="383D2C18"/>
    <w:rsid w:val="383D38AC"/>
    <w:rsid w:val="383D48E3"/>
    <w:rsid w:val="383D71E0"/>
    <w:rsid w:val="383F0354"/>
    <w:rsid w:val="383F675A"/>
    <w:rsid w:val="384038F3"/>
    <w:rsid w:val="384152EF"/>
    <w:rsid w:val="3842742A"/>
    <w:rsid w:val="38446BC9"/>
    <w:rsid w:val="38447732"/>
    <w:rsid w:val="384705BC"/>
    <w:rsid w:val="3848736B"/>
    <w:rsid w:val="384A5DE4"/>
    <w:rsid w:val="384A6BD7"/>
    <w:rsid w:val="384C5298"/>
    <w:rsid w:val="384C588E"/>
    <w:rsid w:val="384D48B5"/>
    <w:rsid w:val="384E2AB1"/>
    <w:rsid w:val="384E5B3F"/>
    <w:rsid w:val="384F6795"/>
    <w:rsid w:val="384F68FC"/>
    <w:rsid w:val="38500C5B"/>
    <w:rsid w:val="3851459A"/>
    <w:rsid w:val="38517083"/>
    <w:rsid w:val="38526622"/>
    <w:rsid w:val="3855065F"/>
    <w:rsid w:val="38554BFD"/>
    <w:rsid w:val="38576791"/>
    <w:rsid w:val="3858580C"/>
    <w:rsid w:val="38591451"/>
    <w:rsid w:val="385951F7"/>
    <w:rsid w:val="385A0CAA"/>
    <w:rsid w:val="385B6F0D"/>
    <w:rsid w:val="385C1D47"/>
    <w:rsid w:val="385C5453"/>
    <w:rsid w:val="385F7666"/>
    <w:rsid w:val="38601346"/>
    <w:rsid w:val="38616A2A"/>
    <w:rsid w:val="38620169"/>
    <w:rsid w:val="3862484B"/>
    <w:rsid w:val="38647F36"/>
    <w:rsid w:val="386534CE"/>
    <w:rsid w:val="386704E5"/>
    <w:rsid w:val="3867109D"/>
    <w:rsid w:val="38673F39"/>
    <w:rsid w:val="3868266A"/>
    <w:rsid w:val="3869352A"/>
    <w:rsid w:val="3869352F"/>
    <w:rsid w:val="38697F66"/>
    <w:rsid w:val="386A4055"/>
    <w:rsid w:val="386B214B"/>
    <w:rsid w:val="386C0850"/>
    <w:rsid w:val="386C6B2D"/>
    <w:rsid w:val="386C7E1C"/>
    <w:rsid w:val="386D6404"/>
    <w:rsid w:val="386E449C"/>
    <w:rsid w:val="386F6F98"/>
    <w:rsid w:val="387167BD"/>
    <w:rsid w:val="38723099"/>
    <w:rsid w:val="387244B3"/>
    <w:rsid w:val="38745E42"/>
    <w:rsid w:val="38750761"/>
    <w:rsid w:val="38757EAC"/>
    <w:rsid w:val="38762303"/>
    <w:rsid w:val="38763157"/>
    <w:rsid w:val="38764CD3"/>
    <w:rsid w:val="38765050"/>
    <w:rsid w:val="387A20C7"/>
    <w:rsid w:val="387D7613"/>
    <w:rsid w:val="387E7CE5"/>
    <w:rsid w:val="38803AFB"/>
    <w:rsid w:val="38813E0D"/>
    <w:rsid w:val="38814469"/>
    <w:rsid w:val="388156A9"/>
    <w:rsid w:val="38820B6F"/>
    <w:rsid w:val="38851AA8"/>
    <w:rsid w:val="3885411B"/>
    <w:rsid w:val="3887271D"/>
    <w:rsid w:val="3887515D"/>
    <w:rsid w:val="38877E93"/>
    <w:rsid w:val="38883795"/>
    <w:rsid w:val="38883DEE"/>
    <w:rsid w:val="38896523"/>
    <w:rsid w:val="388B088F"/>
    <w:rsid w:val="388C4DFB"/>
    <w:rsid w:val="388D67FE"/>
    <w:rsid w:val="388E31A5"/>
    <w:rsid w:val="388E31F1"/>
    <w:rsid w:val="3890487C"/>
    <w:rsid w:val="38910757"/>
    <w:rsid w:val="38920CC4"/>
    <w:rsid w:val="389257BD"/>
    <w:rsid w:val="38936421"/>
    <w:rsid w:val="38952869"/>
    <w:rsid w:val="38955DA6"/>
    <w:rsid w:val="389618AB"/>
    <w:rsid w:val="38962069"/>
    <w:rsid w:val="38976211"/>
    <w:rsid w:val="389924E3"/>
    <w:rsid w:val="3899790E"/>
    <w:rsid w:val="389A29C0"/>
    <w:rsid w:val="389A3C43"/>
    <w:rsid w:val="389B2134"/>
    <w:rsid w:val="389B45F7"/>
    <w:rsid w:val="389C37F8"/>
    <w:rsid w:val="389D1E88"/>
    <w:rsid w:val="389D4944"/>
    <w:rsid w:val="389D66A1"/>
    <w:rsid w:val="38A07B5E"/>
    <w:rsid w:val="38A1111B"/>
    <w:rsid w:val="38A12DF7"/>
    <w:rsid w:val="38A50C65"/>
    <w:rsid w:val="38A53440"/>
    <w:rsid w:val="38A60FC5"/>
    <w:rsid w:val="38A62D35"/>
    <w:rsid w:val="38A6560E"/>
    <w:rsid w:val="38A65B9B"/>
    <w:rsid w:val="38A70E76"/>
    <w:rsid w:val="38A71C6F"/>
    <w:rsid w:val="38A74A0E"/>
    <w:rsid w:val="38A756AE"/>
    <w:rsid w:val="38A77AF0"/>
    <w:rsid w:val="38AA3F9F"/>
    <w:rsid w:val="38AD1D54"/>
    <w:rsid w:val="38AE44BD"/>
    <w:rsid w:val="38AF322C"/>
    <w:rsid w:val="38B00106"/>
    <w:rsid w:val="38B00197"/>
    <w:rsid w:val="38B36C12"/>
    <w:rsid w:val="38B46AD9"/>
    <w:rsid w:val="38B57025"/>
    <w:rsid w:val="38B63ADB"/>
    <w:rsid w:val="38B97CE0"/>
    <w:rsid w:val="38BA4FBC"/>
    <w:rsid w:val="38BB18EB"/>
    <w:rsid w:val="38BC1F35"/>
    <w:rsid w:val="38BD72DC"/>
    <w:rsid w:val="38BE48E4"/>
    <w:rsid w:val="38BF50AC"/>
    <w:rsid w:val="38C04BFA"/>
    <w:rsid w:val="38C06892"/>
    <w:rsid w:val="38C07A3E"/>
    <w:rsid w:val="38C117F2"/>
    <w:rsid w:val="38C13DC9"/>
    <w:rsid w:val="38C175D2"/>
    <w:rsid w:val="38C469DA"/>
    <w:rsid w:val="38C5040D"/>
    <w:rsid w:val="38C5053F"/>
    <w:rsid w:val="38C70664"/>
    <w:rsid w:val="38C72EE0"/>
    <w:rsid w:val="38C842FB"/>
    <w:rsid w:val="38CB0F7D"/>
    <w:rsid w:val="38CF25F4"/>
    <w:rsid w:val="38CF551D"/>
    <w:rsid w:val="38D12816"/>
    <w:rsid w:val="38D12E81"/>
    <w:rsid w:val="38D15632"/>
    <w:rsid w:val="38D20781"/>
    <w:rsid w:val="38D30699"/>
    <w:rsid w:val="38D518DF"/>
    <w:rsid w:val="38D60996"/>
    <w:rsid w:val="38D6280E"/>
    <w:rsid w:val="38D67971"/>
    <w:rsid w:val="38D77429"/>
    <w:rsid w:val="38D85F8E"/>
    <w:rsid w:val="38DB1791"/>
    <w:rsid w:val="38DC551F"/>
    <w:rsid w:val="38DE45B9"/>
    <w:rsid w:val="38DE5E5B"/>
    <w:rsid w:val="38DE7E66"/>
    <w:rsid w:val="38E000B2"/>
    <w:rsid w:val="38E631AA"/>
    <w:rsid w:val="38E74783"/>
    <w:rsid w:val="38E810BE"/>
    <w:rsid w:val="38E82589"/>
    <w:rsid w:val="38E87A87"/>
    <w:rsid w:val="38EA0422"/>
    <w:rsid w:val="38EA50AA"/>
    <w:rsid w:val="38EA623D"/>
    <w:rsid w:val="38EB2D38"/>
    <w:rsid w:val="38EC09C6"/>
    <w:rsid w:val="38EC2FB9"/>
    <w:rsid w:val="38EC3C9D"/>
    <w:rsid w:val="38ED0B89"/>
    <w:rsid w:val="38EE12FE"/>
    <w:rsid w:val="38EE1F29"/>
    <w:rsid w:val="38F03A51"/>
    <w:rsid w:val="38F131A1"/>
    <w:rsid w:val="38F1765B"/>
    <w:rsid w:val="38F62632"/>
    <w:rsid w:val="38F7538F"/>
    <w:rsid w:val="38F8160C"/>
    <w:rsid w:val="38F844C9"/>
    <w:rsid w:val="38F847DA"/>
    <w:rsid w:val="38FA2023"/>
    <w:rsid w:val="38FA7901"/>
    <w:rsid w:val="38FB050E"/>
    <w:rsid w:val="38FB4396"/>
    <w:rsid w:val="38FC73B7"/>
    <w:rsid w:val="38FC7BEF"/>
    <w:rsid w:val="38FD1942"/>
    <w:rsid w:val="38FD32FB"/>
    <w:rsid w:val="38FD4B76"/>
    <w:rsid w:val="38FD6879"/>
    <w:rsid w:val="38FE5FF3"/>
    <w:rsid w:val="38FF0F32"/>
    <w:rsid w:val="38FF2FAA"/>
    <w:rsid w:val="38FF49B8"/>
    <w:rsid w:val="38FF77F9"/>
    <w:rsid w:val="39035D8E"/>
    <w:rsid w:val="39037C3F"/>
    <w:rsid w:val="39052CE1"/>
    <w:rsid w:val="390543CD"/>
    <w:rsid w:val="390703A2"/>
    <w:rsid w:val="39087033"/>
    <w:rsid w:val="3909570E"/>
    <w:rsid w:val="390A56BE"/>
    <w:rsid w:val="390C086F"/>
    <w:rsid w:val="390D1FD8"/>
    <w:rsid w:val="390E2393"/>
    <w:rsid w:val="390F4E73"/>
    <w:rsid w:val="390F6BE3"/>
    <w:rsid w:val="3911754B"/>
    <w:rsid w:val="39121624"/>
    <w:rsid w:val="3913550E"/>
    <w:rsid w:val="391469C7"/>
    <w:rsid w:val="39156F8D"/>
    <w:rsid w:val="39167784"/>
    <w:rsid w:val="391734FE"/>
    <w:rsid w:val="391759F5"/>
    <w:rsid w:val="391945FD"/>
    <w:rsid w:val="391A1391"/>
    <w:rsid w:val="391C4E31"/>
    <w:rsid w:val="391D7415"/>
    <w:rsid w:val="391E1BF7"/>
    <w:rsid w:val="391F0EF0"/>
    <w:rsid w:val="39205398"/>
    <w:rsid w:val="39216594"/>
    <w:rsid w:val="39232F2C"/>
    <w:rsid w:val="392474F1"/>
    <w:rsid w:val="392778EC"/>
    <w:rsid w:val="3929043B"/>
    <w:rsid w:val="39294516"/>
    <w:rsid w:val="39296E04"/>
    <w:rsid w:val="39297956"/>
    <w:rsid w:val="392A0ED7"/>
    <w:rsid w:val="392A3D6B"/>
    <w:rsid w:val="392B0636"/>
    <w:rsid w:val="392B0910"/>
    <w:rsid w:val="392B61DD"/>
    <w:rsid w:val="392C1D00"/>
    <w:rsid w:val="392C47F0"/>
    <w:rsid w:val="392C7C4E"/>
    <w:rsid w:val="392D249C"/>
    <w:rsid w:val="392D2F52"/>
    <w:rsid w:val="392D552A"/>
    <w:rsid w:val="392E47B3"/>
    <w:rsid w:val="39301CA0"/>
    <w:rsid w:val="39306EA4"/>
    <w:rsid w:val="393200CA"/>
    <w:rsid w:val="393232B6"/>
    <w:rsid w:val="393314D9"/>
    <w:rsid w:val="39342575"/>
    <w:rsid w:val="393567ED"/>
    <w:rsid w:val="39361D81"/>
    <w:rsid w:val="39384C05"/>
    <w:rsid w:val="39385BEF"/>
    <w:rsid w:val="393A5CFF"/>
    <w:rsid w:val="393B0FC8"/>
    <w:rsid w:val="393E7F1D"/>
    <w:rsid w:val="393F0568"/>
    <w:rsid w:val="393F7F28"/>
    <w:rsid w:val="39403F28"/>
    <w:rsid w:val="39416B5F"/>
    <w:rsid w:val="39423892"/>
    <w:rsid w:val="394404DA"/>
    <w:rsid w:val="39440A60"/>
    <w:rsid w:val="39442518"/>
    <w:rsid w:val="39467687"/>
    <w:rsid w:val="394766CE"/>
    <w:rsid w:val="394875D0"/>
    <w:rsid w:val="39490275"/>
    <w:rsid w:val="39490F74"/>
    <w:rsid w:val="39494B67"/>
    <w:rsid w:val="394A1CE9"/>
    <w:rsid w:val="394A5D00"/>
    <w:rsid w:val="394C3CB3"/>
    <w:rsid w:val="394C6830"/>
    <w:rsid w:val="394F0934"/>
    <w:rsid w:val="3950056B"/>
    <w:rsid w:val="395046CB"/>
    <w:rsid w:val="39506841"/>
    <w:rsid w:val="39525362"/>
    <w:rsid w:val="39531C1A"/>
    <w:rsid w:val="395365E8"/>
    <w:rsid w:val="39555875"/>
    <w:rsid w:val="39561335"/>
    <w:rsid w:val="395638A8"/>
    <w:rsid w:val="39565CDD"/>
    <w:rsid w:val="395A7E3A"/>
    <w:rsid w:val="395C0F86"/>
    <w:rsid w:val="395D18B4"/>
    <w:rsid w:val="395D1D45"/>
    <w:rsid w:val="395D2C83"/>
    <w:rsid w:val="395E73B9"/>
    <w:rsid w:val="39620F48"/>
    <w:rsid w:val="39634E9D"/>
    <w:rsid w:val="39635946"/>
    <w:rsid w:val="39652E00"/>
    <w:rsid w:val="396557EC"/>
    <w:rsid w:val="39657AE3"/>
    <w:rsid w:val="3966494D"/>
    <w:rsid w:val="39665549"/>
    <w:rsid w:val="39665A15"/>
    <w:rsid w:val="396711D7"/>
    <w:rsid w:val="39673227"/>
    <w:rsid w:val="39673D64"/>
    <w:rsid w:val="39681C95"/>
    <w:rsid w:val="39683D82"/>
    <w:rsid w:val="396B542F"/>
    <w:rsid w:val="396B5D72"/>
    <w:rsid w:val="396E2735"/>
    <w:rsid w:val="396F0646"/>
    <w:rsid w:val="396F4829"/>
    <w:rsid w:val="3971108A"/>
    <w:rsid w:val="39713472"/>
    <w:rsid w:val="39713C51"/>
    <w:rsid w:val="39717F20"/>
    <w:rsid w:val="39721099"/>
    <w:rsid w:val="397228F1"/>
    <w:rsid w:val="39724627"/>
    <w:rsid w:val="39743435"/>
    <w:rsid w:val="39746E3F"/>
    <w:rsid w:val="39753AF3"/>
    <w:rsid w:val="39757DC0"/>
    <w:rsid w:val="3976260F"/>
    <w:rsid w:val="39765BA5"/>
    <w:rsid w:val="39773EA6"/>
    <w:rsid w:val="39775EFC"/>
    <w:rsid w:val="39786B1D"/>
    <w:rsid w:val="39790B27"/>
    <w:rsid w:val="39791D2E"/>
    <w:rsid w:val="39794940"/>
    <w:rsid w:val="397A23DA"/>
    <w:rsid w:val="397B4D30"/>
    <w:rsid w:val="397D1296"/>
    <w:rsid w:val="397D354F"/>
    <w:rsid w:val="397D740D"/>
    <w:rsid w:val="397E2716"/>
    <w:rsid w:val="397F6C19"/>
    <w:rsid w:val="3982065B"/>
    <w:rsid w:val="39822FC0"/>
    <w:rsid w:val="3984386F"/>
    <w:rsid w:val="39846D11"/>
    <w:rsid w:val="39851AEF"/>
    <w:rsid w:val="39853D8A"/>
    <w:rsid w:val="39857649"/>
    <w:rsid w:val="398668E3"/>
    <w:rsid w:val="398675D0"/>
    <w:rsid w:val="39871184"/>
    <w:rsid w:val="398834A2"/>
    <w:rsid w:val="398A78A1"/>
    <w:rsid w:val="398B004F"/>
    <w:rsid w:val="398D2DC1"/>
    <w:rsid w:val="398E2632"/>
    <w:rsid w:val="39900D33"/>
    <w:rsid w:val="39946272"/>
    <w:rsid w:val="3996200B"/>
    <w:rsid w:val="3997634A"/>
    <w:rsid w:val="3997770E"/>
    <w:rsid w:val="3998185A"/>
    <w:rsid w:val="39993879"/>
    <w:rsid w:val="39996EB0"/>
    <w:rsid w:val="39996F13"/>
    <w:rsid w:val="3999717E"/>
    <w:rsid w:val="399B158C"/>
    <w:rsid w:val="399B625D"/>
    <w:rsid w:val="399C48A5"/>
    <w:rsid w:val="399C5973"/>
    <w:rsid w:val="399D2AAD"/>
    <w:rsid w:val="399D7062"/>
    <w:rsid w:val="399F1D2A"/>
    <w:rsid w:val="39A01E13"/>
    <w:rsid w:val="39A051B5"/>
    <w:rsid w:val="39A1316A"/>
    <w:rsid w:val="39A341F2"/>
    <w:rsid w:val="39A405D1"/>
    <w:rsid w:val="39A43F7B"/>
    <w:rsid w:val="39A60B57"/>
    <w:rsid w:val="39A618AD"/>
    <w:rsid w:val="39A61AF8"/>
    <w:rsid w:val="39A63D02"/>
    <w:rsid w:val="39A64D09"/>
    <w:rsid w:val="39A754D1"/>
    <w:rsid w:val="39A831DD"/>
    <w:rsid w:val="39A84D10"/>
    <w:rsid w:val="39A8650E"/>
    <w:rsid w:val="39A92E57"/>
    <w:rsid w:val="39AA6DFB"/>
    <w:rsid w:val="39AB5107"/>
    <w:rsid w:val="39AD4131"/>
    <w:rsid w:val="39B0772C"/>
    <w:rsid w:val="39B24163"/>
    <w:rsid w:val="39B51B94"/>
    <w:rsid w:val="39B76556"/>
    <w:rsid w:val="39B87D80"/>
    <w:rsid w:val="39B90424"/>
    <w:rsid w:val="39B9450D"/>
    <w:rsid w:val="39BA1BA2"/>
    <w:rsid w:val="39BB0C40"/>
    <w:rsid w:val="39BB4318"/>
    <w:rsid w:val="39BB49B3"/>
    <w:rsid w:val="39BB50AE"/>
    <w:rsid w:val="39BC6D53"/>
    <w:rsid w:val="39BD6649"/>
    <w:rsid w:val="39BE063F"/>
    <w:rsid w:val="39BE78A1"/>
    <w:rsid w:val="39C02413"/>
    <w:rsid w:val="39C04AF8"/>
    <w:rsid w:val="39C10DCC"/>
    <w:rsid w:val="39C13CC9"/>
    <w:rsid w:val="39C42CE8"/>
    <w:rsid w:val="39C4743F"/>
    <w:rsid w:val="39C62D60"/>
    <w:rsid w:val="39C74C1D"/>
    <w:rsid w:val="39C87FD9"/>
    <w:rsid w:val="39C93A6A"/>
    <w:rsid w:val="39CD35CE"/>
    <w:rsid w:val="39CD63CE"/>
    <w:rsid w:val="39D22C37"/>
    <w:rsid w:val="39D335C4"/>
    <w:rsid w:val="39D45344"/>
    <w:rsid w:val="39D5087B"/>
    <w:rsid w:val="39D6293D"/>
    <w:rsid w:val="39D709EB"/>
    <w:rsid w:val="39D72BD9"/>
    <w:rsid w:val="39D77066"/>
    <w:rsid w:val="39D9302D"/>
    <w:rsid w:val="39DA54C9"/>
    <w:rsid w:val="39DB6CD8"/>
    <w:rsid w:val="39DB7DCF"/>
    <w:rsid w:val="39DC079E"/>
    <w:rsid w:val="39DC23BF"/>
    <w:rsid w:val="39DD4F2D"/>
    <w:rsid w:val="39DE0FDC"/>
    <w:rsid w:val="39DF2BDA"/>
    <w:rsid w:val="39E12C05"/>
    <w:rsid w:val="39E151A9"/>
    <w:rsid w:val="39E216EF"/>
    <w:rsid w:val="39E2441D"/>
    <w:rsid w:val="39E52BA5"/>
    <w:rsid w:val="39E6071A"/>
    <w:rsid w:val="39E7384D"/>
    <w:rsid w:val="39E916C7"/>
    <w:rsid w:val="39E930EB"/>
    <w:rsid w:val="39E96CB5"/>
    <w:rsid w:val="39EB2E48"/>
    <w:rsid w:val="39EC165E"/>
    <w:rsid w:val="39EC6B32"/>
    <w:rsid w:val="39ED6BE8"/>
    <w:rsid w:val="39EE2E33"/>
    <w:rsid w:val="39EF48C2"/>
    <w:rsid w:val="39F145F7"/>
    <w:rsid w:val="39F2241E"/>
    <w:rsid w:val="39F253E9"/>
    <w:rsid w:val="39F3044A"/>
    <w:rsid w:val="39F30896"/>
    <w:rsid w:val="39F36837"/>
    <w:rsid w:val="39F43AD4"/>
    <w:rsid w:val="39F46776"/>
    <w:rsid w:val="39F57155"/>
    <w:rsid w:val="39F6667A"/>
    <w:rsid w:val="39F910AC"/>
    <w:rsid w:val="39F92CC9"/>
    <w:rsid w:val="39F97A38"/>
    <w:rsid w:val="39FA0077"/>
    <w:rsid w:val="39FB3B58"/>
    <w:rsid w:val="39FC040D"/>
    <w:rsid w:val="39FC0696"/>
    <w:rsid w:val="39FC16E4"/>
    <w:rsid w:val="39FC6836"/>
    <w:rsid w:val="39FC702D"/>
    <w:rsid w:val="39FC79D7"/>
    <w:rsid w:val="39FD2485"/>
    <w:rsid w:val="39FF15B5"/>
    <w:rsid w:val="3A002CB2"/>
    <w:rsid w:val="3A0126ED"/>
    <w:rsid w:val="3A033D67"/>
    <w:rsid w:val="3A03778D"/>
    <w:rsid w:val="3A0466EF"/>
    <w:rsid w:val="3A05222B"/>
    <w:rsid w:val="3A06470D"/>
    <w:rsid w:val="3A08283A"/>
    <w:rsid w:val="3A086DB2"/>
    <w:rsid w:val="3A0A1D78"/>
    <w:rsid w:val="3A0A231E"/>
    <w:rsid w:val="3A0B0650"/>
    <w:rsid w:val="3A0B2DFF"/>
    <w:rsid w:val="3A0B4738"/>
    <w:rsid w:val="3A0B694A"/>
    <w:rsid w:val="3A0C2DB2"/>
    <w:rsid w:val="3A0C79FC"/>
    <w:rsid w:val="3A0D6176"/>
    <w:rsid w:val="3A0E3C46"/>
    <w:rsid w:val="3A0F23C6"/>
    <w:rsid w:val="3A0F67C2"/>
    <w:rsid w:val="3A1009B7"/>
    <w:rsid w:val="3A103DF9"/>
    <w:rsid w:val="3A1079F1"/>
    <w:rsid w:val="3A1208F3"/>
    <w:rsid w:val="3A1545F8"/>
    <w:rsid w:val="3A163393"/>
    <w:rsid w:val="3A164978"/>
    <w:rsid w:val="3A173F7E"/>
    <w:rsid w:val="3A1757FF"/>
    <w:rsid w:val="3A183595"/>
    <w:rsid w:val="3A1863BD"/>
    <w:rsid w:val="3A1870E2"/>
    <w:rsid w:val="3A1940ED"/>
    <w:rsid w:val="3A194840"/>
    <w:rsid w:val="3A1A3188"/>
    <w:rsid w:val="3A1D16D4"/>
    <w:rsid w:val="3A1E0EB4"/>
    <w:rsid w:val="3A1E6560"/>
    <w:rsid w:val="3A1F0A1D"/>
    <w:rsid w:val="3A205A64"/>
    <w:rsid w:val="3A23434F"/>
    <w:rsid w:val="3A242D3E"/>
    <w:rsid w:val="3A246C55"/>
    <w:rsid w:val="3A266DD6"/>
    <w:rsid w:val="3A270CCE"/>
    <w:rsid w:val="3A282404"/>
    <w:rsid w:val="3A2A0724"/>
    <w:rsid w:val="3A2A2C5A"/>
    <w:rsid w:val="3A2A68E8"/>
    <w:rsid w:val="3A2B1DDC"/>
    <w:rsid w:val="3A2D38A7"/>
    <w:rsid w:val="3A2D4A9D"/>
    <w:rsid w:val="3A2E01C9"/>
    <w:rsid w:val="3A2E3D32"/>
    <w:rsid w:val="3A2F3E8D"/>
    <w:rsid w:val="3A31511B"/>
    <w:rsid w:val="3A317AB7"/>
    <w:rsid w:val="3A323DD1"/>
    <w:rsid w:val="3A330671"/>
    <w:rsid w:val="3A353EAA"/>
    <w:rsid w:val="3A3628AF"/>
    <w:rsid w:val="3A3713D2"/>
    <w:rsid w:val="3A3831AC"/>
    <w:rsid w:val="3A3C16A4"/>
    <w:rsid w:val="3A3C79F2"/>
    <w:rsid w:val="3A3D5B7E"/>
    <w:rsid w:val="3A3E5351"/>
    <w:rsid w:val="3A3E6D02"/>
    <w:rsid w:val="3A3F02FA"/>
    <w:rsid w:val="3A403C89"/>
    <w:rsid w:val="3A403F7D"/>
    <w:rsid w:val="3A433CC1"/>
    <w:rsid w:val="3A437D51"/>
    <w:rsid w:val="3A451DB4"/>
    <w:rsid w:val="3A454E42"/>
    <w:rsid w:val="3A45700A"/>
    <w:rsid w:val="3A461688"/>
    <w:rsid w:val="3A474700"/>
    <w:rsid w:val="3A474F6A"/>
    <w:rsid w:val="3A480C76"/>
    <w:rsid w:val="3A481F25"/>
    <w:rsid w:val="3A490B9A"/>
    <w:rsid w:val="3A4A627E"/>
    <w:rsid w:val="3A4A6F76"/>
    <w:rsid w:val="3A4B3142"/>
    <w:rsid w:val="3A4B7F6B"/>
    <w:rsid w:val="3A4D0C68"/>
    <w:rsid w:val="3A4D33C7"/>
    <w:rsid w:val="3A4D3448"/>
    <w:rsid w:val="3A4D36FB"/>
    <w:rsid w:val="3A4D5E68"/>
    <w:rsid w:val="3A4E025A"/>
    <w:rsid w:val="3A5008CE"/>
    <w:rsid w:val="3A5052DC"/>
    <w:rsid w:val="3A536433"/>
    <w:rsid w:val="3A541A1F"/>
    <w:rsid w:val="3A542638"/>
    <w:rsid w:val="3A552868"/>
    <w:rsid w:val="3A553C81"/>
    <w:rsid w:val="3A5566D0"/>
    <w:rsid w:val="3A5766D7"/>
    <w:rsid w:val="3A58324F"/>
    <w:rsid w:val="3A5A71D0"/>
    <w:rsid w:val="3A5B0F9B"/>
    <w:rsid w:val="3A5B48FE"/>
    <w:rsid w:val="3A5C70FE"/>
    <w:rsid w:val="3A5C7E88"/>
    <w:rsid w:val="3A5D26F9"/>
    <w:rsid w:val="3A5D2817"/>
    <w:rsid w:val="3A5E4285"/>
    <w:rsid w:val="3A5E48D7"/>
    <w:rsid w:val="3A5F485A"/>
    <w:rsid w:val="3A5F4B24"/>
    <w:rsid w:val="3A5F58D8"/>
    <w:rsid w:val="3A60099C"/>
    <w:rsid w:val="3A610B6C"/>
    <w:rsid w:val="3A6133FB"/>
    <w:rsid w:val="3A615FE9"/>
    <w:rsid w:val="3A6333DD"/>
    <w:rsid w:val="3A634362"/>
    <w:rsid w:val="3A635E3C"/>
    <w:rsid w:val="3A643462"/>
    <w:rsid w:val="3A647C3D"/>
    <w:rsid w:val="3A650628"/>
    <w:rsid w:val="3A65570D"/>
    <w:rsid w:val="3A671DF1"/>
    <w:rsid w:val="3A673191"/>
    <w:rsid w:val="3A6829DF"/>
    <w:rsid w:val="3A682B4F"/>
    <w:rsid w:val="3A6959D1"/>
    <w:rsid w:val="3A696E21"/>
    <w:rsid w:val="3A6A1864"/>
    <w:rsid w:val="3A6C556D"/>
    <w:rsid w:val="3A6E3310"/>
    <w:rsid w:val="3A6F4BB4"/>
    <w:rsid w:val="3A6F7D4C"/>
    <w:rsid w:val="3A710516"/>
    <w:rsid w:val="3A7160C2"/>
    <w:rsid w:val="3A73080E"/>
    <w:rsid w:val="3A737467"/>
    <w:rsid w:val="3A74767B"/>
    <w:rsid w:val="3A767899"/>
    <w:rsid w:val="3A770D14"/>
    <w:rsid w:val="3A7A505D"/>
    <w:rsid w:val="3A7A62AC"/>
    <w:rsid w:val="3A7A745C"/>
    <w:rsid w:val="3A7A7A03"/>
    <w:rsid w:val="3A7B7AF4"/>
    <w:rsid w:val="3A7C4C29"/>
    <w:rsid w:val="3A7E4375"/>
    <w:rsid w:val="3A7E7891"/>
    <w:rsid w:val="3A800A35"/>
    <w:rsid w:val="3A81055D"/>
    <w:rsid w:val="3A816B64"/>
    <w:rsid w:val="3A823373"/>
    <w:rsid w:val="3A825339"/>
    <w:rsid w:val="3A825D45"/>
    <w:rsid w:val="3A836127"/>
    <w:rsid w:val="3A841979"/>
    <w:rsid w:val="3A851D11"/>
    <w:rsid w:val="3A855C9A"/>
    <w:rsid w:val="3A867648"/>
    <w:rsid w:val="3A870C8E"/>
    <w:rsid w:val="3A876D5F"/>
    <w:rsid w:val="3A887752"/>
    <w:rsid w:val="3A89525D"/>
    <w:rsid w:val="3A897ABC"/>
    <w:rsid w:val="3A8A2A95"/>
    <w:rsid w:val="3A8A482D"/>
    <w:rsid w:val="3A8B0CEC"/>
    <w:rsid w:val="3A8C3BDF"/>
    <w:rsid w:val="3A901D8A"/>
    <w:rsid w:val="3A904D26"/>
    <w:rsid w:val="3A9127ED"/>
    <w:rsid w:val="3A922B1F"/>
    <w:rsid w:val="3A924E47"/>
    <w:rsid w:val="3A940D6F"/>
    <w:rsid w:val="3A942344"/>
    <w:rsid w:val="3A994C79"/>
    <w:rsid w:val="3A9D63F0"/>
    <w:rsid w:val="3A9D6956"/>
    <w:rsid w:val="3A9E0D2C"/>
    <w:rsid w:val="3A9F0A5B"/>
    <w:rsid w:val="3A9F4E80"/>
    <w:rsid w:val="3AA07620"/>
    <w:rsid w:val="3AA209BB"/>
    <w:rsid w:val="3AA21046"/>
    <w:rsid w:val="3AA26FF9"/>
    <w:rsid w:val="3AA27C27"/>
    <w:rsid w:val="3AA402E7"/>
    <w:rsid w:val="3AA42343"/>
    <w:rsid w:val="3AA6031D"/>
    <w:rsid w:val="3AA7140D"/>
    <w:rsid w:val="3AA80595"/>
    <w:rsid w:val="3AA80930"/>
    <w:rsid w:val="3AA80B70"/>
    <w:rsid w:val="3AA823EF"/>
    <w:rsid w:val="3AA84B0D"/>
    <w:rsid w:val="3AA9463E"/>
    <w:rsid w:val="3AA9661A"/>
    <w:rsid w:val="3AAB6817"/>
    <w:rsid w:val="3AAC379C"/>
    <w:rsid w:val="3AAC62DC"/>
    <w:rsid w:val="3AAD1315"/>
    <w:rsid w:val="3AAF1188"/>
    <w:rsid w:val="3AAF36D1"/>
    <w:rsid w:val="3AB03CE5"/>
    <w:rsid w:val="3AB06F9C"/>
    <w:rsid w:val="3AB203FE"/>
    <w:rsid w:val="3AB20ACA"/>
    <w:rsid w:val="3AB30226"/>
    <w:rsid w:val="3AB46212"/>
    <w:rsid w:val="3AB52C6B"/>
    <w:rsid w:val="3AB62FB4"/>
    <w:rsid w:val="3AB67294"/>
    <w:rsid w:val="3AB763D8"/>
    <w:rsid w:val="3AB7651F"/>
    <w:rsid w:val="3ABA14DF"/>
    <w:rsid w:val="3ABA2851"/>
    <w:rsid w:val="3ABA44E9"/>
    <w:rsid w:val="3ABB1576"/>
    <w:rsid w:val="3ABB1B9F"/>
    <w:rsid w:val="3ABD0E98"/>
    <w:rsid w:val="3ABD7213"/>
    <w:rsid w:val="3ABE518F"/>
    <w:rsid w:val="3ABE61F1"/>
    <w:rsid w:val="3ABF3BA9"/>
    <w:rsid w:val="3AC04C02"/>
    <w:rsid w:val="3AC06EA9"/>
    <w:rsid w:val="3AC1046A"/>
    <w:rsid w:val="3AC30F2B"/>
    <w:rsid w:val="3AC31970"/>
    <w:rsid w:val="3AC37F84"/>
    <w:rsid w:val="3AC4182C"/>
    <w:rsid w:val="3AC44C76"/>
    <w:rsid w:val="3AC44CDC"/>
    <w:rsid w:val="3AC47CA0"/>
    <w:rsid w:val="3AC60A04"/>
    <w:rsid w:val="3AC62CEA"/>
    <w:rsid w:val="3AC8174D"/>
    <w:rsid w:val="3AC829E4"/>
    <w:rsid w:val="3ACA3E5E"/>
    <w:rsid w:val="3ACA6289"/>
    <w:rsid w:val="3ACA764E"/>
    <w:rsid w:val="3ACB30F0"/>
    <w:rsid w:val="3ACC2CE5"/>
    <w:rsid w:val="3ACC2FE7"/>
    <w:rsid w:val="3ACC3F8A"/>
    <w:rsid w:val="3ACC56A1"/>
    <w:rsid w:val="3ACC7098"/>
    <w:rsid w:val="3ACD3990"/>
    <w:rsid w:val="3ACE3206"/>
    <w:rsid w:val="3ACE5A37"/>
    <w:rsid w:val="3ACF241C"/>
    <w:rsid w:val="3AD10C26"/>
    <w:rsid w:val="3AD153F6"/>
    <w:rsid w:val="3AD34A39"/>
    <w:rsid w:val="3AD36D6E"/>
    <w:rsid w:val="3AD425C9"/>
    <w:rsid w:val="3AD63E74"/>
    <w:rsid w:val="3AD6727D"/>
    <w:rsid w:val="3AD67475"/>
    <w:rsid w:val="3AD703CE"/>
    <w:rsid w:val="3AD7642C"/>
    <w:rsid w:val="3AD91409"/>
    <w:rsid w:val="3ADC6903"/>
    <w:rsid w:val="3ADC7848"/>
    <w:rsid w:val="3ADD20CD"/>
    <w:rsid w:val="3ADE39F0"/>
    <w:rsid w:val="3ADE644A"/>
    <w:rsid w:val="3AE1574F"/>
    <w:rsid w:val="3AE20DB9"/>
    <w:rsid w:val="3AE33E22"/>
    <w:rsid w:val="3AE36E5C"/>
    <w:rsid w:val="3AE5673E"/>
    <w:rsid w:val="3AE65B9A"/>
    <w:rsid w:val="3AE7211D"/>
    <w:rsid w:val="3AE77DC8"/>
    <w:rsid w:val="3AE809CA"/>
    <w:rsid w:val="3AE94EF5"/>
    <w:rsid w:val="3AEA3879"/>
    <w:rsid w:val="3AEB0872"/>
    <w:rsid w:val="3AEB2F7F"/>
    <w:rsid w:val="3AEB6922"/>
    <w:rsid w:val="3AED33D2"/>
    <w:rsid w:val="3AED735A"/>
    <w:rsid w:val="3AEE7F55"/>
    <w:rsid w:val="3AEF4806"/>
    <w:rsid w:val="3AF002A2"/>
    <w:rsid w:val="3AF03139"/>
    <w:rsid w:val="3AF0359B"/>
    <w:rsid w:val="3AF04C3A"/>
    <w:rsid w:val="3AF04E89"/>
    <w:rsid w:val="3AF05AF2"/>
    <w:rsid w:val="3AF171E7"/>
    <w:rsid w:val="3AF24D8A"/>
    <w:rsid w:val="3AF34A8E"/>
    <w:rsid w:val="3AF50CC4"/>
    <w:rsid w:val="3AF556A9"/>
    <w:rsid w:val="3AF63747"/>
    <w:rsid w:val="3AF86F21"/>
    <w:rsid w:val="3AF92E95"/>
    <w:rsid w:val="3AFA0A43"/>
    <w:rsid w:val="3AFA290B"/>
    <w:rsid w:val="3AFA60D3"/>
    <w:rsid w:val="3AFA6455"/>
    <w:rsid w:val="3AFB476C"/>
    <w:rsid w:val="3AFC2C58"/>
    <w:rsid w:val="3AFD521C"/>
    <w:rsid w:val="3AFD5D94"/>
    <w:rsid w:val="3AFE65DC"/>
    <w:rsid w:val="3AFE6D33"/>
    <w:rsid w:val="3AFF7725"/>
    <w:rsid w:val="3B004663"/>
    <w:rsid w:val="3B007B7F"/>
    <w:rsid w:val="3B01357E"/>
    <w:rsid w:val="3B016FED"/>
    <w:rsid w:val="3B022ED3"/>
    <w:rsid w:val="3B036281"/>
    <w:rsid w:val="3B0506FB"/>
    <w:rsid w:val="3B0543F0"/>
    <w:rsid w:val="3B073CFA"/>
    <w:rsid w:val="3B083CD0"/>
    <w:rsid w:val="3B0B3C11"/>
    <w:rsid w:val="3B0C73A8"/>
    <w:rsid w:val="3B0E664A"/>
    <w:rsid w:val="3B100888"/>
    <w:rsid w:val="3B101426"/>
    <w:rsid w:val="3B10478A"/>
    <w:rsid w:val="3B110E9F"/>
    <w:rsid w:val="3B13165E"/>
    <w:rsid w:val="3B132658"/>
    <w:rsid w:val="3B1442BC"/>
    <w:rsid w:val="3B154C81"/>
    <w:rsid w:val="3B155F80"/>
    <w:rsid w:val="3B156589"/>
    <w:rsid w:val="3B1654FE"/>
    <w:rsid w:val="3B1739B5"/>
    <w:rsid w:val="3B173D9E"/>
    <w:rsid w:val="3B174606"/>
    <w:rsid w:val="3B177D91"/>
    <w:rsid w:val="3B183024"/>
    <w:rsid w:val="3B195F37"/>
    <w:rsid w:val="3B1A627B"/>
    <w:rsid w:val="3B1D65A8"/>
    <w:rsid w:val="3B1F0CA0"/>
    <w:rsid w:val="3B1F6759"/>
    <w:rsid w:val="3B204617"/>
    <w:rsid w:val="3B2106D6"/>
    <w:rsid w:val="3B2236ED"/>
    <w:rsid w:val="3B226610"/>
    <w:rsid w:val="3B2468ED"/>
    <w:rsid w:val="3B251429"/>
    <w:rsid w:val="3B256D6A"/>
    <w:rsid w:val="3B26403A"/>
    <w:rsid w:val="3B26452A"/>
    <w:rsid w:val="3B27125B"/>
    <w:rsid w:val="3B274EAC"/>
    <w:rsid w:val="3B280388"/>
    <w:rsid w:val="3B281D51"/>
    <w:rsid w:val="3B2B1C89"/>
    <w:rsid w:val="3B2B2265"/>
    <w:rsid w:val="3B2C129D"/>
    <w:rsid w:val="3B2C27D0"/>
    <w:rsid w:val="3B2D442B"/>
    <w:rsid w:val="3B2F5A12"/>
    <w:rsid w:val="3B304A7F"/>
    <w:rsid w:val="3B313E26"/>
    <w:rsid w:val="3B322951"/>
    <w:rsid w:val="3B352C21"/>
    <w:rsid w:val="3B361B96"/>
    <w:rsid w:val="3B3708FF"/>
    <w:rsid w:val="3B382418"/>
    <w:rsid w:val="3B382901"/>
    <w:rsid w:val="3B3A6F68"/>
    <w:rsid w:val="3B3B5389"/>
    <w:rsid w:val="3B3C138C"/>
    <w:rsid w:val="3B3C3EC1"/>
    <w:rsid w:val="3B3D075A"/>
    <w:rsid w:val="3B3D2753"/>
    <w:rsid w:val="3B3D400C"/>
    <w:rsid w:val="3B3F0AF9"/>
    <w:rsid w:val="3B4226A5"/>
    <w:rsid w:val="3B4403C1"/>
    <w:rsid w:val="3B446E67"/>
    <w:rsid w:val="3B45697D"/>
    <w:rsid w:val="3B464036"/>
    <w:rsid w:val="3B47022E"/>
    <w:rsid w:val="3B483945"/>
    <w:rsid w:val="3B4A37FB"/>
    <w:rsid w:val="3B4A5451"/>
    <w:rsid w:val="3B4D69EE"/>
    <w:rsid w:val="3B4D7A65"/>
    <w:rsid w:val="3B4E32C7"/>
    <w:rsid w:val="3B4E6984"/>
    <w:rsid w:val="3B4F7A52"/>
    <w:rsid w:val="3B514788"/>
    <w:rsid w:val="3B5423C6"/>
    <w:rsid w:val="3B54769A"/>
    <w:rsid w:val="3B55079E"/>
    <w:rsid w:val="3B5664EE"/>
    <w:rsid w:val="3B567633"/>
    <w:rsid w:val="3B57508A"/>
    <w:rsid w:val="3B583F33"/>
    <w:rsid w:val="3B5923C1"/>
    <w:rsid w:val="3B592D93"/>
    <w:rsid w:val="3B594D69"/>
    <w:rsid w:val="3B5953EB"/>
    <w:rsid w:val="3B5A0A24"/>
    <w:rsid w:val="3B5A17B1"/>
    <w:rsid w:val="3B5A42F8"/>
    <w:rsid w:val="3B5B0D3A"/>
    <w:rsid w:val="3B5E49D4"/>
    <w:rsid w:val="3B5E53F6"/>
    <w:rsid w:val="3B601F99"/>
    <w:rsid w:val="3B606496"/>
    <w:rsid w:val="3B612658"/>
    <w:rsid w:val="3B625943"/>
    <w:rsid w:val="3B632A29"/>
    <w:rsid w:val="3B640E59"/>
    <w:rsid w:val="3B670289"/>
    <w:rsid w:val="3B691B42"/>
    <w:rsid w:val="3B6A6561"/>
    <w:rsid w:val="3B6B0B9E"/>
    <w:rsid w:val="3B6B0E59"/>
    <w:rsid w:val="3B6B1D9F"/>
    <w:rsid w:val="3B6C7B85"/>
    <w:rsid w:val="3B6E533A"/>
    <w:rsid w:val="3B6E7B7D"/>
    <w:rsid w:val="3B6F777E"/>
    <w:rsid w:val="3B7049B0"/>
    <w:rsid w:val="3B706E9C"/>
    <w:rsid w:val="3B7410F9"/>
    <w:rsid w:val="3B74617A"/>
    <w:rsid w:val="3B747592"/>
    <w:rsid w:val="3B75015D"/>
    <w:rsid w:val="3B75792E"/>
    <w:rsid w:val="3B762BE7"/>
    <w:rsid w:val="3B7865EC"/>
    <w:rsid w:val="3B7D60B9"/>
    <w:rsid w:val="3B7E2AEF"/>
    <w:rsid w:val="3B853766"/>
    <w:rsid w:val="3B855B04"/>
    <w:rsid w:val="3B865E59"/>
    <w:rsid w:val="3B870E17"/>
    <w:rsid w:val="3B872869"/>
    <w:rsid w:val="3B87335E"/>
    <w:rsid w:val="3B875FD2"/>
    <w:rsid w:val="3B877645"/>
    <w:rsid w:val="3B8A2CDE"/>
    <w:rsid w:val="3B8A79B6"/>
    <w:rsid w:val="3B8C3310"/>
    <w:rsid w:val="3B8E4CED"/>
    <w:rsid w:val="3B8F5B2A"/>
    <w:rsid w:val="3B906DB8"/>
    <w:rsid w:val="3B911325"/>
    <w:rsid w:val="3B912A5C"/>
    <w:rsid w:val="3B9162E8"/>
    <w:rsid w:val="3B926B7B"/>
    <w:rsid w:val="3B926D74"/>
    <w:rsid w:val="3B9312E8"/>
    <w:rsid w:val="3B933B54"/>
    <w:rsid w:val="3B942BBB"/>
    <w:rsid w:val="3B945687"/>
    <w:rsid w:val="3B972D4A"/>
    <w:rsid w:val="3B9734F7"/>
    <w:rsid w:val="3B981C52"/>
    <w:rsid w:val="3B9904A8"/>
    <w:rsid w:val="3B993465"/>
    <w:rsid w:val="3B994110"/>
    <w:rsid w:val="3B9A138E"/>
    <w:rsid w:val="3B9B0A27"/>
    <w:rsid w:val="3B9B0F33"/>
    <w:rsid w:val="3B9C130C"/>
    <w:rsid w:val="3B9C600B"/>
    <w:rsid w:val="3B9D2CF2"/>
    <w:rsid w:val="3B9D48EB"/>
    <w:rsid w:val="3B9D7DFA"/>
    <w:rsid w:val="3B9F54F4"/>
    <w:rsid w:val="3BA034B3"/>
    <w:rsid w:val="3BA03D70"/>
    <w:rsid w:val="3BA10D78"/>
    <w:rsid w:val="3BA12207"/>
    <w:rsid w:val="3BA14F7B"/>
    <w:rsid w:val="3BA35C50"/>
    <w:rsid w:val="3BA455F8"/>
    <w:rsid w:val="3BA47028"/>
    <w:rsid w:val="3BA5106E"/>
    <w:rsid w:val="3BA57D70"/>
    <w:rsid w:val="3BA973CA"/>
    <w:rsid w:val="3BAB56AC"/>
    <w:rsid w:val="3BAE3AB5"/>
    <w:rsid w:val="3BAE5CA8"/>
    <w:rsid w:val="3BAF0B03"/>
    <w:rsid w:val="3BAF4054"/>
    <w:rsid w:val="3BB017C6"/>
    <w:rsid w:val="3BB11840"/>
    <w:rsid w:val="3BB178F1"/>
    <w:rsid w:val="3BB21243"/>
    <w:rsid w:val="3BB23479"/>
    <w:rsid w:val="3BB23C72"/>
    <w:rsid w:val="3BB254FC"/>
    <w:rsid w:val="3BB33423"/>
    <w:rsid w:val="3BB60F42"/>
    <w:rsid w:val="3BB70335"/>
    <w:rsid w:val="3BB8164D"/>
    <w:rsid w:val="3BBA6BBC"/>
    <w:rsid w:val="3BBB578D"/>
    <w:rsid w:val="3BBB7E54"/>
    <w:rsid w:val="3BBC1A53"/>
    <w:rsid w:val="3BBC7247"/>
    <w:rsid w:val="3BC0486E"/>
    <w:rsid w:val="3BC14748"/>
    <w:rsid w:val="3BC332C2"/>
    <w:rsid w:val="3BC41400"/>
    <w:rsid w:val="3BC47F27"/>
    <w:rsid w:val="3BC662E3"/>
    <w:rsid w:val="3BC81A38"/>
    <w:rsid w:val="3BC96A15"/>
    <w:rsid w:val="3BCA0CF2"/>
    <w:rsid w:val="3BCE61C7"/>
    <w:rsid w:val="3BCF5E7D"/>
    <w:rsid w:val="3BD27E01"/>
    <w:rsid w:val="3BD5426D"/>
    <w:rsid w:val="3BD62CFD"/>
    <w:rsid w:val="3BD97726"/>
    <w:rsid w:val="3BDB2EB5"/>
    <w:rsid w:val="3BDC22DA"/>
    <w:rsid w:val="3BDD1EAD"/>
    <w:rsid w:val="3BDD4C90"/>
    <w:rsid w:val="3BDD6CBD"/>
    <w:rsid w:val="3BDD7BDA"/>
    <w:rsid w:val="3BDE53D3"/>
    <w:rsid w:val="3BDF3B42"/>
    <w:rsid w:val="3BDF56E8"/>
    <w:rsid w:val="3BE13F33"/>
    <w:rsid w:val="3BE312E1"/>
    <w:rsid w:val="3BE3347F"/>
    <w:rsid w:val="3BE34947"/>
    <w:rsid w:val="3BE41411"/>
    <w:rsid w:val="3BE57DF3"/>
    <w:rsid w:val="3BE61945"/>
    <w:rsid w:val="3BE63D3A"/>
    <w:rsid w:val="3BE667D3"/>
    <w:rsid w:val="3BE67FEA"/>
    <w:rsid w:val="3BE9629A"/>
    <w:rsid w:val="3BEA65AF"/>
    <w:rsid w:val="3BEB3C77"/>
    <w:rsid w:val="3BEC27E0"/>
    <w:rsid w:val="3BED733C"/>
    <w:rsid w:val="3BEE4A4F"/>
    <w:rsid w:val="3BEF06BC"/>
    <w:rsid w:val="3BEF2D4E"/>
    <w:rsid w:val="3BF00388"/>
    <w:rsid w:val="3BF06FE4"/>
    <w:rsid w:val="3BF0753C"/>
    <w:rsid w:val="3BF11560"/>
    <w:rsid w:val="3BF206F8"/>
    <w:rsid w:val="3BF26994"/>
    <w:rsid w:val="3BF46599"/>
    <w:rsid w:val="3BF616CB"/>
    <w:rsid w:val="3BF82E56"/>
    <w:rsid w:val="3BF9470B"/>
    <w:rsid w:val="3BFA1AA1"/>
    <w:rsid w:val="3BFA705B"/>
    <w:rsid w:val="3BFA76A7"/>
    <w:rsid w:val="3BFB149C"/>
    <w:rsid w:val="3BFB52F3"/>
    <w:rsid w:val="3BFB6637"/>
    <w:rsid w:val="3BFB7D6F"/>
    <w:rsid w:val="3BFD6A9D"/>
    <w:rsid w:val="3BFE329A"/>
    <w:rsid w:val="3BFE7973"/>
    <w:rsid w:val="3BFF20D3"/>
    <w:rsid w:val="3BFF6DB5"/>
    <w:rsid w:val="3C01261E"/>
    <w:rsid w:val="3C0241BA"/>
    <w:rsid w:val="3C040110"/>
    <w:rsid w:val="3C044953"/>
    <w:rsid w:val="3C0518D5"/>
    <w:rsid w:val="3C05685F"/>
    <w:rsid w:val="3C061C00"/>
    <w:rsid w:val="3C067ED9"/>
    <w:rsid w:val="3C07174B"/>
    <w:rsid w:val="3C077D86"/>
    <w:rsid w:val="3C081E62"/>
    <w:rsid w:val="3C082E6C"/>
    <w:rsid w:val="3C0C71F2"/>
    <w:rsid w:val="3C0C7CB1"/>
    <w:rsid w:val="3C0D4B53"/>
    <w:rsid w:val="3C100D10"/>
    <w:rsid w:val="3C101C14"/>
    <w:rsid w:val="3C1076A5"/>
    <w:rsid w:val="3C1332A9"/>
    <w:rsid w:val="3C157F35"/>
    <w:rsid w:val="3C167F55"/>
    <w:rsid w:val="3C170C73"/>
    <w:rsid w:val="3C181BA3"/>
    <w:rsid w:val="3C1840DA"/>
    <w:rsid w:val="3C1C462B"/>
    <w:rsid w:val="3C1D624C"/>
    <w:rsid w:val="3C1D62E2"/>
    <w:rsid w:val="3C201A40"/>
    <w:rsid w:val="3C2126BE"/>
    <w:rsid w:val="3C2240A6"/>
    <w:rsid w:val="3C2304AF"/>
    <w:rsid w:val="3C233B08"/>
    <w:rsid w:val="3C23552B"/>
    <w:rsid w:val="3C246F9A"/>
    <w:rsid w:val="3C2554AA"/>
    <w:rsid w:val="3C267D64"/>
    <w:rsid w:val="3C270510"/>
    <w:rsid w:val="3C2725D8"/>
    <w:rsid w:val="3C2A7200"/>
    <w:rsid w:val="3C2B3637"/>
    <w:rsid w:val="3C2F6C26"/>
    <w:rsid w:val="3C300480"/>
    <w:rsid w:val="3C3063DD"/>
    <w:rsid w:val="3C3116CD"/>
    <w:rsid w:val="3C313204"/>
    <w:rsid w:val="3C314D7B"/>
    <w:rsid w:val="3C315301"/>
    <w:rsid w:val="3C3156A6"/>
    <w:rsid w:val="3C326AF3"/>
    <w:rsid w:val="3C330EFA"/>
    <w:rsid w:val="3C331A39"/>
    <w:rsid w:val="3C337AA7"/>
    <w:rsid w:val="3C3416AB"/>
    <w:rsid w:val="3C345610"/>
    <w:rsid w:val="3C354E36"/>
    <w:rsid w:val="3C36187F"/>
    <w:rsid w:val="3C3623F0"/>
    <w:rsid w:val="3C387893"/>
    <w:rsid w:val="3C3A3EAD"/>
    <w:rsid w:val="3C3A4614"/>
    <w:rsid w:val="3C3B5D33"/>
    <w:rsid w:val="3C3C36EB"/>
    <w:rsid w:val="3C3D0A16"/>
    <w:rsid w:val="3C3D338E"/>
    <w:rsid w:val="3C3D7A11"/>
    <w:rsid w:val="3C3E28C1"/>
    <w:rsid w:val="3C3F2833"/>
    <w:rsid w:val="3C3F4628"/>
    <w:rsid w:val="3C4021F0"/>
    <w:rsid w:val="3C412FC8"/>
    <w:rsid w:val="3C4267BD"/>
    <w:rsid w:val="3C433E92"/>
    <w:rsid w:val="3C440DF6"/>
    <w:rsid w:val="3C4621E9"/>
    <w:rsid w:val="3C467494"/>
    <w:rsid w:val="3C4766AB"/>
    <w:rsid w:val="3C491B00"/>
    <w:rsid w:val="3C4B11D8"/>
    <w:rsid w:val="3C4C696A"/>
    <w:rsid w:val="3C4D7906"/>
    <w:rsid w:val="3C4F35D2"/>
    <w:rsid w:val="3C4F4085"/>
    <w:rsid w:val="3C521F23"/>
    <w:rsid w:val="3C522FC4"/>
    <w:rsid w:val="3C536C6F"/>
    <w:rsid w:val="3C54116B"/>
    <w:rsid w:val="3C567E69"/>
    <w:rsid w:val="3C585C55"/>
    <w:rsid w:val="3C590725"/>
    <w:rsid w:val="3C5A2792"/>
    <w:rsid w:val="3C5A5B27"/>
    <w:rsid w:val="3C5A766D"/>
    <w:rsid w:val="3C5B1C31"/>
    <w:rsid w:val="3C5B2FAE"/>
    <w:rsid w:val="3C5B78FD"/>
    <w:rsid w:val="3C5D7FD5"/>
    <w:rsid w:val="3C5E1563"/>
    <w:rsid w:val="3C5F518D"/>
    <w:rsid w:val="3C6064B0"/>
    <w:rsid w:val="3C6236B5"/>
    <w:rsid w:val="3C642299"/>
    <w:rsid w:val="3C64568B"/>
    <w:rsid w:val="3C655AD2"/>
    <w:rsid w:val="3C6773E3"/>
    <w:rsid w:val="3C692A10"/>
    <w:rsid w:val="3C6A69F8"/>
    <w:rsid w:val="3C6C58E3"/>
    <w:rsid w:val="3C6D73A0"/>
    <w:rsid w:val="3C6E132B"/>
    <w:rsid w:val="3C6E6AA3"/>
    <w:rsid w:val="3C6F3E19"/>
    <w:rsid w:val="3C6F4525"/>
    <w:rsid w:val="3C71771B"/>
    <w:rsid w:val="3C721E2B"/>
    <w:rsid w:val="3C72598F"/>
    <w:rsid w:val="3C727323"/>
    <w:rsid w:val="3C736B23"/>
    <w:rsid w:val="3C7416F3"/>
    <w:rsid w:val="3C751054"/>
    <w:rsid w:val="3C7566F0"/>
    <w:rsid w:val="3C7600CD"/>
    <w:rsid w:val="3C772E8C"/>
    <w:rsid w:val="3C77482C"/>
    <w:rsid w:val="3C775BDA"/>
    <w:rsid w:val="3C7818F9"/>
    <w:rsid w:val="3C7869FA"/>
    <w:rsid w:val="3C7A3F3B"/>
    <w:rsid w:val="3C7A47B5"/>
    <w:rsid w:val="3C7A4BB8"/>
    <w:rsid w:val="3C7B10AD"/>
    <w:rsid w:val="3C7C1B8E"/>
    <w:rsid w:val="3C7D4CFD"/>
    <w:rsid w:val="3C7E2BF7"/>
    <w:rsid w:val="3C7F2190"/>
    <w:rsid w:val="3C7F2812"/>
    <w:rsid w:val="3C7F70D3"/>
    <w:rsid w:val="3C8021B9"/>
    <w:rsid w:val="3C80442C"/>
    <w:rsid w:val="3C806B4B"/>
    <w:rsid w:val="3C807828"/>
    <w:rsid w:val="3C8117DE"/>
    <w:rsid w:val="3C817E54"/>
    <w:rsid w:val="3C820071"/>
    <w:rsid w:val="3C825652"/>
    <w:rsid w:val="3C8409B4"/>
    <w:rsid w:val="3C855E1A"/>
    <w:rsid w:val="3C8614EF"/>
    <w:rsid w:val="3C8616A4"/>
    <w:rsid w:val="3C865C9E"/>
    <w:rsid w:val="3C876AB2"/>
    <w:rsid w:val="3C8921B5"/>
    <w:rsid w:val="3C892F8A"/>
    <w:rsid w:val="3C8A5CA3"/>
    <w:rsid w:val="3C8B00D5"/>
    <w:rsid w:val="3C8B1E3E"/>
    <w:rsid w:val="3C8B5C3A"/>
    <w:rsid w:val="3C8C2E8D"/>
    <w:rsid w:val="3C8C7672"/>
    <w:rsid w:val="3C8D394D"/>
    <w:rsid w:val="3C900EA7"/>
    <w:rsid w:val="3C9014FE"/>
    <w:rsid w:val="3C905C05"/>
    <w:rsid w:val="3C9120E0"/>
    <w:rsid w:val="3C93760A"/>
    <w:rsid w:val="3C943C3F"/>
    <w:rsid w:val="3C943CFE"/>
    <w:rsid w:val="3C944E3F"/>
    <w:rsid w:val="3C944F64"/>
    <w:rsid w:val="3C9450C1"/>
    <w:rsid w:val="3C946EF3"/>
    <w:rsid w:val="3C95149F"/>
    <w:rsid w:val="3C95498A"/>
    <w:rsid w:val="3C96432D"/>
    <w:rsid w:val="3C9645C0"/>
    <w:rsid w:val="3C9B00A9"/>
    <w:rsid w:val="3CA045C1"/>
    <w:rsid w:val="3CA10517"/>
    <w:rsid w:val="3CA16AD5"/>
    <w:rsid w:val="3CA16FAC"/>
    <w:rsid w:val="3CA21B35"/>
    <w:rsid w:val="3CA371C9"/>
    <w:rsid w:val="3CA43E32"/>
    <w:rsid w:val="3CA45D08"/>
    <w:rsid w:val="3CA528B3"/>
    <w:rsid w:val="3CA62BDB"/>
    <w:rsid w:val="3CA63B6A"/>
    <w:rsid w:val="3CA70EB7"/>
    <w:rsid w:val="3CA74738"/>
    <w:rsid w:val="3CA75AAC"/>
    <w:rsid w:val="3CA77097"/>
    <w:rsid w:val="3CA846FF"/>
    <w:rsid w:val="3CA91A43"/>
    <w:rsid w:val="3CA91AB1"/>
    <w:rsid w:val="3CAA05F4"/>
    <w:rsid w:val="3CAA2324"/>
    <w:rsid w:val="3CAB1C1E"/>
    <w:rsid w:val="3CAE5B0E"/>
    <w:rsid w:val="3CAE6D0F"/>
    <w:rsid w:val="3CAF2042"/>
    <w:rsid w:val="3CAF2ED9"/>
    <w:rsid w:val="3CB002BF"/>
    <w:rsid w:val="3CB07553"/>
    <w:rsid w:val="3CB10C79"/>
    <w:rsid w:val="3CB1107F"/>
    <w:rsid w:val="3CB148E8"/>
    <w:rsid w:val="3CB20511"/>
    <w:rsid w:val="3CB30717"/>
    <w:rsid w:val="3CB44FCF"/>
    <w:rsid w:val="3CB462DD"/>
    <w:rsid w:val="3CB46A40"/>
    <w:rsid w:val="3CB62FCE"/>
    <w:rsid w:val="3CB6743C"/>
    <w:rsid w:val="3CB7492E"/>
    <w:rsid w:val="3CB74F89"/>
    <w:rsid w:val="3CB92C22"/>
    <w:rsid w:val="3CB94957"/>
    <w:rsid w:val="3CB96D03"/>
    <w:rsid w:val="3CB97E2C"/>
    <w:rsid w:val="3CBA0106"/>
    <w:rsid w:val="3CBA2380"/>
    <w:rsid w:val="3CBA7524"/>
    <w:rsid w:val="3CBB34B0"/>
    <w:rsid w:val="3CBD6694"/>
    <w:rsid w:val="3CBE106A"/>
    <w:rsid w:val="3CBE5712"/>
    <w:rsid w:val="3CC02B12"/>
    <w:rsid w:val="3CC077CC"/>
    <w:rsid w:val="3CC12940"/>
    <w:rsid w:val="3CC13A65"/>
    <w:rsid w:val="3CC23170"/>
    <w:rsid w:val="3CC42F03"/>
    <w:rsid w:val="3CC51A86"/>
    <w:rsid w:val="3CC521E6"/>
    <w:rsid w:val="3CC81CA8"/>
    <w:rsid w:val="3CC84768"/>
    <w:rsid w:val="3CCA2316"/>
    <w:rsid w:val="3CCB4687"/>
    <w:rsid w:val="3CCB7C48"/>
    <w:rsid w:val="3CCB7D17"/>
    <w:rsid w:val="3CCC6EB2"/>
    <w:rsid w:val="3CCD0DB5"/>
    <w:rsid w:val="3CCD208A"/>
    <w:rsid w:val="3CCF4271"/>
    <w:rsid w:val="3CD01F9E"/>
    <w:rsid w:val="3CD54B9E"/>
    <w:rsid w:val="3CD61BE4"/>
    <w:rsid w:val="3CD674CA"/>
    <w:rsid w:val="3CD75427"/>
    <w:rsid w:val="3CD8065F"/>
    <w:rsid w:val="3CD8108F"/>
    <w:rsid w:val="3CDA02C7"/>
    <w:rsid w:val="3CDA1CDB"/>
    <w:rsid w:val="3CDA6648"/>
    <w:rsid w:val="3CDD6C5D"/>
    <w:rsid w:val="3CDE190E"/>
    <w:rsid w:val="3CDE67B2"/>
    <w:rsid w:val="3CDF3630"/>
    <w:rsid w:val="3CE04685"/>
    <w:rsid w:val="3CE1696B"/>
    <w:rsid w:val="3CE216CA"/>
    <w:rsid w:val="3CE2412D"/>
    <w:rsid w:val="3CE246B8"/>
    <w:rsid w:val="3CE3292C"/>
    <w:rsid w:val="3CE366AB"/>
    <w:rsid w:val="3CE36E99"/>
    <w:rsid w:val="3CE466CE"/>
    <w:rsid w:val="3CE72191"/>
    <w:rsid w:val="3CE73719"/>
    <w:rsid w:val="3CE8111C"/>
    <w:rsid w:val="3CEA45D2"/>
    <w:rsid w:val="3CEB0FED"/>
    <w:rsid w:val="3CEC262D"/>
    <w:rsid w:val="3CEC3C3F"/>
    <w:rsid w:val="3CEC5CEF"/>
    <w:rsid w:val="3CEE6EFF"/>
    <w:rsid w:val="3CEF1084"/>
    <w:rsid w:val="3CEF40F8"/>
    <w:rsid w:val="3CF05EA1"/>
    <w:rsid w:val="3CF247B0"/>
    <w:rsid w:val="3CF37A8F"/>
    <w:rsid w:val="3CF46155"/>
    <w:rsid w:val="3CF606C5"/>
    <w:rsid w:val="3CF65720"/>
    <w:rsid w:val="3CF6586B"/>
    <w:rsid w:val="3CF873E8"/>
    <w:rsid w:val="3CF93919"/>
    <w:rsid w:val="3CFB2BFE"/>
    <w:rsid w:val="3CFB498C"/>
    <w:rsid w:val="3CFB6943"/>
    <w:rsid w:val="3CFC0210"/>
    <w:rsid w:val="3CFD2C43"/>
    <w:rsid w:val="3CFF7DF0"/>
    <w:rsid w:val="3D0062AC"/>
    <w:rsid w:val="3D01327A"/>
    <w:rsid w:val="3D0139C0"/>
    <w:rsid w:val="3D041884"/>
    <w:rsid w:val="3D062BDF"/>
    <w:rsid w:val="3D064F7E"/>
    <w:rsid w:val="3D094F3F"/>
    <w:rsid w:val="3D0C62C8"/>
    <w:rsid w:val="3D0C72FA"/>
    <w:rsid w:val="3D0E1A56"/>
    <w:rsid w:val="3D0F161F"/>
    <w:rsid w:val="3D0F5AA5"/>
    <w:rsid w:val="3D0F7539"/>
    <w:rsid w:val="3D105235"/>
    <w:rsid w:val="3D107954"/>
    <w:rsid w:val="3D112940"/>
    <w:rsid w:val="3D1406E9"/>
    <w:rsid w:val="3D143CBF"/>
    <w:rsid w:val="3D1465C6"/>
    <w:rsid w:val="3D1673BC"/>
    <w:rsid w:val="3D171B22"/>
    <w:rsid w:val="3D177A20"/>
    <w:rsid w:val="3D1953A9"/>
    <w:rsid w:val="3D195DDB"/>
    <w:rsid w:val="3D1A76B2"/>
    <w:rsid w:val="3D1B277C"/>
    <w:rsid w:val="3D1B2CD2"/>
    <w:rsid w:val="3D1B4B11"/>
    <w:rsid w:val="3D1C1C9A"/>
    <w:rsid w:val="3D1C3BD4"/>
    <w:rsid w:val="3D1C6C59"/>
    <w:rsid w:val="3D1D43D4"/>
    <w:rsid w:val="3D1D4BFF"/>
    <w:rsid w:val="3D1F2341"/>
    <w:rsid w:val="3D205FC9"/>
    <w:rsid w:val="3D2230C8"/>
    <w:rsid w:val="3D22408E"/>
    <w:rsid w:val="3D233F03"/>
    <w:rsid w:val="3D237AE0"/>
    <w:rsid w:val="3D241873"/>
    <w:rsid w:val="3D2449E3"/>
    <w:rsid w:val="3D26158F"/>
    <w:rsid w:val="3D2828CA"/>
    <w:rsid w:val="3D282B8C"/>
    <w:rsid w:val="3D2A40D7"/>
    <w:rsid w:val="3D2A461C"/>
    <w:rsid w:val="3D2B1A89"/>
    <w:rsid w:val="3D2B1E27"/>
    <w:rsid w:val="3D2B27C3"/>
    <w:rsid w:val="3D2B34AC"/>
    <w:rsid w:val="3D2B5C7F"/>
    <w:rsid w:val="3D2D4756"/>
    <w:rsid w:val="3D2E390B"/>
    <w:rsid w:val="3D2F0588"/>
    <w:rsid w:val="3D2F72BC"/>
    <w:rsid w:val="3D310B35"/>
    <w:rsid w:val="3D312510"/>
    <w:rsid w:val="3D331B18"/>
    <w:rsid w:val="3D381CE4"/>
    <w:rsid w:val="3D3879AE"/>
    <w:rsid w:val="3D39106D"/>
    <w:rsid w:val="3D391B00"/>
    <w:rsid w:val="3D3937D8"/>
    <w:rsid w:val="3D3A22B5"/>
    <w:rsid w:val="3D3D1420"/>
    <w:rsid w:val="3D3E2E5C"/>
    <w:rsid w:val="3D402D06"/>
    <w:rsid w:val="3D411F8D"/>
    <w:rsid w:val="3D412ECA"/>
    <w:rsid w:val="3D422144"/>
    <w:rsid w:val="3D4420C2"/>
    <w:rsid w:val="3D4421F4"/>
    <w:rsid w:val="3D4621C3"/>
    <w:rsid w:val="3D4664A6"/>
    <w:rsid w:val="3D473739"/>
    <w:rsid w:val="3D4746B4"/>
    <w:rsid w:val="3D48137A"/>
    <w:rsid w:val="3D48580C"/>
    <w:rsid w:val="3D496702"/>
    <w:rsid w:val="3D496BE9"/>
    <w:rsid w:val="3D4A064F"/>
    <w:rsid w:val="3D4C29AE"/>
    <w:rsid w:val="3D4E53EC"/>
    <w:rsid w:val="3D4E6CFE"/>
    <w:rsid w:val="3D4F46D9"/>
    <w:rsid w:val="3D502BE8"/>
    <w:rsid w:val="3D515FED"/>
    <w:rsid w:val="3D521C2B"/>
    <w:rsid w:val="3D543F0A"/>
    <w:rsid w:val="3D572A7A"/>
    <w:rsid w:val="3D576913"/>
    <w:rsid w:val="3D577E79"/>
    <w:rsid w:val="3D595A5F"/>
    <w:rsid w:val="3D5A55D7"/>
    <w:rsid w:val="3D5A6A4C"/>
    <w:rsid w:val="3D5B256E"/>
    <w:rsid w:val="3D5C4D9A"/>
    <w:rsid w:val="3D5E0D3D"/>
    <w:rsid w:val="3D5E6CB7"/>
    <w:rsid w:val="3D5E7DCF"/>
    <w:rsid w:val="3D5F377A"/>
    <w:rsid w:val="3D622A1B"/>
    <w:rsid w:val="3D624A2B"/>
    <w:rsid w:val="3D65327E"/>
    <w:rsid w:val="3D68456B"/>
    <w:rsid w:val="3D6A0488"/>
    <w:rsid w:val="3D6B12F4"/>
    <w:rsid w:val="3D6B290E"/>
    <w:rsid w:val="3D7144F0"/>
    <w:rsid w:val="3D721126"/>
    <w:rsid w:val="3D7252C0"/>
    <w:rsid w:val="3D726AA8"/>
    <w:rsid w:val="3D745A18"/>
    <w:rsid w:val="3D7613BD"/>
    <w:rsid w:val="3D770366"/>
    <w:rsid w:val="3D782692"/>
    <w:rsid w:val="3D787FC7"/>
    <w:rsid w:val="3D7B2B6B"/>
    <w:rsid w:val="3D7B70A2"/>
    <w:rsid w:val="3D7C768E"/>
    <w:rsid w:val="3D7D19C2"/>
    <w:rsid w:val="3D7D7723"/>
    <w:rsid w:val="3D7E1B5C"/>
    <w:rsid w:val="3D7F6513"/>
    <w:rsid w:val="3D7F6659"/>
    <w:rsid w:val="3D804C09"/>
    <w:rsid w:val="3D812890"/>
    <w:rsid w:val="3D813929"/>
    <w:rsid w:val="3D8314FE"/>
    <w:rsid w:val="3D835597"/>
    <w:rsid w:val="3D8375B4"/>
    <w:rsid w:val="3D8428C3"/>
    <w:rsid w:val="3D85200E"/>
    <w:rsid w:val="3D855D74"/>
    <w:rsid w:val="3D860757"/>
    <w:rsid w:val="3D860D4A"/>
    <w:rsid w:val="3D864C36"/>
    <w:rsid w:val="3D872A86"/>
    <w:rsid w:val="3D883E24"/>
    <w:rsid w:val="3D890F94"/>
    <w:rsid w:val="3D89560A"/>
    <w:rsid w:val="3D8A6949"/>
    <w:rsid w:val="3D8C1386"/>
    <w:rsid w:val="3D8C4230"/>
    <w:rsid w:val="3D8C71F5"/>
    <w:rsid w:val="3D8D32B7"/>
    <w:rsid w:val="3D8F2D70"/>
    <w:rsid w:val="3D902521"/>
    <w:rsid w:val="3D9026D6"/>
    <w:rsid w:val="3D913F5B"/>
    <w:rsid w:val="3D9177DE"/>
    <w:rsid w:val="3D9257EE"/>
    <w:rsid w:val="3D945432"/>
    <w:rsid w:val="3D9455B2"/>
    <w:rsid w:val="3D946BD6"/>
    <w:rsid w:val="3D9657A5"/>
    <w:rsid w:val="3D967916"/>
    <w:rsid w:val="3D974C3D"/>
    <w:rsid w:val="3D980498"/>
    <w:rsid w:val="3D99426D"/>
    <w:rsid w:val="3D995205"/>
    <w:rsid w:val="3D9A4A2F"/>
    <w:rsid w:val="3D9A5F34"/>
    <w:rsid w:val="3D9B1032"/>
    <w:rsid w:val="3D9C56A1"/>
    <w:rsid w:val="3D9D0125"/>
    <w:rsid w:val="3D9D5C91"/>
    <w:rsid w:val="3DA04B09"/>
    <w:rsid w:val="3DA16160"/>
    <w:rsid w:val="3DA34260"/>
    <w:rsid w:val="3DA43C7F"/>
    <w:rsid w:val="3DA61188"/>
    <w:rsid w:val="3DA70D4C"/>
    <w:rsid w:val="3DA74AA6"/>
    <w:rsid w:val="3DA74B34"/>
    <w:rsid w:val="3DA76974"/>
    <w:rsid w:val="3DA82C14"/>
    <w:rsid w:val="3DA82C15"/>
    <w:rsid w:val="3DA90669"/>
    <w:rsid w:val="3DA9093F"/>
    <w:rsid w:val="3DAA0A69"/>
    <w:rsid w:val="3DAA430A"/>
    <w:rsid w:val="3DAC2795"/>
    <w:rsid w:val="3DAC4EF3"/>
    <w:rsid w:val="3DB039E8"/>
    <w:rsid w:val="3DB04A74"/>
    <w:rsid w:val="3DB317C9"/>
    <w:rsid w:val="3DB460E3"/>
    <w:rsid w:val="3DB478A6"/>
    <w:rsid w:val="3DB50FFF"/>
    <w:rsid w:val="3DB6696D"/>
    <w:rsid w:val="3DB70B26"/>
    <w:rsid w:val="3DB75565"/>
    <w:rsid w:val="3DB77AFD"/>
    <w:rsid w:val="3DB84E8C"/>
    <w:rsid w:val="3DB8676A"/>
    <w:rsid w:val="3DB8733F"/>
    <w:rsid w:val="3DB97305"/>
    <w:rsid w:val="3DB9791F"/>
    <w:rsid w:val="3DBA28B2"/>
    <w:rsid w:val="3DBC5557"/>
    <w:rsid w:val="3DBD4D10"/>
    <w:rsid w:val="3DBE2801"/>
    <w:rsid w:val="3DC12614"/>
    <w:rsid w:val="3DC17AD3"/>
    <w:rsid w:val="3DC243BB"/>
    <w:rsid w:val="3DC62A2F"/>
    <w:rsid w:val="3DC64D1E"/>
    <w:rsid w:val="3DCA44B4"/>
    <w:rsid w:val="3DCA4AE7"/>
    <w:rsid w:val="3DCC4556"/>
    <w:rsid w:val="3DCC585A"/>
    <w:rsid w:val="3DCC6BD5"/>
    <w:rsid w:val="3DCD0F56"/>
    <w:rsid w:val="3DCE129E"/>
    <w:rsid w:val="3DCF0060"/>
    <w:rsid w:val="3DCF4977"/>
    <w:rsid w:val="3DD03298"/>
    <w:rsid w:val="3DD23D9A"/>
    <w:rsid w:val="3DD33132"/>
    <w:rsid w:val="3DD3798C"/>
    <w:rsid w:val="3DD41730"/>
    <w:rsid w:val="3DD4570A"/>
    <w:rsid w:val="3DD52320"/>
    <w:rsid w:val="3DD732E9"/>
    <w:rsid w:val="3DDA6EA6"/>
    <w:rsid w:val="3DDB406A"/>
    <w:rsid w:val="3DDC31E2"/>
    <w:rsid w:val="3DDC3D01"/>
    <w:rsid w:val="3DDD058E"/>
    <w:rsid w:val="3DDD3FE0"/>
    <w:rsid w:val="3DDE6224"/>
    <w:rsid w:val="3DE012B0"/>
    <w:rsid w:val="3DE018FA"/>
    <w:rsid w:val="3DE01B77"/>
    <w:rsid w:val="3DE15FE6"/>
    <w:rsid w:val="3DE44FC2"/>
    <w:rsid w:val="3DE47141"/>
    <w:rsid w:val="3DE7078D"/>
    <w:rsid w:val="3DE9204C"/>
    <w:rsid w:val="3DEA0358"/>
    <w:rsid w:val="3DEA2397"/>
    <w:rsid w:val="3DEA41FE"/>
    <w:rsid w:val="3DEA5A40"/>
    <w:rsid w:val="3DEA67CE"/>
    <w:rsid w:val="3DEB01AD"/>
    <w:rsid w:val="3DEC67D0"/>
    <w:rsid w:val="3DED67F6"/>
    <w:rsid w:val="3DEE0EF8"/>
    <w:rsid w:val="3DEE11E9"/>
    <w:rsid w:val="3DEE7AC6"/>
    <w:rsid w:val="3DEF24EB"/>
    <w:rsid w:val="3DEF2925"/>
    <w:rsid w:val="3DF054BD"/>
    <w:rsid w:val="3DF07830"/>
    <w:rsid w:val="3DF32A89"/>
    <w:rsid w:val="3DF32D70"/>
    <w:rsid w:val="3DF3661F"/>
    <w:rsid w:val="3DF40517"/>
    <w:rsid w:val="3DF65EB8"/>
    <w:rsid w:val="3DF71375"/>
    <w:rsid w:val="3DF7361F"/>
    <w:rsid w:val="3DF8713D"/>
    <w:rsid w:val="3DF913BD"/>
    <w:rsid w:val="3DF95770"/>
    <w:rsid w:val="3DF97096"/>
    <w:rsid w:val="3DFA6F9B"/>
    <w:rsid w:val="3DFB3C6F"/>
    <w:rsid w:val="3DFC0082"/>
    <w:rsid w:val="3DFD1AE0"/>
    <w:rsid w:val="3DFF0E3B"/>
    <w:rsid w:val="3DFF2DED"/>
    <w:rsid w:val="3DFF3DB6"/>
    <w:rsid w:val="3E003838"/>
    <w:rsid w:val="3E0076CD"/>
    <w:rsid w:val="3E013C65"/>
    <w:rsid w:val="3E014A66"/>
    <w:rsid w:val="3E017C97"/>
    <w:rsid w:val="3E026093"/>
    <w:rsid w:val="3E03222E"/>
    <w:rsid w:val="3E0528EA"/>
    <w:rsid w:val="3E0652F9"/>
    <w:rsid w:val="3E075814"/>
    <w:rsid w:val="3E091363"/>
    <w:rsid w:val="3E0A6592"/>
    <w:rsid w:val="3E0F1F62"/>
    <w:rsid w:val="3E111AA5"/>
    <w:rsid w:val="3E1201FF"/>
    <w:rsid w:val="3E134BD4"/>
    <w:rsid w:val="3E134E6D"/>
    <w:rsid w:val="3E136E0C"/>
    <w:rsid w:val="3E136E47"/>
    <w:rsid w:val="3E142816"/>
    <w:rsid w:val="3E146489"/>
    <w:rsid w:val="3E181F1E"/>
    <w:rsid w:val="3E184CBC"/>
    <w:rsid w:val="3E1A132C"/>
    <w:rsid w:val="3E1A4012"/>
    <w:rsid w:val="3E1B0019"/>
    <w:rsid w:val="3E1D1927"/>
    <w:rsid w:val="3E1F46CA"/>
    <w:rsid w:val="3E1F4A2A"/>
    <w:rsid w:val="3E1F4A3C"/>
    <w:rsid w:val="3E1F7CE3"/>
    <w:rsid w:val="3E222D55"/>
    <w:rsid w:val="3E225934"/>
    <w:rsid w:val="3E227F07"/>
    <w:rsid w:val="3E236353"/>
    <w:rsid w:val="3E260CB4"/>
    <w:rsid w:val="3E2639E0"/>
    <w:rsid w:val="3E264E72"/>
    <w:rsid w:val="3E27554A"/>
    <w:rsid w:val="3E292CA8"/>
    <w:rsid w:val="3E297EFA"/>
    <w:rsid w:val="3E2B186A"/>
    <w:rsid w:val="3E2D4FA8"/>
    <w:rsid w:val="3E2D7384"/>
    <w:rsid w:val="3E2E4FEF"/>
    <w:rsid w:val="3E2E7A2E"/>
    <w:rsid w:val="3E2E7BC4"/>
    <w:rsid w:val="3E2F524E"/>
    <w:rsid w:val="3E307D55"/>
    <w:rsid w:val="3E3255E6"/>
    <w:rsid w:val="3E3273C2"/>
    <w:rsid w:val="3E366CDD"/>
    <w:rsid w:val="3E367403"/>
    <w:rsid w:val="3E37633F"/>
    <w:rsid w:val="3E385155"/>
    <w:rsid w:val="3E3C1720"/>
    <w:rsid w:val="3E3D3AD4"/>
    <w:rsid w:val="3E3E30F7"/>
    <w:rsid w:val="3E3E6B90"/>
    <w:rsid w:val="3E3F0CFA"/>
    <w:rsid w:val="3E3F1765"/>
    <w:rsid w:val="3E3F4621"/>
    <w:rsid w:val="3E3F78A3"/>
    <w:rsid w:val="3E4120B3"/>
    <w:rsid w:val="3E41496B"/>
    <w:rsid w:val="3E4179FB"/>
    <w:rsid w:val="3E426498"/>
    <w:rsid w:val="3E4271F2"/>
    <w:rsid w:val="3E431AB4"/>
    <w:rsid w:val="3E434C85"/>
    <w:rsid w:val="3E4415FF"/>
    <w:rsid w:val="3E444411"/>
    <w:rsid w:val="3E4908C9"/>
    <w:rsid w:val="3E4A15DF"/>
    <w:rsid w:val="3E4A4B1B"/>
    <w:rsid w:val="3E4C6CAB"/>
    <w:rsid w:val="3E4E78EC"/>
    <w:rsid w:val="3E520312"/>
    <w:rsid w:val="3E5217B3"/>
    <w:rsid w:val="3E522FE1"/>
    <w:rsid w:val="3E5459F1"/>
    <w:rsid w:val="3E545F86"/>
    <w:rsid w:val="3E5500B7"/>
    <w:rsid w:val="3E56473A"/>
    <w:rsid w:val="3E590AEF"/>
    <w:rsid w:val="3E592FA3"/>
    <w:rsid w:val="3E595E2E"/>
    <w:rsid w:val="3E5A0E12"/>
    <w:rsid w:val="3E5B1D20"/>
    <w:rsid w:val="3E5B570C"/>
    <w:rsid w:val="3E5C3CD9"/>
    <w:rsid w:val="3E5C4B57"/>
    <w:rsid w:val="3E5C550A"/>
    <w:rsid w:val="3E5C6F31"/>
    <w:rsid w:val="3E5F37DD"/>
    <w:rsid w:val="3E6025C0"/>
    <w:rsid w:val="3E6601D8"/>
    <w:rsid w:val="3E665D1A"/>
    <w:rsid w:val="3E6777ED"/>
    <w:rsid w:val="3E68164F"/>
    <w:rsid w:val="3E687F82"/>
    <w:rsid w:val="3E69661A"/>
    <w:rsid w:val="3E6A7676"/>
    <w:rsid w:val="3E6B0989"/>
    <w:rsid w:val="3E6B2859"/>
    <w:rsid w:val="3E6C14A2"/>
    <w:rsid w:val="3E6D5E6A"/>
    <w:rsid w:val="3E6E150A"/>
    <w:rsid w:val="3E6F216A"/>
    <w:rsid w:val="3E6F2677"/>
    <w:rsid w:val="3E6F26E5"/>
    <w:rsid w:val="3E6F3F8F"/>
    <w:rsid w:val="3E7013D9"/>
    <w:rsid w:val="3E70409E"/>
    <w:rsid w:val="3E720116"/>
    <w:rsid w:val="3E732391"/>
    <w:rsid w:val="3E7352A3"/>
    <w:rsid w:val="3E736CED"/>
    <w:rsid w:val="3E745600"/>
    <w:rsid w:val="3E751EB3"/>
    <w:rsid w:val="3E755707"/>
    <w:rsid w:val="3E770D35"/>
    <w:rsid w:val="3E774506"/>
    <w:rsid w:val="3E775D10"/>
    <w:rsid w:val="3E7834DA"/>
    <w:rsid w:val="3E791B3B"/>
    <w:rsid w:val="3E792998"/>
    <w:rsid w:val="3E797112"/>
    <w:rsid w:val="3E7D3000"/>
    <w:rsid w:val="3E7D35DE"/>
    <w:rsid w:val="3E7D4BE9"/>
    <w:rsid w:val="3E7F7191"/>
    <w:rsid w:val="3E820802"/>
    <w:rsid w:val="3E821771"/>
    <w:rsid w:val="3E85570E"/>
    <w:rsid w:val="3E862419"/>
    <w:rsid w:val="3E8641B8"/>
    <w:rsid w:val="3E867D7A"/>
    <w:rsid w:val="3E870E86"/>
    <w:rsid w:val="3E871F6A"/>
    <w:rsid w:val="3E88123A"/>
    <w:rsid w:val="3E88279C"/>
    <w:rsid w:val="3E885918"/>
    <w:rsid w:val="3E887DFC"/>
    <w:rsid w:val="3E8D3F20"/>
    <w:rsid w:val="3E8F16B2"/>
    <w:rsid w:val="3E902B0D"/>
    <w:rsid w:val="3E9136B8"/>
    <w:rsid w:val="3E917D60"/>
    <w:rsid w:val="3E951B8A"/>
    <w:rsid w:val="3E956D46"/>
    <w:rsid w:val="3E96424D"/>
    <w:rsid w:val="3E97228B"/>
    <w:rsid w:val="3E980D26"/>
    <w:rsid w:val="3E991265"/>
    <w:rsid w:val="3E9B6326"/>
    <w:rsid w:val="3E9C1B4E"/>
    <w:rsid w:val="3E9C4D84"/>
    <w:rsid w:val="3E9D359C"/>
    <w:rsid w:val="3E9E6BA9"/>
    <w:rsid w:val="3E9F16EF"/>
    <w:rsid w:val="3EA038C6"/>
    <w:rsid w:val="3EA06D24"/>
    <w:rsid w:val="3EA100F9"/>
    <w:rsid w:val="3EA647E3"/>
    <w:rsid w:val="3EA744E7"/>
    <w:rsid w:val="3EA82847"/>
    <w:rsid w:val="3EA92FC6"/>
    <w:rsid w:val="3EAA1BE5"/>
    <w:rsid w:val="3EAA2FCF"/>
    <w:rsid w:val="3EAC3865"/>
    <w:rsid w:val="3EAC48AB"/>
    <w:rsid w:val="3EAC69B8"/>
    <w:rsid w:val="3EAD301F"/>
    <w:rsid w:val="3EAF15C5"/>
    <w:rsid w:val="3EAF27EE"/>
    <w:rsid w:val="3EAF508F"/>
    <w:rsid w:val="3EB153CF"/>
    <w:rsid w:val="3EB162ED"/>
    <w:rsid w:val="3EB40CCE"/>
    <w:rsid w:val="3EB468F2"/>
    <w:rsid w:val="3EB7563B"/>
    <w:rsid w:val="3EB81042"/>
    <w:rsid w:val="3EB94406"/>
    <w:rsid w:val="3EBA3C06"/>
    <w:rsid w:val="3EBA6744"/>
    <w:rsid w:val="3EBC2FEE"/>
    <w:rsid w:val="3EBC4389"/>
    <w:rsid w:val="3EBC460F"/>
    <w:rsid w:val="3EBE7A82"/>
    <w:rsid w:val="3EBF7A28"/>
    <w:rsid w:val="3EC21F5C"/>
    <w:rsid w:val="3EC425DF"/>
    <w:rsid w:val="3EC7151B"/>
    <w:rsid w:val="3ECA16D8"/>
    <w:rsid w:val="3ECB031D"/>
    <w:rsid w:val="3ECC41CF"/>
    <w:rsid w:val="3ECE409C"/>
    <w:rsid w:val="3ECE5739"/>
    <w:rsid w:val="3ECE7AAE"/>
    <w:rsid w:val="3ECF054F"/>
    <w:rsid w:val="3ECF1338"/>
    <w:rsid w:val="3ED10817"/>
    <w:rsid w:val="3ED140D1"/>
    <w:rsid w:val="3ED211B8"/>
    <w:rsid w:val="3ED36569"/>
    <w:rsid w:val="3ED41199"/>
    <w:rsid w:val="3ED44303"/>
    <w:rsid w:val="3ED6747E"/>
    <w:rsid w:val="3ED75A5C"/>
    <w:rsid w:val="3ED77F82"/>
    <w:rsid w:val="3ED80E9F"/>
    <w:rsid w:val="3ED83D23"/>
    <w:rsid w:val="3ED90F0A"/>
    <w:rsid w:val="3ED912A5"/>
    <w:rsid w:val="3ED93A7B"/>
    <w:rsid w:val="3ED93E93"/>
    <w:rsid w:val="3EDB1F59"/>
    <w:rsid w:val="3EDB4A4F"/>
    <w:rsid w:val="3EDC6986"/>
    <w:rsid w:val="3EDD6B8B"/>
    <w:rsid w:val="3EDE26DD"/>
    <w:rsid w:val="3EDF00BC"/>
    <w:rsid w:val="3EE06392"/>
    <w:rsid w:val="3EE115C5"/>
    <w:rsid w:val="3EE1263E"/>
    <w:rsid w:val="3EE16135"/>
    <w:rsid w:val="3EE161C8"/>
    <w:rsid w:val="3EE16E66"/>
    <w:rsid w:val="3EE17BD1"/>
    <w:rsid w:val="3EE2098E"/>
    <w:rsid w:val="3EE23D94"/>
    <w:rsid w:val="3EE33FDC"/>
    <w:rsid w:val="3EE41A2D"/>
    <w:rsid w:val="3EE4237C"/>
    <w:rsid w:val="3EE4352B"/>
    <w:rsid w:val="3EE60B29"/>
    <w:rsid w:val="3EE61320"/>
    <w:rsid w:val="3EE84E80"/>
    <w:rsid w:val="3EE91779"/>
    <w:rsid w:val="3EE92B07"/>
    <w:rsid w:val="3EE940CA"/>
    <w:rsid w:val="3EEE5DBC"/>
    <w:rsid w:val="3EEF0872"/>
    <w:rsid w:val="3EEF40F4"/>
    <w:rsid w:val="3EEF41BD"/>
    <w:rsid w:val="3EF00D59"/>
    <w:rsid w:val="3EF04854"/>
    <w:rsid w:val="3EF06A18"/>
    <w:rsid w:val="3EF11360"/>
    <w:rsid w:val="3EF12873"/>
    <w:rsid w:val="3EF142B8"/>
    <w:rsid w:val="3EF20AC8"/>
    <w:rsid w:val="3EF20BC6"/>
    <w:rsid w:val="3EF251A9"/>
    <w:rsid w:val="3EF34B78"/>
    <w:rsid w:val="3EF408C7"/>
    <w:rsid w:val="3EF45B57"/>
    <w:rsid w:val="3EF62DB5"/>
    <w:rsid w:val="3EF65008"/>
    <w:rsid w:val="3EF66126"/>
    <w:rsid w:val="3EF73C89"/>
    <w:rsid w:val="3EF74B79"/>
    <w:rsid w:val="3EF817C3"/>
    <w:rsid w:val="3EF96741"/>
    <w:rsid w:val="3EFB0EC9"/>
    <w:rsid w:val="3EFB6B56"/>
    <w:rsid w:val="3EFC4A0B"/>
    <w:rsid w:val="3EFC60F6"/>
    <w:rsid w:val="3EFD23B0"/>
    <w:rsid w:val="3F01279B"/>
    <w:rsid w:val="3F017604"/>
    <w:rsid w:val="3F017620"/>
    <w:rsid w:val="3F0339ED"/>
    <w:rsid w:val="3F057852"/>
    <w:rsid w:val="3F0830A1"/>
    <w:rsid w:val="3F084D26"/>
    <w:rsid w:val="3F096B8A"/>
    <w:rsid w:val="3F0C0D8C"/>
    <w:rsid w:val="3F0D5C72"/>
    <w:rsid w:val="3F0E01D7"/>
    <w:rsid w:val="3F0F23F6"/>
    <w:rsid w:val="3F0F7AC6"/>
    <w:rsid w:val="3F0F7C84"/>
    <w:rsid w:val="3F1076F1"/>
    <w:rsid w:val="3F110C41"/>
    <w:rsid w:val="3F12626A"/>
    <w:rsid w:val="3F127146"/>
    <w:rsid w:val="3F144CF3"/>
    <w:rsid w:val="3F15627A"/>
    <w:rsid w:val="3F157381"/>
    <w:rsid w:val="3F181808"/>
    <w:rsid w:val="3F190799"/>
    <w:rsid w:val="3F196F33"/>
    <w:rsid w:val="3F1A744C"/>
    <w:rsid w:val="3F1B1335"/>
    <w:rsid w:val="3F1B3003"/>
    <w:rsid w:val="3F1C4879"/>
    <w:rsid w:val="3F1C4A69"/>
    <w:rsid w:val="3F1D4C12"/>
    <w:rsid w:val="3F1D538D"/>
    <w:rsid w:val="3F1D6E2B"/>
    <w:rsid w:val="3F1E5A7E"/>
    <w:rsid w:val="3F203548"/>
    <w:rsid w:val="3F206A56"/>
    <w:rsid w:val="3F20738D"/>
    <w:rsid w:val="3F213AE0"/>
    <w:rsid w:val="3F223281"/>
    <w:rsid w:val="3F2359CC"/>
    <w:rsid w:val="3F273663"/>
    <w:rsid w:val="3F273A7C"/>
    <w:rsid w:val="3F275251"/>
    <w:rsid w:val="3F287E06"/>
    <w:rsid w:val="3F291D41"/>
    <w:rsid w:val="3F2974A3"/>
    <w:rsid w:val="3F2A5E53"/>
    <w:rsid w:val="3F2B6078"/>
    <w:rsid w:val="3F2C6BFD"/>
    <w:rsid w:val="3F2E2566"/>
    <w:rsid w:val="3F2F4FF1"/>
    <w:rsid w:val="3F300041"/>
    <w:rsid w:val="3F31684C"/>
    <w:rsid w:val="3F3239C6"/>
    <w:rsid w:val="3F3450A5"/>
    <w:rsid w:val="3F347E6F"/>
    <w:rsid w:val="3F350366"/>
    <w:rsid w:val="3F352095"/>
    <w:rsid w:val="3F356D4A"/>
    <w:rsid w:val="3F36546C"/>
    <w:rsid w:val="3F384BE3"/>
    <w:rsid w:val="3F3978C7"/>
    <w:rsid w:val="3F3979D6"/>
    <w:rsid w:val="3F3A223C"/>
    <w:rsid w:val="3F3B5533"/>
    <w:rsid w:val="3F3D22AD"/>
    <w:rsid w:val="3F415FD7"/>
    <w:rsid w:val="3F417FC8"/>
    <w:rsid w:val="3F432678"/>
    <w:rsid w:val="3F440779"/>
    <w:rsid w:val="3F475DB4"/>
    <w:rsid w:val="3F4851FE"/>
    <w:rsid w:val="3F49477A"/>
    <w:rsid w:val="3F49512C"/>
    <w:rsid w:val="3F495C31"/>
    <w:rsid w:val="3F49628C"/>
    <w:rsid w:val="3F4A5E62"/>
    <w:rsid w:val="3F4B0057"/>
    <w:rsid w:val="3F4B0CCB"/>
    <w:rsid w:val="3F4B391F"/>
    <w:rsid w:val="3F4D07E6"/>
    <w:rsid w:val="3F4D6DB3"/>
    <w:rsid w:val="3F4D7044"/>
    <w:rsid w:val="3F4E5D19"/>
    <w:rsid w:val="3F4F2978"/>
    <w:rsid w:val="3F526014"/>
    <w:rsid w:val="3F5445DC"/>
    <w:rsid w:val="3F564AF3"/>
    <w:rsid w:val="3F56653A"/>
    <w:rsid w:val="3F5B3C45"/>
    <w:rsid w:val="3F5B7BD9"/>
    <w:rsid w:val="3F5C1CC7"/>
    <w:rsid w:val="3F5D1741"/>
    <w:rsid w:val="3F6039E5"/>
    <w:rsid w:val="3F6106B3"/>
    <w:rsid w:val="3F614CB9"/>
    <w:rsid w:val="3F630E93"/>
    <w:rsid w:val="3F631A76"/>
    <w:rsid w:val="3F6344C1"/>
    <w:rsid w:val="3F635BA7"/>
    <w:rsid w:val="3F63748D"/>
    <w:rsid w:val="3F642140"/>
    <w:rsid w:val="3F661E69"/>
    <w:rsid w:val="3F6835D0"/>
    <w:rsid w:val="3F68448A"/>
    <w:rsid w:val="3F6873DB"/>
    <w:rsid w:val="3F69717D"/>
    <w:rsid w:val="3F6A4720"/>
    <w:rsid w:val="3F6A7BC7"/>
    <w:rsid w:val="3F6C33C5"/>
    <w:rsid w:val="3F6C37E5"/>
    <w:rsid w:val="3F6C5D41"/>
    <w:rsid w:val="3F6C6FA6"/>
    <w:rsid w:val="3F6E27A7"/>
    <w:rsid w:val="3F700A54"/>
    <w:rsid w:val="3F701491"/>
    <w:rsid w:val="3F715B39"/>
    <w:rsid w:val="3F7314E8"/>
    <w:rsid w:val="3F743640"/>
    <w:rsid w:val="3F76635C"/>
    <w:rsid w:val="3F77031F"/>
    <w:rsid w:val="3F773B9B"/>
    <w:rsid w:val="3F7754A7"/>
    <w:rsid w:val="3F785E32"/>
    <w:rsid w:val="3F791EC1"/>
    <w:rsid w:val="3F7B60EB"/>
    <w:rsid w:val="3F7C0078"/>
    <w:rsid w:val="3F7C325B"/>
    <w:rsid w:val="3F7C694B"/>
    <w:rsid w:val="3F7E4341"/>
    <w:rsid w:val="3F7E5283"/>
    <w:rsid w:val="3F7F73EC"/>
    <w:rsid w:val="3F801F19"/>
    <w:rsid w:val="3F823162"/>
    <w:rsid w:val="3F827B11"/>
    <w:rsid w:val="3F835ABD"/>
    <w:rsid w:val="3F841B2E"/>
    <w:rsid w:val="3F854711"/>
    <w:rsid w:val="3F862941"/>
    <w:rsid w:val="3F880B67"/>
    <w:rsid w:val="3F891BA4"/>
    <w:rsid w:val="3F8A12F3"/>
    <w:rsid w:val="3F8A5C33"/>
    <w:rsid w:val="3F8B0687"/>
    <w:rsid w:val="3F8B6F65"/>
    <w:rsid w:val="3F8C073B"/>
    <w:rsid w:val="3F8C46AB"/>
    <w:rsid w:val="3F8C713F"/>
    <w:rsid w:val="3F8E03A7"/>
    <w:rsid w:val="3F8F220E"/>
    <w:rsid w:val="3F8F361C"/>
    <w:rsid w:val="3F900176"/>
    <w:rsid w:val="3F916431"/>
    <w:rsid w:val="3F9177A0"/>
    <w:rsid w:val="3F9253C8"/>
    <w:rsid w:val="3F936CFC"/>
    <w:rsid w:val="3F942DEE"/>
    <w:rsid w:val="3F960A7B"/>
    <w:rsid w:val="3F97209B"/>
    <w:rsid w:val="3F974974"/>
    <w:rsid w:val="3F9A3CEB"/>
    <w:rsid w:val="3F9A6D50"/>
    <w:rsid w:val="3F9B79B6"/>
    <w:rsid w:val="3F9E1D65"/>
    <w:rsid w:val="3FA07EFC"/>
    <w:rsid w:val="3FA1087D"/>
    <w:rsid w:val="3FA1722C"/>
    <w:rsid w:val="3FA20D7F"/>
    <w:rsid w:val="3FA33F50"/>
    <w:rsid w:val="3FA56AEF"/>
    <w:rsid w:val="3FA67FAE"/>
    <w:rsid w:val="3FA71532"/>
    <w:rsid w:val="3FA74DC1"/>
    <w:rsid w:val="3FA74FF3"/>
    <w:rsid w:val="3FA938CD"/>
    <w:rsid w:val="3FAC7B2A"/>
    <w:rsid w:val="3FAD7DF6"/>
    <w:rsid w:val="3FAE426E"/>
    <w:rsid w:val="3FAF1274"/>
    <w:rsid w:val="3FAF2005"/>
    <w:rsid w:val="3FB00336"/>
    <w:rsid w:val="3FB01371"/>
    <w:rsid w:val="3FB40CF4"/>
    <w:rsid w:val="3FB444FC"/>
    <w:rsid w:val="3FB469A2"/>
    <w:rsid w:val="3FB63BA1"/>
    <w:rsid w:val="3FB674CB"/>
    <w:rsid w:val="3FB8592B"/>
    <w:rsid w:val="3FB85F17"/>
    <w:rsid w:val="3FBA308D"/>
    <w:rsid w:val="3FBA5A01"/>
    <w:rsid w:val="3FBB284F"/>
    <w:rsid w:val="3FBB3BA1"/>
    <w:rsid w:val="3FBB77B9"/>
    <w:rsid w:val="3FBB7D08"/>
    <w:rsid w:val="3FBC1909"/>
    <w:rsid w:val="3FBD2606"/>
    <w:rsid w:val="3FBE190B"/>
    <w:rsid w:val="3FC05611"/>
    <w:rsid w:val="3FC167EB"/>
    <w:rsid w:val="3FC428C0"/>
    <w:rsid w:val="3FC429DF"/>
    <w:rsid w:val="3FC47985"/>
    <w:rsid w:val="3FCC29AC"/>
    <w:rsid w:val="3FCC6B0A"/>
    <w:rsid w:val="3FCD2CC4"/>
    <w:rsid w:val="3FCE0759"/>
    <w:rsid w:val="3FCF0D07"/>
    <w:rsid w:val="3FD06F74"/>
    <w:rsid w:val="3FD32C78"/>
    <w:rsid w:val="3FD46644"/>
    <w:rsid w:val="3FD50FC6"/>
    <w:rsid w:val="3FD5303C"/>
    <w:rsid w:val="3FD535A4"/>
    <w:rsid w:val="3FD578DC"/>
    <w:rsid w:val="3FD57ADB"/>
    <w:rsid w:val="3FD63F34"/>
    <w:rsid w:val="3FD65C63"/>
    <w:rsid w:val="3FD73781"/>
    <w:rsid w:val="3FD878E2"/>
    <w:rsid w:val="3FD87B66"/>
    <w:rsid w:val="3FDC00D1"/>
    <w:rsid w:val="3FDC59BE"/>
    <w:rsid w:val="3FDC7F69"/>
    <w:rsid w:val="3FDF6CE0"/>
    <w:rsid w:val="3FDF7D9F"/>
    <w:rsid w:val="3FE05F9C"/>
    <w:rsid w:val="3FE116ED"/>
    <w:rsid w:val="3FE14F42"/>
    <w:rsid w:val="3FE174FF"/>
    <w:rsid w:val="3FE23DAC"/>
    <w:rsid w:val="3FE27BD0"/>
    <w:rsid w:val="3FE30BF0"/>
    <w:rsid w:val="3FE351F2"/>
    <w:rsid w:val="3FE36D68"/>
    <w:rsid w:val="3FE37D38"/>
    <w:rsid w:val="3FE468E4"/>
    <w:rsid w:val="3FE4746F"/>
    <w:rsid w:val="3FE65EF5"/>
    <w:rsid w:val="3FE72392"/>
    <w:rsid w:val="3FE91860"/>
    <w:rsid w:val="3FE931E1"/>
    <w:rsid w:val="3FE94739"/>
    <w:rsid w:val="3FE95DBC"/>
    <w:rsid w:val="3FE96E0B"/>
    <w:rsid w:val="3FE978EF"/>
    <w:rsid w:val="3FEA6F9F"/>
    <w:rsid w:val="3FEB4A41"/>
    <w:rsid w:val="3FEC237E"/>
    <w:rsid w:val="3FEC758F"/>
    <w:rsid w:val="3FED1AEC"/>
    <w:rsid w:val="3FEE0E91"/>
    <w:rsid w:val="3FEE7638"/>
    <w:rsid w:val="3FEE79B9"/>
    <w:rsid w:val="3FF62D5D"/>
    <w:rsid w:val="3FF6753C"/>
    <w:rsid w:val="3FF700D6"/>
    <w:rsid w:val="3FF75F6E"/>
    <w:rsid w:val="3FF86285"/>
    <w:rsid w:val="3FF95818"/>
    <w:rsid w:val="3FFB6DFD"/>
    <w:rsid w:val="3FFD55A2"/>
    <w:rsid w:val="3FFD62A4"/>
    <w:rsid w:val="3FFF3403"/>
    <w:rsid w:val="40000C68"/>
    <w:rsid w:val="40007281"/>
    <w:rsid w:val="400163F2"/>
    <w:rsid w:val="4001677D"/>
    <w:rsid w:val="40026051"/>
    <w:rsid w:val="40026BD7"/>
    <w:rsid w:val="400278E0"/>
    <w:rsid w:val="4003456E"/>
    <w:rsid w:val="400522BE"/>
    <w:rsid w:val="400621D8"/>
    <w:rsid w:val="4006519C"/>
    <w:rsid w:val="40066B14"/>
    <w:rsid w:val="40093767"/>
    <w:rsid w:val="400A2DC1"/>
    <w:rsid w:val="400B4101"/>
    <w:rsid w:val="400D04A0"/>
    <w:rsid w:val="400E2126"/>
    <w:rsid w:val="400E2C48"/>
    <w:rsid w:val="400F51F1"/>
    <w:rsid w:val="400F7912"/>
    <w:rsid w:val="40105363"/>
    <w:rsid w:val="40107DBB"/>
    <w:rsid w:val="4012040E"/>
    <w:rsid w:val="40125AC9"/>
    <w:rsid w:val="401364B5"/>
    <w:rsid w:val="4014596E"/>
    <w:rsid w:val="40145BC3"/>
    <w:rsid w:val="4018500F"/>
    <w:rsid w:val="40186B2D"/>
    <w:rsid w:val="401A65CE"/>
    <w:rsid w:val="401B7991"/>
    <w:rsid w:val="401C4052"/>
    <w:rsid w:val="401C5882"/>
    <w:rsid w:val="401C75CC"/>
    <w:rsid w:val="401C76EA"/>
    <w:rsid w:val="401C79D3"/>
    <w:rsid w:val="401D0C61"/>
    <w:rsid w:val="401E026A"/>
    <w:rsid w:val="401F0CEE"/>
    <w:rsid w:val="40200D08"/>
    <w:rsid w:val="40241847"/>
    <w:rsid w:val="4024352C"/>
    <w:rsid w:val="40260D3C"/>
    <w:rsid w:val="402617EF"/>
    <w:rsid w:val="40264214"/>
    <w:rsid w:val="402718F8"/>
    <w:rsid w:val="40274C1E"/>
    <w:rsid w:val="402901F6"/>
    <w:rsid w:val="402A1E75"/>
    <w:rsid w:val="402A3B5A"/>
    <w:rsid w:val="402B6475"/>
    <w:rsid w:val="402C575B"/>
    <w:rsid w:val="402C686E"/>
    <w:rsid w:val="402C722D"/>
    <w:rsid w:val="402E3300"/>
    <w:rsid w:val="403230C6"/>
    <w:rsid w:val="403314F1"/>
    <w:rsid w:val="40335512"/>
    <w:rsid w:val="40336BE4"/>
    <w:rsid w:val="40344F64"/>
    <w:rsid w:val="40354BD1"/>
    <w:rsid w:val="40363F4D"/>
    <w:rsid w:val="403703C6"/>
    <w:rsid w:val="40375BC5"/>
    <w:rsid w:val="40375F7F"/>
    <w:rsid w:val="403B5DE3"/>
    <w:rsid w:val="403B6D8E"/>
    <w:rsid w:val="403C05CF"/>
    <w:rsid w:val="403D044F"/>
    <w:rsid w:val="403D1179"/>
    <w:rsid w:val="403D6E6D"/>
    <w:rsid w:val="403E77AA"/>
    <w:rsid w:val="40403090"/>
    <w:rsid w:val="40404BBB"/>
    <w:rsid w:val="404116D2"/>
    <w:rsid w:val="40413F29"/>
    <w:rsid w:val="404161CB"/>
    <w:rsid w:val="4042684A"/>
    <w:rsid w:val="40433A04"/>
    <w:rsid w:val="40442DEE"/>
    <w:rsid w:val="40444679"/>
    <w:rsid w:val="404448BC"/>
    <w:rsid w:val="4045223F"/>
    <w:rsid w:val="40457ACE"/>
    <w:rsid w:val="40462AE9"/>
    <w:rsid w:val="4047078B"/>
    <w:rsid w:val="404724A1"/>
    <w:rsid w:val="404938FD"/>
    <w:rsid w:val="404A3C88"/>
    <w:rsid w:val="404B17A6"/>
    <w:rsid w:val="404C17DB"/>
    <w:rsid w:val="404C3A62"/>
    <w:rsid w:val="404D243E"/>
    <w:rsid w:val="404D61AF"/>
    <w:rsid w:val="404F1DB1"/>
    <w:rsid w:val="40523FD2"/>
    <w:rsid w:val="4052523E"/>
    <w:rsid w:val="40554F9C"/>
    <w:rsid w:val="40564CAB"/>
    <w:rsid w:val="405703BF"/>
    <w:rsid w:val="40571636"/>
    <w:rsid w:val="40580EC1"/>
    <w:rsid w:val="405918B3"/>
    <w:rsid w:val="405B44E3"/>
    <w:rsid w:val="405C0602"/>
    <w:rsid w:val="405C0613"/>
    <w:rsid w:val="405C19DE"/>
    <w:rsid w:val="405C2840"/>
    <w:rsid w:val="405C2E5E"/>
    <w:rsid w:val="405E0650"/>
    <w:rsid w:val="405E2CDC"/>
    <w:rsid w:val="405E5770"/>
    <w:rsid w:val="40601341"/>
    <w:rsid w:val="40623A32"/>
    <w:rsid w:val="40624B95"/>
    <w:rsid w:val="40624C1E"/>
    <w:rsid w:val="40626F65"/>
    <w:rsid w:val="40643BC6"/>
    <w:rsid w:val="406554B3"/>
    <w:rsid w:val="4066380B"/>
    <w:rsid w:val="40666119"/>
    <w:rsid w:val="40685680"/>
    <w:rsid w:val="40693157"/>
    <w:rsid w:val="406C49E3"/>
    <w:rsid w:val="406E37A1"/>
    <w:rsid w:val="406E4998"/>
    <w:rsid w:val="406E49A1"/>
    <w:rsid w:val="406E66CB"/>
    <w:rsid w:val="406F6778"/>
    <w:rsid w:val="40705CE0"/>
    <w:rsid w:val="40721429"/>
    <w:rsid w:val="40724D97"/>
    <w:rsid w:val="407305F8"/>
    <w:rsid w:val="407404C4"/>
    <w:rsid w:val="4075477C"/>
    <w:rsid w:val="40761E82"/>
    <w:rsid w:val="40770397"/>
    <w:rsid w:val="4077520F"/>
    <w:rsid w:val="407767E1"/>
    <w:rsid w:val="407C4DEA"/>
    <w:rsid w:val="4080435E"/>
    <w:rsid w:val="40810514"/>
    <w:rsid w:val="4082748C"/>
    <w:rsid w:val="40827591"/>
    <w:rsid w:val="40844E27"/>
    <w:rsid w:val="408478D1"/>
    <w:rsid w:val="40852B67"/>
    <w:rsid w:val="40855531"/>
    <w:rsid w:val="40876BC5"/>
    <w:rsid w:val="40881CE7"/>
    <w:rsid w:val="40887169"/>
    <w:rsid w:val="408947DC"/>
    <w:rsid w:val="408A2EA6"/>
    <w:rsid w:val="408A37FA"/>
    <w:rsid w:val="408A4CBB"/>
    <w:rsid w:val="408B6388"/>
    <w:rsid w:val="408D1FE9"/>
    <w:rsid w:val="408D408E"/>
    <w:rsid w:val="408F2B86"/>
    <w:rsid w:val="408F3954"/>
    <w:rsid w:val="408F3A08"/>
    <w:rsid w:val="408F3B69"/>
    <w:rsid w:val="408F68E3"/>
    <w:rsid w:val="40917B53"/>
    <w:rsid w:val="40921E98"/>
    <w:rsid w:val="409365D7"/>
    <w:rsid w:val="40944A4F"/>
    <w:rsid w:val="40962DB9"/>
    <w:rsid w:val="409761C9"/>
    <w:rsid w:val="40982919"/>
    <w:rsid w:val="40984B4E"/>
    <w:rsid w:val="409A3CC2"/>
    <w:rsid w:val="409A6E88"/>
    <w:rsid w:val="409A7272"/>
    <w:rsid w:val="409C4391"/>
    <w:rsid w:val="409D0A6B"/>
    <w:rsid w:val="409E11A5"/>
    <w:rsid w:val="409E34A8"/>
    <w:rsid w:val="40A27FFC"/>
    <w:rsid w:val="40A356A7"/>
    <w:rsid w:val="40A369E7"/>
    <w:rsid w:val="40A42094"/>
    <w:rsid w:val="40A42A93"/>
    <w:rsid w:val="40A6187D"/>
    <w:rsid w:val="40A632B1"/>
    <w:rsid w:val="40A8599F"/>
    <w:rsid w:val="40A87826"/>
    <w:rsid w:val="40AC07D5"/>
    <w:rsid w:val="40AD19C9"/>
    <w:rsid w:val="40AE15C2"/>
    <w:rsid w:val="40AE4349"/>
    <w:rsid w:val="40AF2546"/>
    <w:rsid w:val="40AF2ADD"/>
    <w:rsid w:val="40B044A6"/>
    <w:rsid w:val="40B0577C"/>
    <w:rsid w:val="40B4079F"/>
    <w:rsid w:val="40B65B95"/>
    <w:rsid w:val="40B7456A"/>
    <w:rsid w:val="40B74DFC"/>
    <w:rsid w:val="40B8028C"/>
    <w:rsid w:val="40B8050C"/>
    <w:rsid w:val="40B8136F"/>
    <w:rsid w:val="40B973A3"/>
    <w:rsid w:val="40BD2F02"/>
    <w:rsid w:val="40BE07F4"/>
    <w:rsid w:val="40C0438A"/>
    <w:rsid w:val="40C059FD"/>
    <w:rsid w:val="40C12420"/>
    <w:rsid w:val="40C16A4C"/>
    <w:rsid w:val="40C211F1"/>
    <w:rsid w:val="40C30D0E"/>
    <w:rsid w:val="40C5471A"/>
    <w:rsid w:val="40C65C30"/>
    <w:rsid w:val="40C66470"/>
    <w:rsid w:val="40C72BB9"/>
    <w:rsid w:val="40C73748"/>
    <w:rsid w:val="40C7788A"/>
    <w:rsid w:val="40C83E2A"/>
    <w:rsid w:val="40C91421"/>
    <w:rsid w:val="40C9606B"/>
    <w:rsid w:val="40CA189F"/>
    <w:rsid w:val="40CB0441"/>
    <w:rsid w:val="40CD22B4"/>
    <w:rsid w:val="40CD3333"/>
    <w:rsid w:val="40CD6374"/>
    <w:rsid w:val="40CD63FB"/>
    <w:rsid w:val="40CD7EDC"/>
    <w:rsid w:val="40CE6A96"/>
    <w:rsid w:val="40CF3533"/>
    <w:rsid w:val="40CF5F48"/>
    <w:rsid w:val="40D05D16"/>
    <w:rsid w:val="40D07EFD"/>
    <w:rsid w:val="40D14331"/>
    <w:rsid w:val="40D24D12"/>
    <w:rsid w:val="40D258FE"/>
    <w:rsid w:val="40D43F61"/>
    <w:rsid w:val="40D508E0"/>
    <w:rsid w:val="40D8715D"/>
    <w:rsid w:val="40D91073"/>
    <w:rsid w:val="40D9709C"/>
    <w:rsid w:val="40DA1D98"/>
    <w:rsid w:val="40DA6375"/>
    <w:rsid w:val="40DB3ACE"/>
    <w:rsid w:val="40DC6082"/>
    <w:rsid w:val="40DC650E"/>
    <w:rsid w:val="40DE583D"/>
    <w:rsid w:val="40DE66E5"/>
    <w:rsid w:val="40DF0894"/>
    <w:rsid w:val="40DF11EB"/>
    <w:rsid w:val="40E04B00"/>
    <w:rsid w:val="40E04F72"/>
    <w:rsid w:val="40E04FB5"/>
    <w:rsid w:val="40E1067F"/>
    <w:rsid w:val="40E27CDD"/>
    <w:rsid w:val="40E32DFA"/>
    <w:rsid w:val="40E3649D"/>
    <w:rsid w:val="40E370F6"/>
    <w:rsid w:val="40E45A1E"/>
    <w:rsid w:val="40E4680B"/>
    <w:rsid w:val="40E64F5F"/>
    <w:rsid w:val="40E7520A"/>
    <w:rsid w:val="40E97070"/>
    <w:rsid w:val="40ED1709"/>
    <w:rsid w:val="40EE235B"/>
    <w:rsid w:val="40EE2ED9"/>
    <w:rsid w:val="40EE4BD7"/>
    <w:rsid w:val="40EF6F3C"/>
    <w:rsid w:val="40EF74D8"/>
    <w:rsid w:val="40F0234E"/>
    <w:rsid w:val="40F03EBA"/>
    <w:rsid w:val="40F23E81"/>
    <w:rsid w:val="40F27738"/>
    <w:rsid w:val="40F41A3C"/>
    <w:rsid w:val="40F45DD2"/>
    <w:rsid w:val="40F579AF"/>
    <w:rsid w:val="40F60352"/>
    <w:rsid w:val="40F61BD9"/>
    <w:rsid w:val="40F67820"/>
    <w:rsid w:val="40F74CD3"/>
    <w:rsid w:val="40F75B9A"/>
    <w:rsid w:val="40F8006E"/>
    <w:rsid w:val="40F80DE8"/>
    <w:rsid w:val="40F86A43"/>
    <w:rsid w:val="40F92663"/>
    <w:rsid w:val="40F969EF"/>
    <w:rsid w:val="40F975BD"/>
    <w:rsid w:val="40FA1D30"/>
    <w:rsid w:val="40FA2A2D"/>
    <w:rsid w:val="40FE0F68"/>
    <w:rsid w:val="40FE1B44"/>
    <w:rsid w:val="40FF00F0"/>
    <w:rsid w:val="40FF1B1A"/>
    <w:rsid w:val="40FF415D"/>
    <w:rsid w:val="40FF7BC0"/>
    <w:rsid w:val="41011274"/>
    <w:rsid w:val="41014608"/>
    <w:rsid w:val="41022D6D"/>
    <w:rsid w:val="410253C7"/>
    <w:rsid w:val="410260C2"/>
    <w:rsid w:val="4105412E"/>
    <w:rsid w:val="41054A0A"/>
    <w:rsid w:val="4105696E"/>
    <w:rsid w:val="410634BB"/>
    <w:rsid w:val="41067AE8"/>
    <w:rsid w:val="410876C0"/>
    <w:rsid w:val="41091718"/>
    <w:rsid w:val="41094437"/>
    <w:rsid w:val="410A4063"/>
    <w:rsid w:val="410A6047"/>
    <w:rsid w:val="410C4196"/>
    <w:rsid w:val="410D3545"/>
    <w:rsid w:val="410D6F68"/>
    <w:rsid w:val="410D75EC"/>
    <w:rsid w:val="410E4ECB"/>
    <w:rsid w:val="410F6C78"/>
    <w:rsid w:val="411056A4"/>
    <w:rsid w:val="4110741C"/>
    <w:rsid w:val="411163C2"/>
    <w:rsid w:val="41122BDF"/>
    <w:rsid w:val="411541E3"/>
    <w:rsid w:val="41164C27"/>
    <w:rsid w:val="41173C0D"/>
    <w:rsid w:val="411747C2"/>
    <w:rsid w:val="41181553"/>
    <w:rsid w:val="41193785"/>
    <w:rsid w:val="41193B68"/>
    <w:rsid w:val="41194005"/>
    <w:rsid w:val="411B1285"/>
    <w:rsid w:val="411B4EED"/>
    <w:rsid w:val="411D068C"/>
    <w:rsid w:val="411E17F6"/>
    <w:rsid w:val="411E274D"/>
    <w:rsid w:val="41201E33"/>
    <w:rsid w:val="412143C5"/>
    <w:rsid w:val="41233CD0"/>
    <w:rsid w:val="41241DAA"/>
    <w:rsid w:val="41256F86"/>
    <w:rsid w:val="41270DBA"/>
    <w:rsid w:val="41275DB5"/>
    <w:rsid w:val="4127618C"/>
    <w:rsid w:val="412A6ABE"/>
    <w:rsid w:val="412B1351"/>
    <w:rsid w:val="412C6E94"/>
    <w:rsid w:val="412D3049"/>
    <w:rsid w:val="412E09AF"/>
    <w:rsid w:val="412F2219"/>
    <w:rsid w:val="412F7715"/>
    <w:rsid w:val="413028BB"/>
    <w:rsid w:val="41330A26"/>
    <w:rsid w:val="41335878"/>
    <w:rsid w:val="413669C5"/>
    <w:rsid w:val="413815CE"/>
    <w:rsid w:val="413817B3"/>
    <w:rsid w:val="41382CD7"/>
    <w:rsid w:val="41390831"/>
    <w:rsid w:val="413A73CF"/>
    <w:rsid w:val="413C3C03"/>
    <w:rsid w:val="413C7D9E"/>
    <w:rsid w:val="413E72D4"/>
    <w:rsid w:val="413F0533"/>
    <w:rsid w:val="41400CFB"/>
    <w:rsid w:val="4143362E"/>
    <w:rsid w:val="4144157F"/>
    <w:rsid w:val="41446C6D"/>
    <w:rsid w:val="414603AB"/>
    <w:rsid w:val="414625E9"/>
    <w:rsid w:val="41466AB9"/>
    <w:rsid w:val="41476747"/>
    <w:rsid w:val="414803DC"/>
    <w:rsid w:val="41483F38"/>
    <w:rsid w:val="41490EC4"/>
    <w:rsid w:val="414B48E3"/>
    <w:rsid w:val="414E672D"/>
    <w:rsid w:val="414E7D03"/>
    <w:rsid w:val="41503290"/>
    <w:rsid w:val="41503B7E"/>
    <w:rsid w:val="415069F4"/>
    <w:rsid w:val="41514F22"/>
    <w:rsid w:val="41522910"/>
    <w:rsid w:val="415238A2"/>
    <w:rsid w:val="41533EC9"/>
    <w:rsid w:val="41535B8B"/>
    <w:rsid w:val="41540655"/>
    <w:rsid w:val="415452D5"/>
    <w:rsid w:val="4155468A"/>
    <w:rsid w:val="41560D88"/>
    <w:rsid w:val="4156327B"/>
    <w:rsid w:val="41571A52"/>
    <w:rsid w:val="41583D8F"/>
    <w:rsid w:val="41586B3A"/>
    <w:rsid w:val="4159635A"/>
    <w:rsid w:val="415A19C2"/>
    <w:rsid w:val="415A55BD"/>
    <w:rsid w:val="415B454B"/>
    <w:rsid w:val="415D3BE5"/>
    <w:rsid w:val="415F3A0A"/>
    <w:rsid w:val="41601E8E"/>
    <w:rsid w:val="41611887"/>
    <w:rsid w:val="41615AE6"/>
    <w:rsid w:val="41654440"/>
    <w:rsid w:val="41690264"/>
    <w:rsid w:val="416A653F"/>
    <w:rsid w:val="416B13C0"/>
    <w:rsid w:val="416C4185"/>
    <w:rsid w:val="416C787E"/>
    <w:rsid w:val="416D3D33"/>
    <w:rsid w:val="416E11D8"/>
    <w:rsid w:val="416E1518"/>
    <w:rsid w:val="416E16E8"/>
    <w:rsid w:val="41704940"/>
    <w:rsid w:val="41720FB5"/>
    <w:rsid w:val="41722FF6"/>
    <w:rsid w:val="41726791"/>
    <w:rsid w:val="4172755C"/>
    <w:rsid w:val="41727D6D"/>
    <w:rsid w:val="41734EC3"/>
    <w:rsid w:val="4175661C"/>
    <w:rsid w:val="41757E35"/>
    <w:rsid w:val="41775C41"/>
    <w:rsid w:val="41781D17"/>
    <w:rsid w:val="41783EA5"/>
    <w:rsid w:val="41784CC6"/>
    <w:rsid w:val="41790ED7"/>
    <w:rsid w:val="417946CE"/>
    <w:rsid w:val="41797931"/>
    <w:rsid w:val="417B760E"/>
    <w:rsid w:val="417C3861"/>
    <w:rsid w:val="417F4F7B"/>
    <w:rsid w:val="41806C15"/>
    <w:rsid w:val="4183504A"/>
    <w:rsid w:val="41847AF5"/>
    <w:rsid w:val="418731C8"/>
    <w:rsid w:val="41875F23"/>
    <w:rsid w:val="41885A75"/>
    <w:rsid w:val="418A3D3A"/>
    <w:rsid w:val="418A4EC0"/>
    <w:rsid w:val="418B5CA4"/>
    <w:rsid w:val="418C651A"/>
    <w:rsid w:val="418D6A40"/>
    <w:rsid w:val="418E3C4B"/>
    <w:rsid w:val="418E5BC6"/>
    <w:rsid w:val="418F3AC7"/>
    <w:rsid w:val="41915606"/>
    <w:rsid w:val="41917378"/>
    <w:rsid w:val="41924B08"/>
    <w:rsid w:val="419259D1"/>
    <w:rsid w:val="41960F07"/>
    <w:rsid w:val="41974A33"/>
    <w:rsid w:val="419807C2"/>
    <w:rsid w:val="419831BD"/>
    <w:rsid w:val="419A1DEE"/>
    <w:rsid w:val="419C393E"/>
    <w:rsid w:val="419C6AD0"/>
    <w:rsid w:val="419D64CF"/>
    <w:rsid w:val="419D7653"/>
    <w:rsid w:val="41A136BB"/>
    <w:rsid w:val="41A2189A"/>
    <w:rsid w:val="41A22D68"/>
    <w:rsid w:val="41A23028"/>
    <w:rsid w:val="41A26F22"/>
    <w:rsid w:val="41A35CC5"/>
    <w:rsid w:val="41A46CEE"/>
    <w:rsid w:val="41A70055"/>
    <w:rsid w:val="41A70BE1"/>
    <w:rsid w:val="41A77E2A"/>
    <w:rsid w:val="41A80BC4"/>
    <w:rsid w:val="41A82919"/>
    <w:rsid w:val="41A84F1E"/>
    <w:rsid w:val="41A93317"/>
    <w:rsid w:val="41AB39FF"/>
    <w:rsid w:val="41AB7A74"/>
    <w:rsid w:val="41AC1F40"/>
    <w:rsid w:val="41AE300E"/>
    <w:rsid w:val="41AF2165"/>
    <w:rsid w:val="41B26F6D"/>
    <w:rsid w:val="41B7178D"/>
    <w:rsid w:val="41B73AF9"/>
    <w:rsid w:val="41B81635"/>
    <w:rsid w:val="41B82863"/>
    <w:rsid w:val="41B85792"/>
    <w:rsid w:val="41BC2557"/>
    <w:rsid w:val="41BC5C55"/>
    <w:rsid w:val="41BD6A38"/>
    <w:rsid w:val="41BF6D54"/>
    <w:rsid w:val="41C20896"/>
    <w:rsid w:val="41C20B14"/>
    <w:rsid w:val="41C219E4"/>
    <w:rsid w:val="41C31CD8"/>
    <w:rsid w:val="41C434AA"/>
    <w:rsid w:val="41C458A8"/>
    <w:rsid w:val="41C45A49"/>
    <w:rsid w:val="41C46B2B"/>
    <w:rsid w:val="41C54E82"/>
    <w:rsid w:val="41C75ED3"/>
    <w:rsid w:val="41C7691C"/>
    <w:rsid w:val="41CB173D"/>
    <w:rsid w:val="41CB65E2"/>
    <w:rsid w:val="41CC6917"/>
    <w:rsid w:val="41CF0116"/>
    <w:rsid w:val="41CF104B"/>
    <w:rsid w:val="41D00FBF"/>
    <w:rsid w:val="41D06D37"/>
    <w:rsid w:val="41D1626C"/>
    <w:rsid w:val="41D20D0F"/>
    <w:rsid w:val="41D21B37"/>
    <w:rsid w:val="41D30E30"/>
    <w:rsid w:val="41D7528B"/>
    <w:rsid w:val="41D8350E"/>
    <w:rsid w:val="41D87322"/>
    <w:rsid w:val="41D90F48"/>
    <w:rsid w:val="41D969E1"/>
    <w:rsid w:val="41DB2EAD"/>
    <w:rsid w:val="41DD6110"/>
    <w:rsid w:val="41DE079A"/>
    <w:rsid w:val="41DE14B4"/>
    <w:rsid w:val="41DE6503"/>
    <w:rsid w:val="41DF0291"/>
    <w:rsid w:val="41E0769A"/>
    <w:rsid w:val="41E16876"/>
    <w:rsid w:val="41E21BF5"/>
    <w:rsid w:val="41E2243C"/>
    <w:rsid w:val="41E540E8"/>
    <w:rsid w:val="41E57674"/>
    <w:rsid w:val="41E5767B"/>
    <w:rsid w:val="41E843F0"/>
    <w:rsid w:val="41E91314"/>
    <w:rsid w:val="41E919CA"/>
    <w:rsid w:val="41E9267D"/>
    <w:rsid w:val="41E93E11"/>
    <w:rsid w:val="41EA1225"/>
    <w:rsid w:val="41EC2381"/>
    <w:rsid w:val="41ED67C4"/>
    <w:rsid w:val="41F0133F"/>
    <w:rsid w:val="41F14292"/>
    <w:rsid w:val="41F35153"/>
    <w:rsid w:val="41F51CAF"/>
    <w:rsid w:val="41F72DBF"/>
    <w:rsid w:val="41F8020A"/>
    <w:rsid w:val="41F97E77"/>
    <w:rsid w:val="41FA07D0"/>
    <w:rsid w:val="41FC4DBE"/>
    <w:rsid w:val="42003383"/>
    <w:rsid w:val="42016994"/>
    <w:rsid w:val="42023085"/>
    <w:rsid w:val="42024C74"/>
    <w:rsid w:val="42036C64"/>
    <w:rsid w:val="42036D67"/>
    <w:rsid w:val="420460B1"/>
    <w:rsid w:val="420514F9"/>
    <w:rsid w:val="42061567"/>
    <w:rsid w:val="42066975"/>
    <w:rsid w:val="4207159E"/>
    <w:rsid w:val="42075FDE"/>
    <w:rsid w:val="42084D8A"/>
    <w:rsid w:val="420A2F80"/>
    <w:rsid w:val="420B5659"/>
    <w:rsid w:val="420C0C2A"/>
    <w:rsid w:val="420C0EDD"/>
    <w:rsid w:val="420C2BBE"/>
    <w:rsid w:val="420D18DE"/>
    <w:rsid w:val="420E25DF"/>
    <w:rsid w:val="420E3B74"/>
    <w:rsid w:val="420F0EDB"/>
    <w:rsid w:val="420F53B0"/>
    <w:rsid w:val="42120DE7"/>
    <w:rsid w:val="42124528"/>
    <w:rsid w:val="42137F20"/>
    <w:rsid w:val="42163435"/>
    <w:rsid w:val="42174D29"/>
    <w:rsid w:val="421757AC"/>
    <w:rsid w:val="421A411F"/>
    <w:rsid w:val="421B33FA"/>
    <w:rsid w:val="421C3CAF"/>
    <w:rsid w:val="421C4F9F"/>
    <w:rsid w:val="421D6AD1"/>
    <w:rsid w:val="421F275E"/>
    <w:rsid w:val="421F606F"/>
    <w:rsid w:val="42210A38"/>
    <w:rsid w:val="42213B8D"/>
    <w:rsid w:val="422161CC"/>
    <w:rsid w:val="42230ED5"/>
    <w:rsid w:val="42236698"/>
    <w:rsid w:val="42241420"/>
    <w:rsid w:val="42241455"/>
    <w:rsid w:val="42241745"/>
    <w:rsid w:val="422449A5"/>
    <w:rsid w:val="42246402"/>
    <w:rsid w:val="42247693"/>
    <w:rsid w:val="422568A6"/>
    <w:rsid w:val="42261B80"/>
    <w:rsid w:val="422B09FD"/>
    <w:rsid w:val="422B0F95"/>
    <w:rsid w:val="422B69C3"/>
    <w:rsid w:val="422B7AE1"/>
    <w:rsid w:val="422D13B1"/>
    <w:rsid w:val="422D3520"/>
    <w:rsid w:val="422D3731"/>
    <w:rsid w:val="42315C84"/>
    <w:rsid w:val="42316CAC"/>
    <w:rsid w:val="423207E1"/>
    <w:rsid w:val="42320D7F"/>
    <w:rsid w:val="42344217"/>
    <w:rsid w:val="42351D14"/>
    <w:rsid w:val="42365059"/>
    <w:rsid w:val="423704FE"/>
    <w:rsid w:val="42373C5C"/>
    <w:rsid w:val="423760D6"/>
    <w:rsid w:val="423768AB"/>
    <w:rsid w:val="42382CD2"/>
    <w:rsid w:val="42395CE3"/>
    <w:rsid w:val="423D2249"/>
    <w:rsid w:val="423E038A"/>
    <w:rsid w:val="423E46E7"/>
    <w:rsid w:val="423E5D71"/>
    <w:rsid w:val="423F3EFF"/>
    <w:rsid w:val="423F533B"/>
    <w:rsid w:val="4240611C"/>
    <w:rsid w:val="42414C8D"/>
    <w:rsid w:val="42414D89"/>
    <w:rsid w:val="42436C13"/>
    <w:rsid w:val="424509B3"/>
    <w:rsid w:val="4245270C"/>
    <w:rsid w:val="42452B61"/>
    <w:rsid w:val="42452D68"/>
    <w:rsid w:val="42465487"/>
    <w:rsid w:val="4247010F"/>
    <w:rsid w:val="42484D95"/>
    <w:rsid w:val="4248750D"/>
    <w:rsid w:val="4249373B"/>
    <w:rsid w:val="424946D4"/>
    <w:rsid w:val="424959C2"/>
    <w:rsid w:val="424A6244"/>
    <w:rsid w:val="424C1596"/>
    <w:rsid w:val="424C21D0"/>
    <w:rsid w:val="424C331E"/>
    <w:rsid w:val="424E11C5"/>
    <w:rsid w:val="424E5B94"/>
    <w:rsid w:val="424E74CE"/>
    <w:rsid w:val="424F0AA8"/>
    <w:rsid w:val="424F7857"/>
    <w:rsid w:val="42521622"/>
    <w:rsid w:val="42524877"/>
    <w:rsid w:val="425349F9"/>
    <w:rsid w:val="42537DE8"/>
    <w:rsid w:val="42551AD9"/>
    <w:rsid w:val="425520F3"/>
    <w:rsid w:val="42552AD1"/>
    <w:rsid w:val="42552DB0"/>
    <w:rsid w:val="42557333"/>
    <w:rsid w:val="42560203"/>
    <w:rsid w:val="425757C9"/>
    <w:rsid w:val="42576182"/>
    <w:rsid w:val="425827AF"/>
    <w:rsid w:val="42593943"/>
    <w:rsid w:val="425A0221"/>
    <w:rsid w:val="425A6DC8"/>
    <w:rsid w:val="425B184F"/>
    <w:rsid w:val="425C6A20"/>
    <w:rsid w:val="425C718C"/>
    <w:rsid w:val="425F6426"/>
    <w:rsid w:val="425F6666"/>
    <w:rsid w:val="42600656"/>
    <w:rsid w:val="4260595A"/>
    <w:rsid w:val="4261276F"/>
    <w:rsid w:val="42623AFE"/>
    <w:rsid w:val="42626C36"/>
    <w:rsid w:val="42661C49"/>
    <w:rsid w:val="42667EFA"/>
    <w:rsid w:val="42696350"/>
    <w:rsid w:val="426A1D64"/>
    <w:rsid w:val="426A7BBA"/>
    <w:rsid w:val="426B4C10"/>
    <w:rsid w:val="426C251F"/>
    <w:rsid w:val="426D531C"/>
    <w:rsid w:val="426E1220"/>
    <w:rsid w:val="426E4216"/>
    <w:rsid w:val="426E5C20"/>
    <w:rsid w:val="42701998"/>
    <w:rsid w:val="4272382E"/>
    <w:rsid w:val="42724A33"/>
    <w:rsid w:val="427335B8"/>
    <w:rsid w:val="4273698B"/>
    <w:rsid w:val="42744575"/>
    <w:rsid w:val="42751A7B"/>
    <w:rsid w:val="42752671"/>
    <w:rsid w:val="42760A38"/>
    <w:rsid w:val="4277279E"/>
    <w:rsid w:val="42776374"/>
    <w:rsid w:val="42780C2A"/>
    <w:rsid w:val="42783F66"/>
    <w:rsid w:val="42786A9F"/>
    <w:rsid w:val="42793DE5"/>
    <w:rsid w:val="427A3169"/>
    <w:rsid w:val="427B5A66"/>
    <w:rsid w:val="427E1E74"/>
    <w:rsid w:val="427E74FF"/>
    <w:rsid w:val="427F31B5"/>
    <w:rsid w:val="42804D60"/>
    <w:rsid w:val="4280573A"/>
    <w:rsid w:val="42811537"/>
    <w:rsid w:val="428146D1"/>
    <w:rsid w:val="4282589D"/>
    <w:rsid w:val="428267FA"/>
    <w:rsid w:val="42834A0B"/>
    <w:rsid w:val="42840389"/>
    <w:rsid w:val="42840654"/>
    <w:rsid w:val="428450B3"/>
    <w:rsid w:val="428543A2"/>
    <w:rsid w:val="42873E38"/>
    <w:rsid w:val="42876CE2"/>
    <w:rsid w:val="42880F0C"/>
    <w:rsid w:val="42890609"/>
    <w:rsid w:val="42891433"/>
    <w:rsid w:val="4289244D"/>
    <w:rsid w:val="42894E22"/>
    <w:rsid w:val="428B0485"/>
    <w:rsid w:val="428B2293"/>
    <w:rsid w:val="428B2FDD"/>
    <w:rsid w:val="428C25BE"/>
    <w:rsid w:val="428C29C9"/>
    <w:rsid w:val="428C5324"/>
    <w:rsid w:val="428D254A"/>
    <w:rsid w:val="428E07D4"/>
    <w:rsid w:val="428E279A"/>
    <w:rsid w:val="428F0476"/>
    <w:rsid w:val="428F22A3"/>
    <w:rsid w:val="428F3C66"/>
    <w:rsid w:val="428F5465"/>
    <w:rsid w:val="42903B9C"/>
    <w:rsid w:val="429102CC"/>
    <w:rsid w:val="4295455F"/>
    <w:rsid w:val="42956688"/>
    <w:rsid w:val="42971E9E"/>
    <w:rsid w:val="42993E66"/>
    <w:rsid w:val="42996083"/>
    <w:rsid w:val="429A6A15"/>
    <w:rsid w:val="429B4B9E"/>
    <w:rsid w:val="429C52B9"/>
    <w:rsid w:val="429D0E93"/>
    <w:rsid w:val="429F05BE"/>
    <w:rsid w:val="429F5882"/>
    <w:rsid w:val="429F7366"/>
    <w:rsid w:val="42A13690"/>
    <w:rsid w:val="42A1447A"/>
    <w:rsid w:val="42A35DEB"/>
    <w:rsid w:val="42A36BDF"/>
    <w:rsid w:val="42A43FC7"/>
    <w:rsid w:val="42A74E78"/>
    <w:rsid w:val="42A76113"/>
    <w:rsid w:val="42A93B56"/>
    <w:rsid w:val="42A97857"/>
    <w:rsid w:val="42AB3C0F"/>
    <w:rsid w:val="42AC396E"/>
    <w:rsid w:val="42AD5203"/>
    <w:rsid w:val="42AE5FE4"/>
    <w:rsid w:val="42AE6019"/>
    <w:rsid w:val="42AF02CF"/>
    <w:rsid w:val="42B00110"/>
    <w:rsid w:val="42B10DDF"/>
    <w:rsid w:val="42B1739C"/>
    <w:rsid w:val="42B2145E"/>
    <w:rsid w:val="42B21FB1"/>
    <w:rsid w:val="42B27A80"/>
    <w:rsid w:val="42B50AA4"/>
    <w:rsid w:val="42B52A60"/>
    <w:rsid w:val="42B82BFA"/>
    <w:rsid w:val="42B854E2"/>
    <w:rsid w:val="42B96C88"/>
    <w:rsid w:val="42BA1BE1"/>
    <w:rsid w:val="42BA5B1D"/>
    <w:rsid w:val="42BB208A"/>
    <w:rsid w:val="42BB226C"/>
    <w:rsid w:val="42BC6532"/>
    <w:rsid w:val="42BD335D"/>
    <w:rsid w:val="42BD495F"/>
    <w:rsid w:val="42BD5757"/>
    <w:rsid w:val="42BE289B"/>
    <w:rsid w:val="42BF5C67"/>
    <w:rsid w:val="42C0372C"/>
    <w:rsid w:val="42C11614"/>
    <w:rsid w:val="42C14720"/>
    <w:rsid w:val="42C14B4B"/>
    <w:rsid w:val="42C17B9C"/>
    <w:rsid w:val="42C34FA0"/>
    <w:rsid w:val="42C40A1C"/>
    <w:rsid w:val="42C43AB9"/>
    <w:rsid w:val="42C44EFD"/>
    <w:rsid w:val="42C528DC"/>
    <w:rsid w:val="42C53C84"/>
    <w:rsid w:val="42C624F8"/>
    <w:rsid w:val="42C62C5B"/>
    <w:rsid w:val="42C77462"/>
    <w:rsid w:val="42C8498F"/>
    <w:rsid w:val="42C93CF2"/>
    <w:rsid w:val="42C94A89"/>
    <w:rsid w:val="42CA7F66"/>
    <w:rsid w:val="42CB36B3"/>
    <w:rsid w:val="42CD5912"/>
    <w:rsid w:val="42CE6B13"/>
    <w:rsid w:val="42D21473"/>
    <w:rsid w:val="42D27DCB"/>
    <w:rsid w:val="42D42DE9"/>
    <w:rsid w:val="42D46B75"/>
    <w:rsid w:val="42D53026"/>
    <w:rsid w:val="42D64C24"/>
    <w:rsid w:val="42D71A17"/>
    <w:rsid w:val="42D72318"/>
    <w:rsid w:val="42D748E5"/>
    <w:rsid w:val="42D812EB"/>
    <w:rsid w:val="42D842DC"/>
    <w:rsid w:val="42D86E87"/>
    <w:rsid w:val="42D91EFB"/>
    <w:rsid w:val="42D94BD7"/>
    <w:rsid w:val="42DD5849"/>
    <w:rsid w:val="42DF2F30"/>
    <w:rsid w:val="42E039BB"/>
    <w:rsid w:val="42E267A1"/>
    <w:rsid w:val="42E52630"/>
    <w:rsid w:val="42E65C18"/>
    <w:rsid w:val="42E76186"/>
    <w:rsid w:val="42E838F3"/>
    <w:rsid w:val="42E87A06"/>
    <w:rsid w:val="42E938DA"/>
    <w:rsid w:val="42EA702E"/>
    <w:rsid w:val="42EB1CFA"/>
    <w:rsid w:val="42EB4F52"/>
    <w:rsid w:val="42EC21E6"/>
    <w:rsid w:val="42EE5BD8"/>
    <w:rsid w:val="42EF56F9"/>
    <w:rsid w:val="42EF669A"/>
    <w:rsid w:val="42F01994"/>
    <w:rsid w:val="42F04C9B"/>
    <w:rsid w:val="42F053E4"/>
    <w:rsid w:val="42F22FF7"/>
    <w:rsid w:val="42F25A13"/>
    <w:rsid w:val="42F321A8"/>
    <w:rsid w:val="42F44098"/>
    <w:rsid w:val="42F45770"/>
    <w:rsid w:val="42F51A14"/>
    <w:rsid w:val="42F55F87"/>
    <w:rsid w:val="42F66DED"/>
    <w:rsid w:val="42F73F81"/>
    <w:rsid w:val="42F74CE6"/>
    <w:rsid w:val="42F84F3C"/>
    <w:rsid w:val="42FA4257"/>
    <w:rsid w:val="42FD1FDD"/>
    <w:rsid w:val="42FE12AF"/>
    <w:rsid w:val="42FE68FA"/>
    <w:rsid w:val="42FE6C0E"/>
    <w:rsid w:val="42FF13DC"/>
    <w:rsid w:val="42FF1E1B"/>
    <w:rsid w:val="42FF367D"/>
    <w:rsid w:val="42FF6797"/>
    <w:rsid w:val="43014E03"/>
    <w:rsid w:val="43016A94"/>
    <w:rsid w:val="430407B9"/>
    <w:rsid w:val="43041296"/>
    <w:rsid w:val="43081324"/>
    <w:rsid w:val="43081473"/>
    <w:rsid w:val="43095560"/>
    <w:rsid w:val="430B7451"/>
    <w:rsid w:val="430C5696"/>
    <w:rsid w:val="430D138D"/>
    <w:rsid w:val="430E420A"/>
    <w:rsid w:val="430F55AB"/>
    <w:rsid w:val="43101933"/>
    <w:rsid w:val="431060CB"/>
    <w:rsid w:val="4310788B"/>
    <w:rsid w:val="43114CCD"/>
    <w:rsid w:val="431225BC"/>
    <w:rsid w:val="431272F0"/>
    <w:rsid w:val="431374BA"/>
    <w:rsid w:val="431469A2"/>
    <w:rsid w:val="4315253F"/>
    <w:rsid w:val="43164B1C"/>
    <w:rsid w:val="43176286"/>
    <w:rsid w:val="431772B5"/>
    <w:rsid w:val="431931D3"/>
    <w:rsid w:val="431B22BD"/>
    <w:rsid w:val="431D7C1C"/>
    <w:rsid w:val="431D7C93"/>
    <w:rsid w:val="431E13F4"/>
    <w:rsid w:val="431F37EA"/>
    <w:rsid w:val="431F697F"/>
    <w:rsid w:val="432009A6"/>
    <w:rsid w:val="432117C0"/>
    <w:rsid w:val="43217DA8"/>
    <w:rsid w:val="43227E5F"/>
    <w:rsid w:val="43230CF2"/>
    <w:rsid w:val="43250260"/>
    <w:rsid w:val="43251BB2"/>
    <w:rsid w:val="432523F5"/>
    <w:rsid w:val="43253263"/>
    <w:rsid w:val="4325571A"/>
    <w:rsid w:val="43261A71"/>
    <w:rsid w:val="43263FB2"/>
    <w:rsid w:val="43286D40"/>
    <w:rsid w:val="43290AD4"/>
    <w:rsid w:val="43292542"/>
    <w:rsid w:val="432B2045"/>
    <w:rsid w:val="432B6EC7"/>
    <w:rsid w:val="432D2B02"/>
    <w:rsid w:val="432D4752"/>
    <w:rsid w:val="432E18C1"/>
    <w:rsid w:val="432E214D"/>
    <w:rsid w:val="432F3601"/>
    <w:rsid w:val="43302B01"/>
    <w:rsid w:val="433056C0"/>
    <w:rsid w:val="43333AA2"/>
    <w:rsid w:val="4333576B"/>
    <w:rsid w:val="43345C57"/>
    <w:rsid w:val="433553AB"/>
    <w:rsid w:val="433561CE"/>
    <w:rsid w:val="43362BE2"/>
    <w:rsid w:val="43371944"/>
    <w:rsid w:val="433769B9"/>
    <w:rsid w:val="4337787F"/>
    <w:rsid w:val="4338698A"/>
    <w:rsid w:val="43397368"/>
    <w:rsid w:val="433A4841"/>
    <w:rsid w:val="433C47ED"/>
    <w:rsid w:val="433D2CCD"/>
    <w:rsid w:val="433E55F2"/>
    <w:rsid w:val="43416FCC"/>
    <w:rsid w:val="434423CC"/>
    <w:rsid w:val="434425AC"/>
    <w:rsid w:val="43444426"/>
    <w:rsid w:val="43445A15"/>
    <w:rsid w:val="4345254C"/>
    <w:rsid w:val="43470EAC"/>
    <w:rsid w:val="43482165"/>
    <w:rsid w:val="43485D93"/>
    <w:rsid w:val="434B1A9D"/>
    <w:rsid w:val="434C4CF3"/>
    <w:rsid w:val="434D4EF1"/>
    <w:rsid w:val="434E2DC1"/>
    <w:rsid w:val="434F2F39"/>
    <w:rsid w:val="4350293F"/>
    <w:rsid w:val="43541FE6"/>
    <w:rsid w:val="43544F51"/>
    <w:rsid w:val="435506F5"/>
    <w:rsid w:val="435533E0"/>
    <w:rsid w:val="43555FA1"/>
    <w:rsid w:val="43563C4E"/>
    <w:rsid w:val="43564D70"/>
    <w:rsid w:val="4356541C"/>
    <w:rsid w:val="4357007D"/>
    <w:rsid w:val="43573832"/>
    <w:rsid w:val="43577A3A"/>
    <w:rsid w:val="43581053"/>
    <w:rsid w:val="43593C8A"/>
    <w:rsid w:val="43594AB6"/>
    <w:rsid w:val="435A28D3"/>
    <w:rsid w:val="435A7271"/>
    <w:rsid w:val="435B26D6"/>
    <w:rsid w:val="43601F52"/>
    <w:rsid w:val="43612155"/>
    <w:rsid w:val="43627557"/>
    <w:rsid w:val="436557AA"/>
    <w:rsid w:val="4366123A"/>
    <w:rsid w:val="43663261"/>
    <w:rsid w:val="43672532"/>
    <w:rsid w:val="436747DB"/>
    <w:rsid w:val="43677D79"/>
    <w:rsid w:val="4369455F"/>
    <w:rsid w:val="43697E77"/>
    <w:rsid w:val="436A61AA"/>
    <w:rsid w:val="436B1E86"/>
    <w:rsid w:val="436B426A"/>
    <w:rsid w:val="436C08AB"/>
    <w:rsid w:val="436C1336"/>
    <w:rsid w:val="436C3842"/>
    <w:rsid w:val="436D0F3B"/>
    <w:rsid w:val="436D3DBF"/>
    <w:rsid w:val="436E00AD"/>
    <w:rsid w:val="436E0325"/>
    <w:rsid w:val="436E320A"/>
    <w:rsid w:val="43717013"/>
    <w:rsid w:val="43725CCE"/>
    <w:rsid w:val="437266CD"/>
    <w:rsid w:val="43736234"/>
    <w:rsid w:val="43740F6A"/>
    <w:rsid w:val="43744EEB"/>
    <w:rsid w:val="43755033"/>
    <w:rsid w:val="43757816"/>
    <w:rsid w:val="4376742F"/>
    <w:rsid w:val="43771C1E"/>
    <w:rsid w:val="43774E16"/>
    <w:rsid w:val="4378021D"/>
    <w:rsid w:val="43780919"/>
    <w:rsid w:val="43783B75"/>
    <w:rsid w:val="43796D4D"/>
    <w:rsid w:val="437A23C4"/>
    <w:rsid w:val="437B0980"/>
    <w:rsid w:val="437C340E"/>
    <w:rsid w:val="437C4B09"/>
    <w:rsid w:val="437C54A0"/>
    <w:rsid w:val="437D48E2"/>
    <w:rsid w:val="437E1901"/>
    <w:rsid w:val="437E1EE6"/>
    <w:rsid w:val="437E5CC7"/>
    <w:rsid w:val="437F0730"/>
    <w:rsid w:val="43811700"/>
    <w:rsid w:val="43814076"/>
    <w:rsid w:val="4381451B"/>
    <w:rsid w:val="43815E0E"/>
    <w:rsid w:val="43820595"/>
    <w:rsid w:val="438342D6"/>
    <w:rsid w:val="43840524"/>
    <w:rsid w:val="4384176E"/>
    <w:rsid w:val="438732AE"/>
    <w:rsid w:val="4387656C"/>
    <w:rsid w:val="438974F0"/>
    <w:rsid w:val="438A46DA"/>
    <w:rsid w:val="438B06D0"/>
    <w:rsid w:val="438B3656"/>
    <w:rsid w:val="438B6A9A"/>
    <w:rsid w:val="438C1C6F"/>
    <w:rsid w:val="438D51FA"/>
    <w:rsid w:val="438D5E63"/>
    <w:rsid w:val="438F19A5"/>
    <w:rsid w:val="43900977"/>
    <w:rsid w:val="43911125"/>
    <w:rsid w:val="4393627A"/>
    <w:rsid w:val="43944CBA"/>
    <w:rsid w:val="43947A83"/>
    <w:rsid w:val="43963C76"/>
    <w:rsid w:val="43971468"/>
    <w:rsid w:val="43984DD1"/>
    <w:rsid w:val="439925DC"/>
    <w:rsid w:val="439932B1"/>
    <w:rsid w:val="439932EE"/>
    <w:rsid w:val="43997E78"/>
    <w:rsid w:val="439A2BF0"/>
    <w:rsid w:val="439B3A3F"/>
    <w:rsid w:val="439C1779"/>
    <w:rsid w:val="439C7985"/>
    <w:rsid w:val="43A05C8A"/>
    <w:rsid w:val="43A12678"/>
    <w:rsid w:val="43A22044"/>
    <w:rsid w:val="43A32BDD"/>
    <w:rsid w:val="43A40F2C"/>
    <w:rsid w:val="43A44846"/>
    <w:rsid w:val="43A605B0"/>
    <w:rsid w:val="43A7227A"/>
    <w:rsid w:val="43A77BEE"/>
    <w:rsid w:val="43A936BD"/>
    <w:rsid w:val="43AA6224"/>
    <w:rsid w:val="43AA7509"/>
    <w:rsid w:val="43AB0A5D"/>
    <w:rsid w:val="43AB2879"/>
    <w:rsid w:val="43AC62F0"/>
    <w:rsid w:val="43AC7D23"/>
    <w:rsid w:val="43AD0FAD"/>
    <w:rsid w:val="43AD1F9E"/>
    <w:rsid w:val="43AE65DE"/>
    <w:rsid w:val="43AE776D"/>
    <w:rsid w:val="43B10B5C"/>
    <w:rsid w:val="43B21CDA"/>
    <w:rsid w:val="43B31F1B"/>
    <w:rsid w:val="43B35FD4"/>
    <w:rsid w:val="43B4356E"/>
    <w:rsid w:val="43B55B89"/>
    <w:rsid w:val="43B73426"/>
    <w:rsid w:val="43B94322"/>
    <w:rsid w:val="43B97580"/>
    <w:rsid w:val="43BA78C4"/>
    <w:rsid w:val="43BB3855"/>
    <w:rsid w:val="43BB7D79"/>
    <w:rsid w:val="43BC4EA0"/>
    <w:rsid w:val="43BD5430"/>
    <w:rsid w:val="43BD6A5D"/>
    <w:rsid w:val="43BE4D51"/>
    <w:rsid w:val="43BF15D5"/>
    <w:rsid w:val="43BF1C4D"/>
    <w:rsid w:val="43BF3D4F"/>
    <w:rsid w:val="43BF6EE6"/>
    <w:rsid w:val="43C02AF8"/>
    <w:rsid w:val="43C13756"/>
    <w:rsid w:val="43C22853"/>
    <w:rsid w:val="43C373C1"/>
    <w:rsid w:val="43C60868"/>
    <w:rsid w:val="43C62C39"/>
    <w:rsid w:val="43C67D0A"/>
    <w:rsid w:val="43C749D7"/>
    <w:rsid w:val="43C853AC"/>
    <w:rsid w:val="43C96139"/>
    <w:rsid w:val="43CA3028"/>
    <w:rsid w:val="43CA671D"/>
    <w:rsid w:val="43CB285E"/>
    <w:rsid w:val="43CB3E88"/>
    <w:rsid w:val="43CC1CDC"/>
    <w:rsid w:val="43CE4BD1"/>
    <w:rsid w:val="43CE4D3E"/>
    <w:rsid w:val="43CE577E"/>
    <w:rsid w:val="43CF20D0"/>
    <w:rsid w:val="43CF552A"/>
    <w:rsid w:val="43D42F1B"/>
    <w:rsid w:val="43D54727"/>
    <w:rsid w:val="43D66C33"/>
    <w:rsid w:val="43D71920"/>
    <w:rsid w:val="43D720AB"/>
    <w:rsid w:val="43D74D5C"/>
    <w:rsid w:val="43D9463B"/>
    <w:rsid w:val="43DB2FD1"/>
    <w:rsid w:val="43DB67CF"/>
    <w:rsid w:val="43DC6EF7"/>
    <w:rsid w:val="43DF4B70"/>
    <w:rsid w:val="43DF5857"/>
    <w:rsid w:val="43E16497"/>
    <w:rsid w:val="43E16E4B"/>
    <w:rsid w:val="43E26B65"/>
    <w:rsid w:val="43E56224"/>
    <w:rsid w:val="43E566D4"/>
    <w:rsid w:val="43E633BA"/>
    <w:rsid w:val="43E8079D"/>
    <w:rsid w:val="43E8153B"/>
    <w:rsid w:val="43E83874"/>
    <w:rsid w:val="43E842A6"/>
    <w:rsid w:val="43E9506C"/>
    <w:rsid w:val="43EB7878"/>
    <w:rsid w:val="43EC1757"/>
    <w:rsid w:val="43EC5F50"/>
    <w:rsid w:val="43F070A2"/>
    <w:rsid w:val="43F11C64"/>
    <w:rsid w:val="43F24AE0"/>
    <w:rsid w:val="43F50BE8"/>
    <w:rsid w:val="43F83C87"/>
    <w:rsid w:val="43F869DE"/>
    <w:rsid w:val="43F9601A"/>
    <w:rsid w:val="43FB400A"/>
    <w:rsid w:val="43FC083D"/>
    <w:rsid w:val="43FC414D"/>
    <w:rsid w:val="43FC4A39"/>
    <w:rsid w:val="43FC7342"/>
    <w:rsid w:val="43FF1C59"/>
    <w:rsid w:val="44002E81"/>
    <w:rsid w:val="44004A7C"/>
    <w:rsid w:val="44006D4C"/>
    <w:rsid w:val="44041B70"/>
    <w:rsid w:val="44045EE2"/>
    <w:rsid w:val="440540F8"/>
    <w:rsid w:val="44065DBC"/>
    <w:rsid w:val="44065E01"/>
    <w:rsid w:val="44070942"/>
    <w:rsid w:val="44077DF5"/>
    <w:rsid w:val="440851DD"/>
    <w:rsid w:val="440924C4"/>
    <w:rsid w:val="4409259B"/>
    <w:rsid w:val="44096CC9"/>
    <w:rsid w:val="440A3557"/>
    <w:rsid w:val="440C0286"/>
    <w:rsid w:val="440C749E"/>
    <w:rsid w:val="440D4407"/>
    <w:rsid w:val="440D4673"/>
    <w:rsid w:val="440D604B"/>
    <w:rsid w:val="440D7046"/>
    <w:rsid w:val="440F4560"/>
    <w:rsid w:val="440F4768"/>
    <w:rsid w:val="440F4FB9"/>
    <w:rsid w:val="440F5F31"/>
    <w:rsid w:val="44122798"/>
    <w:rsid w:val="441242FC"/>
    <w:rsid w:val="44125569"/>
    <w:rsid w:val="44135AAA"/>
    <w:rsid w:val="44153D56"/>
    <w:rsid w:val="44154CA7"/>
    <w:rsid w:val="44167FF9"/>
    <w:rsid w:val="44171407"/>
    <w:rsid w:val="441902A3"/>
    <w:rsid w:val="441C02AC"/>
    <w:rsid w:val="441C0BED"/>
    <w:rsid w:val="441E68B6"/>
    <w:rsid w:val="441E6FBC"/>
    <w:rsid w:val="442073EE"/>
    <w:rsid w:val="44210E41"/>
    <w:rsid w:val="44213DFA"/>
    <w:rsid w:val="442146CE"/>
    <w:rsid w:val="4422036C"/>
    <w:rsid w:val="44235F85"/>
    <w:rsid w:val="4425062E"/>
    <w:rsid w:val="442567B2"/>
    <w:rsid w:val="4427077C"/>
    <w:rsid w:val="442800D7"/>
    <w:rsid w:val="442A0D1D"/>
    <w:rsid w:val="442B669D"/>
    <w:rsid w:val="442C1088"/>
    <w:rsid w:val="442C4091"/>
    <w:rsid w:val="442C4DFB"/>
    <w:rsid w:val="442E02B1"/>
    <w:rsid w:val="442E0B8A"/>
    <w:rsid w:val="442E1BC5"/>
    <w:rsid w:val="442E5F99"/>
    <w:rsid w:val="443005B3"/>
    <w:rsid w:val="44310F66"/>
    <w:rsid w:val="443136F2"/>
    <w:rsid w:val="44321139"/>
    <w:rsid w:val="4432323F"/>
    <w:rsid w:val="443250E5"/>
    <w:rsid w:val="44336447"/>
    <w:rsid w:val="44337598"/>
    <w:rsid w:val="44344D32"/>
    <w:rsid w:val="44357D00"/>
    <w:rsid w:val="4436078D"/>
    <w:rsid w:val="44363B63"/>
    <w:rsid w:val="44376261"/>
    <w:rsid w:val="44392F6D"/>
    <w:rsid w:val="44395E04"/>
    <w:rsid w:val="443A09B4"/>
    <w:rsid w:val="443B3687"/>
    <w:rsid w:val="443E1E40"/>
    <w:rsid w:val="443F32EA"/>
    <w:rsid w:val="44400342"/>
    <w:rsid w:val="444035BE"/>
    <w:rsid w:val="444075BB"/>
    <w:rsid w:val="4441260F"/>
    <w:rsid w:val="44414490"/>
    <w:rsid w:val="444202C0"/>
    <w:rsid w:val="44426709"/>
    <w:rsid w:val="44440B87"/>
    <w:rsid w:val="44447DD1"/>
    <w:rsid w:val="444545CA"/>
    <w:rsid w:val="44456C4D"/>
    <w:rsid w:val="44470D00"/>
    <w:rsid w:val="44471822"/>
    <w:rsid w:val="4447497A"/>
    <w:rsid w:val="44475FA6"/>
    <w:rsid w:val="444924A1"/>
    <w:rsid w:val="444927FD"/>
    <w:rsid w:val="444A1554"/>
    <w:rsid w:val="444A533D"/>
    <w:rsid w:val="444A6219"/>
    <w:rsid w:val="444C15AB"/>
    <w:rsid w:val="444F3C58"/>
    <w:rsid w:val="44501489"/>
    <w:rsid w:val="44501A99"/>
    <w:rsid w:val="44514C42"/>
    <w:rsid w:val="4451628D"/>
    <w:rsid w:val="44517448"/>
    <w:rsid w:val="44550B51"/>
    <w:rsid w:val="445668F8"/>
    <w:rsid w:val="44573B8E"/>
    <w:rsid w:val="445860EB"/>
    <w:rsid w:val="445B0A75"/>
    <w:rsid w:val="445B0BB1"/>
    <w:rsid w:val="445C7FF7"/>
    <w:rsid w:val="445D2129"/>
    <w:rsid w:val="445D3598"/>
    <w:rsid w:val="445E2E98"/>
    <w:rsid w:val="44615752"/>
    <w:rsid w:val="44654E75"/>
    <w:rsid w:val="446705EE"/>
    <w:rsid w:val="446717D8"/>
    <w:rsid w:val="446911C4"/>
    <w:rsid w:val="4469535F"/>
    <w:rsid w:val="446A3328"/>
    <w:rsid w:val="446C6E5D"/>
    <w:rsid w:val="446D0719"/>
    <w:rsid w:val="446D1E22"/>
    <w:rsid w:val="446D572C"/>
    <w:rsid w:val="446E3F04"/>
    <w:rsid w:val="446E5AE0"/>
    <w:rsid w:val="446E5AEF"/>
    <w:rsid w:val="446E63AB"/>
    <w:rsid w:val="446E6F91"/>
    <w:rsid w:val="446F7A2D"/>
    <w:rsid w:val="4470419C"/>
    <w:rsid w:val="44715B55"/>
    <w:rsid w:val="44726078"/>
    <w:rsid w:val="44786A6E"/>
    <w:rsid w:val="447A4001"/>
    <w:rsid w:val="447C3548"/>
    <w:rsid w:val="447C6F9F"/>
    <w:rsid w:val="447E0FE6"/>
    <w:rsid w:val="447F2F82"/>
    <w:rsid w:val="447F630D"/>
    <w:rsid w:val="44801A7D"/>
    <w:rsid w:val="448132F1"/>
    <w:rsid w:val="44824588"/>
    <w:rsid w:val="44842A8E"/>
    <w:rsid w:val="44844D63"/>
    <w:rsid w:val="44845CE4"/>
    <w:rsid w:val="4485062D"/>
    <w:rsid w:val="448552D1"/>
    <w:rsid w:val="448555DC"/>
    <w:rsid w:val="44873D87"/>
    <w:rsid w:val="44891CB6"/>
    <w:rsid w:val="448A73B2"/>
    <w:rsid w:val="448B248E"/>
    <w:rsid w:val="448B6A8C"/>
    <w:rsid w:val="448D26CC"/>
    <w:rsid w:val="448D2B53"/>
    <w:rsid w:val="448D4787"/>
    <w:rsid w:val="448F5CF8"/>
    <w:rsid w:val="448F6672"/>
    <w:rsid w:val="44901FCE"/>
    <w:rsid w:val="449367A9"/>
    <w:rsid w:val="44936AE9"/>
    <w:rsid w:val="44943276"/>
    <w:rsid w:val="4496705B"/>
    <w:rsid w:val="4497746C"/>
    <w:rsid w:val="449A4925"/>
    <w:rsid w:val="449C3BC8"/>
    <w:rsid w:val="449C49B2"/>
    <w:rsid w:val="449C6971"/>
    <w:rsid w:val="449C6D0F"/>
    <w:rsid w:val="449E0B1B"/>
    <w:rsid w:val="449F17A0"/>
    <w:rsid w:val="449F1C8B"/>
    <w:rsid w:val="44A02F86"/>
    <w:rsid w:val="44A05F32"/>
    <w:rsid w:val="44A41DCD"/>
    <w:rsid w:val="44A42A7D"/>
    <w:rsid w:val="44A7581B"/>
    <w:rsid w:val="44A97EE0"/>
    <w:rsid w:val="44AA0C5B"/>
    <w:rsid w:val="44AA1C6D"/>
    <w:rsid w:val="44AC02BF"/>
    <w:rsid w:val="44AC152D"/>
    <w:rsid w:val="44AC1A94"/>
    <w:rsid w:val="44AE3814"/>
    <w:rsid w:val="44AE5EC3"/>
    <w:rsid w:val="44B1262A"/>
    <w:rsid w:val="44B34FBB"/>
    <w:rsid w:val="44B40DB4"/>
    <w:rsid w:val="44B53401"/>
    <w:rsid w:val="44B5474C"/>
    <w:rsid w:val="44B62770"/>
    <w:rsid w:val="44B702AD"/>
    <w:rsid w:val="44BA6E1B"/>
    <w:rsid w:val="44BB12E3"/>
    <w:rsid w:val="44BB4C3D"/>
    <w:rsid w:val="44BB64BB"/>
    <w:rsid w:val="44BD3D91"/>
    <w:rsid w:val="44BE1FA7"/>
    <w:rsid w:val="44BF316A"/>
    <w:rsid w:val="44BF4694"/>
    <w:rsid w:val="44C05357"/>
    <w:rsid w:val="44C3584E"/>
    <w:rsid w:val="44C61F46"/>
    <w:rsid w:val="44C71BAC"/>
    <w:rsid w:val="44C72FFD"/>
    <w:rsid w:val="44C777D7"/>
    <w:rsid w:val="44C77869"/>
    <w:rsid w:val="44C85555"/>
    <w:rsid w:val="44C905B8"/>
    <w:rsid w:val="44C92F45"/>
    <w:rsid w:val="44CA3C17"/>
    <w:rsid w:val="44CB2DCD"/>
    <w:rsid w:val="44CB55AC"/>
    <w:rsid w:val="44CC319D"/>
    <w:rsid w:val="44CC48E9"/>
    <w:rsid w:val="44CD3294"/>
    <w:rsid w:val="44CD7BA7"/>
    <w:rsid w:val="44CE1962"/>
    <w:rsid w:val="44CE20D1"/>
    <w:rsid w:val="44CE47CE"/>
    <w:rsid w:val="44CE6CFF"/>
    <w:rsid w:val="44D03174"/>
    <w:rsid w:val="44D0671E"/>
    <w:rsid w:val="44D102C7"/>
    <w:rsid w:val="44D12E8C"/>
    <w:rsid w:val="44D15E85"/>
    <w:rsid w:val="44D278B4"/>
    <w:rsid w:val="44D30A2F"/>
    <w:rsid w:val="44D338FC"/>
    <w:rsid w:val="44D55AC0"/>
    <w:rsid w:val="44D70FAE"/>
    <w:rsid w:val="44D728D6"/>
    <w:rsid w:val="44D732C1"/>
    <w:rsid w:val="44D7330D"/>
    <w:rsid w:val="44D81FA3"/>
    <w:rsid w:val="44D84559"/>
    <w:rsid w:val="44DB03D8"/>
    <w:rsid w:val="44DC340A"/>
    <w:rsid w:val="44DC5B76"/>
    <w:rsid w:val="44DC741D"/>
    <w:rsid w:val="44DD5A4E"/>
    <w:rsid w:val="44DE0D2D"/>
    <w:rsid w:val="44DE0FE5"/>
    <w:rsid w:val="44DE3BCB"/>
    <w:rsid w:val="44DE3FD1"/>
    <w:rsid w:val="44DE5FB8"/>
    <w:rsid w:val="44DE6EC4"/>
    <w:rsid w:val="44DF2786"/>
    <w:rsid w:val="44DF63AD"/>
    <w:rsid w:val="44E02329"/>
    <w:rsid w:val="44E111C4"/>
    <w:rsid w:val="44E20544"/>
    <w:rsid w:val="44E23AE0"/>
    <w:rsid w:val="44E301C6"/>
    <w:rsid w:val="44E33D1E"/>
    <w:rsid w:val="44E41A25"/>
    <w:rsid w:val="44E5615B"/>
    <w:rsid w:val="44E60286"/>
    <w:rsid w:val="44E626E4"/>
    <w:rsid w:val="44E63310"/>
    <w:rsid w:val="44E71512"/>
    <w:rsid w:val="44E73DEB"/>
    <w:rsid w:val="44E74953"/>
    <w:rsid w:val="44E92232"/>
    <w:rsid w:val="44E93C84"/>
    <w:rsid w:val="44EA2A12"/>
    <w:rsid w:val="44EB3F9A"/>
    <w:rsid w:val="44EC1BE6"/>
    <w:rsid w:val="44EF7631"/>
    <w:rsid w:val="44F046F1"/>
    <w:rsid w:val="44F15FCD"/>
    <w:rsid w:val="44F50503"/>
    <w:rsid w:val="44F5507F"/>
    <w:rsid w:val="44F60507"/>
    <w:rsid w:val="44F64797"/>
    <w:rsid w:val="44F74E02"/>
    <w:rsid w:val="44FA319C"/>
    <w:rsid w:val="44FA391E"/>
    <w:rsid w:val="44FB0539"/>
    <w:rsid w:val="44FB0FCD"/>
    <w:rsid w:val="44FB4A2F"/>
    <w:rsid w:val="44FC2B65"/>
    <w:rsid w:val="44FD20E4"/>
    <w:rsid w:val="44FD685C"/>
    <w:rsid w:val="45006F25"/>
    <w:rsid w:val="4502705A"/>
    <w:rsid w:val="45037277"/>
    <w:rsid w:val="450548AF"/>
    <w:rsid w:val="45055665"/>
    <w:rsid w:val="45061C1F"/>
    <w:rsid w:val="4506536E"/>
    <w:rsid w:val="45072246"/>
    <w:rsid w:val="45084763"/>
    <w:rsid w:val="45085527"/>
    <w:rsid w:val="45085EB8"/>
    <w:rsid w:val="4508641D"/>
    <w:rsid w:val="45090DF0"/>
    <w:rsid w:val="450A2813"/>
    <w:rsid w:val="450A346F"/>
    <w:rsid w:val="450C6E18"/>
    <w:rsid w:val="450D3404"/>
    <w:rsid w:val="450E6333"/>
    <w:rsid w:val="450F0B3E"/>
    <w:rsid w:val="450F3D2D"/>
    <w:rsid w:val="4510315B"/>
    <w:rsid w:val="45110A4D"/>
    <w:rsid w:val="451406FA"/>
    <w:rsid w:val="45142C19"/>
    <w:rsid w:val="451637F6"/>
    <w:rsid w:val="451668C0"/>
    <w:rsid w:val="45172146"/>
    <w:rsid w:val="45177B9E"/>
    <w:rsid w:val="45181CD6"/>
    <w:rsid w:val="45185BA9"/>
    <w:rsid w:val="45191DA1"/>
    <w:rsid w:val="45192E0E"/>
    <w:rsid w:val="451B2ABC"/>
    <w:rsid w:val="451C08B2"/>
    <w:rsid w:val="451C67AC"/>
    <w:rsid w:val="45200A75"/>
    <w:rsid w:val="45220D43"/>
    <w:rsid w:val="45224D84"/>
    <w:rsid w:val="45226762"/>
    <w:rsid w:val="45250444"/>
    <w:rsid w:val="45272092"/>
    <w:rsid w:val="45275F77"/>
    <w:rsid w:val="45276CA8"/>
    <w:rsid w:val="4528209A"/>
    <w:rsid w:val="452836D2"/>
    <w:rsid w:val="452A5691"/>
    <w:rsid w:val="452A6D13"/>
    <w:rsid w:val="452B4F5C"/>
    <w:rsid w:val="452B7DF8"/>
    <w:rsid w:val="452C58AE"/>
    <w:rsid w:val="452D648B"/>
    <w:rsid w:val="452D775F"/>
    <w:rsid w:val="452E0395"/>
    <w:rsid w:val="452E7ABF"/>
    <w:rsid w:val="4530674F"/>
    <w:rsid w:val="45313ECF"/>
    <w:rsid w:val="45321A85"/>
    <w:rsid w:val="45327192"/>
    <w:rsid w:val="45327753"/>
    <w:rsid w:val="45365661"/>
    <w:rsid w:val="45371E12"/>
    <w:rsid w:val="45372CA4"/>
    <w:rsid w:val="453736C3"/>
    <w:rsid w:val="45387D00"/>
    <w:rsid w:val="45397B2F"/>
    <w:rsid w:val="453A3D33"/>
    <w:rsid w:val="453A4649"/>
    <w:rsid w:val="453B1184"/>
    <w:rsid w:val="453B5AAF"/>
    <w:rsid w:val="453C68BB"/>
    <w:rsid w:val="453E33D8"/>
    <w:rsid w:val="453E73FB"/>
    <w:rsid w:val="45401504"/>
    <w:rsid w:val="45407550"/>
    <w:rsid w:val="45410A14"/>
    <w:rsid w:val="4542101D"/>
    <w:rsid w:val="45421036"/>
    <w:rsid w:val="45422FC9"/>
    <w:rsid w:val="45425F22"/>
    <w:rsid w:val="4543513F"/>
    <w:rsid w:val="45437CDB"/>
    <w:rsid w:val="454444B9"/>
    <w:rsid w:val="454444C2"/>
    <w:rsid w:val="45460E8D"/>
    <w:rsid w:val="4549173E"/>
    <w:rsid w:val="454C7692"/>
    <w:rsid w:val="454D131A"/>
    <w:rsid w:val="454D7591"/>
    <w:rsid w:val="454E075C"/>
    <w:rsid w:val="454E176D"/>
    <w:rsid w:val="454F0529"/>
    <w:rsid w:val="454F7C68"/>
    <w:rsid w:val="45510914"/>
    <w:rsid w:val="45510A9C"/>
    <w:rsid w:val="45533244"/>
    <w:rsid w:val="45550864"/>
    <w:rsid w:val="455528E4"/>
    <w:rsid w:val="45573040"/>
    <w:rsid w:val="45575974"/>
    <w:rsid w:val="45577C26"/>
    <w:rsid w:val="4558483E"/>
    <w:rsid w:val="455966E3"/>
    <w:rsid w:val="455A7F69"/>
    <w:rsid w:val="455C0D58"/>
    <w:rsid w:val="455C6204"/>
    <w:rsid w:val="455D6E42"/>
    <w:rsid w:val="455D736A"/>
    <w:rsid w:val="455E0086"/>
    <w:rsid w:val="455E0D0B"/>
    <w:rsid w:val="455E6953"/>
    <w:rsid w:val="455E6DFE"/>
    <w:rsid w:val="455E7EBD"/>
    <w:rsid w:val="45611609"/>
    <w:rsid w:val="456169FB"/>
    <w:rsid w:val="45623BE2"/>
    <w:rsid w:val="4562476B"/>
    <w:rsid w:val="4562693B"/>
    <w:rsid w:val="45632745"/>
    <w:rsid w:val="456808DA"/>
    <w:rsid w:val="45680F03"/>
    <w:rsid w:val="456833F0"/>
    <w:rsid w:val="45683F8F"/>
    <w:rsid w:val="456A3EFE"/>
    <w:rsid w:val="456B2D88"/>
    <w:rsid w:val="456B4DAA"/>
    <w:rsid w:val="456C3DC9"/>
    <w:rsid w:val="456C3FE4"/>
    <w:rsid w:val="456C4DAF"/>
    <w:rsid w:val="456D38A6"/>
    <w:rsid w:val="456F1AB4"/>
    <w:rsid w:val="456F23DB"/>
    <w:rsid w:val="4570767C"/>
    <w:rsid w:val="45722BF2"/>
    <w:rsid w:val="45725A27"/>
    <w:rsid w:val="457466A0"/>
    <w:rsid w:val="45750EC4"/>
    <w:rsid w:val="45754813"/>
    <w:rsid w:val="45760BFC"/>
    <w:rsid w:val="4577303D"/>
    <w:rsid w:val="45780504"/>
    <w:rsid w:val="457833C6"/>
    <w:rsid w:val="457841C2"/>
    <w:rsid w:val="45784445"/>
    <w:rsid w:val="457850D5"/>
    <w:rsid w:val="45785164"/>
    <w:rsid w:val="457936BA"/>
    <w:rsid w:val="457A276D"/>
    <w:rsid w:val="457A412B"/>
    <w:rsid w:val="457B7524"/>
    <w:rsid w:val="457B7EB9"/>
    <w:rsid w:val="457C00F4"/>
    <w:rsid w:val="457C22DA"/>
    <w:rsid w:val="457C3874"/>
    <w:rsid w:val="457E21FC"/>
    <w:rsid w:val="457E5848"/>
    <w:rsid w:val="45852ECB"/>
    <w:rsid w:val="458530B3"/>
    <w:rsid w:val="45871F46"/>
    <w:rsid w:val="458728CF"/>
    <w:rsid w:val="458D2843"/>
    <w:rsid w:val="458D50A1"/>
    <w:rsid w:val="458F5321"/>
    <w:rsid w:val="458F70F8"/>
    <w:rsid w:val="459009E1"/>
    <w:rsid w:val="459155CC"/>
    <w:rsid w:val="45931BC6"/>
    <w:rsid w:val="45931C40"/>
    <w:rsid w:val="459333DD"/>
    <w:rsid w:val="45953594"/>
    <w:rsid w:val="45964731"/>
    <w:rsid w:val="45977785"/>
    <w:rsid w:val="45994E45"/>
    <w:rsid w:val="4599508B"/>
    <w:rsid w:val="459A576F"/>
    <w:rsid w:val="459B015D"/>
    <w:rsid w:val="459B6298"/>
    <w:rsid w:val="459C2A22"/>
    <w:rsid w:val="459C4D81"/>
    <w:rsid w:val="459E12AA"/>
    <w:rsid w:val="45A0107C"/>
    <w:rsid w:val="45A11B70"/>
    <w:rsid w:val="45A1339F"/>
    <w:rsid w:val="45A136E7"/>
    <w:rsid w:val="45A15E35"/>
    <w:rsid w:val="45A21348"/>
    <w:rsid w:val="45A335B0"/>
    <w:rsid w:val="45A33E32"/>
    <w:rsid w:val="45A756B7"/>
    <w:rsid w:val="45A81FE5"/>
    <w:rsid w:val="45A8769B"/>
    <w:rsid w:val="45AB5AB0"/>
    <w:rsid w:val="45AB60F8"/>
    <w:rsid w:val="45AC6244"/>
    <w:rsid w:val="45AE1C6D"/>
    <w:rsid w:val="45AE4891"/>
    <w:rsid w:val="45AE4FEF"/>
    <w:rsid w:val="45B15566"/>
    <w:rsid w:val="45B17C06"/>
    <w:rsid w:val="45B40AA8"/>
    <w:rsid w:val="45B44DCC"/>
    <w:rsid w:val="45B86713"/>
    <w:rsid w:val="45B96248"/>
    <w:rsid w:val="45BA5E31"/>
    <w:rsid w:val="45BB0F8F"/>
    <w:rsid w:val="45BC2C9C"/>
    <w:rsid w:val="45BD74E8"/>
    <w:rsid w:val="45BE2065"/>
    <w:rsid w:val="45BE2FBF"/>
    <w:rsid w:val="45BF68F4"/>
    <w:rsid w:val="45C0246C"/>
    <w:rsid w:val="45C03BE1"/>
    <w:rsid w:val="45C06E8A"/>
    <w:rsid w:val="45C13B4D"/>
    <w:rsid w:val="45C178B6"/>
    <w:rsid w:val="45C24668"/>
    <w:rsid w:val="45C3735D"/>
    <w:rsid w:val="45C529EC"/>
    <w:rsid w:val="45C62682"/>
    <w:rsid w:val="45C66031"/>
    <w:rsid w:val="45C73FC5"/>
    <w:rsid w:val="45C75F9C"/>
    <w:rsid w:val="45C90342"/>
    <w:rsid w:val="45C9337F"/>
    <w:rsid w:val="45CB088C"/>
    <w:rsid w:val="45CC16C5"/>
    <w:rsid w:val="45CF5429"/>
    <w:rsid w:val="45D10A3D"/>
    <w:rsid w:val="45D22A80"/>
    <w:rsid w:val="45D27CEF"/>
    <w:rsid w:val="45D451B1"/>
    <w:rsid w:val="45D6559F"/>
    <w:rsid w:val="45D7175F"/>
    <w:rsid w:val="45D71D2E"/>
    <w:rsid w:val="45D75217"/>
    <w:rsid w:val="45D93776"/>
    <w:rsid w:val="45D94F4D"/>
    <w:rsid w:val="45D97033"/>
    <w:rsid w:val="45DA06F8"/>
    <w:rsid w:val="45DA4A51"/>
    <w:rsid w:val="45DA78F3"/>
    <w:rsid w:val="45DB22E8"/>
    <w:rsid w:val="45DD3DBA"/>
    <w:rsid w:val="45DD7678"/>
    <w:rsid w:val="45DE130F"/>
    <w:rsid w:val="45E242B1"/>
    <w:rsid w:val="45E30B6B"/>
    <w:rsid w:val="45E359EB"/>
    <w:rsid w:val="45E449CD"/>
    <w:rsid w:val="45E4593A"/>
    <w:rsid w:val="45E506AF"/>
    <w:rsid w:val="45E8173D"/>
    <w:rsid w:val="45E953B5"/>
    <w:rsid w:val="45E95EA5"/>
    <w:rsid w:val="45EA2B5F"/>
    <w:rsid w:val="45EA4BC2"/>
    <w:rsid w:val="45EB3814"/>
    <w:rsid w:val="45EB5839"/>
    <w:rsid w:val="45EC02F3"/>
    <w:rsid w:val="45EE13AF"/>
    <w:rsid w:val="45EF32E8"/>
    <w:rsid w:val="45F05A77"/>
    <w:rsid w:val="45F104DA"/>
    <w:rsid w:val="45F14DE9"/>
    <w:rsid w:val="45F17839"/>
    <w:rsid w:val="45F23015"/>
    <w:rsid w:val="45F3729A"/>
    <w:rsid w:val="45F41021"/>
    <w:rsid w:val="45F552B3"/>
    <w:rsid w:val="45F60406"/>
    <w:rsid w:val="45F61EBF"/>
    <w:rsid w:val="45F63277"/>
    <w:rsid w:val="45F63D9C"/>
    <w:rsid w:val="45F645EA"/>
    <w:rsid w:val="45F8337A"/>
    <w:rsid w:val="45F9552E"/>
    <w:rsid w:val="45FC49A4"/>
    <w:rsid w:val="45FD158B"/>
    <w:rsid w:val="45FF364D"/>
    <w:rsid w:val="46003F1E"/>
    <w:rsid w:val="46011603"/>
    <w:rsid w:val="46022E27"/>
    <w:rsid w:val="460234D2"/>
    <w:rsid w:val="46033023"/>
    <w:rsid w:val="46036887"/>
    <w:rsid w:val="46037FEE"/>
    <w:rsid w:val="46041B87"/>
    <w:rsid w:val="4605431D"/>
    <w:rsid w:val="46064EEA"/>
    <w:rsid w:val="460814AF"/>
    <w:rsid w:val="460A4EED"/>
    <w:rsid w:val="460B2DF0"/>
    <w:rsid w:val="460B3A6B"/>
    <w:rsid w:val="460B7F4F"/>
    <w:rsid w:val="460D2AE3"/>
    <w:rsid w:val="460D3B73"/>
    <w:rsid w:val="460E0775"/>
    <w:rsid w:val="460E37F3"/>
    <w:rsid w:val="460E44A0"/>
    <w:rsid w:val="460F14C8"/>
    <w:rsid w:val="460F70C6"/>
    <w:rsid w:val="46105EEC"/>
    <w:rsid w:val="46117067"/>
    <w:rsid w:val="4612126A"/>
    <w:rsid w:val="46124D20"/>
    <w:rsid w:val="46136A63"/>
    <w:rsid w:val="46176B78"/>
    <w:rsid w:val="4618081F"/>
    <w:rsid w:val="461863BF"/>
    <w:rsid w:val="461920FD"/>
    <w:rsid w:val="4619228B"/>
    <w:rsid w:val="46196A03"/>
    <w:rsid w:val="461A2C83"/>
    <w:rsid w:val="461B30B3"/>
    <w:rsid w:val="461B7832"/>
    <w:rsid w:val="461C65F0"/>
    <w:rsid w:val="461E1BDF"/>
    <w:rsid w:val="461F07B8"/>
    <w:rsid w:val="46201726"/>
    <w:rsid w:val="46203D21"/>
    <w:rsid w:val="46223A61"/>
    <w:rsid w:val="46246E90"/>
    <w:rsid w:val="462521DF"/>
    <w:rsid w:val="462542AC"/>
    <w:rsid w:val="46281802"/>
    <w:rsid w:val="46281A9B"/>
    <w:rsid w:val="46286953"/>
    <w:rsid w:val="4629693B"/>
    <w:rsid w:val="462A175E"/>
    <w:rsid w:val="462B1B6C"/>
    <w:rsid w:val="462E7BA0"/>
    <w:rsid w:val="462F12F2"/>
    <w:rsid w:val="4630251F"/>
    <w:rsid w:val="4630252F"/>
    <w:rsid w:val="46310496"/>
    <w:rsid w:val="463366EC"/>
    <w:rsid w:val="46343800"/>
    <w:rsid w:val="463615CF"/>
    <w:rsid w:val="46361FB5"/>
    <w:rsid w:val="463831B6"/>
    <w:rsid w:val="46392F9F"/>
    <w:rsid w:val="46394885"/>
    <w:rsid w:val="463A6CC6"/>
    <w:rsid w:val="463C25F6"/>
    <w:rsid w:val="463C420C"/>
    <w:rsid w:val="463D6126"/>
    <w:rsid w:val="46405185"/>
    <w:rsid w:val="464128F1"/>
    <w:rsid w:val="46420E46"/>
    <w:rsid w:val="46430CE4"/>
    <w:rsid w:val="46432AC8"/>
    <w:rsid w:val="46452070"/>
    <w:rsid w:val="46453460"/>
    <w:rsid w:val="46456976"/>
    <w:rsid w:val="46462EF8"/>
    <w:rsid w:val="464672CA"/>
    <w:rsid w:val="464A1DCA"/>
    <w:rsid w:val="464A5153"/>
    <w:rsid w:val="464B3118"/>
    <w:rsid w:val="464B5230"/>
    <w:rsid w:val="464C0026"/>
    <w:rsid w:val="464C47B2"/>
    <w:rsid w:val="464E0684"/>
    <w:rsid w:val="464E71CE"/>
    <w:rsid w:val="4650206B"/>
    <w:rsid w:val="46502C45"/>
    <w:rsid w:val="46510C09"/>
    <w:rsid w:val="46524619"/>
    <w:rsid w:val="46531D14"/>
    <w:rsid w:val="46531D66"/>
    <w:rsid w:val="46554D0A"/>
    <w:rsid w:val="46567B37"/>
    <w:rsid w:val="465753A9"/>
    <w:rsid w:val="46594839"/>
    <w:rsid w:val="4659626D"/>
    <w:rsid w:val="465A64AB"/>
    <w:rsid w:val="465B0A89"/>
    <w:rsid w:val="465C1A8E"/>
    <w:rsid w:val="465D2B78"/>
    <w:rsid w:val="465E1DFD"/>
    <w:rsid w:val="465E7FBE"/>
    <w:rsid w:val="46607397"/>
    <w:rsid w:val="466078FD"/>
    <w:rsid w:val="4663030F"/>
    <w:rsid w:val="466304D8"/>
    <w:rsid w:val="4664660F"/>
    <w:rsid w:val="46652BE6"/>
    <w:rsid w:val="46680374"/>
    <w:rsid w:val="466842DC"/>
    <w:rsid w:val="46693092"/>
    <w:rsid w:val="466955EE"/>
    <w:rsid w:val="466A4B73"/>
    <w:rsid w:val="466C40E9"/>
    <w:rsid w:val="466D09EF"/>
    <w:rsid w:val="466D22B7"/>
    <w:rsid w:val="466F444D"/>
    <w:rsid w:val="467008B3"/>
    <w:rsid w:val="46715462"/>
    <w:rsid w:val="46715CDF"/>
    <w:rsid w:val="46723A9C"/>
    <w:rsid w:val="46726D8E"/>
    <w:rsid w:val="46730CDE"/>
    <w:rsid w:val="467511FE"/>
    <w:rsid w:val="46762A81"/>
    <w:rsid w:val="467703FE"/>
    <w:rsid w:val="46786BE7"/>
    <w:rsid w:val="467929F5"/>
    <w:rsid w:val="467C3EC3"/>
    <w:rsid w:val="467F1C71"/>
    <w:rsid w:val="467F3CEF"/>
    <w:rsid w:val="467F401B"/>
    <w:rsid w:val="46801FF8"/>
    <w:rsid w:val="46804174"/>
    <w:rsid w:val="46833AD0"/>
    <w:rsid w:val="46835963"/>
    <w:rsid w:val="46840B63"/>
    <w:rsid w:val="468518B4"/>
    <w:rsid w:val="46853790"/>
    <w:rsid w:val="46862B34"/>
    <w:rsid w:val="46871C00"/>
    <w:rsid w:val="468808CF"/>
    <w:rsid w:val="46892DFF"/>
    <w:rsid w:val="468A2959"/>
    <w:rsid w:val="468A295F"/>
    <w:rsid w:val="468B4BAD"/>
    <w:rsid w:val="468D6F90"/>
    <w:rsid w:val="468E564A"/>
    <w:rsid w:val="468F2C8B"/>
    <w:rsid w:val="469016D3"/>
    <w:rsid w:val="46920650"/>
    <w:rsid w:val="469316C6"/>
    <w:rsid w:val="4695766E"/>
    <w:rsid w:val="46970BAA"/>
    <w:rsid w:val="46973497"/>
    <w:rsid w:val="469800F8"/>
    <w:rsid w:val="469A3005"/>
    <w:rsid w:val="469A4522"/>
    <w:rsid w:val="469C2019"/>
    <w:rsid w:val="469D0A10"/>
    <w:rsid w:val="469E21D3"/>
    <w:rsid w:val="46A14882"/>
    <w:rsid w:val="46A321DF"/>
    <w:rsid w:val="46A3302A"/>
    <w:rsid w:val="46A4654F"/>
    <w:rsid w:val="46A528BC"/>
    <w:rsid w:val="46A53AAB"/>
    <w:rsid w:val="46A54B5C"/>
    <w:rsid w:val="46A6084C"/>
    <w:rsid w:val="46A61E2C"/>
    <w:rsid w:val="46A62626"/>
    <w:rsid w:val="46A7426C"/>
    <w:rsid w:val="46A77FA5"/>
    <w:rsid w:val="46A93552"/>
    <w:rsid w:val="46AA0135"/>
    <w:rsid w:val="46AB38B1"/>
    <w:rsid w:val="46AC78CA"/>
    <w:rsid w:val="46AD15E9"/>
    <w:rsid w:val="46AD2D1A"/>
    <w:rsid w:val="46AE7794"/>
    <w:rsid w:val="46AF2768"/>
    <w:rsid w:val="46AF3A6C"/>
    <w:rsid w:val="46B022CD"/>
    <w:rsid w:val="46B04013"/>
    <w:rsid w:val="46B10191"/>
    <w:rsid w:val="46B165C4"/>
    <w:rsid w:val="46B26774"/>
    <w:rsid w:val="46B30B36"/>
    <w:rsid w:val="46B320DC"/>
    <w:rsid w:val="46B35F16"/>
    <w:rsid w:val="46B50562"/>
    <w:rsid w:val="46B62CA5"/>
    <w:rsid w:val="46B636A2"/>
    <w:rsid w:val="46B641DB"/>
    <w:rsid w:val="46B64C38"/>
    <w:rsid w:val="46B72A5F"/>
    <w:rsid w:val="46B843A4"/>
    <w:rsid w:val="46B91095"/>
    <w:rsid w:val="46B9117D"/>
    <w:rsid w:val="46B92E6B"/>
    <w:rsid w:val="46B94271"/>
    <w:rsid w:val="46BA0C78"/>
    <w:rsid w:val="46BB21DC"/>
    <w:rsid w:val="46BB2C25"/>
    <w:rsid w:val="46BC1E9C"/>
    <w:rsid w:val="46BC5B7A"/>
    <w:rsid w:val="46BD3A68"/>
    <w:rsid w:val="46BE4F2E"/>
    <w:rsid w:val="46BF4D46"/>
    <w:rsid w:val="46BF6D22"/>
    <w:rsid w:val="46C00030"/>
    <w:rsid w:val="46C03F51"/>
    <w:rsid w:val="46C04B1E"/>
    <w:rsid w:val="46C07152"/>
    <w:rsid w:val="46C254E5"/>
    <w:rsid w:val="46C33A13"/>
    <w:rsid w:val="46C41386"/>
    <w:rsid w:val="46C5040E"/>
    <w:rsid w:val="46C52004"/>
    <w:rsid w:val="46C64ED8"/>
    <w:rsid w:val="46C81D9C"/>
    <w:rsid w:val="46C8221B"/>
    <w:rsid w:val="46C92AEB"/>
    <w:rsid w:val="46C95B1B"/>
    <w:rsid w:val="46C97E57"/>
    <w:rsid w:val="46CB703B"/>
    <w:rsid w:val="46CC7846"/>
    <w:rsid w:val="46CD14FB"/>
    <w:rsid w:val="46CD2C22"/>
    <w:rsid w:val="46CE350E"/>
    <w:rsid w:val="46D02A05"/>
    <w:rsid w:val="46D10001"/>
    <w:rsid w:val="46D172C7"/>
    <w:rsid w:val="46D336AB"/>
    <w:rsid w:val="46D40465"/>
    <w:rsid w:val="46D41F53"/>
    <w:rsid w:val="46D8392E"/>
    <w:rsid w:val="46D84D22"/>
    <w:rsid w:val="46DA2E8B"/>
    <w:rsid w:val="46DC53DD"/>
    <w:rsid w:val="46DD1C41"/>
    <w:rsid w:val="46DD33AA"/>
    <w:rsid w:val="46DE6548"/>
    <w:rsid w:val="46E10B68"/>
    <w:rsid w:val="46E14C12"/>
    <w:rsid w:val="46E311BE"/>
    <w:rsid w:val="46E32F69"/>
    <w:rsid w:val="46E33017"/>
    <w:rsid w:val="46E3707F"/>
    <w:rsid w:val="46E643D1"/>
    <w:rsid w:val="46E667D7"/>
    <w:rsid w:val="46E766C5"/>
    <w:rsid w:val="46E839B5"/>
    <w:rsid w:val="46E93AC7"/>
    <w:rsid w:val="46E97CA1"/>
    <w:rsid w:val="46EA0BEF"/>
    <w:rsid w:val="46EA0D30"/>
    <w:rsid w:val="46EB54B1"/>
    <w:rsid w:val="46ED29BB"/>
    <w:rsid w:val="46EF731E"/>
    <w:rsid w:val="46F03FB0"/>
    <w:rsid w:val="46F06920"/>
    <w:rsid w:val="46F25883"/>
    <w:rsid w:val="46F43D85"/>
    <w:rsid w:val="46F5589A"/>
    <w:rsid w:val="46F60637"/>
    <w:rsid w:val="46F60E97"/>
    <w:rsid w:val="46F64A7B"/>
    <w:rsid w:val="46F64B41"/>
    <w:rsid w:val="46F65410"/>
    <w:rsid w:val="46F67E39"/>
    <w:rsid w:val="46F923D9"/>
    <w:rsid w:val="46F94370"/>
    <w:rsid w:val="46F96DD1"/>
    <w:rsid w:val="46FA0DF3"/>
    <w:rsid w:val="46FA2C0B"/>
    <w:rsid w:val="46FB2451"/>
    <w:rsid w:val="46FB6AB3"/>
    <w:rsid w:val="46FD535E"/>
    <w:rsid w:val="46FD780C"/>
    <w:rsid w:val="46FF37E0"/>
    <w:rsid w:val="47002B38"/>
    <w:rsid w:val="47004E59"/>
    <w:rsid w:val="4701007C"/>
    <w:rsid w:val="470144CF"/>
    <w:rsid w:val="47015894"/>
    <w:rsid w:val="47017983"/>
    <w:rsid w:val="470238E2"/>
    <w:rsid w:val="4703702C"/>
    <w:rsid w:val="4707047D"/>
    <w:rsid w:val="47080728"/>
    <w:rsid w:val="470A7474"/>
    <w:rsid w:val="470B3AC0"/>
    <w:rsid w:val="470B483C"/>
    <w:rsid w:val="470C3B30"/>
    <w:rsid w:val="470D1B30"/>
    <w:rsid w:val="470D3B96"/>
    <w:rsid w:val="470E4CA1"/>
    <w:rsid w:val="470F7DF2"/>
    <w:rsid w:val="47103A73"/>
    <w:rsid w:val="471054F8"/>
    <w:rsid w:val="47116BFA"/>
    <w:rsid w:val="47136BC2"/>
    <w:rsid w:val="47147994"/>
    <w:rsid w:val="4717349E"/>
    <w:rsid w:val="47193AB1"/>
    <w:rsid w:val="471A1235"/>
    <w:rsid w:val="471A7203"/>
    <w:rsid w:val="471B5204"/>
    <w:rsid w:val="471D727E"/>
    <w:rsid w:val="471E621B"/>
    <w:rsid w:val="471F39DD"/>
    <w:rsid w:val="471F6800"/>
    <w:rsid w:val="47206DAA"/>
    <w:rsid w:val="472102A6"/>
    <w:rsid w:val="47210BAB"/>
    <w:rsid w:val="4721566E"/>
    <w:rsid w:val="47216FAD"/>
    <w:rsid w:val="472275FD"/>
    <w:rsid w:val="47230D72"/>
    <w:rsid w:val="47233BCD"/>
    <w:rsid w:val="472744AF"/>
    <w:rsid w:val="47294301"/>
    <w:rsid w:val="472A42C1"/>
    <w:rsid w:val="472B1F55"/>
    <w:rsid w:val="472C3F29"/>
    <w:rsid w:val="472D0B1C"/>
    <w:rsid w:val="472D2CA1"/>
    <w:rsid w:val="472D2FA2"/>
    <w:rsid w:val="472D60AA"/>
    <w:rsid w:val="472D7B31"/>
    <w:rsid w:val="472F7A93"/>
    <w:rsid w:val="47303314"/>
    <w:rsid w:val="47320A7B"/>
    <w:rsid w:val="47320AB6"/>
    <w:rsid w:val="473212F4"/>
    <w:rsid w:val="473235F6"/>
    <w:rsid w:val="47325992"/>
    <w:rsid w:val="473351FF"/>
    <w:rsid w:val="473440EA"/>
    <w:rsid w:val="47354582"/>
    <w:rsid w:val="47356041"/>
    <w:rsid w:val="4736009E"/>
    <w:rsid w:val="47362FB4"/>
    <w:rsid w:val="47392BFA"/>
    <w:rsid w:val="47393938"/>
    <w:rsid w:val="473B577E"/>
    <w:rsid w:val="473B6ED1"/>
    <w:rsid w:val="473C3AFD"/>
    <w:rsid w:val="473D03A1"/>
    <w:rsid w:val="473D5D95"/>
    <w:rsid w:val="473D67E6"/>
    <w:rsid w:val="473E1F4D"/>
    <w:rsid w:val="47401E04"/>
    <w:rsid w:val="47403A41"/>
    <w:rsid w:val="47405368"/>
    <w:rsid w:val="4740624C"/>
    <w:rsid w:val="47415B0F"/>
    <w:rsid w:val="4745487C"/>
    <w:rsid w:val="474638A8"/>
    <w:rsid w:val="4746599B"/>
    <w:rsid w:val="47480F07"/>
    <w:rsid w:val="474A021B"/>
    <w:rsid w:val="474A2C4B"/>
    <w:rsid w:val="474A3EDB"/>
    <w:rsid w:val="474C0A83"/>
    <w:rsid w:val="474D339C"/>
    <w:rsid w:val="474D3B0E"/>
    <w:rsid w:val="474E3990"/>
    <w:rsid w:val="474F488F"/>
    <w:rsid w:val="474F4AAD"/>
    <w:rsid w:val="474F7657"/>
    <w:rsid w:val="47521E4A"/>
    <w:rsid w:val="4752698C"/>
    <w:rsid w:val="47531B9D"/>
    <w:rsid w:val="47531E9D"/>
    <w:rsid w:val="475406D8"/>
    <w:rsid w:val="475524D9"/>
    <w:rsid w:val="47553522"/>
    <w:rsid w:val="47560277"/>
    <w:rsid w:val="4756135D"/>
    <w:rsid w:val="4757156A"/>
    <w:rsid w:val="47573126"/>
    <w:rsid w:val="475A2C17"/>
    <w:rsid w:val="475A632A"/>
    <w:rsid w:val="475E02C1"/>
    <w:rsid w:val="475E44B5"/>
    <w:rsid w:val="475F0219"/>
    <w:rsid w:val="476156BE"/>
    <w:rsid w:val="47627E2B"/>
    <w:rsid w:val="47637A99"/>
    <w:rsid w:val="47645B80"/>
    <w:rsid w:val="47656C12"/>
    <w:rsid w:val="47666ED3"/>
    <w:rsid w:val="476B4627"/>
    <w:rsid w:val="476C1928"/>
    <w:rsid w:val="476D39B6"/>
    <w:rsid w:val="476D741E"/>
    <w:rsid w:val="476F28AB"/>
    <w:rsid w:val="476F6372"/>
    <w:rsid w:val="47705836"/>
    <w:rsid w:val="47721D0E"/>
    <w:rsid w:val="47724E15"/>
    <w:rsid w:val="47731C57"/>
    <w:rsid w:val="47731EAD"/>
    <w:rsid w:val="477526A6"/>
    <w:rsid w:val="47753596"/>
    <w:rsid w:val="47780BB0"/>
    <w:rsid w:val="47791799"/>
    <w:rsid w:val="47792244"/>
    <w:rsid w:val="47796CF8"/>
    <w:rsid w:val="477B166A"/>
    <w:rsid w:val="477B27D4"/>
    <w:rsid w:val="477C52D4"/>
    <w:rsid w:val="477D4A24"/>
    <w:rsid w:val="477F7427"/>
    <w:rsid w:val="47804FE5"/>
    <w:rsid w:val="47810581"/>
    <w:rsid w:val="478176A9"/>
    <w:rsid w:val="47817C5E"/>
    <w:rsid w:val="47837D73"/>
    <w:rsid w:val="47860BA2"/>
    <w:rsid w:val="47864220"/>
    <w:rsid w:val="47875E9F"/>
    <w:rsid w:val="47885C10"/>
    <w:rsid w:val="478B6A26"/>
    <w:rsid w:val="478B7158"/>
    <w:rsid w:val="478C73F2"/>
    <w:rsid w:val="478E70F1"/>
    <w:rsid w:val="478F2675"/>
    <w:rsid w:val="478F28C0"/>
    <w:rsid w:val="478F4DAC"/>
    <w:rsid w:val="478F6373"/>
    <w:rsid w:val="479018C0"/>
    <w:rsid w:val="47903CBA"/>
    <w:rsid w:val="479537C3"/>
    <w:rsid w:val="4795499F"/>
    <w:rsid w:val="47965B36"/>
    <w:rsid w:val="47974AB1"/>
    <w:rsid w:val="47983C5A"/>
    <w:rsid w:val="4799521F"/>
    <w:rsid w:val="479C4FCF"/>
    <w:rsid w:val="479D03D4"/>
    <w:rsid w:val="479D6EA5"/>
    <w:rsid w:val="479E0D55"/>
    <w:rsid w:val="479E4B3C"/>
    <w:rsid w:val="479F4E57"/>
    <w:rsid w:val="479F65BC"/>
    <w:rsid w:val="47A01411"/>
    <w:rsid w:val="47A075E7"/>
    <w:rsid w:val="47A13149"/>
    <w:rsid w:val="47A15C08"/>
    <w:rsid w:val="47A465B5"/>
    <w:rsid w:val="47A84009"/>
    <w:rsid w:val="47A91F1B"/>
    <w:rsid w:val="47AA1D46"/>
    <w:rsid w:val="47AB1178"/>
    <w:rsid w:val="47AB7919"/>
    <w:rsid w:val="47AC5048"/>
    <w:rsid w:val="47B1234B"/>
    <w:rsid w:val="47B240B2"/>
    <w:rsid w:val="47B27BB6"/>
    <w:rsid w:val="47B27D33"/>
    <w:rsid w:val="47B32632"/>
    <w:rsid w:val="47B4337C"/>
    <w:rsid w:val="47B43C6B"/>
    <w:rsid w:val="47B448F0"/>
    <w:rsid w:val="47B5108F"/>
    <w:rsid w:val="47B5710B"/>
    <w:rsid w:val="47B6164C"/>
    <w:rsid w:val="47B67E66"/>
    <w:rsid w:val="47B7637D"/>
    <w:rsid w:val="47B903F5"/>
    <w:rsid w:val="47B92DEC"/>
    <w:rsid w:val="47B941F6"/>
    <w:rsid w:val="47BA6E29"/>
    <w:rsid w:val="47BB497D"/>
    <w:rsid w:val="47BC679B"/>
    <w:rsid w:val="47BD7164"/>
    <w:rsid w:val="47BD7C53"/>
    <w:rsid w:val="47BF010D"/>
    <w:rsid w:val="47BF0259"/>
    <w:rsid w:val="47BF60AB"/>
    <w:rsid w:val="47BF687A"/>
    <w:rsid w:val="47C041EF"/>
    <w:rsid w:val="47C05B63"/>
    <w:rsid w:val="47C41769"/>
    <w:rsid w:val="47C41B0F"/>
    <w:rsid w:val="47C5047B"/>
    <w:rsid w:val="47C61EC1"/>
    <w:rsid w:val="47C6231F"/>
    <w:rsid w:val="47C81E5E"/>
    <w:rsid w:val="47C90FA2"/>
    <w:rsid w:val="47C91D32"/>
    <w:rsid w:val="47C91E81"/>
    <w:rsid w:val="47C937C1"/>
    <w:rsid w:val="47C95451"/>
    <w:rsid w:val="47C97C59"/>
    <w:rsid w:val="47CA72C1"/>
    <w:rsid w:val="47CB1A65"/>
    <w:rsid w:val="47CB205F"/>
    <w:rsid w:val="47CB51C4"/>
    <w:rsid w:val="47CC11AA"/>
    <w:rsid w:val="47CD2E6E"/>
    <w:rsid w:val="47CE44E7"/>
    <w:rsid w:val="47CE5DFF"/>
    <w:rsid w:val="47D10246"/>
    <w:rsid w:val="47D10D88"/>
    <w:rsid w:val="47D13946"/>
    <w:rsid w:val="47D34D22"/>
    <w:rsid w:val="47D371EF"/>
    <w:rsid w:val="47D462C4"/>
    <w:rsid w:val="47D51DF3"/>
    <w:rsid w:val="47D60A2F"/>
    <w:rsid w:val="47D64944"/>
    <w:rsid w:val="47D71FE1"/>
    <w:rsid w:val="47D76015"/>
    <w:rsid w:val="47D93025"/>
    <w:rsid w:val="47D94967"/>
    <w:rsid w:val="47DA3253"/>
    <w:rsid w:val="47DA3947"/>
    <w:rsid w:val="47DB1538"/>
    <w:rsid w:val="47DB22B1"/>
    <w:rsid w:val="47DD6E30"/>
    <w:rsid w:val="47DE1152"/>
    <w:rsid w:val="47DE4D53"/>
    <w:rsid w:val="47DE674C"/>
    <w:rsid w:val="47DF5441"/>
    <w:rsid w:val="47E028D6"/>
    <w:rsid w:val="47E0522D"/>
    <w:rsid w:val="47E131B7"/>
    <w:rsid w:val="47E14E4B"/>
    <w:rsid w:val="47E14F8B"/>
    <w:rsid w:val="47E31198"/>
    <w:rsid w:val="47E548D9"/>
    <w:rsid w:val="47E61C9D"/>
    <w:rsid w:val="47E64522"/>
    <w:rsid w:val="47E75E73"/>
    <w:rsid w:val="47E76B12"/>
    <w:rsid w:val="47E872FC"/>
    <w:rsid w:val="47E9098D"/>
    <w:rsid w:val="47E942E0"/>
    <w:rsid w:val="47E965A9"/>
    <w:rsid w:val="47EA0DE0"/>
    <w:rsid w:val="47EA74D2"/>
    <w:rsid w:val="47EB0635"/>
    <w:rsid w:val="47EC461A"/>
    <w:rsid w:val="47EC51C2"/>
    <w:rsid w:val="47ED3CE4"/>
    <w:rsid w:val="47EE1FFC"/>
    <w:rsid w:val="47F11D27"/>
    <w:rsid w:val="47F22E4F"/>
    <w:rsid w:val="47F363A1"/>
    <w:rsid w:val="47F3679F"/>
    <w:rsid w:val="47F379FA"/>
    <w:rsid w:val="47F40EBC"/>
    <w:rsid w:val="47F44F7D"/>
    <w:rsid w:val="47F5424D"/>
    <w:rsid w:val="47F577FA"/>
    <w:rsid w:val="47F66E88"/>
    <w:rsid w:val="47F74EEE"/>
    <w:rsid w:val="47F77DD1"/>
    <w:rsid w:val="47F825E4"/>
    <w:rsid w:val="47F8793A"/>
    <w:rsid w:val="47FA5941"/>
    <w:rsid w:val="47FB27CB"/>
    <w:rsid w:val="47FB7DB0"/>
    <w:rsid w:val="47FE4A7C"/>
    <w:rsid w:val="47FF36EF"/>
    <w:rsid w:val="47FF38FD"/>
    <w:rsid w:val="48024D39"/>
    <w:rsid w:val="48030BA8"/>
    <w:rsid w:val="48032768"/>
    <w:rsid w:val="480362E5"/>
    <w:rsid w:val="48036A44"/>
    <w:rsid w:val="48042821"/>
    <w:rsid w:val="48043213"/>
    <w:rsid w:val="48053762"/>
    <w:rsid w:val="48057890"/>
    <w:rsid w:val="480608E9"/>
    <w:rsid w:val="48061AF4"/>
    <w:rsid w:val="480706A9"/>
    <w:rsid w:val="48082A65"/>
    <w:rsid w:val="480836CD"/>
    <w:rsid w:val="480914D3"/>
    <w:rsid w:val="480B389B"/>
    <w:rsid w:val="480C2CDB"/>
    <w:rsid w:val="480D2DAE"/>
    <w:rsid w:val="480E0F5F"/>
    <w:rsid w:val="480E6DA9"/>
    <w:rsid w:val="480F5411"/>
    <w:rsid w:val="480F55AC"/>
    <w:rsid w:val="4810420D"/>
    <w:rsid w:val="48107ABE"/>
    <w:rsid w:val="4811067B"/>
    <w:rsid w:val="48123D99"/>
    <w:rsid w:val="48135DF0"/>
    <w:rsid w:val="48145D09"/>
    <w:rsid w:val="481564F4"/>
    <w:rsid w:val="48160072"/>
    <w:rsid w:val="4817286E"/>
    <w:rsid w:val="48172A89"/>
    <w:rsid w:val="481849DC"/>
    <w:rsid w:val="48195829"/>
    <w:rsid w:val="481A1C36"/>
    <w:rsid w:val="481A60D5"/>
    <w:rsid w:val="481B50C1"/>
    <w:rsid w:val="481B552E"/>
    <w:rsid w:val="481B6166"/>
    <w:rsid w:val="481D265E"/>
    <w:rsid w:val="481D424A"/>
    <w:rsid w:val="481E54FB"/>
    <w:rsid w:val="481F4B95"/>
    <w:rsid w:val="481F6397"/>
    <w:rsid w:val="481F7D30"/>
    <w:rsid w:val="48202176"/>
    <w:rsid w:val="482228F9"/>
    <w:rsid w:val="48227AE5"/>
    <w:rsid w:val="48234709"/>
    <w:rsid w:val="48246B63"/>
    <w:rsid w:val="4825125A"/>
    <w:rsid w:val="4828685E"/>
    <w:rsid w:val="48290D3D"/>
    <w:rsid w:val="4829326E"/>
    <w:rsid w:val="482A5D21"/>
    <w:rsid w:val="482A6DEB"/>
    <w:rsid w:val="483060FD"/>
    <w:rsid w:val="48310F97"/>
    <w:rsid w:val="48313978"/>
    <w:rsid w:val="4833569F"/>
    <w:rsid w:val="483416BA"/>
    <w:rsid w:val="48351B1F"/>
    <w:rsid w:val="48370E36"/>
    <w:rsid w:val="48373093"/>
    <w:rsid w:val="48380F1B"/>
    <w:rsid w:val="48395282"/>
    <w:rsid w:val="483A2110"/>
    <w:rsid w:val="483C1518"/>
    <w:rsid w:val="483F6138"/>
    <w:rsid w:val="48406F10"/>
    <w:rsid w:val="48411E55"/>
    <w:rsid w:val="484216A3"/>
    <w:rsid w:val="48421F86"/>
    <w:rsid w:val="48427933"/>
    <w:rsid w:val="4843013D"/>
    <w:rsid w:val="4844009B"/>
    <w:rsid w:val="4845095B"/>
    <w:rsid w:val="48471E1B"/>
    <w:rsid w:val="484821AB"/>
    <w:rsid w:val="48490023"/>
    <w:rsid w:val="484B209E"/>
    <w:rsid w:val="484B4DDA"/>
    <w:rsid w:val="484B5866"/>
    <w:rsid w:val="484C129A"/>
    <w:rsid w:val="484D2583"/>
    <w:rsid w:val="48505F72"/>
    <w:rsid w:val="4851122B"/>
    <w:rsid w:val="48513167"/>
    <w:rsid w:val="48520624"/>
    <w:rsid w:val="4852312C"/>
    <w:rsid w:val="485256CD"/>
    <w:rsid w:val="485257EA"/>
    <w:rsid w:val="4853673D"/>
    <w:rsid w:val="48557924"/>
    <w:rsid w:val="48573CC9"/>
    <w:rsid w:val="48573DFE"/>
    <w:rsid w:val="485A03B2"/>
    <w:rsid w:val="485D2E12"/>
    <w:rsid w:val="485E6C57"/>
    <w:rsid w:val="485F4C32"/>
    <w:rsid w:val="4860425D"/>
    <w:rsid w:val="48612554"/>
    <w:rsid w:val="4862174F"/>
    <w:rsid w:val="486268D0"/>
    <w:rsid w:val="4864440B"/>
    <w:rsid w:val="48644E22"/>
    <w:rsid w:val="48652C60"/>
    <w:rsid w:val="4868104F"/>
    <w:rsid w:val="486A4B0B"/>
    <w:rsid w:val="486D2CA7"/>
    <w:rsid w:val="486D33EA"/>
    <w:rsid w:val="486F58BE"/>
    <w:rsid w:val="48700932"/>
    <w:rsid w:val="48700B64"/>
    <w:rsid w:val="48707960"/>
    <w:rsid w:val="48710B2A"/>
    <w:rsid w:val="48716C37"/>
    <w:rsid w:val="487207F8"/>
    <w:rsid w:val="48720879"/>
    <w:rsid w:val="48734A2D"/>
    <w:rsid w:val="4876461B"/>
    <w:rsid w:val="48774430"/>
    <w:rsid w:val="4878443B"/>
    <w:rsid w:val="48785381"/>
    <w:rsid w:val="4878608C"/>
    <w:rsid w:val="48786892"/>
    <w:rsid w:val="487B38A5"/>
    <w:rsid w:val="487B41A2"/>
    <w:rsid w:val="487C4039"/>
    <w:rsid w:val="487D096B"/>
    <w:rsid w:val="487F4674"/>
    <w:rsid w:val="487F72D6"/>
    <w:rsid w:val="4880338E"/>
    <w:rsid w:val="48807489"/>
    <w:rsid w:val="48820C93"/>
    <w:rsid w:val="48830FF3"/>
    <w:rsid w:val="48832237"/>
    <w:rsid w:val="4883479D"/>
    <w:rsid w:val="48837D20"/>
    <w:rsid w:val="48842D38"/>
    <w:rsid w:val="488550AF"/>
    <w:rsid w:val="48865295"/>
    <w:rsid w:val="488669FD"/>
    <w:rsid w:val="488734BE"/>
    <w:rsid w:val="48874AA1"/>
    <w:rsid w:val="488905F9"/>
    <w:rsid w:val="488B2BFF"/>
    <w:rsid w:val="488D226D"/>
    <w:rsid w:val="488D2DED"/>
    <w:rsid w:val="48904B50"/>
    <w:rsid w:val="489210B8"/>
    <w:rsid w:val="489259F5"/>
    <w:rsid w:val="48927AB0"/>
    <w:rsid w:val="48931FA1"/>
    <w:rsid w:val="489562FE"/>
    <w:rsid w:val="489843F7"/>
    <w:rsid w:val="489871BD"/>
    <w:rsid w:val="489A17A3"/>
    <w:rsid w:val="489A3B4E"/>
    <w:rsid w:val="489B5B86"/>
    <w:rsid w:val="489C4B21"/>
    <w:rsid w:val="489C7D6B"/>
    <w:rsid w:val="489E0A9F"/>
    <w:rsid w:val="489F1D94"/>
    <w:rsid w:val="489F3C5C"/>
    <w:rsid w:val="489F63CF"/>
    <w:rsid w:val="48A046E1"/>
    <w:rsid w:val="48A345DD"/>
    <w:rsid w:val="48A37306"/>
    <w:rsid w:val="48A47BA6"/>
    <w:rsid w:val="48A52700"/>
    <w:rsid w:val="48A5316A"/>
    <w:rsid w:val="48A70E9A"/>
    <w:rsid w:val="48A72147"/>
    <w:rsid w:val="48A759E8"/>
    <w:rsid w:val="48A843E4"/>
    <w:rsid w:val="48A852B4"/>
    <w:rsid w:val="48AA3854"/>
    <w:rsid w:val="48AA5711"/>
    <w:rsid w:val="48AC667C"/>
    <w:rsid w:val="48AD09CD"/>
    <w:rsid w:val="48AD56ED"/>
    <w:rsid w:val="48AD7DCD"/>
    <w:rsid w:val="48AE62B0"/>
    <w:rsid w:val="48B111AE"/>
    <w:rsid w:val="48B14A19"/>
    <w:rsid w:val="48B14FD5"/>
    <w:rsid w:val="48B304EF"/>
    <w:rsid w:val="48B306BB"/>
    <w:rsid w:val="48B33F8E"/>
    <w:rsid w:val="48B40639"/>
    <w:rsid w:val="48B512F5"/>
    <w:rsid w:val="48B52A53"/>
    <w:rsid w:val="48B55B09"/>
    <w:rsid w:val="48B55C6B"/>
    <w:rsid w:val="48B85503"/>
    <w:rsid w:val="48B9215A"/>
    <w:rsid w:val="48BA1BD2"/>
    <w:rsid w:val="48BA7F47"/>
    <w:rsid w:val="48BC138F"/>
    <w:rsid w:val="48BC6850"/>
    <w:rsid w:val="48BC72B1"/>
    <w:rsid w:val="48BD14DD"/>
    <w:rsid w:val="48BD4CC7"/>
    <w:rsid w:val="48BD520B"/>
    <w:rsid w:val="48BD5BE0"/>
    <w:rsid w:val="48BE34DA"/>
    <w:rsid w:val="48C02F88"/>
    <w:rsid w:val="48C05451"/>
    <w:rsid w:val="48C236F1"/>
    <w:rsid w:val="48C24BE9"/>
    <w:rsid w:val="48C35C36"/>
    <w:rsid w:val="48C40A5A"/>
    <w:rsid w:val="48C477F3"/>
    <w:rsid w:val="48C51F8E"/>
    <w:rsid w:val="48C578D8"/>
    <w:rsid w:val="48C712FD"/>
    <w:rsid w:val="48C75CE5"/>
    <w:rsid w:val="48C960F8"/>
    <w:rsid w:val="48CA33A3"/>
    <w:rsid w:val="48CB26DD"/>
    <w:rsid w:val="48CE59A5"/>
    <w:rsid w:val="48CF1A8F"/>
    <w:rsid w:val="48CF5BE7"/>
    <w:rsid w:val="48CF71C2"/>
    <w:rsid w:val="48D04CF9"/>
    <w:rsid w:val="48D16DD2"/>
    <w:rsid w:val="48D170E0"/>
    <w:rsid w:val="48D21C2A"/>
    <w:rsid w:val="48D25B7A"/>
    <w:rsid w:val="48D34EB8"/>
    <w:rsid w:val="48D42FA1"/>
    <w:rsid w:val="48D444C4"/>
    <w:rsid w:val="48D46FCF"/>
    <w:rsid w:val="48D716B9"/>
    <w:rsid w:val="48D83889"/>
    <w:rsid w:val="48DA651D"/>
    <w:rsid w:val="48DB3E99"/>
    <w:rsid w:val="48DB4A2E"/>
    <w:rsid w:val="48DC23EE"/>
    <w:rsid w:val="48DC660A"/>
    <w:rsid w:val="48DE205B"/>
    <w:rsid w:val="48DF01CE"/>
    <w:rsid w:val="48E04F27"/>
    <w:rsid w:val="48E17013"/>
    <w:rsid w:val="48E21FB3"/>
    <w:rsid w:val="48E52626"/>
    <w:rsid w:val="48E83B01"/>
    <w:rsid w:val="48E957D5"/>
    <w:rsid w:val="48EB7C6A"/>
    <w:rsid w:val="48EC1B4E"/>
    <w:rsid w:val="48EC5AF0"/>
    <w:rsid w:val="48ED0AF0"/>
    <w:rsid w:val="48ED1263"/>
    <w:rsid w:val="48F15129"/>
    <w:rsid w:val="48F32AB8"/>
    <w:rsid w:val="48F627B7"/>
    <w:rsid w:val="48F81A92"/>
    <w:rsid w:val="48F912F8"/>
    <w:rsid w:val="48F91D60"/>
    <w:rsid w:val="48F91D76"/>
    <w:rsid w:val="48FA081F"/>
    <w:rsid w:val="48FC406D"/>
    <w:rsid w:val="48FD43A2"/>
    <w:rsid w:val="4900176A"/>
    <w:rsid w:val="490044A2"/>
    <w:rsid w:val="49004C15"/>
    <w:rsid w:val="490107CC"/>
    <w:rsid w:val="4902222F"/>
    <w:rsid w:val="49052A81"/>
    <w:rsid w:val="49053E73"/>
    <w:rsid w:val="49056B9D"/>
    <w:rsid w:val="49062193"/>
    <w:rsid w:val="4906268F"/>
    <w:rsid w:val="4906289E"/>
    <w:rsid w:val="4906561C"/>
    <w:rsid w:val="49072E08"/>
    <w:rsid w:val="49081FDE"/>
    <w:rsid w:val="49094930"/>
    <w:rsid w:val="490A390C"/>
    <w:rsid w:val="490A6E2E"/>
    <w:rsid w:val="490A7BD8"/>
    <w:rsid w:val="490B70BC"/>
    <w:rsid w:val="490C0DF5"/>
    <w:rsid w:val="490C29E4"/>
    <w:rsid w:val="490D7A3C"/>
    <w:rsid w:val="490E19FA"/>
    <w:rsid w:val="490E1FCB"/>
    <w:rsid w:val="4910381A"/>
    <w:rsid w:val="49112868"/>
    <w:rsid w:val="49120A57"/>
    <w:rsid w:val="491223D1"/>
    <w:rsid w:val="49122B11"/>
    <w:rsid w:val="49125E70"/>
    <w:rsid w:val="4918471A"/>
    <w:rsid w:val="4919353F"/>
    <w:rsid w:val="491A0DF3"/>
    <w:rsid w:val="491A1BC0"/>
    <w:rsid w:val="491C544E"/>
    <w:rsid w:val="491C6009"/>
    <w:rsid w:val="491E14D1"/>
    <w:rsid w:val="491E3CD6"/>
    <w:rsid w:val="491E5F94"/>
    <w:rsid w:val="491F09E9"/>
    <w:rsid w:val="492025F7"/>
    <w:rsid w:val="49212436"/>
    <w:rsid w:val="4922338A"/>
    <w:rsid w:val="49231EB2"/>
    <w:rsid w:val="49235E77"/>
    <w:rsid w:val="49236002"/>
    <w:rsid w:val="49254E16"/>
    <w:rsid w:val="492756B6"/>
    <w:rsid w:val="49290B41"/>
    <w:rsid w:val="492B03C7"/>
    <w:rsid w:val="492C11E1"/>
    <w:rsid w:val="492C5133"/>
    <w:rsid w:val="492E2C3F"/>
    <w:rsid w:val="492E58A6"/>
    <w:rsid w:val="492E6FE0"/>
    <w:rsid w:val="492F678F"/>
    <w:rsid w:val="492F6867"/>
    <w:rsid w:val="49300094"/>
    <w:rsid w:val="49310EC3"/>
    <w:rsid w:val="493130DA"/>
    <w:rsid w:val="49317160"/>
    <w:rsid w:val="49320993"/>
    <w:rsid w:val="493239C6"/>
    <w:rsid w:val="4932522E"/>
    <w:rsid w:val="49337927"/>
    <w:rsid w:val="493533B7"/>
    <w:rsid w:val="4935382D"/>
    <w:rsid w:val="49353B50"/>
    <w:rsid w:val="49381A39"/>
    <w:rsid w:val="493A4C2A"/>
    <w:rsid w:val="493E61EE"/>
    <w:rsid w:val="493F27A6"/>
    <w:rsid w:val="493F39D5"/>
    <w:rsid w:val="493F5CC1"/>
    <w:rsid w:val="49412670"/>
    <w:rsid w:val="494309BA"/>
    <w:rsid w:val="4944774A"/>
    <w:rsid w:val="49453ABF"/>
    <w:rsid w:val="49460564"/>
    <w:rsid w:val="49471986"/>
    <w:rsid w:val="49484ADE"/>
    <w:rsid w:val="49497FEB"/>
    <w:rsid w:val="494A538F"/>
    <w:rsid w:val="494A64CD"/>
    <w:rsid w:val="494B04FF"/>
    <w:rsid w:val="494B1C82"/>
    <w:rsid w:val="494D47E1"/>
    <w:rsid w:val="494F4282"/>
    <w:rsid w:val="495056E8"/>
    <w:rsid w:val="49505917"/>
    <w:rsid w:val="495075CB"/>
    <w:rsid w:val="49517080"/>
    <w:rsid w:val="49517C1F"/>
    <w:rsid w:val="495254EA"/>
    <w:rsid w:val="49557CE1"/>
    <w:rsid w:val="4956078E"/>
    <w:rsid w:val="49566694"/>
    <w:rsid w:val="495726DA"/>
    <w:rsid w:val="49573736"/>
    <w:rsid w:val="49577B5E"/>
    <w:rsid w:val="4959007B"/>
    <w:rsid w:val="49592FCB"/>
    <w:rsid w:val="49593A26"/>
    <w:rsid w:val="49593AFE"/>
    <w:rsid w:val="495C0667"/>
    <w:rsid w:val="495D67EC"/>
    <w:rsid w:val="495D6A31"/>
    <w:rsid w:val="495D6CB3"/>
    <w:rsid w:val="495E2675"/>
    <w:rsid w:val="495E27F1"/>
    <w:rsid w:val="495F7E82"/>
    <w:rsid w:val="49604F64"/>
    <w:rsid w:val="49621043"/>
    <w:rsid w:val="49622751"/>
    <w:rsid w:val="496461EE"/>
    <w:rsid w:val="496501D8"/>
    <w:rsid w:val="49652728"/>
    <w:rsid w:val="496566BF"/>
    <w:rsid w:val="496617B2"/>
    <w:rsid w:val="49666121"/>
    <w:rsid w:val="49672BFB"/>
    <w:rsid w:val="496803EB"/>
    <w:rsid w:val="4968313F"/>
    <w:rsid w:val="496A38A2"/>
    <w:rsid w:val="496B1B98"/>
    <w:rsid w:val="496B7003"/>
    <w:rsid w:val="496D369D"/>
    <w:rsid w:val="496E05AB"/>
    <w:rsid w:val="496E1B52"/>
    <w:rsid w:val="496E50BA"/>
    <w:rsid w:val="496F534F"/>
    <w:rsid w:val="496F7C1F"/>
    <w:rsid w:val="497004D0"/>
    <w:rsid w:val="497131E7"/>
    <w:rsid w:val="49724830"/>
    <w:rsid w:val="49727EFA"/>
    <w:rsid w:val="49737592"/>
    <w:rsid w:val="4977359A"/>
    <w:rsid w:val="49793718"/>
    <w:rsid w:val="497A0228"/>
    <w:rsid w:val="497A2252"/>
    <w:rsid w:val="497E1A52"/>
    <w:rsid w:val="497E247A"/>
    <w:rsid w:val="4981399D"/>
    <w:rsid w:val="49815C67"/>
    <w:rsid w:val="49833046"/>
    <w:rsid w:val="4985053C"/>
    <w:rsid w:val="4988056C"/>
    <w:rsid w:val="49881F5D"/>
    <w:rsid w:val="498C3180"/>
    <w:rsid w:val="498D206B"/>
    <w:rsid w:val="498D6B14"/>
    <w:rsid w:val="498E6904"/>
    <w:rsid w:val="499049B5"/>
    <w:rsid w:val="4993153D"/>
    <w:rsid w:val="499332A3"/>
    <w:rsid w:val="49956A22"/>
    <w:rsid w:val="49970A89"/>
    <w:rsid w:val="49971EBD"/>
    <w:rsid w:val="4998553B"/>
    <w:rsid w:val="499A379E"/>
    <w:rsid w:val="499C08FD"/>
    <w:rsid w:val="499C16AC"/>
    <w:rsid w:val="499D5877"/>
    <w:rsid w:val="499D7155"/>
    <w:rsid w:val="499E2A98"/>
    <w:rsid w:val="499E439D"/>
    <w:rsid w:val="49A36ADA"/>
    <w:rsid w:val="49A37106"/>
    <w:rsid w:val="49A37918"/>
    <w:rsid w:val="49A43556"/>
    <w:rsid w:val="49A435C6"/>
    <w:rsid w:val="49A515FB"/>
    <w:rsid w:val="49A55507"/>
    <w:rsid w:val="49A63EF1"/>
    <w:rsid w:val="49A64B15"/>
    <w:rsid w:val="49A72DAC"/>
    <w:rsid w:val="49A773EF"/>
    <w:rsid w:val="49A80BF9"/>
    <w:rsid w:val="49A81AC6"/>
    <w:rsid w:val="49A93CA5"/>
    <w:rsid w:val="49AA3750"/>
    <w:rsid w:val="49AB52A4"/>
    <w:rsid w:val="49AC7E76"/>
    <w:rsid w:val="49AE2328"/>
    <w:rsid w:val="49AE6D86"/>
    <w:rsid w:val="49AF5A14"/>
    <w:rsid w:val="49B35880"/>
    <w:rsid w:val="49B51D9C"/>
    <w:rsid w:val="49B74B24"/>
    <w:rsid w:val="49B756F6"/>
    <w:rsid w:val="49B75CEE"/>
    <w:rsid w:val="49B85948"/>
    <w:rsid w:val="49BA7E61"/>
    <w:rsid w:val="49BB0894"/>
    <w:rsid w:val="49BB5484"/>
    <w:rsid w:val="49BB5FE9"/>
    <w:rsid w:val="49BB6348"/>
    <w:rsid w:val="49BC54C3"/>
    <w:rsid w:val="49BD16A1"/>
    <w:rsid w:val="49BD4C68"/>
    <w:rsid w:val="49BF4EEB"/>
    <w:rsid w:val="49BF5FA6"/>
    <w:rsid w:val="49C040AD"/>
    <w:rsid w:val="49C041AF"/>
    <w:rsid w:val="49C10A2B"/>
    <w:rsid w:val="49C12B32"/>
    <w:rsid w:val="49C22028"/>
    <w:rsid w:val="49C40597"/>
    <w:rsid w:val="49C40E74"/>
    <w:rsid w:val="49C4701F"/>
    <w:rsid w:val="49C47EDC"/>
    <w:rsid w:val="49C55C4A"/>
    <w:rsid w:val="49C76747"/>
    <w:rsid w:val="49C90885"/>
    <w:rsid w:val="49C91F1B"/>
    <w:rsid w:val="49C92126"/>
    <w:rsid w:val="49CB023F"/>
    <w:rsid w:val="49CE0D43"/>
    <w:rsid w:val="49CE39F3"/>
    <w:rsid w:val="49CE76A5"/>
    <w:rsid w:val="49D01A65"/>
    <w:rsid w:val="49D26213"/>
    <w:rsid w:val="49D40218"/>
    <w:rsid w:val="49D42379"/>
    <w:rsid w:val="49D43E16"/>
    <w:rsid w:val="49D44F61"/>
    <w:rsid w:val="49D540C6"/>
    <w:rsid w:val="49D5601C"/>
    <w:rsid w:val="49D61D77"/>
    <w:rsid w:val="49D646C6"/>
    <w:rsid w:val="49D70690"/>
    <w:rsid w:val="49D7609A"/>
    <w:rsid w:val="49D805C5"/>
    <w:rsid w:val="49D81E66"/>
    <w:rsid w:val="49DA2710"/>
    <w:rsid w:val="49DA5E1C"/>
    <w:rsid w:val="49DA7D8F"/>
    <w:rsid w:val="49DB4355"/>
    <w:rsid w:val="49DB62C5"/>
    <w:rsid w:val="49DE3B1C"/>
    <w:rsid w:val="49DF035E"/>
    <w:rsid w:val="49DF0AB5"/>
    <w:rsid w:val="49E00842"/>
    <w:rsid w:val="49E277D7"/>
    <w:rsid w:val="49E4336A"/>
    <w:rsid w:val="49E4463A"/>
    <w:rsid w:val="49E63652"/>
    <w:rsid w:val="49E8450A"/>
    <w:rsid w:val="49E874C0"/>
    <w:rsid w:val="49E92256"/>
    <w:rsid w:val="49E95D8A"/>
    <w:rsid w:val="49EB0865"/>
    <w:rsid w:val="49EB351D"/>
    <w:rsid w:val="49EB5D62"/>
    <w:rsid w:val="49ED55D5"/>
    <w:rsid w:val="49EE3036"/>
    <w:rsid w:val="49EE5135"/>
    <w:rsid w:val="49EE648A"/>
    <w:rsid w:val="49F05C32"/>
    <w:rsid w:val="49F20593"/>
    <w:rsid w:val="49F25388"/>
    <w:rsid w:val="49F307CD"/>
    <w:rsid w:val="49F32832"/>
    <w:rsid w:val="49F51BCD"/>
    <w:rsid w:val="49F546B1"/>
    <w:rsid w:val="49F63F3A"/>
    <w:rsid w:val="49F95E90"/>
    <w:rsid w:val="49FC6D14"/>
    <w:rsid w:val="49FE2E85"/>
    <w:rsid w:val="49FE4823"/>
    <w:rsid w:val="49FF404C"/>
    <w:rsid w:val="49FF6748"/>
    <w:rsid w:val="4A004D0F"/>
    <w:rsid w:val="4A0067B9"/>
    <w:rsid w:val="4A011276"/>
    <w:rsid w:val="4A013EE7"/>
    <w:rsid w:val="4A01651C"/>
    <w:rsid w:val="4A023186"/>
    <w:rsid w:val="4A035B27"/>
    <w:rsid w:val="4A057B73"/>
    <w:rsid w:val="4A061A64"/>
    <w:rsid w:val="4A061EC9"/>
    <w:rsid w:val="4A062F41"/>
    <w:rsid w:val="4A062F45"/>
    <w:rsid w:val="4A073C7F"/>
    <w:rsid w:val="4A0811FA"/>
    <w:rsid w:val="4A082BDD"/>
    <w:rsid w:val="4A084C13"/>
    <w:rsid w:val="4A087BD0"/>
    <w:rsid w:val="4A0939C1"/>
    <w:rsid w:val="4A0A69CA"/>
    <w:rsid w:val="4A0B5227"/>
    <w:rsid w:val="4A0B5FE3"/>
    <w:rsid w:val="4A0E1754"/>
    <w:rsid w:val="4A0E4B9F"/>
    <w:rsid w:val="4A100776"/>
    <w:rsid w:val="4A1303A6"/>
    <w:rsid w:val="4A132B28"/>
    <w:rsid w:val="4A1724DA"/>
    <w:rsid w:val="4A172E4E"/>
    <w:rsid w:val="4A173DF2"/>
    <w:rsid w:val="4A177C39"/>
    <w:rsid w:val="4A1868AA"/>
    <w:rsid w:val="4A186991"/>
    <w:rsid w:val="4A1921BB"/>
    <w:rsid w:val="4A1C4910"/>
    <w:rsid w:val="4A1C5978"/>
    <w:rsid w:val="4A1D2613"/>
    <w:rsid w:val="4A1E617D"/>
    <w:rsid w:val="4A1F0A88"/>
    <w:rsid w:val="4A1F499F"/>
    <w:rsid w:val="4A2077F6"/>
    <w:rsid w:val="4A211CC2"/>
    <w:rsid w:val="4A222C4E"/>
    <w:rsid w:val="4A230C7C"/>
    <w:rsid w:val="4A231C7E"/>
    <w:rsid w:val="4A232CE6"/>
    <w:rsid w:val="4A236749"/>
    <w:rsid w:val="4A2501AD"/>
    <w:rsid w:val="4A25308B"/>
    <w:rsid w:val="4A26297B"/>
    <w:rsid w:val="4A263692"/>
    <w:rsid w:val="4A270DAB"/>
    <w:rsid w:val="4A2776F8"/>
    <w:rsid w:val="4A2800EE"/>
    <w:rsid w:val="4A282204"/>
    <w:rsid w:val="4A291D87"/>
    <w:rsid w:val="4A2B43F6"/>
    <w:rsid w:val="4A2B6D9C"/>
    <w:rsid w:val="4A2B7C3A"/>
    <w:rsid w:val="4A2C6362"/>
    <w:rsid w:val="4A2D1F0F"/>
    <w:rsid w:val="4A2E487F"/>
    <w:rsid w:val="4A2F3017"/>
    <w:rsid w:val="4A357349"/>
    <w:rsid w:val="4A362135"/>
    <w:rsid w:val="4A3800D7"/>
    <w:rsid w:val="4A387CA2"/>
    <w:rsid w:val="4A3B3B72"/>
    <w:rsid w:val="4A3D7260"/>
    <w:rsid w:val="4A3E05CE"/>
    <w:rsid w:val="4A3F5E0D"/>
    <w:rsid w:val="4A3F747C"/>
    <w:rsid w:val="4A3F7809"/>
    <w:rsid w:val="4A401718"/>
    <w:rsid w:val="4A401812"/>
    <w:rsid w:val="4A402992"/>
    <w:rsid w:val="4A404478"/>
    <w:rsid w:val="4A406080"/>
    <w:rsid w:val="4A40747D"/>
    <w:rsid w:val="4A407D96"/>
    <w:rsid w:val="4A420091"/>
    <w:rsid w:val="4A421BC2"/>
    <w:rsid w:val="4A424404"/>
    <w:rsid w:val="4A43122E"/>
    <w:rsid w:val="4A432EF3"/>
    <w:rsid w:val="4A45195C"/>
    <w:rsid w:val="4A453278"/>
    <w:rsid w:val="4A4544AC"/>
    <w:rsid w:val="4A49597E"/>
    <w:rsid w:val="4A497042"/>
    <w:rsid w:val="4A4A602E"/>
    <w:rsid w:val="4A4C1B99"/>
    <w:rsid w:val="4A4C4112"/>
    <w:rsid w:val="4A4D1E3E"/>
    <w:rsid w:val="4A534BE3"/>
    <w:rsid w:val="4A541767"/>
    <w:rsid w:val="4A541B9F"/>
    <w:rsid w:val="4A547A35"/>
    <w:rsid w:val="4A5566E1"/>
    <w:rsid w:val="4A55734D"/>
    <w:rsid w:val="4A583026"/>
    <w:rsid w:val="4A5853AD"/>
    <w:rsid w:val="4A59076F"/>
    <w:rsid w:val="4A593A1B"/>
    <w:rsid w:val="4A595CD3"/>
    <w:rsid w:val="4A5971B6"/>
    <w:rsid w:val="4A5A5C55"/>
    <w:rsid w:val="4A5A6B31"/>
    <w:rsid w:val="4A5B1DC3"/>
    <w:rsid w:val="4A5B69FD"/>
    <w:rsid w:val="4A5D2753"/>
    <w:rsid w:val="4A5E2A1E"/>
    <w:rsid w:val="4A5E3019"/>
    <w:rsid w:val="4A5F36A1"/>
    <w:rsid w:val="4A61551F"/>
    <w:rsid w:val="4A6211AF"/>
    <w:rsid w:val="4A622BD2"/>
    <w:rsid w:val="4A622D63"/>
    <w:rsid w:val="4A6240BB"/>
    <w:rsid w:val="4A635D28"/>
    <w:rsid w:val="4A64205F"/>
    <w:rsid w:val="4A660675"/>
    <w:rsid w:val="4A67646D"/>
    <w:rsid w:val="4A676B5B"/>
    <w:rsid w:val="4A6C3D49"/>
    <w:rsid w:val="4A6D7FC6"/>
    <w:rsid w:val="4A6E2689"/>
    <w:rsid w:val="4A7052AB"/>
    <w:rsid w:val="4A713C94"/>
    <w:rsid w:val="4A713E5F"/>
    <w:rsid w:val="4A7164BE"/>
    <w:rsid w:val="4A717E9A"/>
    <w:rsid w:val="4A73583A"/>
    <w:rsid w:val="4A736068"/>
    <w:rsid w:val="4A746081"/>
    <w:rsid w:val="4A761AE7"/>
    <w:rsid w:val="4A775191"/>
    <w:rsid w:val="4A795F37"/>
    <w:rsid w:val="4A7A0B3C"/>
    <w:rsid w:val="4A7A2FD8"/>
    <w:rsid w:val="4A7B18F8"/>
    <w:rsid w:val="4A7C4E4E"/>
    <w:rsid w:val="4A7C6FD2"/>
    <w:rsid w:val="4A7C7618"/>
    <w:rsid w:val="4A7D6F8B"/>
    <w:rsid w:val="4A7E5642"/>
    <w:rsid w:val="4A7F040C"/>
    <w:rsid w:val="4A7F0976"/>
    <w:rsid w:val="4A800781"/>
    <w:rsid w:val="4A801378"/>
    <w:rsid w:val="4A803090"/>
    <w:rsid w:val="4A8112B8"/>
    <w:rsid w:val="4A82110D"/>
    <w:rsid w:val="4A8461C7"/>
    <w:rsid w:val="4A8462B8"/>
    <w:rsid w:val="4A851244"/>
    <w:rsid w:val="4A8613D5"/>
    <w:rsid w:val="4A8A1314"/>
    <w:rsid w:val="4A8A6EC1"/>
    <w:rsid w:val="4A8C08DC"/>
    <w:rsid w:val="4A8C7835"/>
    <w:rsid w:val="4A8D5609"/>
    <w:rsid w:val="4A8F29BB"/>
    <w:rsid w:val="4A8F702D"/>
    <w:rsid w:val="4A900EC3"/>
    <w:rsid w:val="4A906234"/>
    <w:rsid w:val="4A922CB3"/>
    <w:rsid w:val="4A940ABC"/>
    <w:rsid w:val="4A950006"/>
    <w:rsid w:val="4A9501C7"/>
    <w:rsid w:val="4A96324E"/>
    <w:rsid w:val="4A963C1C"/>
    <w:rsid w:val="4A9A085A"/>
    <w:rsid w:val="4A9A0FA3"/>
    <w:rsid w:val="4A9A2AEE"/>
    <w:rsid w:val="4A9B730C"/>
    <w:rsid w:val="4A9E31E1"/>
    <w:rsid w:val="4A9F0734"/>
    <w:rsid w:val="4A9F30B1"/>
    <w:rsid w:val="4AA06E58"/>
    <w:rsid w:val="4AA07B76"/>
    <w:rsid w:val="4AA22168"/>
    <w:rsid w:val="4AA65261"/>
    <w:rsid w:val="4AA750DB"/>
    <w:rsid w:val="4AA76AB9"/>
    <w:rsid w:val="4AA8561D"/>
    <w:rsid w:val="4AA85AC4"/>
    <w:rsid w:val="4AA9150F"/>
    <w:rsid w:val="4AA92586"/>
    <w:rsid w:val="4AA97215"/>
    <w:rsid w:val="4AA972B7"/>
    <w:rsid w:val="4AAA7B2B"/>
    <w:rsid w:val="4AAC28CC"/>
    <w:rsid w:val="4AAD3797"/>
    <w:rsid w:val="4AAD3C26"/>
    <w:rsid w:val="4AB10361"/>
    <w:rsid w:val="4AB11BB5"/>
    <w:rsid w:val="4AB201D8"/>
    <w:rsid w:val="4AB26FDC"/>
    <w:rsid w:val="4AB323B7"/>
    <w:rsid w:val="4AB35632"/>
    <w:rsid w:val="4AB40112"/>
    <w:rsid w:val="4AB61F0F"/>
    <w:rsid w:val="4AB62E05"/>
    <w:rsid w:val="4AB64EED"/>
    <w:rsid w:val="4AB705A1"/>
    <w:rsid w:val="4AB80380"/>
    <w:rsid w:val="4AB904E4"/>
    <w:rsid w:val="4AB945F7"/>
    <w:rsid w:val="4AB97E79"/>
    <w:rsid w:val="4ABB1030"/>
    <w:rsid w:val="4ABC23DB"/>
    <w:rsid w:val="4ABC6C25"/>
    <w:rsid w:val="4ABD22B5"/>
    <w:rsid w:val="4ABE46B5"/>
    <w:rsid w:val="4ABE6EE2"/>
    <w:rsid w:val="4ABF2AC1"/>
    <w:rsid w:val="4ABF34BD"/>
    <w:rsid w:val="4AC01484"/>
    <w:rsid w:val="4AC10891"/>
    <w:rsid w:val="4AC14DBD"/>
    <w:rsid w:val="4AC214E5"/>
    <w:rsid w:val="4AC51E17"/>
    <w:rsid w:val="4AC53043"/>
    <w:rsid w:val="4AC53713"/>
    <w:rsid w:val="4AC544F5"/>
    <w:rsid w:val="4AC65712"/>
    <w:rsid w:val="4AC6621F"/>
    <w:rsid w:val="4AC83278"/>
    <w:rsid w:val="4AC92CA8"/>
    <w:rsid w:val="4ACC1B10"/>
    <w:rsid w:val="4ACC4C14"/>
    <w:rsid w:val="4ACD0403"/>
    <w:rsid w:val="4ACD1487"/>
    <w:rsid w:val="4ACE4B51"/>
    <w:rsid w:val="4AD0613E"/>
    <w:rsid w:val="4AD21252"/>
    <w:rsid w:val="4AD22977"/>
    <w:rsid w:val="4AD5271C"/>
    <w:rsid w:val="4AD53CA8"/>
    <w:rsid w:val="4AD61493"/>
    <w:rsid w:val="4AD62CF3"/>
    <w:rsid w:val="4AD7263D"/>
    <w:rsid w:val="4AD82E96"/>
    <w:rsid w:val="4ADA2C7C"/>
    <w:rsid w:val="4ADB070C"/>
    <w:rsid w:val="4ADB3822"/>
    <w:rsid w:val="4ADB518D"/>
    <w:rsid w:val="4ADC070F"/>
    <w:rsid w:val="4ADD703A"/>
    <w:rsid w:val="4ADF6C04"/>
    <w:rsid w:val="4AE11334"/>
    <w:rsid w:val="4AE1278B"/>
    <w:rsid w:val="4AE178D7"/>
    <w:rsid w:val="4AE349EA"/>
    <w:rsid w:val="4AE36A6E"/>
    <w:rsid w:val="4AE7130D"/>
    <w:rsid w:val="4AE7220D"/>
    <w:rsid w:val="4AE73D47"/>
    <w:rsid w:val="4AE85D15"/>
    <w:rsid w:val="4AE96472"/>
    <w:rsid w:val="4AEC2452"/>
    <w:rsid w:val="4AEE098A"/>
    <w:rsid w:val="4AEF0036"/>
    <w:rsid w:val="4AEF6745"/>
    <w:rsid w:val="4AF114C2"/>
    <w:rsid w:val="4AF30546"/>
    <w:rsid w:val="4AF313B8"/>
    <w:rsid w:val="4AF36745"/>
    <w:rsid w:val="4AF52927"/>
    <w:rsid w:val="4AF55171"/>
    <w:rsid w:val="4AF731A7"/>
    <w:rsid w:val="4AF76B31"/>
    <w:rsid w:val="4AF8690B"/>
    <w:rsid w:val="4AF87390"/>
    <w:rsid w:val="4AF92478"/>
    <w:rsid w:val="4AF93E88"/>
    <w:rsid w:val="4AF96DA4"/>
    <w:rsid w:val="4AFA060E"/>
    <w:rsid w:val="4AFC2941"/>
    <w:rsid w:val="4AFD58C6"/>
    <w:rsid w:val="4B0140E9"/>
    <w:rsid w:val="4B022D04"/>
    <w:rsid w:val="4B024219"/>
    <w:rsid w:val="4B024F6B"/>
    <w:rsid w:val="4B036EA2"/>
    <w:rsid w:val="4B044CD0"/>
    <w:rsid w:val="4B046EB5"/>
    <w:rsid w:val="4B047159"/>
    <w:rsid w:val="4B0570D3"/>
    <w:rsid w:val="4B076C12"/>
    <w:rsid w:val="4B085C14"/>
    <w:rsid w:val="4B092C6B"/>
    <w:rsid w:val="4B0960D1"/>
    <w:rsid w:val="4B0A5191"/>
    <w:rsid w:val="4B0A59E5"/>
    <w:rsid w:val="4B0C7B19"/>
    <w:rsid w:val="4B0E6ACB"/>
    <w:rsid w:val="4B0F1450"/>
    <w:rsid w:val="4B0F20AB"/>
    <w:rsid w:val="4B0F466C"/>
    <w:rsid w:val="4B0F7F60"/>
    <w:rsid w:val="4B1076AE"/>
    <w:rsid w:val="4B114241"/>
    <w:rsid w:val="4B1152FE"/>
    <w:rsid w:val="4B117262"/>
    <w:rsid w:val="4B125592"/>
    <w:rsid w:val="4B126DC3"/>
    <w:rsid w:val="4B132606"/>
    <w:rsid w:val="4B133F75"/>
    <w:rsid w:val="4B140054"/>
    <w:rsid w:val="4B152DFD"/>
    <w:rsid w:val="4B157C76"/>
    <w:rsid w:val="4B177B29"/>
    <w:rsid w:val="4B1A6945"/>
    <w:rsid w:val="4B1B364B"/>
    <w:rsid w:val="4B1D6573"/>
    <w:rsid w:val="4B1E0C0E"/>
    <w:rsid w:val="4B1E38CE"/>
    <w:rsid w:val="4B1F5D09"/>
    <w:rsid w:val="4B215FD9"/>
    <w:rsid w:val="4B225688"/>
    <w:rsid w:val="4B235C34"/>
    <w:rsid w:val="4B247C72"/>
    <w:rsid w:val="4B252F3E"/>
    <w:rsid w:val="4B2652EA"/>
    <w:rsid w:val="4B265BA3"/>
    <w:rsid w:val="4B275824"/>
    <w:rsid w:val="4B2920C6"/>
    <w:rsid w:val="4B293F98"/>
    <w:rsid w:val="4B295D03"/>
    <w:rsid w:val="4B297BCD"/>
    <w:rsid w:val="4B2A37A7"/>
    <w:rsid w:val="4B2A3A28"/>
    <w:rsid w:val="4B2C538F"/>
    <w:rsid w:val="4B2D4F09"/>
    <w:rsid w:val="4B2E1E55"/>
    <w:rsid w:val="4B2E1FD8"/>
    <w:rsid w:val="4B2F1DEF"/>
    <w:rsid w:val="4B3008B9"/>
    <w:rsid w:val="4B301550"/>
    <w:rsid w:val="4B314BFD"/>
    <w:rsid w:val="4B32249B"/>
    <w:rsid w:val="4B323D16"/>
    <w:rsid w:val="4B3247D7"/>
    <w:rsid w:val="4B3310D9"/>
    <w:rsid w:val="4B3317B5"/>
    <w:rsid w:val="4B333721"/>
    <w:rsid w:val="4B3378AD"/>
    <w:rsid w:val="4B344313"/>
    <w:rsid w:val="4B3612A5"/>
    <w:rsid w:val="4B386208"/>
    <w:rsid w:val="4B390B96"/>
    <w:rsid w:val="4B397961"/>
    <w:rsid w:val="4B3A4ADC"/>
    <w:rsid w:val="4B3B0E2A"/>
    <w:rsid w:val="4B3C7D84"/>
    <w:rsid w:val="4B407127"/>
    <w:rsid w:val="4B4119B9"/>
    <w:rsid w:val="4B414AD0"/>
    <w:rsid w:val="4B4161FA"/>
    <w:rsid w:val="4B426D02"/>
    <w:rsid w:val="4B4379B7"/>
    <w:rsid w:val="4B441E59"/>
    <w:rsid w:val="4B4423AB"/>
    <w:rsid w:val="4B4429AD"/>
    <w:rsid w:val="4B4613E8"/>
    <w:rsid w:val="4B476A1F"/>
    <w:rsid w:val="4B491FA5"/>
    <w:rsid w:val="4B4951CD"/>
    <w:rsid w:val="4B4B307A"/>
    <w:rsid w:val="4B4D239E"/>
    <w:rsid w:val="4B4E439F"/>
    <w:rsid w:val="4B4F4A5C"/>
    <w:rsid w:val="4B52116F"/>
    <w:rsid w:val="4B5357ED"/>
    <w:rsid w:val="4B555B89"/>
    <w:rsid w:val="4B5573D6"/>
    <w:rsid w:val="4B56500D"/>
    <w:rsid w:val="4B57057E"/>
    <w:rsid w:val="4B5729CC"/>
    <w:rsid w:val="4B595301"/>
    <w:rsid w:val="4B5A7008"/>
    <w:rsid w:val="4B5B133E"/>
    <w:rsid w:val="4B5B64B7"/>
    <w:rsid w:val="4B5B6E71"/>
    <w:rsid w:val="4B5C51AF"/>
    <w:rsid w:val="4B5D4CEB"/>
    <w:rsid w:val="4B5F17F9"/>
    <w:rsid w:val="4B5F25AA"/>
    <w:rsid w:val="4B5F2DF0"/>
    <w:rsid w:val="4B6072BD"/>
    <w:rsid w:val="4B615FBC"/>
    <w:rsid w:val="4B616426"/>
    <w:rsid w:val="4B61722B"/>
    <w:rsid w:val="4B617767"/>
    <w:rsid w:val="4B6278BB"/>
    <w:rsid w:val="4B630AAE"/>
    <w:rsid w:val="4B632F8D"/>
    <w:rsid w:val="4B645C18"/>
    <w:rsid w:val="4B6546A7"/>
    <w:rsid w:val="4B65535F"/>
    <w:rsid w:val="4B6562F5"/>
    <w:rsid w:val="4B661A5B"/>
    <w:rsid w:val="4B673977"/>
    <w:rsid w:val="4B6811BD"/>
    <w:rsid w:val="4B691B0F"/>
    <w:rsid w:val="4B697C28"/>
    <w:rsid w:val="4B6A363E"/>
    <w:rsid w:val="4B6B2E58"/>
    <w:rsid w:val="4B6D3083"/>
    <w:rsid w:val="4B6F79D9"/>
    <w:rsid w:val="4B707170"/>
    <w:rsid w:val="4B71324B"/>
    <w:rsid w:val="4B713362"/>
    <w:rsid w:val="4B725098"/>
    <w:rsid w:val="4B725854"/>
    <w:rsid w:val="4B7366F6"/>
    <w:rsid w:val="4B740B91"/>
    <w:rsid w:val="4B74460E"/>
    <w:rsid w:val="4B747390"/>
    <w:rsid w:val="4B75062B"/>
    <w:rsid w:val="4B750B6F"/>
    <w:rsid w:val="4B762DAB"/>
    <w:rsid w:val="4B774554"/>
    <w:rsid w:val="4B774C78"/>
    <w:rsid w:val="4B78057D"/>
    <w:rsid w:val="4B78156D"/>
    <w:rsid w:val="4B790CBD"/>
    <w:rsid w:val="4B791969"/>
    <w:rsid w:val="4B79308C"/>
    <w:rsid w:val="4B79491C"/>
    <w:rsid w:val="4B7A3303"/>
    <w:rsid w:val="4B7A3355"/>
    <w:rsid w:val="4B7C6347"/>
    <w:rsid w:val="4B7C7140"/>
    <w:rsid w:val="4B7C7353"/>
    <w:rsid w:val="4B7D25B8"/>
    <w:rsid w:val="4B7D7D1B"/>
    <w:rsid w:val="4B7E33B8"/>
    <w:rsid w:val="4B7E7A36"/>
    <w:rsid w:val="4B810338"/>
    <w:rsid w:val="4B8123B7"/>
    <w:rsid w:val="4B8129CD"/>
    <w:rsid w:val="4B8412EE"/>
    <w:rsid w:val="4B8447D1"/>
    <w:rsid w:val="4B867AF8"/>
    <w:rsid w:val="4B881CCD"/>
    <w:rsid w:val="4B882B01"/>
    <w:rsid w:val="4B887D52"/>
    <w:rsid w:val="4B8903AE"/>
    <w:rsid w:val="4B8906DE"/>
    <w:rsid w:val="4B890C27"/>
    <w:rsid w:val="4B891767"/>
    <w:rsid w:val="4B8A7919"/>
    <w:rsid w:val="4B8B562B"/>
    <w:rsid w:val="4B8B6162"/>
    <w:rsid w:val="4B8C1431"/>
    <w:rsid w:val="4B8C4F0B"/>
    <w:rsid w:val="4B8E62FF"/>
    <w:rsid w:val="4B8F19F6"/>
    <w:rsid w:val="4B902B61"/>
    <w:rsid w:val="4B902EBB"/>
    <w:rsid w:val="4B930BCF"/>
    <w:rsid w:val="4B931609"/>
    <w:rsid w:val="4B93721B"/>
    <w:rsid w:val="4B937F20"/>
    <w:rsid w:val="4B950563"/>
    <w:rsid w:val="4B955836"/>
    <w:rsid w:val="4B957ED3"/>
    <w:rsid w:val="4B963CC0"/>
    <w:rsid w:val="4B965EF0"/>
    <w:rsid w:val="4B970326"/>
    <w:rsid w:val="4B972B5A"/>
    <w:rsid w:val="4B98595D"/>
    <w:rsid w:val="4B986965"/>
    <w:rsid w:val="4B990C92"/>
    <w:rsid w:val="4B99603A"/>
    <w:rsid w:val="4B9A06EF"/>
    <w:rsid w:val="4B9D4A32"/>
    <w:rsid w:val="4B9E13F9"/>
    <w:rsid w:val="4B9F4678"/>
    <w:rsid w:val="4BA13D57"/>
    <w:rsid w:val="4BA1779E"/>
    <w:rsid w:val="4BA20DB9"/>
    <w:rsid w:val="4BA32D2B"/>
    <w:rsid w:val="4BA628B7"/>
    <w:rsid w:val="4BA673B5"/>
    <w:rsid w:val="4BA75959"/>
    <w:rsid w:val="4BA82ED1"/>
    <w:rsid w:val="4BA92BAB"/>
    <w:rsid w:val="4BA9693A"/>
    <w:rsid w:val="4BAA2254"/>
    <w:rsid w:val="4BAA525F"/>
    <w:rsid w:val="4BAB27F1"/>
    <w:rsid w:val="4BAC4F16"/>
    <w:rsid w:val="4BAE6FF9"/>
    <w:rsid w:val="4BB02E05"/>
    <w:rsid w:val="4BB04DBF"/>
    <w:rsid w:val="4BB118E8"/>
    <w:rsid w:val="4BB12A8C"/>
    <w:rsid w:val="4BB14558"/>
    <w:rsid w:val="4BB16905"/>
    <w:rsid w:val="4BB220FC"/>
    <w:rsid w:val="4BB24158"/>
    <w:rsid w:val="4BB31BDA"/>
    <w:rsid w:val="4BB42012"/>
    <w:rsid w:val="4BB46CEF"/>
    <w:rsid w:val="4BB577BC"/>
    <w:rsid w:val="4BB6292C"/>
    <w:rsid w:val="4BB76696"/>
    <w:rsid w:val="4BB8419D"/>
    <w:rsid w:val="4BB91EBD"/>
    <w:rsid w:val="4BBA2479"/>
    <w:rsid w:val="4BBA7EA5"/>
    <w:rsid w:val="4BBB1BD9"/>
    <w:rsid w:val="4BBC672E"/>
    <w:rsid w:val="4BBD5990"/>
    <w:rsid w:val="4BBE2986"/>
    <w:rsid w:val="4BC15702"/>
    <w:rsid w:val="4BC33A8B"/>
    <w:rsid w:val="4BC73A74"/>
    <w:rsid w:val="4BC77DA4"/>
    <w:rsid w:val="4BC86446"/>
    <w:rsid w:val="4BC87A3E"/>
    <w:rsid w:val="4BCA4B0E"/>
    <w:rsid w:val="4BCE5C39"/>
    <w:rsid w:val="4BCF6886"/>
    <w:rsid w:val="4BCF6B41"/>
    <w:rsid w:val="4BD31D50"/>
    <w:rsid w:val="4BD505ED"/>
    <w:rsid w:val="4BD648B5"/>
    <w:rsid w:val="4BD668DF"/>
    <w:rsid w:val="4BD753E9"/>
    <w:rsid w:val="4BD92FFB"/>
    <w:rsid w:val="4BD94D8D"/>
    <w:rsid w:val="4BD97634"/>
    <w:rsid w:val="4BDA160A"/>
    <w:rsid w:val="4BDA5A9D"/>
    <w:rsid w:val="4BDC5DF4"/>
    <w:rsid w:val="4BDD100D"/>
    <w:rsid w:val="4BDD2A87"/>
    <w:rsid w:val="4BDE1ADD"/>
    <w:rsid w:val="4BDE76C9"/>
    <w:rsid w:val="4BDF13E9"/>
    <w:rsid w:val="4BE156B5"/>
    <w:rsid w:val="4BE31425"/>
    <w:rsid w:val="4BE3701C"/>
    <w:rsid w:val="4BE42CC2"/>
    <w:rsid w:val="4BE44B83"/>
    <w:rsid w:val="4BE93F65"/>
    <w:rsid w:val="4BE96532"/>
    <w:rsid w:val="4BEA69A7"/>
    <w:rsid w:val="4BEA7D4A"/>
    <w:rsid w:val="4BEB3337"/>
    <w:rsid w:val="4BEB3AFE"/>
    <w:rsid w:val="4BEC2059"/>
    <w:rsid w:val="4BED0F76"/>
    <w:rsid w:val="4BEF0580"/>
    <w:rsid w:val="4BEF4345"/>
    <w:rsid w:val="4BF061AB"/>
    <w:rsid w:val="4BF26E21"/>
    <w:rsid w:val="4BF27C06"/>
    <w:rsid w:val="4BF346E0"/>
    <w:rsid w:val="4BF34BE1"/>
    <w:rsid w:val="4BF45210"/>
    <w:rsid w:val="4BF570FD"/>
    <w:rsid w:val="4BF66A21"/>
    <w:rsid w:val="4BF74262"/>
    <w:rsid w:val="4BF75D61"/>
    <w:rsid w:val="4BF81C9E"/>
    <w:rsid w:val="4BFA3E8B"/>
    <w:rsid w:val="4BFA4244"/>
    <w:rsid w:val="4BFA6CBC"/>
    <w:rsid w:val="4BFD7508"/>
    <w:rsid w:val="4BFF055A"/>
    <w:rsid w:val="4BFF0B3B"/>
    <w:rsid w:val="4BFF6CB2"/>
    <w:rsid w:val="4C012441"/>
    <w:rsid w:val="4C0148BD"/>
    <w:rsid w:val="4C017B05"/>
    <w:rsid w:val="4C0305AF"/>
    <w:rsid w:val="4C03401C"/>
    <w:rsid w:val="4C0420F5"/>
    <w:rsid w:val="4C042899"/>
    <w:rsid w:val="4C0433BA"/>
    <w:rsid w:val="4C044416"/>
    <w:rsid w:val="4C05515B"/>
    <w:rsid w:val="4C066E49"/>
    <w:rsid w:val="4C0722E8"/>
    <w:rsid w:val="4C08142D"/>
    <w:rsid w:val="4C0941FB"/>
    <w:rsid w:val="4C097E96"/>
    <w:rsid w:val="4C0B276E"/>
    <w:rsid w:val="4C0B443F"/>
    <w:rsid w:val="4C0E529C"/>
    <w:rsid w:val="4C0F03D7"/>
    <w:rsid w:val="4C1028A6"/>
    <w:rsid w:val="4C1119B5"/>
    <w:rsid w:val="4C116B1C"/>
    <w:rsid w:val="4C116C31"/>
    <w:rsid w:val="4C12359B"/>
    <w:rsid w:val="4C1526BD"/>
    <w:rsid w:val="4C1677FC"/>
    <w:rsid w:val="4C18117D"/>
    <w:rsid w:val="4C182AFD"/>
    <w:rsid w:val="4C194E4E"/>
    <w:rsid w:val="4C1A413A"/>
    <w:rsid w:val="4C1A7A51"/>
    <w:rsid w:val="4C1C4BD0"/>
    <w:rsid w:val="4C1C59DB"/>
    <w:rsid w:val="4C1C66DD"/>
    <w:rsid w:val="4C1C6F21"/>
    <w:rsid w:val="4C1D1168"/>
    <w:rsid w:val="4C1E11A7"/>
    <w:rsid w:val="4C1E2BF8"/>
    <w:rsid w:val="4C212F33"/>
    <w:rsid w:val="4C223F93"/>
    <w:rsid w:val="4C2474C5"/>
    <w:rsid w:val="4C252A17"/>
    <w:rsid w:val="4C266A32"/>
    <w:rsid w:val="4C272020"/>
    <w:rsid w:val="4C27495F"/>
    <w:rsid w:val="4C27499C"/>
    <w:rsid w:val="4C274AC1"/>
    <w:rsid w:val="4C2757BD"/>
    <w:rsid w:val="4C297FE8"/>
    <w:rsid w:val="4C2A765F"/>
    <w:rsid w:val="4C2C53B3"/>
    <w:rsid w:val="4C2E7541"/>
    <w:rsid w:val="4C3107CA"/>
    <w:rsid w:val="4C341131"/>
    <w:rsid w:val="4C364B91"/>
    <w:rsid w:val="4C3677AE"/>
    <w:rsid w:val="4C3742A0"/>
    <w:rsid w:val="4C374575"/>
    <w:rsid w:val="4C3906D3"/>
    <w:rsid w:val="4C3A3520"/>
    <w:rsid w:val="4C3B4287"/>
    <w:rsid w:val="4C3C20F1"/>
    <w:rsid w:val="4C3C6AC4"/>
    <w:rsid w:val="4C3D06BF"/>
    <w:rsid w:val="4C3E3A91"/>
    <w:rsid w:val="4C3F07AB"/>
    <w:rsid w:val="4C3F0A14"/>
    <w:rsid w:val="4C402F08"/>
    <w:rsid w:val="4C4122F3"/>
    <w:rsid w:val="4C413F3C"/>
    <w:rsid w:val="4C416FC2"/>
    <w:rsid w:val="4C421CAD"/>
    <w:rsid w:val="4C4245B2"/>
    <w:rsid w:val="4C4274B9"/>
    <w:rsid w:val="4C435405"/>
    <w:rsid w:val="4C435AA0"/>
    <w:rsid w:val="4C442CDF"/>
    <w:rsid w:val="4C4437D5"/>
    <w:rsid w:val="4C4453F9"/>
    <w:rsid w:val="4C455C51"/>
    <w:rsid w:val="4C461C82"/>
    <w:rsid w:val="4C464F2A"/>
    <w:rsid w:val="4C471AC5"/>
    <w:rsid w:val="4C483DAC"/>
    <w:rsid w:val="4C49156D"/>
    <w:rsid w:val="4C491F25"/>
    <w:rsid w:val="4C495A87"/>
    <w:rsid w:val="4C4976E2"/>
    <w:rsid w:val="4C4A0F7C"/>
    <w:rsid w:val="4C4A1A83"/>
    <w:rsid w:val="4C4C2959"/>
    <w:rsid w:val="4C4D00A9"/>
    <w:rsid w:val="4C4E56A1"/>
    <w:rsid w:val="4C4E5FC1"/>
    <w:rsid w:val="4C4F7996"/>
    <w:rsid w:val="4C50270E"/>
    <w:rsid w:val="4C5039E4"/>
    <w:rsid w:val="4C5054FC"/>
    <w:rsid w:val="4C506880"/>
    <w:rsid w:val="4C516C29"/>
    <w:rsid w:val="4C520722"/>
    <w:rsid w:val="4C5358CA"/>
    <w:rsid w:val="4C536627"/>
    <w:rsid w:val="4C546395"/>
    <w:rsid w:val="4C556C09"/>
    <w:rsid w:val="4C562473"/>
    <w:rsid w:val="4C5706CC"/>
    <w:rsid w:val="4C572AF8"/>
    <w:rsid w:val="4C57689C"/>
    <w:rsid w:val="4C580CFD"/>
    <w:rsid w:val="4C586D59"/>
    <w:rsid w:val="4C594F46"/>
    <w:rsid w:val="4C5C57B8"/>
    <w:rsid w:val="4C5F34BA"/>
    <w:rsid w:val="4C5F44CA"/>
    <w:rsid w:val="4C5F74C7"/>
    <w:rsid w:val="4C614008"/>
    <w:rsid w:val="4C615A48"/>
    <w:rsid w:val="4C6171CD"/>
    <w:rsid w:val="4C622F50"/>
    <w:rsid w:val="4C624393"/>
    <w:rsid w:val="4C6345C9"/>
    <w:rsid w:val="4C65704B"/>
    <w:rsid w:val="4C66280A"/>
    <w:rsid w:val="4C670551"/>
    <w:rsid w:val="4C6716FB"/>
    <w:rsid w:val="4C68240D"/>
    <w:rsid w:val="4C6862C5"/>
    <w:rsid w:val="4C6A1BC5"/>
    <w:rsid w:val="4C6C0005"/>
    <w:rsid w:val="4C6C3945"/>
    <w:rsid w:val="4C705DD1"/>
    <w:rsid w:val="4C710D59"/>
    <w:rsid w:val="4C713DF8"/>
    <w:rsid w:val="4C72688F"/>
    <w:rsid w:val="4C730BBB"/>
    <w:rsid w:val="4C7357EF"/>
    <w:rsid w:val="4C743FA2"/>
    <w:rsid w:val="4C755D27"/>
    <w:rsid w:val="4C761D0A"/>
    <w:rsid w:val="4C780ED3"/>
    <w:rsid w:val="4C794550"/>
    <w:rsid w:val="4C794562"/>
    <w:rsid w:val="4C7B02B7"/>
    <w:rsid w:val="4C7B0DEA"/>
    <w:rsid w:val="4C7B6452"/>
    <w:rsid w:val="4C7B743C"/>
    <w:rsid w:val="4C7D21B3"/>
    <w:rsid w:val="4C7F6FB0"/>
    <w:rsid w:val="4C8230BA"/>
    <w:rsid w:val="4C841398"/>
    <w:rsid w:val="4C84239D"/>
    <w:rsid w:val="4C846097"/>
    <w:rsid w:val="4C8567CD"/>
    <w:rsid w:val="4C8603F8"/>
    <w:rsid w:val="4C860901"/>
    <w:rsid w:val="4C866B58"/>
    <w:rsid w:val="4C883318"/>
    <w:rsid w:val="4C885B1F"/>
    <w:rsid w:val="4C8911D2"/>
    <w:rsid w:val="4C8A15F0"/>
    <w:rsid w:val="4C8A5D4C"/>
    <w:rsid w:val="4C8A79E3"/>
    <w:rsid w:val="4C8B02A1"/>
    <w:rsid w:val="4C8B7D46"/>
    <w:rsid w:val="4C91014F"/>
    <w:rsid w:val="4C9159B4"/>
    <w:rsid w:val="4C92591B"/>
    <w:rsid w:val="4C931458"/>
    <w:rsid w:val="4C9364C2"/>
    <w:rsid w:val="4C947011"/>
    <w:rsid w:val="4C974F79"/>
    <w:rsid w:val="4C98555C"/>
    <w:rsid w:val="4C9862FA"/>
    <w:rsid w:val="4C996BD6"/>
    <w:rsid w:val="4C9A308B"/>
    <w:rsid w:val="4C9A74B4"/>
    <w:rsid w:val="4C9C761A"/>
    <w:rsid w:val="4C9D3D0B"/>
    <w:rsid w:val="4CA06B1B"/>
    <w:rsid w:val="4CA150B2"/>
    <w:rsid w:val="4CA21FC9"/>
    <w:rsid w:val="4CA447CD"/>
    <w:rsid w:val="4CA6138C"/>
    <w:rsid w:val="4CA7245A"/>
    <w:rsid w:val="4CA730FD"/>
    <w:rsid w:val="4CA84B38"/>
    <w:rsid w:val="4CA95B3D"/>
    <w:rsid w:val="4CA95D2A"/>
    <w:rsid w:val="4CAA3AFB"/>
    <w:rsid w:val="4CAB5F9A"/>
    <w:rsid w:val="4CAB7DF5"/>
    <w:rsid w:val="4CAD208D"/>
    <w:rsid w:val="4CAD2BAE"/>
    <w:rsid w:val="4CAD64FC"/>
    <w:rsid w:val="4CAF1DDC"/>
    <w:rsid w:val="4CAF1FF7"/>
    <w:rsid w:val="4CAF4871"/>
    <w:rsid w:val="4CAF635F"/>
    <w:rsid w:val="4CB068A5"/>
    <w:rsid w:val="4CB07B78"/>
    <w:rsid w:val="4CB12176"/>
    <w:rsid w:val="4CB1241E"/>
    <w:rsid w:val="4CB132D9"/>
    <w:rsid w:val="4CB2090A"/>
    <w:rsid w:val="4CB30CC7"/>
    <w:rsid w:val="4CB3498B"/>
    <w:rsid w:val="4CB40DCD"/>
    <w:rsid w:val="4CB4161D"/>
    <w:rsid w:val="4CB45E24"/>
    <w:rsid w:val="4CB51332"/>
    <w:rsid w:val="4CB571E8"/>
    <w:rsid w:val="4CB65015"/>
    <w:rsid w:val="4CB65150"/>
    <w:rsid w:val="4CB673E5"/>
    <w:rsid w:val="4CB73BF3"/>
    <w:rsid w:val="4CB814E7"/>
    <w:rsid w:val="4CB90BB1"/>
    <w:rsid w:val="4CB91AC9"/>
    <w:rsid w:val="4CB93EE0"/>
    <w:rsid w:val="4CB95558"/>
    <w:rsid w:val="4CBA34DD"/>
    <w:rsid w:val="4CBB5FB8"/>
    <w:rsid w:val="4CBC2A62"/>
    <w:rsid w:val="4CBC3098"/>
    <w:rsid w:val="4CBC41EC"/>
    <w:rsid w:val="4CBE065B"/>
    <w:rsid w:val="4CBE0F72"/>
    <w:rsid w:val="4CBE369C"/>
    <w:rsid w:val="4CC16194"/>
    <w:rsid w:val="4CC207AD"/>
    <w:rsid w:val="4CC21795"/>
    <w:rsid w:val="4CC2566C"/>
    <w:rsid w:val="4CC366FC"/>
    <w:rsid w:val="4CC56D84"/>
    <w:rsid w:val="4CC76932"/>
    <w:rsid w:val="4CC77204"/>
    <w:rsid w:val="4CCA3B72"/>
    <w:rsid w:val="4CCB3F80"/>
    <w:rsid w:val="4CCC625F"/>
    <w:rsid w:val="4CCC68A3"/>
    <w:rsid w:val="4CCE0903"/>
    <w:rsid w:val="4CCE0A43"/>
    <w:rsid w:val="4CD05497"/>
    <w:rsid w:val="4CD15048"/>
    <w:rsid w:val="4CD174D7"/>
    <w:rsid w:val="4CD30C1B"/>
    <w:rsid w:val="4CD40969"/>
    <w:rsid w:val="4CD47B40"/>
    <w:rsid w:val="4CD52A12"/>
    <w:rsid w:val="4CD60F91"/>
    <w:rsid w:val="4CD64158"/>
    <w:rsid w:val="4CD67213"/>
    <w:rsid w:val="4CD75BD3"/>
    <w:rsid w:val="4CDD304E"/>
    <w:rsid w:val="4CDD37AD"/>
    <w:rsid w:val="4CDD73CD"/>
    <w:rsid w:val="4CDE1197"/>
    <w:rsid w:val="4CE04BB8"/>
    <w:rsid w:val="4CE075EB"/>
    <w:rsid w:val="4CE1479E"/>
    <w:rsid w:val="4CE21B79"/>
    <w:rsid w:val="4CE21FD8"/>
    <w:rsid w:val="4CE22293"/>
    <w:rsid w:val="4CE2367C"/>
    <w:rsid w:val="4CE31341"/>
    <w:rsid w:val="4CE31814"/>
    <w:rsid w:val="4CE3446F"/>
    <w:rsid w:val="4CE94BEC"/>
    <w:rsid w:val="4CEA0496"/>
    <w:rsid w:val="4CEA74E0"/>
    <w:rsid w:val="4CEB1B36"/>
    <w:rsid w:val="4CEC3BDB"/>
    <w:rsid w:val="4CED248A"/>
    <w:rsid w:val="4CED6147"/>
    <w:rsid w:val="4CEE6719"/>
    <w:rsid w:val="4CF00FA4"/>
    <w:rsid w:val="4CF03FE4"/>
    <w:rsid w:val="4CF13A23"/>
    <w:rsid w:val="4CF15714"/>
    <w:rsid w:val="4CF237DA"/>
    <w:rsid w:val="4CF32EBC"/>
    <w:rsid w:val="4CF34EA9"/>
    <w:rsid w:val="4CF4230D"/>
    <w:rsid w:val="4CF632FE"/>
    <w:rsid w:val="4CF70028"/>
    <w:rsid w:val="4CF71A1D"/>
    <w:rsid w:val="4CF91D9E"/>
    <w:rsid w:val="4CF93131"/>
    <w:rsid w:val="4CF95608"/>
    <w:rsid w:val="4CF96727"/>
    <w:rsid w:val="4CFA4BF8"/>
    <w:rsid w:val="4CFB0A46"/>
    <w:rsid w:val="4CFC00A3"/>
    <w:rsid w:val="4CFC096E"/>
    <w:rsid w:val="4CFC0A74"/>
    <w:rsid w:val="4CFD0457"/>
    <w:rsid w:val="4CFD7444"/>
    <w:rsid w:val="4CFE3836"/>
    <w:rsid w:val="4CFE7F36"/>
    <w:rsid w:val="4D0018BA"/>
    <w:rsid w:val="4D0158FF"/>
    <w:rsid w:val="4D035707"/>
    <w:rsid w:val="4D064401"/>
    <w:rsid w:val="4D077C75"/>
    <w:rsid w:val="4D086E80"/>
    <w:rsid w:val="4D09126D"/>
    <w:rsid w:val="4D0B1177"/>
    <w:rsid w:val="4D0B3D7A"/>
    <w:rsid w:val="4D0B60F5"/>
    <w:rsid w:val="4D0B6942"/>
    <w:rsid w:val="4D0C00AE"/>
    <w:rsid w:val="4D0C2E9A"/>
    <w:rsid w:val="4D0C5482"/>
    <w:rsid w:val="4D0D06D6"/>
    <w:rsid w:val="4D0E3078"/>
    <w:rsid w:val="4D107BB0"/>
    <w:rsid w:val="4D112B78"/>
    <w:rsid w:val="4D115B26"/>
    <w:rsid w:val="4D1618BE"/>
    <w:rsid w:val="4D161A7F"/>
    <w:rsid w:val="4D16727D"/>
    <w:rsid w:val="4D170952"/>
    <w:rsid w:val="4D172418"/>
    <w:rsid w:val="4D176B4E"/>
    <w:rsid w:val="4D19465C"/>
    <w:rsid w:val="4D1B1BC6"/>
    <w:rsid w:val="4D1B43EC"/>
    <w:rsid w:val="4D1C0534"/>
    <w:rsid w:val="4D1C0E5E"/>
    <w:rsid w:val="4D1D32A6"/>
    <w:rsid w:val="4D2029BF"/>
    <w:rsid w:val="4D213C80"/>
    <w:rsid w:val="4D215E54"/>
    <w:rsid w:val="4D226927"/>
    <w:rsid w:val="4D244C7F"/>
    <w:rsid w:val="4D247953"/>
    <w:rsid w:val="4D265B8F"/>
    <w:rsid w:val="4D270FA5"/>
    <w:rsid w:val="4D275AF9"/>
    <w:rsid w:val="4D286AE4"/>
    <w:rsid w:val="4D290BD2"/>
    <w:rsid w:val="4D2A543B"/>
    <w:rsid w:val="4D2B4789"/>
    <w:rsid w:val="4D2C0E62"/>
    <w:rsid w:val="4D2C4BB0"/>
    <w:rsid w:val="4D2C5CE8"/>
    <w:rsid w:val="4D2D14AC"/>
    <w:rsid w:val="4D2D356E"/>
    <w:rsid w:val="4D2E22B1"/>
    <w:rsid w:val="4D2F4CB4"/>
    <w:rsid w:val="4D300565"/>
    <w:rsid w:val="4D301676"/>
    <w:rsid w:val="4D306F9D"/>
    <w:rsid w:val="4D3125A5"/>
    <w:rsid w:val="4D3134E4"/>
    <w:rsid w:val="4D326EDE"/>
    <w:rsid w:val="4D3520D2"/>
    <w:rsid w:val="4D3550BB"/>
    <w:rsid w:val="4D3621A7"/>
    <w:rsid w:val="4D36490A"/>
    <w:rsid w:val="4D395B82"/>
    <w:rsid w:val="4D3B3403"/>
    <w:rsid w:val="4D3B57F2"/>
    <w:rsid w:val="4D3E44BA"/>
    <w:rsid w:val="4D3E7D33"/>
    <w:rsid w:val="4D3F2365"/>
    <w:rsid w:val="4D3F6454"/>
    <w:rsid w:val="4D4004AF"/>
    <w:rsid w:val="4D416F9C"/>
    <w:rsid w:val="4D4230D5"/>
    <w:rsid w:val="4D42361B"/>
    <w:rsid w:val="4D424D40"/>
    <w:rsid w:val="4D432F41"/>
    <w:rsid w:val="4D456AE2"/>
    <w:rsid w:val="4D4839B7"/>
    <w:rsid w:val="4D484CFB"/>
    <w:rsid w:val="4D48719A"/>
    <w:rsid w:val="4D4931E8"/>
    <w:rsid w:val="4D4A4FB8"/>
    <w:rsid w:val="4D4B779C"/>
    <w:rsid w:val="4D4D0D51"/>
    <w:rsid w:val="4D4D1D35"/>
    <w:rsid w:val="4D4E7883"/>
    <w:rsid w:val="4D4F20DB"/>
    <w:rsid w:val="4D50751B"/>
    <w:rsid w:val="4D52208C"/>
    <w:rsid w:val="4D5262EB"/>
    <w:rsid w:val="4D547408"/>
    <w:rsid w:val="4D552B63"/>
    <w:rsid w:val="4D557394"/>
    <w:rsid w:val="4D560C86"/>
    <w:rsid w:val="4D564A63"/>
    <w:rsid w:val="4D5819A6"/>
    <w:rsid w:val="4D584693"/>
    <w:rsid w:val="4D586FE4"/>
    <w:rsid w:val="4D5914FE"/>
    <w:rsid w:val="4D596DBE"/>
    <w:rsid w:val="4D597BD4"/>
    <w:rsid w:val="4D5A41FC"/>
    <w:rsid w:val="4D5B5E7F"/>
    <w:rsid w:val="4D5C4BFE"/>
    <w:rsid w:val="4D5D676F"/>
    <w:rsid w:val="4D5D6DEB"/>
    <w:rsid w:val="4D5F1A66"/>
    <w:rsid w:val="4D603C6B"/>
    <w:rsid w:val="4D616AA6"/>
    <w:rsid w:val="4D622825"/>
    <w:rsid w:val="4D646F10"/>
    <w:rsid w:val="4D657828"/>
    <w:rsid w:val="4D6619E9"/>
    <w:rsid w:val="4D663C05"/>
    <w:rsid w:val="4D6839FE"/>
    <w:rsid w:val="4D687D17"/>
    <w:rsid w:val="4D6933D6"/>
    <w:rsid w:val="4D6B16DA"/>
    <w:rsid w:val="4D6D2789"/>
    <w:rsid w:val="4D6E2C6F"/>
    <w:rsid w:val="4D6F6849"/>
    <w:rsid w:val="4D72599B"/>
    <w:rsid w:val="4D7328AD"/>
    <w:rsid w:val="4D736DF7"/>
    <w:rsid w:val="4D79722A"/>
    <w:rsid w:val="4D7A7CA6"/>
    <w:rsid w:val="4D7B2AF0"/>
    <w:rsid w:val="4D7C4F65"/>
    <w:rsid w:val="4D7D0B08"/>
    <w:rsid w:val="4D7E4A1F"/>
    <w:rsid w:val="4D7F20B7"/>
    <w:rsid w:val="4D7F213C"/>
    <w:rsid w:val="4D7F5190"/>
    <w:rsid w:val="4D7F59FA"/>
    <w:rsid w:val="4D801CE2"/>
    <w:rsid w:val="4D8074A7"/>
    <w:rsid w:val="4D815A18"/>
    <w:rsid w:val="4D832F8C"/>
    <w:rsid w:val="4D8335C5"/>
    <w:rsid w:val="4D851EA8"/>
    <w:rsid w:val="4D852EB2"/>
    <w:rsid w:val="4D854AD9"/>
    <w:rsid w:val="4D863B11"/>
    <w:rsid w:val="4D87711F"/>
    <w:rsid w:val="4D885F8C"/>
    <w:rsid w:val="4D8A1B05"/>
    <w:rsid w:val="4D8A6914"/>
    <w:rsid w:val="4D8A7129"/>
    <w:rsid w:val="4D8A77E6"/>
    <w:rsid w:val="4D8B0EC4"/>
    <w:rsid w:val="4D8C3C18"/>
    <w:rsid w:val="4D8C4290"/>
    <w:rsid w:val="4D8C7526"/>
    <w:rsid w:val="4D8D3B0E"/>
    <w:rsid w:val="4D8F7566"/>
    <w:rsid w:val="4D8F7E2E"/>
    <w:rsid w:val="4D904BF4"/>
    <w:rsid w:val="4D91164F"/>
    <w:rsid w:val="4D911E96"/>
    <w:rsid w:val="4D930065"/>
    <w:rsid w:val="4D9368BE"/>
    <w:rsid w:val="4D944206"/>
    <w:rsid w:val="4D9862E5"/>
    <w:rsid w:val="4D994984"/>
    <w:rsid w:val="4D995E8A"/>
    <w:rsid w:val="4D9A10C6"/>
    <w:rsid w:val="4D9B1F3D"/>
    <w:rsid w:val="4D9C0AF1"/>
    <w:rsid w:val="4D9D44F6"/>
    <w:rsid w:val="4D9E2974"/>
    <w:rsid w:val="4DA0745B"/>
    <w:rsid w:val="4DA2455C"/>
    <w:rsid w:val="4DA334B3"/>
    <w:rsid w:val="4DA465FB"/>
    <w:rsid w:val="4DA517B6"/>
    <w:rsid w:val="4DA573E8"/>
    <w:rsid w:val="4DA650F2"/>
    <w:rsid w:val="4DA70C54"/>
    <w:rsid w:val="4DA91E2A"/>
    <w:rsid w:val="4DA93494"/>
    <w:rsid w:val="4DA963FB"/>
    <w:rsid w:val="4DAA20E4"/>
    <w:rsid w:val="4DAB0482"/>
    <w:rsid w:val="4DAB1ACD"/>
    <w:rsid w:val="4DAB47FF"/>
    <w:rsid w:val="4DAB5D66"/>
    <w:rsid w:val="4DAB5F5A"/>
    <w:rsid w:val="4DAD089D"/>
    <w:rsid w:val="4DAD20F9"/>
    <w:rsid w:val="4DAF28C1"/>
    <w:rsid w:val="4DB044A1"/>
    <w:rsid w:val="4DB156BB"/>
    <w:rsid w:val="4DB2216C"/>
    <w:rsid w:val="4DB27B47"/>
    <w:rsid w:val="4DB322D6"/>
    <w:rsid w:val="4DB3272A"/>
    <w:rsid w:val="4DB41EE9"/>
    <w:rsid w:val="4DB62A6A"/>
    <w:rsid w:val="4DB73368"/>
    <w:rsid w:val="4DB758EF"/>
    <w:rsid w:val="4DB92332"/>
    <w:rsid w:val="4DB95D4C"/>
    <w:rsid w:val="4DB97C39"/>
    <w:rsid w:val="4DBA5236"/>
    <w:rsid w:val="4DBB1E2F"/>
    <w:rsid w:val="4DBC35CE"/>
    <w:rsid w:val="4DBC3DDC"/>
    <w:rsid w:val="4DBE5B2D"/>
    <w:rsid w:val="4DBE7530"/>
    <w:rsid w:val="4DC12BC0"/>
    <w:rsid w:val="4DC14DDB"/>
    <w:rsid w:val="4DC154DD"/>
    <w:rsid w:val="4DC240B6"/>
    <w:rsid w:val="4DC31516"/>
    <w:rsid w:val="4DC34D16"/>
    <w:rsid w:val="4DC41A75"/>
    <w:rsid w:val="4DC44F08"/>
    <w:rsid w:val="4DC4528E"/>
    <w:rsid w:val="4DC47BCE"/>
    <w:rsid w:val="4DC52C5D"/>
    <w:rsid w:val="4DC639CA"/>
    <w:rsid w:val="4DC64869"/>
    <w:rsid w:val="4DC67700"/>
    <w:rsid w:val="4DC8045B"/>
    <w:rsid w:val="4DC93293"/>
    <w:rsid w:val="4DC97CC3"/>
    <w:rsid w:val="4DCB03CA"/>
    <w:rsid w:val="4DCC1E92"/>
    <w:rsid w:val="4DCD4E20"/>
    <w:rsid w:val="4DD059E1"/>
    <w:rsid w:val="4DD07349"/>
    <w:rsid w:val="4DD10DA4"/>
    <w:rsid w:val="4DD310E1"/>
    <w:rsid w:val="4DD43AEA"/>
    <w:rsid w:val="4DD53490"/>
    <w:rsid w:val="4DD54E9C"/>
    <w:rsid w:val="4DDB0932"/>
    <w:rsid w:val="4DDB7327"/>
    <w:rsid w:val="4DDB797C"/>
    <w:rsid w:val="4DDE1EC5"/>
    <w:rsid w:val="4DDF09E8"/>
    <w:rsid w:val="4DE07F37"/>
    <w:rsid w:val="4DE12AE2"/>
    <w:rsid w:val="4DE24998"/>
    <w:rsid w:val="4DE24A45"/>
    <w:rsid w:val="4DE32F9C"/>
    <w:rsid w:val="4DE374C2"/>
    <w:rsid w:val="4DE41B4B"/>
    <w:rsid w:val="4DE731A5"/>
    <w:rsid w:val="4DE84DAF"/>
    <w:rsid w:val="4DEA291B"/>
    <w:rsid w:val="4DEC2E25"/>
    <w:rsid w:val="4DEE3E57"/>
    <w:rsid w:val="4DEF0845"/>
    <w:rsid w:val="4DEF2416"/>
    <w:rsid w:val="4DEF4C6D"/>
    <w:rsid w:val="4DF0552E"/>
    <w:rsid w:val="4DF13F1C"/>
    <w:rsid w:val="4DF24F5C"/>
    <w:rsid w:val="4DF255F0"/>
    <w:rsid w:val="4DF302B4"/>
    <w:rsid w:val="4DF429AB"/>
    <w:rsid w:val="4DF43300"/>
    <w:rsid w:val="4DF636BF"/>
    <w:rsid w:val="4DF65DD0"/>
    <w:rsid w:val="4DF86A7A"/>
    <w:rsid w:val="4DFA5164"/>
    <w:rsid w:val="4DFA7E1E"/>
    <w:rsid w:val="4DFB528B"/>
    <w:rsid w:val="4DFC3AD7"/>
    <w:rsid w:val="4DFC4A28"/>
    <w:rsid w:val="4DFE1130"/>
    <w:rsid w:val="4DFF7E59"/>
    <w:rsid w:val="4E001E5F"/>
    <w:rsid w:val="4E003A1D"/>
    <w:rsid w:val="4E023D51"/>
    <w:rsid w:val="4E0302D5"/>
    <w:rsid w:val="4E035C0C"/>
    <w:rsid w:val="4E0538DC"/>
    <w:rsid w:val="4E053B41"/>
    <w:rsid w:val="4E056318"/>
    <w:rsid w:val="4E06567B"/>
    <w:rsid w:val="4E074500"/>
    <w:rsid w:val="4E081ED8"/>
    <w:rsid w:val="4E082D70"/>
    <w:rsid w:val="4E0D4E82"/>
    <w:rsid w:val="4E0D55FF"/>
    <w:rsid w:val="4E0E5270"/>
    <w:rsid w:val="4E1252B2"/>
    <w:rsid w:val="4E1323D2"/>
    <w:rsid w:val="4E14274F"/>
    <w:rsid w:val="4E14336A"/>
    <w:rsid w:val="4E1458CD"/>
    <w:rsid w:val="4E15336A"/>
    <w:rsid w:val="4E1553B2"/>
    <w:rsid w:val="4E16285B"/>
    <w:rsid w:val="4E166C70"/>
    <w:rsid w:val="4E190B8F"/>
    <w:rsid w:val="4E192316"/>
    <w:rsid w:val="4E196161"/>
    <w:rsid w:val="4E1A5D19"/>
    <w:rsid w:val="4E1B3100"/>
    <w:rsid w:val="4E1C08D0"/>
    <w:rsid w:val="4E1C2AAC"/>
    <w:rsid w:val="4E1C47D3"/>
    <w:rsid w:val="4E1F24C4"/>
    <w:rsid w:val="4E206A15"/>
    <w:rsid w:val="4E217E17"/>
    <w:rsid w:val="4E2241FE"/>
    <w:rsid w:val="4E231E26"/>
    <w:rsid w:val="4E23513E"/>
    <w:rsid w:val="4E250BD1"/>
    <w:rsid w:val="4E253860"/>
    <w:rsid w:val="4E2677F1"/>
    <w:rsid w:val="4E28516A"/>
    <w:rsid w:val="4E291E25"/>
    <w:rsid w:val="4E2A2689"/>
    <w:rsid w:val="4E2A5655"/>
    <w:rsid w:val="4E2B033C"/>
    <w:rsid w:val="4E2D0011"/>
    <w:rsid w:val="4E2F4BE5"/>
    <w:rsid w:val="4E3007BE"/>
    <w:rsid w:val="4E3044D1"/>
    <w:rsid w:val="4E313E48"/>
    <w:rsid w:val="4E3502ED"/>
    <w:rsid w:val="4E355860"/>
    <w:rsid w:val="4E3633C8"/>
    <w:rsid w:val="4E374B86"/>
    <w:rsid w:val="4E375EF8"/>
    <w:rsid w:val="4E387481"/>
    <w:rsid w:val="4E3936A2"/>
    <w:rsid w:val="4E397355"/>
    <w:rsid w:val="4E3A7937"/>
    <w:rsid w:val="4E3D111D"/>
    <w:rsid w:val="4E3D1EA2"/>
    <w:rsid w:val="4E3D2050"/>
    <w:rsid w:val="4E3D4E0C"/>
    <w:rsid w:val="4E3F62A0"/>
    <w:rsid w:val="4E402F39"/>
    <w:rsid w:val="4E411B1E"/>
    <w:rsid w:val="4E427624"/>
    <w:rsid w:val="4E4320E1"/>
    <w:rsid w:val="4E4434C2"/>
    <w:rsid w:val="4E445EEA"/>
    <w:rsid w:val="4E484117"/>
    <w:rsid w:val="4E4B5D30"/>
    <w:rsid w:val="4E4B6FA6"/>
    <w:rsid w:val="4E4C12F3"/>
    <w:rsid w:val="4E4C5768"/>
    <w:rsid w:val="4E4C70B4"/>
    <w:rsid w:val="4E4D05A7"/>
    <w:rsid w:val="4E4E12F2"/>
    <w:rsid w:val="4E4E13E6"/>
    <w:rsid w:val="4E516A64"/>
    <w:rsid w:val="4E530680"/>
    <w:rsid w:val="4E530D28"/>
    <w:rsid w:val="4E531C24"/>
    <w:rsid w:val="4E5403C0"/>
    <w:rsid w:val="4E560B1E"/>
    <w:rsid w:val="4E562380"/>
    <w:rsid w:val="4E5847FD"/>
    <w:rsid w:val="4E59597D"/>
    <w:rsid w:val="4E5A2D3B"/>
    <w:rsid w:val="4E5A7DA3"/>
    <w:rsid w:val="4E5B5DA0"/>
    <w:rsid w:val="4E5D01F9"/>
    <w:rsid w:val="4E5D54B9"/>
    <w:rsid w:val="4E5E492D"/>
    <w:rsid w:val="4E611DBE"/>
    <w:rsid w:val="4E623B3E"/>
    <w:rsid w:val="4E624676"/>
    <w:rsid w:val="4E6337DF"/>
    <w:rsid w:val="4E64377B"/>
    <w:rsid w:val="4E646951"/>
    <w:rsid w:val="4E651BBE"/>
    <w:rsid w:val="4E6577D9"/>
    <w:rsid w:val="4E661E5D"/>
    <w:rsid w:val="4E6640CF"/>
    <w:rsid w:val="4E6763EB"/>
    <w:rsid w:val="4E683C6D"/>
    <w:rsid w:val="4E68616E"/>
    <w:rsid w:val="4E687418"/>
    <w:rsid w:val="4E6A0DEF"/>
    <w:rsid w:val="4E6A4FCD"/>
    <w:rsid w:val="4E6C6B62"/>
    <w:rsid w:val="4E6D145E"/>
    <w:rsid w:val="4E6D37FA"/>
    <w:rsid w:val="4E6E2775"/>
    <w:rsid w:val="4E6E33FD"/>
    <w:rsid w:val="4E7037AC"/>
    <w:rsid w:val="4E7056DC"/>
    <w:rsid w:val="4E7140EB"/>
    <w:rsid w:val="4E720C9C"/>
    <w:rsid w:val="4E7228D4"/>
    <w:rsid w:val="4E724CEA"/>
    <w:rsid w:val="4E731759"/>
    <w:rsid w:val="4E73306E"/>
    <w:rsid w:val="4E7416ED"/>
    <w:rsid w:val="4E772F1B"/>
    <w:rsid w:val="4E775D96"/>
    <w:rsid w:val="4E7831C4"/>
    <w:rsid w:val="4E783F19"/>
    <w:rsid w:val="4E784095"/>
    <w:rsid w:val="4E7974C8"/>
    <w:rsid w:val="4E7D3708"/>
    <w:rsid w:val="4E7D73AB"/>
    <w:rsid w:val="4E7E328C"/>
    <w:rsid w:val="4E7E3E87"/>
    <w:rsid w:val="4E7E4B6D"/>
    <w:rsid w:val="4E7F0BBF"/>
    <w:rsid w:val="4E7F166A"/>
    <w:rsid w:val="4E810A42"/>
    <w:rsid w:val="4E815D52"/>
    <w:rsid w:val="4E837DD6"/>
    <w:rsid w:val="4E840B7C"/>
    <w:rsid w:val="4E842344"/>
    <w:rsid w:val="4E850A61"/>
    <w:rsid w:val="4E856277"/>
    <w:rsid w:val="4E866E60"/>
    <w:rsid w:val="4E871E86"/>
    <w:rsid w:val="4E872E51"/>
    <w:rsid w:val="4E874B9B"/>
    <w:rsid w:val="4E8830A8"/>
    <w:rsid w:val="4E897ECE"/>
    <w:rsid w:val="4E8A6DFA"/>
    <w:rsid w:val="4E8D163E"/>
    <w:rsid w:val="4E8D16FA"/>
    <w:rsid w:val="4E8D1A22"/>
    <w:rsid w:val="4E8D2915"/>
    <w:rsid w:val="4E8D355F"/>
    <w:rsid w:val="4E8D4229"/>
    <w:rsid w:val="4E8D5F86"/>
    <w:rsid w:val="4E8E26A6"/>
    <w:rsid w:val="4E8E6859"/>
    <w:rsid w:val="4E8F08B8"/>
    <w:rsid w:val="4E8F4728"/>
    <w:rsid w:val="4E8F69E3"/>
    <w:rsid w:val="4E9071B7"/>
    <w:rsid w:val="4E915783"/>
    <w:rsid w:val="4E925726"/>
    <w:rsid w:val="4E932410"/>
    <w:rsid w:val="4E9419F9"/>
    <w:rsid w:val="4E942E04"/>
    <w:rsid w:val="4E952B74"/>
    <w:rsid w:val="4E953936"/>
    <w:rsid w:val="4E965D15"/>
    <w:rsid w:val="4E970E08"/>
    <w:rsid w:val="4E984750"/>
    <w:rsid w:val="4E9C78EE"/>
    <w:rsid w:val="4E9D3E8E"/>
    <w:rsid w:val="4E9E06A6"/>
    <w:rsid w:val="4E9E66B1"/>
    <w:rsid w:val="4EA02373"/>
    <w:rsid w:val="4EA12BA9"/>
    <w:rsid w:val="4EA34C09"/>
    <w:rsid w:val="4EA45359"/>
    <w:rsid w:val="4EA4667C"/>
    <w:rsid w:val="4EA52769"/>
    <w:rsid w:val="4EA5287D"/>
    <w:rsid w:val="4EA617F0"/>
    <w:rsid w:val="4EA620C7"/>
    <w:rsid w:val="4EA632CD"/>
    <w:rsid w:val="4EA67627"/>
    <w:rsid w:val="4EA74433"/>
    <w:rsid w:val="4EA83E51"/>
    <w:rsid w:val="4EA868D2"/>
    <w:rsid w:val="4EA92688"/>
    <w:rsid w:val="4EA93C2D"/>
    <w:rsid w:val="4EA94367"/>
    <w:rsid w:val="4EA96323"/>
    <w:rsid w:val="4EA97BA2"/>
    <w:rsid w:val="4EA97D02"/>
    <w:rsid w:val="4EAA4484"/>
    <w:rsid w:val="4EAB02E5"/>
    <w:rsid w:val="4EAD224F"/>
    <w:rsid w:val="4EAD2EE6"/>
    <w:rsid w:val="4EAE145B"/>
    <w:rsid w:val="4EAE1523"/>
    <w:rsid w:val="4EAF53AC"/>
    <w:rsid w:val="4EAF5512"/>
    <w:rsid w:val="4EB03D28"/>
    <w:rsid w:val="4EB31B91"/>
    <w:rsid w:val="4EB34F20"/>
    <w:rsid w:val="4EB527D3"/>
    <w:rsid w:val="4EB57039"/>
    <w:rsid w:val="4EB75B83"/>
    <w:rsid w:val="4EB81894"/>
    <w:rsid w:val="4EB8383E"/>
    <w:rsid w:val="4EB96475"/>
    <w:rsid w:val="4EBA4DC1"/>
    <w:rsid w:val="4EBB0867"/>
    <w:rsid w:val="4EBE0A5D"/>
    <w:rsid w:val="4EBE38B1"/>
    <w:rsid w:val="4EBE5282"/>
    <w:rsid w:val="4EBE6556"/>
    <w:rsid w:val="4EBF1534"/>
    <w:rsid w:val="4EC01843"/>
    <w:rsid w:val="4EC07803"/>
    <w:rsid w:val="4EC17661"/>
    <w:rsid w:val="4EC32FDC"/>
    <w:rsid w:val="4EC54D23"/>
    <w:rsid w:val="4EC55422"/>
    <w:rsid w:val="4EC63D8E"/>
    <w:rsid w:val="4EC679BF"/>
    <w:rsid w:val="4EC738E6"/>
    <w:rsid w:val="4EC93884"/>
    <w:rsid w:val="4ECB6BB6"/>
    <w:rsid w:val="4ECD2FC3"/>
    <w:rsid w:val="4ED162B3"/>
    <w:rsid w:val="4ED33A4A"/>
    <w:rsid w:val="4ED50C08"/>
    <w:rsid w:val="4ED75B11"/>
    <w:rsid w:val="4EDD6607"/>
    <w:rsid w:val="4EDE2ACB"/>
    <w:rsid w:val="4EDE7E9F"/>
    <w:rsid w:val="4EE01155"/>
    <w:rsid w:val="4EE10185"/>
    <w:rsid w:val="4EE23C1E"/>
    <w:rsid w:val="4EE243BD"/>
    <w:rsid w:val="4EE53AAD"/>
    <w:rsid w:val="4EE6001D"/>
    <w:rsid w:val="4EE65080"/>
    <w:rsid w:val="4EE749EB"/>
    <w:rsid w:val="4EE76345"/>
    <w:rsid w:val="4EE85D09"/>
    <w:rsid w:val="4EE86B1A"/>
    <w:rsid w:val="4EEB1CDE"/>
    <w:rsid w:val="4EEB3305"/>
    <w:rsid w:val="4EED51F9"/>
    <w:rsid w:val="4EEF00E8"/>
    <w:rsid w:val="4EEF59AA"/>
    <w:rsid w:val="4EEF7282"/>
    <w:rsid w:val="4EEF7679"/>
    <w:rsid w:val="4EF0550E"/>
    <w:rsid w:val="4EF2300A"/>
    <w:rsid w:val="4EF274C4"/>
    <w:rsid w:val="4EF4072F"/>
    <w:rsid w:val="4EF62CBC"/>
    <w:rsid w:val="4EF642F7"/>
    <w:rsid w:val="4EF91621"/>
    <w:rsid w:val="4EFA39C5"/>
    <w:rsid w:val="4EFA7CBB"/>
    <w:rsid w:val="4EFB7438"/>
    <w:rsid w:val="4EFE0778"/>
    <w:rsid w:val="4EFE1D2F"/>
    <w:rsid w:val="4EFE6FB5"/>
    <w:rsid w:val="4F014202"/>
    <w:rsid w:val="4F031DC8"/>
    <w:rsid w:val="4F03785A"/>
    <w:rsid w:val="4F046174"/>
    <w:rsid w:val="4F086642"/>
    <w:rsid w:val="4F0A2168"/>
    <w:rsid w:val="4F0A297A"/>
    <w:rsid w:val="4F0A7826"/>
    <w:rsid w:val="4F0B28FD"/>
    <w:rsid w:val="4F0B53D7"/>
    <w:rsid w:val="4F0B5421"/>
    <w:rsid w:val="4F0C2747"/>
    <w:rsid w:val="4F0C2A48"/>
    <w:rsid w:val="4F0D0B1E"/>
    <w:rsid w:val="4F0E1291"/>
    <w:rsid w:val="4F0E3DF1"/>
    <w:rsid w:val="4F1060BD"/>
    <w:rsid w:val="4F106D53"/>
    <w:rsid w:val="4F120046"/>
    <w:rsid w:val="4F1207F6"/>
    <w:rsid w:val="4F131314"/>
    <w:rsid w:val="4F133853"/>
    <w:rsid w:val="4F136BF8"/>
    <w:rsid w:val="4F1374A4"/>
    <w:rsid w:val="4F155DA1"/>
    <w:rsid w:val="4F1607D2"/>
    <w:rsid w:val="4F16695E"/>
    <w:rsid w:val="4F196337"/>
    <w:rsid w:val="4F1963D7"/>
    <w:rsid w:val="4F197EC6"/>
    <w:rsid w:val="4F1A5E51"/>
    <w:rsid w:val="4F1C738A"/>
    <w:rsid w:val="4F1D4096"/>
    <w:rsid w:val="4F1D44A9"/>
    <w:rsid w:val="4F1F3B36"/>
    <w:rsid w:val="4F1F6EDB"/>
    <w:rsid w:val="4F21200D"/>
    <w:rsid w:val="4F22312A"/>
    <w:rsid w:val="4F227ECD"/>
    <w:rsid w:val="4F2400DB"/>
    <w:rsid w:val="4F253EF4"/>
    <w:rsid w:val="4F2565B3"/>
    <w:rsid w:val="4F281B0D"/>
    <w:rsid w:val="4F296F61"/>
    <w:rsid w:val="4F2A7408"/>
    <w:rsid w:val="4F2B39AE"/>
    <w:rsid w:val="4F2B6E51"/>
    <w:rsid w:val="4F2E1910"/>
    <w:rsid w:val="4F2E1FEE"/>
    <w:rsid w:val="4F2E29BF"/>
    <w:rsid w:val="4F2E4338"/>
    <w:rsid w:val="4F2E7DE6"/>
    <w:rsid w:val="4F2F03DD"/>
    <w:rsid w:val="4F3151C1"/>
    <w:rsid w:val="4F332927"/>
    <w:rsid w:val="4F336EAF"/>
    <w:rsid w:val="4F353ACF"/>
    <w:rsid w:val="4F36049E"/>
    <w:rsid w:val="4F37656B"/>
    <w:rsid w:val="4F38411F"/>
    <w:rsid w:val="4F3A010C"/>
    <w:rsid w:val="4F3A739A"/>
    <w:rsid w:val="4F3B1410"/>
    <w:rsid w:val="4F3B70CB"/>
    <w:rsid w:val="4F3C7E5B"/>
    <w:rsid w:val="4F3E0717"/>
    <w:rsid w:val="4F3E5893"/>
    <w:rsid w:val="4F4010C4"/>
    <w:rsid w:val="4F4052F8"/>
    <w:rsid w:val="4F4176E8"/>
    <w:rsid w:val="4F43352B"/>
    <w:rsid w:val="4F445D34"/>
    <w:rsid w:val="4F4506FC"/>
    <w:rsid w:val="4F463715"/>
    <w:rsid w:val="4F465406"/>
    <w:rsid w:val="4F475A39"/>
    <w:rsid w:val="4F47641C"/>
    <w:rsid w:val="4F487EA9"/>
    <w:rsid w:val="4F4A754F"/>
    <w:rsid w:val="4F4A77E8"/>
    <w:rsid w:val="4F4B1765"/>
    <w:rsid w:val="4F4B67A5"/>
    <w:rsid w:val="4F4C7720"/>
    <w:rsid w:val="4F4E5BE9"/>
    <w:rsid w:val="4F4F2935"/>
    <w:rsid w:val="4F4F512B"/>
    <w:rsid w:val="4F550317"/>
    <w:rsid w:val="4F554C57"/>
    <w:rsid w:val="4F5636F8"/>
    <w:rsid w:val="4F566F68"/>
    <w:rsid w:val="4F5769BB"/>
    <w:rsid w:val="4F596052"/>
    <w:rsid w:val="4F5A4C54"/>
    <w:rsid w:val="4F5A5B8F"/>
    <w:rsid w:val="4F5B2C57"/>
    <w:rsid w:val="4F601387"/>
    <w:rsid w:val="4F650714"/>
    <w:rsid w:val="4F65330D"/>
    <w:rsid w:val="4F665511"/>
    <w:rsid w:val="4F693F98"/>
    <w:rsid w:val="4F694209"/>
    <w:rsid w:val="4F6A063B"/>
    <w:rsid w:val="4F6A2F98"/>
    <w:rsid w:val="4F6A4DA8"/>
    <w:rsid w:val="4F6B595B"/>
    <w:rsid w:val="4F6B6342"/>
    <w:rsid w:val="4F6D09E5"/>
    <w:rsid w:val="4F6E796B"/>
    <w:rsid w:val="4F6F0BE6"/>
    <w:rsid w:val="4F6F51D7"/>
    <w:rsid w:val="4F714994"/>
    <w:rsid w:val="4F724B31"/>
    <w:rsid w:val="4F734FFA"/>
    <w:rsid w:val="4F741AE1"/>
    <w:rsid w:val="4F76043B"/>
    <w:rsid w:val="4F762153"/>
    <w:rsid w:val="4F766114"/>
    <w:rsid w:val="4F7841EB"/>
    <w:rsid w:val="4F786330"/>
    <w:rsid w:val="4F797811"/>
    <w:rsid w:val="4F7A0BCA"/>
    <w:rsid w:val="4F7A66FF"/>
    <w:rsid w:val="4F7C1927"/>
    <w:rsid w:val="4F7D04DF"/>
    <w:rsid w:val="4F7D3281"/>
    <w:rsid w:val="4F806DD1"/>
    <w:rsid w:val="4F810942"/>
    <w:rsid w:val="4F81177B"/>
    <w:rsid w:val="4F8279EC"/>
    <w:rsid w:val="4F830173"/>
    <w:rsid w:val="4F832FF9"/>
    <w:rsid w:val="4F833840"/>
    <w:rsid w:val="4F86524D"/>
    <w:rsid w:val="4F8756B9"/>
    <w:rsid w:val="4F88304D"/>
    <w:rsid w:val="4F886C8A"/>
    <w:rsid w:val="4F891BBA"/>
    <w:rsid w:val="4F893190"/>
    <w:rsid w:val="4F89683D"/>
    <w:rsid w:val="4F8A448D"/>
    <w:rsid w:val="4F8A7DEA"/>
    <w:rsid w:val="4F8B03FA"/>
    <w:rsid w:val="4F8B2902"/>
    <w:rsid w:val="4F8D20A7"/>
    <w:rsid w:val="4F8D74C0"/>
    <w:rsid w:val="4F8E4688"/>
    <w:rsid w:val="4F8F5A34"/>
    <w:rsid w:val="4F902A3F"/>
    <w:rsid w:val="4F9179D7"/>
    <w:rsid w:val="4F9271E6"/>
    <w:rsid w:val="4F931791"/>
    <w:rsid w:val="4F933D40"/>
    <w:rsid w:val="4F9346F0"/>
    <w:rsid w:val="4F9442C0"/>
    <w:rsid w:val="4F952CD6"/>
    <w:rsid w:val="4F9546EF"/>
    <w:rsid w:val="4F9628ED"/>
    <w:rsid w:val="4F96322E"/>
    <w:rsid w:val="4F9649C2"/>
    <w:rsid w:val="4F973D71"/>
    <w:rsid w:val="4F977B52"/>
    <w:rsid w:val="4F9842DC"/>
    <w:rsid w:val="4F9846BA"/>
    <w:rsid w:val="4F9931A9"/>
    <w:rsid w:val="4F99469D"/>
    <w:rsid w:val="4F9B6BBF"/>
    <w:rsid w:val="4F9B7F01"/>
    <w:rsid w:val="4F9E58D4"/>
    <w:rsid w:val="4FA06DA1"/>
    <w:rsid w:val="4FA20533"/>
    <w:rsid w:val="4FA31A0F"/>
    <w:rsid w:val="4FA31C7F"/>
    <w:rsid w:val="4FA34CA2"/>
    <w:rsid w:val="4FA43B36"/>
    <w:rsid w:val="4FA63612"/>
    <w:rsid w:val="4FA72BEA"/>
    <w:rsid w:val="4FA7701C"/>
    <w:rsid w:val="4FA84BBB"/>
    <w:rsid w:val="4FA84C90"/>
    <w:rsid w:val="4FA85FEF"/>
    <w:rsid w:val="4FA91DFF"/>
    <w:rsid w:val="4FAD3685"/>
    <w:rsid w:val="4FAE29D6"/>
    <w:rsid w:val="4FB018A2"/>
    <w:rsid w:val="4FB2331C"/>
    <w:rsid w:val="4FB25DAF"/>
    <w:rsid w:val="4FB35157"/>
    <w:rsid w:val="4FB43DBE"/>
    <w:rsid w:val="4FB442A7"/>
    <w:rsid w:val="4FB46B47"/>
    <w:rsid w:val="4FB5256D"/>
    <w:rsid w:val="4FB61CE9"/>
    <w:rsid w:val="4FB629B4"/>
    <w:rsid w:val="4FB650F7"/>
    <w:rsid w:val="4FB773F9"/>
    <w:rsid w:val="4FB92D9B"/>
    <w:rsid w:val="4FB979A5"/>
    <w:rsid w:val="4FBA15CF"/>
    <w:rsid w:val="4FBA44A3"/>
    <w:rsid w:val="4FBB35DA"/>
    <w:rsid w:val="4FBC3966"/>
    <w:rsid w:val="4FBE5763"/>
    <w:rsid w:val="4FC059C4"/>
    <w:rsid w:val="4FC06D88"/>
    <w:rsid w:val="4FC10F01"/>
    <w:rsid w:val="4FC11A85"/>
    <w:rsid w:val="4FC21359"/>
    <w:rsid w:val="4FC3352F"/>
    <w:rsid w:val="4FC434BD"/>
    <w:rsid w:val="4FC664DA"/>
    <w:rsid w:val="4FC6709B"/>
    <w:rsid w:val="4FC7447C"/>
    <w:rsid w:val="4FC806A4"/>
    <w:rsid w:val="4FC97311"/>
    <w:rsid w:val="4FC97549"/>
    <w:rsid w:val="4FCA7FE6"/>
    <w:rsid w:val="4FCC5F93"/>
    <w:rsid w:val="4FCD7532"/>
    <w:rsid w:val="4FCE51DE"/>
    <w:rsid w:val="4FCF2537"/>
    <w:rsid w:val="4FCF7363"/>
    <w:rsid w:val="4FD02EA6"/>
    <w:rsid w:val="4FD0570B"/>
    <w:rsid w:val="4FD12F00"/>
    <w:rsid w:val="4FD236F7"/>
    <w:rsid w:val="4FD24F6D"/>
    <w:rsid w:val="4FD3745D"/>
    <w:rsid w:val="4FD41189"/>
    <w:rsid w:val="4FD8348F"/>
    <w:rsid w:val="4FD93E12"/>
    <w:rsid w:val="4FDA0576"/>
    <w:rsid w:val="4FDB360A"/>
    <w:rsid w:val="4FDB69C7"/>
    <w:rsid w:val="4FDC3AD3"/>
    <w:rsid w:val="4FDD31B9"/>
    <w:rsid w:val="4FDE097E"/>
    <w:rsid w:val="4FE02AA6"/>
    <w:rsid w:val="4FE12B4A"/>
    <w:rsid w:val="4FE22B21"/>
    <w:rsid w:val="4FE23C7C"/>
    <w:rsid w:val="4FE35897"/>
    <w:rsid w:val="4FE37157"/>
    <w:rsid w:val="4FE40219"/>
    <w:rsid w:val="4FE46355"/>
    <w:rsid w:val="4FE50C58"/>
    <w:rsid w:val="4FE64E92"/>
    <w:rsid w:val="4FE71F26"/>
    <w:rsid w:val="4FE83B1C"/>
    <w:rsid w:val="4FE85FC2"/>
    <w:rsid w:val="4FE87202"/>
    <w:rsid w:val="4FE942C0"/>
    <w:rsid w:val="4FEB3E1C"/>
    <w:rsid w:val="4FED69CA"/>
    <w:rsid w:val="4FEE476E"/>
    <w:rsid w:val="4FEE509C"/>
    <w:rsid w:val="4FEF62DA"/>
    <w:rsid w:val="4FF2005C"/>
    <w:rsid w:val="4FF22F63"/>
    <w:rsid w:val="4FF23061"/>
    <w:rsid w:val="4FF2647E"/>
    <w:rsid w:val="4FF44661"/>
    <w:rsid w:val="4FF62682"/>
    <w:rsid w:val="4FF62686"/>
    <w:rsid w:val="4FF73415"/>
    <w:rsid w:val="4FF74323"/>
    <w:rsid w:val="4FF74573"/>
    <w:rsid w:val="4FF86FFD"/>
    <w:rsid w:val="4FFA16E6"/>
    <w:rsid w:val="4FFC611E"/>
    <w:rsid w:val="4FFD1834"/>
    <w:rsid w:val="4FFF754B"/>
    <w:rsid w:val="50006333"/>
    <w:rsid w:val="50011E81"/>
    <w:rsid w:val="50027B49"/>
    <w:rsid w:val="50033D76"/>
    <w:rsid w:val="50033EE8"/>
    <w:rsid w:val="500401E0"/>
    <w:rsid w:val="50045918"/>
    <w:rsid w:val="500656A2"/>
    <w:rsid w:val="500679BD"/>
    <w:rsid w:val="50073ACD"/>
    <w:rsid w:val="50073AFC"/>
    <w:rsid w:val="50096888"/>
    <w:rsid w:val="500C4415"/>
    <w:rsid w:val="500D070C"/>
    <w:rsid w:val="500F1DB3"/>
    <w:rsid w:val="50116820"/>
    <w:rsid w:val="50131A81"/>
    <w:rsid w:val="501350FB"/>
    <w:rsid w:val="5013772A"/>
    <w:rsid w:val="50176A49"/>
    <w:rsid w:val="501919A6"/>
    <w:rsid w:val="50194D7F"/>
    <w:rsid w:val="501A165E"/>
    <w:rsid w:val="501A22EE"/>
    <w:rsid w:val="501A628F"/>
    <w:rsid w:val="501B1A58"/>
    <w:rsid w:val="501C44ED"/>
    <w:rsid w:val="501C6054"/>
    <w:rsid w:val="501D5E4C"/>
    <w:rsid w:val="501E68DD"/>
    <w:rsid w:val="501E6E60"/>
    <w:rsid w:val="501F43CF"/>
    <w:rsid w:val="50246416"/>
    <w:rsid w:val="50247AA8"/>
    <w:rsid w:val="50263FEC"/>
    <w:rsid w:val="50267AC4"/>
    <w:rsid w:val="50270739"/>
    <w:rsid w:val="502954FD"/>
    <w:rsid w:val="502A4B1B"/>
    <w:rsid w:val="502A5F4E"/>
    <w:rsid w:val="502B1B2B"/>
    <w:rsid w:val="502B3FDB"/>
    <w:rsid w:val="502C389F"/>
    <w:rsid w:val="502F6404"/>
    <w:rsid w:val="50301FC2"/>
    <w:rsid w:val="5030656E"/>
    <w:rsid w:val="503270F2"/>
    <w:rsid w:val="50344C7A"/>
    <w:rsid w:val="50350959"/>
    <w:rsid w:val="503553AA"/>
    <w:rsid w:val="503938B6"/>
    <w:rsid w:val="503C11D6"/>
    <w:rsid w:val="503C55AF"/>
    <w:rsid w:val="503D33EA"/>
    <w:rsid w:val="503D41EF"/>
    <w:rsid w:val="503D7F83"/>
    <w:rsid w:val="503E0A00"/>
    <w:rsid w:val="503E53D3"/>
    <w:rsid w:val="50401421"/>
    <w:rsid w:val="50401BF8"/>
    <w:rsid w:val="50421171"/>
    <w:rsid w:val="504447F9"/>
    <w:rsid w:val="504465FD"/>
    <w:rsid w:val="50456AA6"/>
    <w:rsid w:val="50462412"/>
    <w:rsid w:val="50476C65"/>
    <w:rsid w:val="50486FCC"/>
    <w:rsid w:val="50493A84"/>
    <w:rsid w:val="504B716D"/>
    <w:rsid w:val="504C1917"/>
    <w:rsid w:val="504E24CF"/>
    <w:rsid w:val="504F2B35"/>
    <w:rsid w:val="504F3484"/>
    <w:rsid w:val="5050051C"/>
    <w:rsid w:val="505039BE"/>
    <w:rsid w:val="50520886"/>
    <w:rsid w:val="505305E4"/>
    <w:rsid w:val="50540368"/>
    <w:rsid w:val="505411F1"/>
    <w:rsid w:val="50551E68"/>
    <w:rsid w:val="50554B17"/>
    <w:rsid w:val="50567C64"/>
    <w:rsid w:val="50571D55"/>
    <w:rsid w:val="50574EE7"/>
    <w:rsid w:val="50576A79"/>
    <w:rsid w:val="50597090"/>
    <w:rsid w:val="505D292F"/>
    <w:rsid w:val="505E41C9"/>
    <w:rsid w:val="50602B0D"/>
    <w:rsid w:val="50603447"/>
    <w:rsid w:val="50611946"/>
    <w:rsid w:val="50635CE8"/>
    <w:rsid w:val="50636774"/>
    <w:rsid w:val="50645F2A"/>
    <w:rsid w:val="5065504B"/>
    <w:rsid w:val="50655890"/>
    <w:rsid w:val="50662672"/>
    <w:rsid w:val="50684D5A"/>
    <w:rsid w:val="5068705C"/>
    <w:rsid w:val="5069012F"/>
    <w:rsid w:val="506B185A"/>
    <w:rsid w:val="506B330E"/>
    <w:rsid w:val="506C0B39"/>
    <w:rsid w:val="506E4E03"/>
    <w:rsid w:val="506F138C"/>
    <w:rsid w:val="506F7F8B"/>
    <w:rsid w:val="50701E0E"/>
    <w:rsid w:val="5071074E"/>
    <w:rsid w:val="50711C1A"/>
    <w:rsid w:val="50712353"/>
    <w:rsid w:val="50720FFE"/>
    <w:rsid w:val="507245DB"/>
    <w:rsid w:val="50735921"/>
    <w:rsid w:val="507371B2"/>
    <w:rsid w:val="5074354A"/>
    <w:rsid w:val="50743D4D"/>
    <w:rsid w:val="50760D57"/>
    <w:rsid w:val="507837EE"/>
    <w:rsid w:val="507868E5"/>
    <w:rsid w:val="50795DC4"/>
    <w:rsid w:val="507A2446"/>
    <w:rsid w:val="507C1838"/>
    <w:rsid w:val="507D0AF4"/>
    <w:rsid w:val="507D26C7"/>
    <w:rsid w:val="507F13FC"/>
    <w:rsid w:val="508166C7"/>
    <w:rsid w:val="50816F24"/>
    <w:rsid w:val="50823A7B"/>
    <w:rsid w:val="50833EEC"/>
    <w:rsid w:val="5083525D"/>
    <w:rsid w:val="50841F1B"/>
    <w:rsid w:val="50842AD1"/>
    <w:rsid w:val="508456F9"/>
    <w:rsid w:val="50863972"/>
    <w:rsid w:val="50865809"/>
    <w:rsid w:val="50873C80"/>
    <w:rsid w:val="50883669"/>
    <w:rsid w:val="50886451"/>
    <w:rsid w:val="50894EEC"/>
    <w:rsid w:val="5089574A"/>
    <w:rsid w:val="508B5D81"/>
    <w:rsid w:val="508B6240"/>
    <w:rsid w:val="508D0D01"/>
    <w:rsid w:val="508D1967"/>
    <w:rsid w:val="508D29D9"/>
    <w:rsid w:val="508E25F0"/>
    <w:rsid w:val="508F7AE4"/>
    <w:rsid w:val="509053C2"/>
    <w:rsid w:val="509108CB"/>
    <w:rsid w:val="50917615"/>
    <w:rsid w:val="50920238"/>
    <w:rsid w:val="509208AA"/>
    <w:rsid w:val="509345CE"/>
    <w:rsid w:val="50940564"/>
    <w:rsid w:val="50946768"/>
    <w:rsid w:val="50954AD7"/>
    <w:rsid w:val="50965150"/>
    <w:rsid w:val="50976152"/>
    <w:rsid w:val="50977849"/>
    <w:rsid w:val="5098172F"/>
    <w:rsid w:val="509B780E"/>
    <w:rsid w:val="509D5A05"/>
    <w:rsid w:val="50A00F61"/>
    <w:rsid w:val="50A0450E"/>
    <w:rsid w:val="50A1240E"/>
    <w:rsid w:val="50A20AC5"/>
    <w:rsid w:val="50A46CAD"/>
    <w:rsid w:val="50A53222"/>
    <w:rsid w:val="50A53C9C"/>
    <w:rsid w:val="50A56322"/>
    <w:rsid w:val="50A56328"/>
    <w:rsid w:val="50A573CD"/>
    <w:rsid w:val="50A73C3A"/>
    <w:rsid w:val="50A7714B"/>
    <w:rsid w:val="50A82E75"/>
    <w:rsid w:val="50A841F2"/>
    <w:rsid w:val="50A9136F"/>
    <w:rsid w:val="50AA07AE"/>
    <w:rsid w:val="50AB1063"/>
    <w:rsid w:val="50AB638C"/>
    <w:rsid w:val="50AC0A17"/>
    <w:rsid w:val="50AC6272"/>
    <w:rsid w:val="50AC6DB1"/>
    <w:rsid w:val="50AF3F90"/>
    <w:rsid w:val="50B04DC0"/>
    <w:rsid w:val="50B2716B"/>
    <w:rsid w:val="50B43D7B"/>
    <w:rsid w:val="50B5218B"/>
    <w:rsid w:val="50B63D2D"/>
    <w:rsid w:val="50B95090"/>
    <w:rsid w:val="50B95F15"/>
    <w:rsid w:val="50BB071B"/>
    <w:rsid w:val="50BC224C"/>
    <w:rsid w:val="50BC3265"/>
    <w:rsid w:val="50BD0396"/>
    <w:rsid w:val="50BD67A8"/>
    <w:rsid w:val="50BE03D7"/>
    <w:rsid w:val="50BF3AA0"/>
    <w:rsid w:val="50C07F8E"/>
    <w:rsid w:val="50C138A6"/>
    <w:rsid w:val="50C2103C"/>
    <w:rsid w:val="50C3535A"/>
    <w:rsid w:val="50C35EEB"/>
    <w:rsid w:val="50C36545"/>
    <w:rsid w:val="50C3711E"/>
    <w:rsid w:val="50C449DC"/>
    <w:rsid w:val="50C52946"/>
    <w:rsid w:val="50C67DBA"/>
    <w:rsid w:val="50C73B7C"/>
    <w:rsid w:val="50C86FE2"/>
    <w:rsid w:val="50CA7B32"/>
    <w:rsid w:val="50CB1490"/>
    <w:rsid w:val="50CC248F"/>
    <w:rsid w:val="50CC526F"/>
    <w:rsid w:val="50CC55EA"/>
    <w:rsid w:val="50CE78D7"/>
    <w:rsid w:val="50CF14E1"/>
    <w:rsid w:val="50CF18D0"/>
    <w:rsid w:val="50CF3557"/>
    <w:rsid w:val="50D12EC4"/>
    <w:rsid w:val="50D14DFF"/>
    <w:rsid w:val="50D2142B"/>
    <w:rsid w:val="50D25CEA"/>
    <w:rsid w:val="50D31B29"/>
    <w:rsid w:val="50D35050"/>
    <w:rsid w:val="50D51FD2"/>
    <w:rsid w:val="50D52E5D"/>
    <w:rsid w:val="50D576A2"/>
    <w:rsid w:val="50D57EE4"/>
    <w:rsid w:val="50D6285C"/>
    <w:rsid w:val="50D64953"/>
    <w:rsid w:val="50D704C4"/>
    <w:rsid w:val="50D7286F"/>
    <w:rsid w:val="50D761AE"/>
    <w:rsid w:val="50D8135E"/>
    <w:rsid w:val="50D91050"/>
    <w:rsid w:val="50DA3E19"/>
    <w:rsid w:val="50DA605E"/>
    <w:rsid w:val="50DB6513"/>
    <w:rsid w:val="50DD27B7"/>
    <w:rsid w:val="50DE6B24"/>
    <w:rsid w:val="50E14B35"/>
    <w:rsid w:val="50E20C58"/>
    <w:rsid w:val="50E23641"/>
    <w:rsid w:val="50E2584E"/>
    <w:rsid w:val="50E43A99"/>
    <w:rsid w:val="50E44C35"/>
    <w:rsid w:val="50E50ADC"/>
    <w:rsid w:val="50E51FAE"/>
    <w:rsid w:val="50E52128"/>
    <w:rsid w:val="50E53B07"/>
    <w:rsid w:val="50E635CE"/>
    <w:rsid w:val="50E72825"/>
    <w:rsid w:val="50E86451"/>
    <w:rsid w:val="50E91383"/>
    <w:rsid w:val="50EA0048"/>
    <w:rsid w:val="50EB2841"/>
    <w:rsid w:val="50ED11F0"/>
    <w:rsid w:val="50EE5503"/>
    <w:rsid w:val="50F16D11"/>
    <w:rsid w:val="50F26A7C"/>
    <w:rsid w:val="50F37CA2"/>
    <w:rsid w:val="50F41495"/>
    <w:rsid w:val="50F42845"/>
    <w:rsid w:val="50F53472"/>
    <w:rsid w:val="50F61558"/>
    <w:rsid w:val="50F63DA2"/>
    <w:rsid w:val="50F73067"/>
    <w:rsid w:val="50F87B58"/>
    <w:rsid w:val="50F9600B"/>
    <w:rsid w:val="50FD1C89"/>
    <w:rsid w:val="50FD384D"/>
    <w:rsid w:val="50FF3CCD"/>
    <w:rsid w:val="50FF4E80"/>
    <w:rsid w:val="50FF5552"/>
    <w:rsid w:val="50FF7E10"/>
    <w:rsid w:val="51024D39"/>
    <w:rsid w:val="51034A67"/>
    <w:rsid w:val="510426B3"/>
    <w:rsid w:val="51054CB5"/>
    <w:rsid w:val="5106106E"/>
    <w:rsid w:val="51063418"/>
    <w:rsid w:val="51070D8F"/>
    <w:rsid w:val="51071795"/>
    <w:rsid w:val="51072EBA"/>
    <w:rsid w:val="51073167"/>
    <w:rsid w:val="51092C20"/>
    <w:rsid w:val="510A3A93"/>
    <w:rsid w:val="510B31D9"/>
    <w:rsid w:val="510B5914"/>
    <w:rsid w:val="510C2C90"/>
    <w:rsid w:val="510C6575"/>
    <w:rsid w:val="510D3E1A"/>
    <w:rsid w:val="510E216C"/>
    <w:rsid w:val="510F53F2"/>
    <w:rsid w:val="511009E5"/>
    <w:rsid w:val="511011B8"/>
    <w:rsid w:val="51102D6B"/>
    <w:rsid w:val="51106FF7"/>
    <w:rsid w:val="51112490"/>
    <w:rsid w:val="5111306E"/>
    <w:rsid w:val="5112163A"/>
    <w:rsid w:val="511333FB"/>
    <w:rsid w:val="5113606B"/>
    <w:rsid w:val="5113711F"/>
    <w:rsid w:val="5114769F"/>
    <w:rsid w:val="5115262E"/>
    <w:rsid w:val="51153541"/>
    <w:rsid w:val="5117163E"/>
    <w:rsid w:val="51172383"/>
    <w:rsid w:val="51172CB2"/>
    <w:rsid w:val="511808CE"/>
    <w:rsid w:val="51183927"/>
    <w:rsid w:val="511A2A31"/>
    <w:rsid w:val="511C25EA"/>
    <w:rsid w:val="511F53F8"/>
    <w:rsid w:val="512007C4"/>
    <w:rsid w:val="51202517"/>
    <w:rsid w:val="512213F9"/>
    <w:rsid w:val="51227127"/>
    <w:rsid w:val="512277CC"/>
    <w:rsid w:val="512326C8"/>
    <w:rsid w:val="51254C14"/>
    <w:rsid w:val="512557B6"/>
    <w:rsid w:val="512566DF"/>
    <w:rsid w:val="5126587F"/>
    <w:rsid w:val="512777FC"/>
    <w:rsid w:val="51290A7D"/>
    <w:rsid w:val="512957E5"/>
    <w:rsid w:val="512C1411"/>
    <w:rsid w:val="512C48CE"/>
    <w:rsid w:val="512E1B11"/>
    <w:rsid w:val="512F0A70"/>
    <w:rsid w:val="512F4119"/>
    <w:rsid w:val="512F601F"/>
    <w:rsid w:val="51335B56"/>
    <w:rsid w:val="51341477"/>
    <w:rsid w:val="5138109C"/>
    <w:rsid w:val="513847A5"/>
    <w:rsid w:val="513A0D27"/>
    <w:rsid w:val="513B2412"/>
    <w:rsid w:val="513C2E4E"/>
    <w:rsid w:val="513C7155"/>
    <w:rsid w:val="513E0385"/>
    <w:rsid w:val="513E39B4"/>
    <w:rsid w:val="513F72A3"/>
    <w:rsid w:val="514075FF"/>
    <w:rsid w:val="51416EFB"/>
    <w:rsid w:val="51421AB2"/>
    <w:rsid w:val="51434B80"/>
    <w:rsid w:val="51437389"/>
    <w:rsid w:val="51452242"/>
    <w:rsid w:val="51475E6C"/>
    <w:rsid w:val="514823D7"/>
    <w:rsid w:val="5149422D"/>
    <w:rsid w:val="514A5AAA"/>
    <w:rsid w:val="514A6911"/>
    <w:rsid w:val="514C21BA"/>
    <w:rsid w:val="514D09BB"/>
    <w:rsid w:val="514D3733"/>
    <w:rsid w:val="514E68EB"/>
    <w:rsid w:val="514F099A"/>
    <w:rsid w:val="514F130A"/>
    <w:rsid w:val="51511786"/>
    <w:rsid w:val="51513B38"/>
    <w:rsid w:val="515172EA"/>
    <w:rsid w:val="51531A67"/>
    <w:rsid w:val="51531CF4"/>
    <w:rsid w:val="51532A8E"/>
    <w:rsid w:val="51545E81"/>
    <w:rsid w:val="515475D3"/>
    <w:rsid w:val="5155432B"/>
    <w:rsid w:val="5156427F"/>
    <w:rsid w:val="51595A78"/>
    <w:rsid w:val="5159708B"/>
    <w:rsid w:val="515A72DC"/>
    <w:rsid w:val="515B5DF9"/>
    <w:rsid w:val="515B7614"/>
    <w:rsid w:val="515F67E7"/>
    <w:rsid w:val="51603906"/>
    <w:rsid w:val="51611D9E"/>
    <w:rsid w:val="516219C4"/>
    <w:rsid w:val="516451CF"/>
    <w:rsid w:val="51650258"/>
    <w:rsid w:val="51652596"/>
    <w:rsid w:val="51690673"/>
    <w:rsid w:val="5169597D"/>
    <w:rsid w:val="516A7937"/>
    <w:rsid w:val="516B3447"/>
    <w:rsid w:val="516B6771"/>
    <w:rsid w:val="516C11E9"/>
    <w:rsid w:val="516C26CF"/>
    <w:rsid w:val="516C5A20"/>
    <w:rsid w:val="516D08B7"/>
    <w:rsid w:val="516D193B"/>
    <w:rsid w:val="516E5642"/>
    <w:rsid w:val="51700E44"/>
    <w:rsid w:val="517103A3"/>
    <w:rsid w:val="51724F1F"/>
    <w:rsid w:val="517326EA"/>
    <w:rsid w:val="51742E47"/>
    <w:rsid w:val="517624C3"/>
    <w:rsid w:val="51766C54"/>
    <w:rsid w:val="5178266D"/>
    <w:rsid w:val="51783E01"/>
    <w:rsid w:val="51786173"/>
    <w:rsid w:val="517A2C9F"/>
    <w:rsid w:val="517B2804"/>
    <w:rsid w:val="517C5E30"/>
    <w:rsid w:val="517E15E0"/>
    <w:rsid w:val="517E6447"/>
    <w:rsid w:val="517F7502"/>
    <w:rsid w:val="518103E7"/>
    <w:rsid w:val="51817D76"/>
    <w:rsid w:val="51822665"/>
    <w:rsid w:val="518265B6"/>
    <w:rsid w:val="518429FF"/>
    <w:rsid w:val="518540E9"/>
    <w:rsid w:val="518634B0"/>
    <w:rsid w:val="51871EBD"/>
    <w:rsid w:val="518A3AE6"/>
    <w:rsid w:val="518B3151"/>
    <w:rsid w:val="518B4FCA"/>
    <w:rsid w:val="518D5527"/>
    <w:rsid w:val="518E1034"/>
    <w:rsid w:val="518E3A21"/>
    <w:rsid w:val="518E44E4"/>
    <w:rsid w:val="518F2AFC"/>
    <w:rsid w:val="51913B66"/>
    <w:rsid w:val="5192097C"/>
    <w:rsid w:val="51922E42"/>
    <w:rsid w:val="519278C0"/>
    <w:rsid w:val="519347D0"/>
    <w:rsid w:val="519351C8"/>
    <w:rsid w:val="51936C44"/>
    <w:rsid w:val="51947BAA"/>
    <w:rsid w:val="519776AF"/>
    <w:rsid w:val="5198149F"/>
    <w:rsid w:val="5198634E"/>
    <w:rsid w:val="51990FC9"/>
    <w:rsid w:val="519939AB"/>
    <w:rsid w:val="519947CE"/>
    <w:rsid w:val="519A57C0"/>
    <w:rsid w:val="519B1020"/>
    <w:rsid w:val="519B7B3E"/>
    <w:rsid w:val="519E56C8"/>
    <w:rsid w:val="519F2331"/>
    <w:rsid w:val="519F6BB3"/>
    <w:rsid w:val="519F79F7"/>
    <w:rsid w:val="51A0124C"/>
    <w:rsid w:val="51A03941"/>
    <w:rsid w:val="51A116AC"/>
    <w:rsid w:val="51A16D24"/>
    <w:rsid w:val="51A23047"/>
    <w:rsid w:val="51A345D8"/>
    <w:rsid w:val="51A43BB6"/>
    <w:rsid w:val="51A4454E"/>
    <w:rsid w:val="51A46A44"/>
    <w:rsid w:val="51A61B04"/>
    <w:rsid w:val="51A72098"/>
    <w:rsid w:val="51A779B8"/>
    <w:rsid w:val="51A81DB7"/>
    <w:rsid w:val="51A8639E"/>
    <w:rsid w:val="51AB713B"/>
    <w:rsid w:val="51AD19C3"/>
    <w:rsid w:val="51AE3AC0"/>
    <w:rsid w:val="51AE6197"/>
    <w:rsid w:val="51AE6A0E"/>
    <w:rsid w:val="51AF36FC"/>
    <w:rsid w:val="51B00003"/>
    <w:rsid w:val="51B23147"/>
    <w:rsid w:val="51B30492"/>
    <w:rsid w:val="51B379E4"/>
    <w:rsid w:val="51B40257"/>
    <w:rsid w:val="51B44C4A"/>
    <w:rsid w:val="51B47929"/>
    <w:rsid w:val="51B503BB"/>
    <w:rsid w:val="51B55408"/>
    <w:rsid w:val="51B60E04"/>
    <w:rsid w:val="51B65E44"/>
    <w:rsid w:val="51BA0D8E"/>
    <w:rsid w:val="51BA22F2"/>
    <w:rsid w:val="51BA3346"/>
    <w:rsid w:val="51BA5CDD"/>
    <w:rsid w:val="51BB04CE"/>
    <w:rsid w:val="51BB79A2"/>
    <w:rsid w:val="51BC4741"/>
    <w:rsid w:val="51BC750E"/>
    <w:rsid w:val="51BE02AC"/>
    <w:rsid w:val="51BF0383"/>
    <w:rsid w:val="51C07B7F"/>
    <w:rsid w:val="51C23785"/>
    <w:rsid w:val="51C24378"/>
    <w:rsid w:val="51C275CE"/>
    <w:rsid w:val="51C352BA"/>
    <w:rsid w:val="51C462D8"/>
    <w:rsid w:val="51C55013"/>
    <w:rsid w:val="51CB3A26"/>
    <w:rsid w:val="51CD5D21"/>
    <w:rsid w:val="51CE1868"/>
    <w:rsid w:val="51CF687C"/>
    <w:rsid w:val="51D05435"/>
    <w:rsid w:val="51D07092"/>
    <w:rsid w:val="51D14051"/>
    <w:rsid w:val="51D27512"/>
    <w:rsid w:val="51D27F79"/>
    <w:rsid w:val="51D44A74"/>
    <w:rsid w:val="51D46E31"/>
    <w:rsid w:val="51D5210A"/>
    <w:rsid w:val="51D54CC0"/>
    <w:rsid w:val="51D62DA4"/>
    <w:rsid w:val="51D75A22"/>
    <w:rsid w:val="51D77FC9"/>
    <w:rsid w:val="51D84D11"/>
    <w:rsid w:val="51D85BB0"/>
    <w:rsid w:val="51DA1478"/>
    <w:rsid w:val="51DB6E78"/>
    <w:rsid w:val="51DC073B"/>
    <w:rsid w:val="51DC2A5A"/>
    <w:rsid w:val="51DE0794"/>
    <w:rsid w:val="51DE7F23"/>
    <w:rsid w:val="51E02CD9"/>
    <w:rsid w:val="51E23091"/>
    <w:rsid w:val="51E35888"/>
    <w:rsid w:val="51E4217D"/>
    <w:rsid w:val="51E52851"/>
    <w:rsid w:val="51E77CC4"/>
    <w:rsid w:val="51E817C9"/>
    <w:rsid w:val="51E83E61"/>
    <w:rsid w:val="51E870F2"/>
    <w:rsid w:val="51EA447E"/>
    <w:rsid w:val="51EB0E80"/>
    <w:rsid w:val="51EC22F3"/>
    <w:rsid w:val="51ED4DE0"/>
    <w:rsid w:val="51EE3E35"/>
    <w:rsid w:val="51EF4629"/>
    <w:rsid w:val="51EF4D97"/>
    <w:rsid w:val="51EF6F42"/>
    <w:rsid w:val="51F10EF3"/>
    <w:rsid w:val="51F20A6E"/>
    <w:rsid w:val="51F223CA"/>
    <w:rsid w:val="51F250F7"/>
    <w:rsid w:val="51F320C7"/>
    <w:rsid w:val="51F33DC0"/>
    <w:rsid w:val="51F40E5D"/>
    <w:rsid w:val="51F41D72"/>
    <w:rsid w:val="51F6673A"/>
    <w:rsid w:val="51F73DCE"/>
    <w:rsid w:val="51F80EF0"/>
    <w:rsid w:val="51F86338"/>
    <w:rsid w:val="51FC071D"/>
    <w:rsid w:val="51FF0643"/>
    <w:rsid w:val="52014CF1"/>
    <w:rsid w:val="52017515"/>
    <w:rsid w:val="52022ABC"/>
    <w:rsid w:val="52027329"/>
    <w:rsid w:val="5203470E"/>
    <w:rsid w:val="5204689A"/>
    <w:rsid w:val="52052CD7"/>
    <w:rsid w:val="52061025"/>
    <w:rsid w:val="52067C23"/>
    <w:rsid w:val="520830D9"/>
    <w:rsid w:val="52087037"/>
    <w:rsid w:val="520A1501"/>
    <w:rsid w:val="520A7CA3"/>
    <w:rsid w:val="520B15BC"/>
    <w:rsid w:val="520D2F72"/>
    <w:rsid w:val="520D36CE"/>
    <w:rsid w:val="520E1776"/>
    <w:rsid w:val="520F0F70"/>
    <w:rsid w:val="52105C29"/>
    <w:rsid w:val="52106E92"/>
    <w:rsid w:val="52121671"/>
    <w:rsid w:val="521217E5"/>
    <w:rsid w:val="52146B09"/>
    <w:rsid w:val="521470AD"/>
    <w:rsid w:val="52166EB2"/>
    <w:rsid w:val="52177E99"/>
    <w:rsid w:val="5219272A"/>
    <w:rsid w:val="52197246"/>
    <w:rsid w:val="521A0CA7"/>
    <w:rsid w:val="521A6DD6"/>
    <w:rsid w:val="521C1A6D"/>
    <w:rsid w:val="521D3C0C"/>
    <w:rsid w:val="521E31BF"/>
    <w:rsid w:val="521E7210"/>
    <w:rsid w:val="521F08C1"/>
    <w:rsid w:val="521F3AAB"/>
    <w:rsid w:val="521F4345"/>
    <w:rsid w:val="52202F53"/>
    <w:rsid w:val="52211984"/>
    <w:rsid w:val="522131ED"/>
    <w:rsid w:val="5221333D"/>
    <w:rsid w:val="52223E7D"/>
    <w:rsid w:val="52224331"/>
    <w:rsid w:val="522421AC"/>
    <w:rsid w:val="5225599E"/>
    <w:rsid w:val="5226475E"/>
    <w:rsid w:val="52265A59"/>
    <w:rsid w:val="52266B9B"/>
    <w:rsid w:val="52267487"/>
    <w:rsid w:val="52270A90"/>
    <w:rsid w:val="52271947"/>
    <w:rsid w:val="52276D5C"/>
    <w:rsid w:val="522920D1"/>
    <w:rsid w:val="522953CA"/>
    <w:rsid w:val="52297140"/>
    <w:rsid w:val="522B3F5D"/>
    <w:rsid w:val="522B633B"/>
    <w:rsid w:val="522B634B"/>
    <w:rsid w:val="522C096F"/>
    <w:rsid w:val="522C5070"/>
    <w:rsid w:val="522D75FB"/>
    <w:rsid w:val="522D7C06"/>
    <w:rsid w:val="522E2779"/>
    <w:rsid w:val="52301531"/>
    <w:rsid w:val="52311BDC"/>
    <w:rsid w:val="5232438A"/>
    <w:rsid w:val="52331A20"/>
    <w:rsid w:val="523444CC"/>
    <w:rsid w:val="52350631"/>
    <w:rsid w:val="52353D17"/>
    <w:rsid w:val="523764CA"/>
    <w:rsid w:val="523A28E2"/>
    <w:rsid w:val="523F19B2"/>
    <w:rsid w:val="52404B00"/>
    <w:rsid w:val="52423499"/>
    <w:rsid w:val="52444609"/>
    <w:rsid w:val="52462E84"/>
    <w:rsid w:val="52475A80"/>
    <w:rsid w:val="5248591D"/>
    <w:rsid w:val="5249683C"/>
    <w:rsid w:val="524A25BA"/>
    <w:rsid w:val="524B2778"/>
    <w:rsid w:val="524D632F"/>
    <w:rsid w:val="524E13FC"/>
    <w:rsid w:val="524E4D2C"/>
    <w:rsid w:val="524F646B"/>
    <w:rsid w:val="524F695F"/>
    <w:rsid w:val="524F7ED9"/>
    <w:rsid w:val="525035E3"/>
    <w:rsid w:val="525036D9"/>
    <w:rsid w:val="52505C43"/>
    <w:rsid w:val="52507A63"/>
    <w:rsid w:val="52516DAF"/>
    <w:rsid w:val="52522CB3"/>
    <w:rsid w:val="52523969"/>
    <w:rsid w:val="52527DDF"/>
    <w:rsid w:val="52552369"/>
    <w:rsid w:val="52555A5D"/>
    <w:rsid w:val="52572DDB"/>
    <w:rsid w:val="52584846"/>
    <w:rsid w:val="5258556D"/>
    <w:rsid w:val="52593758"/>
    <w:rsid w:val="52596DC6"/>
    <w:rsid w:val="525A5E4B"/>
    <w:rsid w:val="525C76EA"/>
    <w:rsid w:val="525E19D9"/>
    <w:rsid w:val="525E4B52"/>
    <w:rsid w:val="525F3F93"/>
    <w:rsid w:val="52614A23"/>
    <w:rsid w:val="52636296"/>
    <w:rsid w:val="5264499F"/>
    <w:rsid w:val="5264572B"/>
    <w:rsid w:val="52646E2F"/>
    <w:rsid w:val="5265241F"/>
    <w:rsid w:val="52674828"/>
    <w:rsid w:val="526852C6"/>
    <w:rsid w:val="52693D45"/>
    <w:rsid w:val="52693D7E"/>
    <w:rsid w:val="52696F33"/>
    <w:rsid w:val="526A009B"/>
    <w:rsid w:val="526A3FD8"/>
    <w:rsid w:val="526F1D2E"/>
    <w:rsid w:val="526F3CB1"/>
    <w:rsid w:val="52700073"/>
    <w:rsid w:val="52721586"/>
    <w:rsid w:val="527240F9"/>
    <w:rsid w:val="52725BE0"/>
    <w:rsid w:val="52735EB6"/>
    <w:rsid w:val="52743905"/>
    <w:rsid w:val="5276123D"/>
    <w:rsid w:val="52771CF5"/>
    <w:rsid w:val="52784F6D"/>
    <w:rsid w:val="52793823"/>
    <w:rsid w:val="52794B78"/>
    <w:rsid w:val="527B7DB4"/>
    <w:rsid w:val="527C71B7"/>
    <w:rsid w:val="527C778B"/>
    <w:rsid w:val="527F1C9A"/>
    <w:rsid w:val="527F777D"/>
    <w:rsid w:val="5281015B"/>
    <w:rsid w:val="52812E79"/>
    <w:rsid w:val="52825667"/>
    <w:rsid w:val="5285005C"/>
    <w:rsid w:val="5285752F"/>
    <w:rsid w:val="52864E04"/>
    <w:rsid w:val="528958D9"/>
    <w:rsid w:val="52897A59"/>
    <w:rsid w:val="528D5C4E"/>
    <w:rsid w:val="528F021B"/>
    <w:rsid w:val="528F1BD6"/>
    <w:rsid w:val="52924A4B"/>
    <w:rsid w:val="52926000"/>
    <w:rsid w:val="529437E6"/>
    <w:rsid w:val="52944BD9"/>
    <w:rsid w:val="52947D24"/>
    <w:rsid w:val="52955E57"/>
    <w:rsid w:val="52960EE8"/>
    <w:rsid w:val="52964270"/>
    <w:rsid w:val="52966847"/>
    <w:rsid w:val="52971602"/>
    <w:rsid w:val="529A4A1F"/>
    <w:rsid w:val="529B5B8F"/>
    <w:rsid w:val="529C166A"/>
    <w:rsid w:val="529C40E3"/>
    <w:rsid w:val="529D088C"/>
    <w:rsid w:val="529D6CE6"/>
    <w:rsid w:val="52A1284F"/>
    <w:rsid w:val="52A15CA7"/>
    <w:rsid w:val="52A1794C"/>
    <w:rsid w:val="52A3530D"/>
    <w:rsid w:val="52A4416E"/>
    <w:rsid w:val="52A51083"/>
    <w:rsid w:val="52A562C2"/>
    <w:rsid w:val="52A67870"/>
    <w:rsid w:val="52A803B6"/>
    <w:rsid w:val="52A848E5"/>
    <w:rsid w:val="52A86F2C"/>
    <w:rsid w:val="52AB5E16"/>
    <w:rsid w:val="52AB75B0"/>
    <w:rsid w:val="52AE4D8A"/>
    <w:rsid w:val="52B00BCE"/>
    <w:rsid w:val="52B10BD3"/>
    <w:rsid w:val="52B20F54"/>
    <w:rsid w:val="52B238DC"/>
    <w:rsid w:val="52B335F4"/>
    <w:rsid w:val="52B33B5E"/>
    <w:rsid w:val="52B4252F"/>
    <w:rsid w:val="52B529BC"/>
    <w:rsid w:val="52B54EC7"/>
    <w:rsid w:val="52B77088"/>
    <w:rsid w:val="52B770C8"/>
    <w:rsid w:val="52B84669"/>
    <w:rsid w:val="52B903C1"/>
    <w:rsid w:val="52B95AC9"/>
    <w:rsid w:val="52BB1E52"/>
    <w:rsid w:val="52BC18FD"/>
    <w:rsid w:val="52BD24CA"/>
    <w:rsid w:val="52BD2705"/>
    <w:rsid w:val="52BD547F"/>
    <w:rsid w:val="52BD7CD4"/>
    <w:rsid w:val="52BE51BF"/>
    <w:rsid w:val="52C16C2D"/>
    <w:rsid w:val="52C23233"/>
    <w:rsid w:val="52C32E87"/>
    <w:rsid w:val="52C35DEE"/>
    <w:rsid w:val="52C421F3"/>
    <w:rsid w:val="52C4502C"/>
    <w:rsid w:val="52C5001A"/>
    <w:rsid w:val="52C81645"/>
    <w:rsid w:val="52C81E61"/>
    <w:rsid w:val="52C8264C"/>
    <w:rsid w:val="52C839E7"/>
    <w:rsid w:val="52C971CF"/>
    <w:rsid w:val="52CA104F"/>
    <w:rsid w:val="52CC0BBB"/>
    <w:rsid w:val="52CC696C"/>
    <w:rsid w:val="52CE2C5C"/>
    <w:rsid w:val="52CF3C8A"/>
    <w:rsid w:val="52CF4BE4"/>
    <w:rsid w:val="52D04F68"/>
    <w:rsid w:val="52D13F3F"/>
    <w:rsid w:val="52D34714"/>
    <w:rsid w:val="52D4608C"/>
    <w:rsid w:val="52D54833"/>
    <w:rsid w:val="52D57BBF"/>
    <w:rsid w:val="52D62DD1"/>
    <w:rsid w:val="52D6777A"/>
    <w:rsid w:val="52D72057"/>
    <w:rsid w:val="52D73358"/>
    <w:rsid w:val="52D752CC"/>
    <w:rsid w:val="52D856CE"/>
    <w:rsid w:val="52D863B7"/>
    <w:rsid w:val="52D92368"/>
    <w:rsid w:val="52D927AF"/>
    <w:rsid w:val="52DA2D79"/>
    <w:rsid w:val="52DB649F"/>
    <w:rsid w:val="52DC3E0F"/>
    <w:rsid w:val="52DD4170"/>
    <w:rsid w:val="52DD62E9"/>
    <w:rsid w:val="52DE5F59"/>
    <w:rsid w:val="52DF112F"/>
    <w:rsid w:val="52DF2B13"/>
    <w:rsid w:val="52DF79C8"/>
    <w:rsid w:val="52E00D52"/>
    <w:rsid w:val="52E3627A"/>
    <w:rsid w:val="52E464C3"/>
    <w:rsid w:val="52E647D0"/>
    <w:rsid w:val="52E66594"/>
    <w:rsid w:val="52E747AA"/>
    <w:rsid w:val="52EA2307"/>
    <w:rsid w:val="52ED2F0E"/>
    <w:rsid w:val="52ED498C"/>
    <w:rsid w:val="52F00E9C"/>
    <w:rsid w:val="52F50399"/>
    <w:rsid w:val="52F70C4A"/>
    <w:rsid w:val="52F7772B"/>
    <w:rsid w:val="52F77CCD"/>
    <w:rsid w:val="52F968DE"/>
    <w:rsid w:val="52FA5ADF"/>
    <w:rsid w:val="52FA5BA9"/>
    <w:rsid w:val="52FB705C"/>
    <w:rsid w:val="52FC67FC"/>
    <w:rsid w:val="52FD3BBE"/>
    <w:rsid w:val="52FD447A"/>
    <w:rsid w:val="52FD6ED8"/>
    <w:rsid w:val="52FD7411"/>
    <w:rsid w:val="52FF55CD"/>
    <w:rsid w:val="5300358D"/>
    <w:rsid w:val="53004D3E"/>
    <w:rsid w:val="53007CD2"/>
    <w:rsid w:val="530232BF"/>
    <w:rsid w:val="5303052B"/>
    <w:rsid w:val="53054FA3"/>
    <w:rsid w:val="53066B91"/>
    <w:rsid w:val="5306754F"/>
    <w:rsid w:val="530713A7"/>
    <w:rsid w:val="53082B6B"/>
    <w:rsid w:val="53087A49"/>
    <w:rsid w:val="530952F7"/>
    <w:rsid w:val="53096842"/>
    <w:rsid w:val="530A0613"/>
    <w:rsid w:val="530A3635"/>
    <w:rsid w:val="530C4BBD"/>
    <w:rsid w:val="530D207C"/>
    <w:rsid w:val="530E32EF"/>
    <w:rsid w:val="530E4102"/>
    <w:rsid w:val="531279D2"/>
    <w:rsid w:val="53143D04"/>
    <w:rsid w:val="53144C66"/>
    <w:rsid w:val="53145580"/>
    <w:rsid w:val="53175F59"/>
    <w:rsid w:val="53176FC7"/>
    <w:rsid w:val="53185F41"/>
    <w:rsid w:val="5319414E"/>
    <w:rsid w:val="53195EAA"/>
    <w:rsid w:val="531A5419"/>
    <w:rsid w:val="531A7244"/>
    <w:rsid w:val="531C0482"/>
    <w:rsid w:val="531E260C"/>
    <w:rsid w:val="531E2F85"/>
    <w:rsid w:val="531F00F8"/>
    <w:rsid w:val="5320141C"/>
    <w:rsid w:val="53204D14"/>
    <w:rsid w:val="5321037A"/>
    <w:rsid w:val="53213B95"/>
    <w:rsid w:val="53241A90"/>
    <w:rsid w:val="53272002"/>
    <w:rsid w:val="5327348C"/>
    <w:rsid w:val="532735D4"/>
    <w:rsid w:val="53285977"/>
    <w:rsid w:val="532A11BD"/>
    <w:rsid w:val="532B07DF"/>
    <w:rsid w:val="532B4689"/>
    <w:rsid w:val="532F15D6"/>
    <w:rsid w:val="5330305F"/>
    <w:rsid w:val="5330702A"/>
    <w:rsid w:val="533144CC"/>
    <w:rsid w:val="53323FE6"/>
    <w:rsid w:val="53342893"/>
    <w:rsid w:val="5336341E"/>
    <w:rsid w:val="53386BBC"/>
    <w:rsid w:val="53397B84"/>
    <w:rsid w:val="533B7B78"/>
    <w:rsid w:val="533C2E39"/>
    <w:rsid w:val="533C5C97"/>
    <w:rsid w:val="53405C1A"/>
    <w:rsid w:val="53410D4C"/>
    <w:rsid w:val="53413FFB"/>
    <w:rsid w:val="53416ACF"/>
    <w:rsid w:val="5343305A"/>
    <w:rsid w:val="5343572A"/>
    <w:rsid w:val="534513E5"/>
    <w:rsid w:val="5345779B"/>
    <w:rsid w:val="53464124"/>
    <w:rsid w:val="534716B2"/>
    <w:rsid w:val="534719CA"/>
    <w:rsid w:val="53471C55"/>
    <w:rsid w:val="53473515"/>
    <w:rsid w:val="53487189"/>
    <w:rsid w:val="534A3B3F"/>
    <w:rsid w:val="534A4FC6"/>
    <w:rsid w:val="534A7FE3"/>
    <w:rsid w:val="534B5081"/>
    <w:rsid w:val="534C5D70"/>
    <w:rsid w:val="534C78B7"/>
    <w:rsid w:val="534D2513"/>
    <w:rsid w:val="534E62AD"/>
    <w:rsid w:val="535023D7"/>
    <w:rsid w:val="53525971"/>
    <w:rsid w:val="535358C8"/>
    <w:rsid w:val="53544AFB"/>
    <w:rsid w:val="53562358"/>
    <w:rsid w:val="53566BF8"/>
    <w:rsid w:val="5357045D"/>
    <w:rsid w:val="535816EA"/>
    <w:rsid w:val="535D653D"/>
    <w:rsid w:val="535F216E"/>
    <w:rsid w:val="535F33C4"/>
    <w:rsid w:val="535F59FA"/>
    <w:rsid w:val="53603BC3"/>
    <w:rsid w:val="53627F0A"/>
    <w:rsid w:val="5363702E"/>
    <w:rsid w:val="5364037A"/>
    <w:rsid w:val="536434DE"/>
    <w:rsid w:val="53645C7A"/>
    <w:rsid w:val="53650F42"/>
    <w:rsid w:val="53653676"/>
    <w:rsid w:val="53670B95"/>
    <w:rsid w:val="536750EB"/>
    <w:rsid w:val="53680E29"/>
    <w:rsid w:val="53683E5E"/>
    <w:rsid w:val="53684700"/>
    <w:rsid w:val="53690A4C"/>
    <w:rsid w:val="536C01A6"/>
    <w:rsid w:val="536C2867"/>
    <w:rsid w:val="536D3D47"/>
    <w:rsid w:val="536D782E"/>
    <w:rsid w:val="536F39B8"/>
    <w:rsid w:val="5370157A"/>
    <w:rsid w:val="53737AF0"/>
    <w:rsid w:val="53753DF1"/>
    <w:rsid w:val="537559EB"/>
    <w:rsid w:val="5376232D"/>
    <w:rsid w:val="53764CFF"/>
    <w:rsid w:val="53783C45"/>
    <w:rsid w:val="537A4D81"/>
    <w:rsid w:val="537B4220"/>
    <w:rsid w:val="537B452A"/>
    <w:rsid w:val="537B6C94"/>
    <w:rsid w:val="537F248C"/>
    <w:rsid w:val="537F7493"/>
    <w:rsid w:val="53806410"/>
    <w:rsid w:val="53816E98"/>
    <w:rsid w:val="53817662"/>
    <w:rsid w:val="538517D9"/>
    <w:rsid w:val="5387484D"/>
    <w:rsid w:val="538E0C66"/>
    <w:rsid w:val="538F6FB4"/>
    <w:rsid w:val="53901E85"/>
    <w:rsid w:val="53920E9A"/>
    <w:rsid w:val="53923DFA"/>
    <w:rsid w:val="53926C01"/>
    <w:rsid w:val="539354E6"/>
    <w:rsid w:val="53943519"/>
    <w:rsid w:val="539527A9"/>
    <w:rsid w:val="5395342B"/>
    <w:rsid w:val="53957605"/>
    <w:rsid w:val="53971B08"/>
    <w:rsid w:val="539829E8"/>
    <w:rsid w:val="539831CA"/>
    <w:rsid w:val="53983397"/>
    <w:rsid w:val="539B03D7"/>
    <w:rsid w:val="539C1BA2"/>
    <w:rsid w:val="539E66FC"/>
    <w:rsid w:val="53A142B9"/>
    <w:rsid w:val="53A211AB"/>
    <w:rsid w:val="53A31153"/>
    <w:rsid w:val="53A32816"/>
    <w:rsid w:val="53A40FC1"/>
    <w:rsid w:val="53A64721"/>
    <w:rsid w:val="53A723B6"/>
    <w:rsid w:val="53A807E6"/>
    <w:rsid w:val="53A80D2E"/>
    <w:rsid w:val="53A82BBA"/>
    <w:rsid w:val="53A84665"/>
    <w:rsid w:val="53A8753C"/>
    <w:rsid w:val="53AB18E2"/>
    <w:rsid w:val="53B230DF"/>
    <w:rsid w:val="53B2366D"/>
    <w:rsid w:val="53B3348A"/>
    <w:rsid w:val="53B46876"/>
    <w:rsid w:val="53B53E0E"/>
    <w:rsid w:val="53B55421"/>
    <w:rsid w:val="53B66BAD"/>
    <w:rsid w:val="53B74AE3"/>
    <w:rsid w:val="53B74D8F"/>
    <w:rsid w:val="53B85398"/>
    <w:rsid w:val="53B9389C"/>
    <w:rsid w:val="53BB427A"/>
    <w:rsid w:val="53BB612D"/>
    <w:rsid w:val="53BC32B4"/>
    <w:rsid w:val="53BD2782"/>
    <w:rsid w:val="53BF46A2"/>
    <w:rsid w:val="53C01F6E"/>
    <w:rsid w:val="53C054FC"/>
    <w:rsid w:val="53C1524B"/>
    <w:rsid w:val="53C163FA"/>
    <w:rsid w:val="53C17368"/>
    <w:rsid w:val="53C23BE1"/>
    <w:rsid w:val="53C41C06"/>
    <w:rsid w:val="53C8197D"/>
    <w:rsid w:val="53C86136"/>
    <w:rsid w:val="53C95F47"/>
    <w:rsid w:val="53C96448"/>
    <w:rsid w:val="53C96ADF"/>
    <w:rsid w:val="53CB042F"/>
    <w:rsid w:val="53CB79A4"/>
    <w:rsid w:val="53CC25AE"/>
    <w:rsid w:val="53CC449B"/>
    <w:rsid w:val="53CC5B80"/>
    <w:rsid w:val="53CD2979"/>
    <w:rsid w:val="53CE6B91"/>
    <w:rsid w:val="53CF2A6C"/>
    <w:rsid w:val="53D16475"/>
    <w:rsid w:val="53D1668B"/>
    <w:rsid w:val="53D3540E"/>
    <w:rsid w:val="53D42C26"/>
    <w:rsid w:val="53D43ED6"/>
    <w:rsid w:val="53D51B43"/>
    <w:rsid w:val="53D71725"/>
    <w:rsid w:val="53D73A2D"/>
    <w:rsid w:val="53D8367B"/>
    <w:rsid w:val="53D8478B"/>
    <w:rsid w:val="53DA0577"/>
    <w:rsid w:val="53DB4987"/>
    <w:rsid w:val="53DB6E8D"/>
    <w:rsid w:val="53DD01D5"/>
    <w:rsid w:val="53DD499F"/>
    <w:rsid w:val="53DE101E"/>
    <w:rsid w:val="53DE7C9B"/>
    <w:rsid w:val="53DF0915"/>
    <w:rsid w:val="53E2106E"/>
    <w:rsid w:val="53E31B07"/>
    <w:rsid w:val="53E409FB"/>
    <w:rsid w:val="53E46C6C"/>
    <w:rsid w:val="53E46F54"/>
    <w:rsid w:val="53E51F5F"/>
    <w:rsid w:val="53E72C6A"/>
    <w:rsid w:val="53E835A2"/>
    <w:rsid w:val="53EA4919"/>
    <w:rsid w:val="53EB16DE"/>
    <w:rsid w:val="53EB5F27"/>
    <w:rsid w:val="53EC1E9C"/>
    <w:rsid w:val="53ED0117"/>
    <w:rsid w:val="53EE0CA3"/>
    <w:rsid w:val="53EE50CA"/>
    <w:rsid w:val="53EF6705"/>
    <w:rsid w:val="53F105BD"/>
    <w:rsid w:val="53F26BE2"/>
    <w:rsid w:val="53F27786"/>
    <w:rsid w:val="53F46A54"/>
    <w:rsid w:val="53F51195"/>
    <w:rsid w:val="53F8359B"/>
    <w:rsid w:val="53F84717"/>
    <w:rsid w:val="53FA07A5"/>
    <w:rsid w:val="53FB04DE"/>
    <w:rsid w:val="53FC0259"/>
    <w:rsid w:val="53FC5850"/>
    <w:rsid w:val="53FF27F5"/>
    <w:rsid w:val="540071AC"/>
    <w:rsid w:val="540318E0"/>
    <w:rsid w:val="5403478F"/>
    <w:rsid w:val="540379A6"/>
    <w:rsid w:val="540419FC"/>
    <w:rsid w:val="540519C1"/>
    <w:rsid w:val="54057FE3"/>
    <w:rsid w:val="54060F90"/>
    <w:rsid w:val="54062CC3"/>
    <w:rsid w:val="54071F81"/>
    <w:rsid w:val="540754DE"/>
    <w:rsid w:val="54077900"/>
    <w:rsid w:val="54087020"/>
    <w:rsid w:val="5408714C"/>
    <w:rsid w:val="54090A0E"/>
    <w:rsid w:val="54091C30"/>
    <w:rsid w:val="54094AA5"/>
    <w:rsid w:val="54097737"/>
    <w:rsid w:val="540A35BA"/>
    <w:rsid w:val="540A70BF"/>
    <w:rsid w:val="540B66C2"/>
    <w:rsid w:val="540D2079"/>
    <w:rsid w:val="540E23E6"/>
    <w:rsid w:val="540F407A"/>
    <w:rsid w:val="540F4166"/>
    <w:rsid w:val="54111C5D"/>
    <w:rsid w:val="54117D52"/>
    <w:rsid w:val="54120A0D"/>
    <w:rsid w:val="541215FF"/>
    <w:rsid w:val="54144570"/>
    <w:rsid w:val="54157D05"/>
    <w:rsid w:val="54163DC5"/>
    <w:rsid w:val="541645A2"/>
    <w:rsid w:val="54175885"/>
    <w:rsid w:val="54180FA3"/>
    <w:rsid w:val="541821A6"/>
    <w:rsid w:val="541873A8"/>
    <w:rsid w:val="54187567"/>
    <w:rsid w:val="54192BC3"/>
    <w:rsid w:val="541A6A37"/>
    <w:rsid w:val="541B4097"/>
    <w:rsid w:val="541D225F"/>
    <w:rsid w:val="541D30BF"/>
    <w:rsid w:val="541E2949"/>
    <w:rsid w:val="541E359B"/>
    <w:rsid w:val="5420031C"/>
    <w:rsid w:val="54200937"/>
    <w:rsid w:val="542018CB"/>
    <w:rsid w:val="54201CAD"/>
    <w:rsid w:val="54217413"/>
    <w:rsid w:val="54234693"/>
    <w:rsid w:val="54240825"/>
    <w:rsid w:val="54240BFC"/>
    <w:rsid w:val="54242AFB"/>
    <w:rsid w:val="542540F3"/>
    <w:rsid w:val="54270F93"/>
    <w:rsid w:val="54273970"/>
    <w:rsid w:val="54277B05"/>
    <w:rsid w:val="542853BA"/>
    <w:rsid w:val="54285899"/>
    <w:rsid w:val="542901B6"/>
    <w:rsid w:val="54296E38"/>
    <w:rsid w:val="542A3A68"/>
    <w:rsid w:val="542C067D"/>
    <w:rsid w:val="542C104C"/>
    <w:rsid w:val="542C3D51"/>
    <w:rsid w:val="542D0F30"/>
    <w:rsid w:val="542E4617"/>
    <w:rsid w:val="542F5357"/>
    <w:rsid w:val="543026DF"/>
    <w:rsid w:val="54307ACC"/>
    <w:rsid w:val="54307E41"/>
    <w:rsid w:val="54311039"/>
    <w:rsid w:val="54317BBB"/>
    <w:rsid w:val="54322CC4"/>
    <w:rsid w:val="54323FC8"/>
    <w:rsid w:val="543362A6"/>
    <w:rsid w:val="543533ED"/>
    <w:rsid w:val="543619B6"/>
    <w:rsid w:val="543620E0"/>
    <w:rsid w:val="54363FC2"/>
    <w:rsid w:val="5437405F"/>
    <w:rsid w:val="54384203"/>
    <w:rsid w:val="54387038"/>
    <w:rsid w:val="54387B77"/>
    <w:rsid w:val="543904A8"/>
    <w:rsid w:val="543A01C8"/>
    <w:rsid w:val="543A5D2C"/>
    <w:rsid w:val="543A69CB"/>
    <w:rsid w:val="543C475B"/>
    <w:rsid w:val="543C5B7E"/>
    <w:rsid w:val="543E5A1E"/>
    <w:rsid w:val="543F3A61"/>
    <w:rsid w:val="543F3D33"/>
    <w:rsid w:val="543F3E34"/>
    <w:rsid w:val="5440565E"/>
    <w:rsid w:val="54406021"/>
    <w:rsid w:val="54420405"/>
    <w:rsid w:val="54421053"/>
    <w:rsid w:val="544210B1"/>
    <w:rsid w:val="54461240"/>
    <w:rsid w:val="5447444B"/>
    <w:rsid w:val="544A5187"/>
    <w:rsid w:val="544B3295"/>
    <w:rsid w:val="544B46D2"/>
    <w:rsid w:val="544B5F35"/>
    <w:rsid w:val="544C2DA8"/>
    <w:rsid w:val="544C3868"/>
    <w:rsid w:val="544C5E87"/>
    <w:rsid w:val="544D1731"/>
    <w:rsid w:val="544D2604"/>
    <w:rsid w:val="544D53ED"/>
    <w:rsid w:val="544E04B4"/>
    <w:rsid w:val="544E3F68"/>
    <w:rsid w:val="544F23E2"/>
    <w:rsid w:val="54521D39"/>
    <w:rsid w:val="54522042"/>
    <w:rsid w:val="54523B0D"/>
    <w:rsid w:val="54523BE6"/>
    <w:rsid w:val="54540077"/>
    <w:rsid w:val="5454731F"/>
    <w:rsid w:val="54554E92"/>
    <w:rsid w:val="545753E3"/>
    <w:rsid w:val="54576D4D"/>
    <w:rsid w:val="545972E0"/>
    <w:rsid w:val="545B02F5"/>
    <w:rsid w:val="545B21BB"/>
    <w:rsid w:val="545B7439"/>
    <w:rsid w:val="545B7496"/>
    <w:rsid w:val="545D7479"/>
    <w:rsid w:val="545E06F7"/>
    <w:rsid w:val="545F2364"/>
    <w:rsid w:val="545F37BB"/>
    <w:rsid w:val="545F6EC5"/>
    <w:rsid w:val="5460548E"/>
    <w:rsid w:val="54606C62"/>
    <w:rsid w:val="5462093F"/>
    <w:rsid w:val="546351BE"/>
    <w:rsid w:val="54635BAA"/>
    <w:rsid w:val="5464235D"/>
    <w:rsid w:val="54645945"/>
    <w:rsid w:val="54664800"/>
    <w:rsid w:val="54687B1F"/>
    <w:rsid w:val="54691AFA"/>
    <w:rsid w:val="546A00C0"/>
    <w:rsid w:val="546A2787"/>
    <w:rsid w:val="546B1CFC"/>
    <w:rsid w:val="546D2E0B"/>
    <w:rsid w:val="546E2385"/>
    <w:rsid w:val="546E28CB"/>
    <w:rsid w:val="546E54F1"/>
    <w:rsid w:val="546E69FF"/>
    <w:rsid w:val="546F14B2"/>
    <w:rsid w:val="546F2344"/>
    <w:rsid w:val="546F43A3"/>
    <w:rsid w:val="547040CF"/>
    <w:rsid w:val="547075D6"/>
    <w:rsid w:val="54707B7A"/>
    <w:rsid w:val="54731C29"/>
    <w:rsid w:val="547644F0"/>
    <w:rsid w:val="54774064"/>
    <w:rsid w:val="547846BD"/>
    <w:rsid w:val="54786C92"/>
    <w:rsid w:val="547917CD"/>
    <w:rsid w:val="54793D71"/>
    <w:rsid w:val="547A0629"/>
    <w:rsid w:val="547A5E85"/>
    <w:rsid w:val="547B18FF"/>
    <w:rsid w:val="547D0794"/>
    <w:rsid w:val="547F5A6B"/>
    <w:rsid w:val="54817F0E"/>
    <w:rsid w:val="54826DD8"/>
    <w:rsid w:val="54831FA1"/>
    <w:rsid w:val="54833099"/>
    <w:rsid w:val="548503F0"/>
    <w:rsid w:val="54854167"/>
    <w:rsid w:val="54867451"/>
    <w:rsid w:val="54877599"/>
    <w:rsid w:val="54881E49"/>
    <w:rsid w:val="54887E36"/>
    <w:rsid w:val="54892B59"/>
    <w:rsid w:val="548A587F"/>
    <w:rsid w:val="548B1D0B"/>
    <w:rsid w:val="548B569D"/>
    <w:rsid w:val="548B683E"/>
    <w:rsid w:val="548C355C"/>
    <w:rsid w:val="548C5513"/>
    <w:rsid w:val="548D1CA0"/>
    <w:rsid w:val="548D7AF9"/>
    <w:rsid w:val="548E68D1"/>
    <w:rsid w:val="5490008F"/>
    <w:rsid w:val="54906F9E"/>
    <w:rsid w:val="54910455"/>
    <w:rsid w:val="54942FD0"/>
    <w:rsid w:val="54950A39"/>
    <w:rsid w:val="54951B44"/>
    <w:rsid w:val="549642E3"/>
    <w:rsid w:val="549B0ECD"/>
    <w:rsid w:val="549B0FF6"/>
    <w:rsid w:val="549C1657"/>
    <w:rsid w:val="549E5EE9"/>
    <w:rsid w:val="549F0C7B"/>
    <w:rsid w:val="54A04600"/>
    <w:rsid w:val="54A072D2"/>
    <w:rsid w:val="54A2731D"/>
    <w:rsid w:val="54A64551"/>
    <w:rsid w:val="54A6473A"/>
    <w:rsid w:val="54A65D9A"/>
    <w:rsid w:val="54A84A1F"/>
    <w:rsid w:val="54A91B5E"/>
    <w:rsid w:val="54A961F6"/>
    <w:rsid w:val="54A96800"/>
    <w:rsid w:val="54AB32A8"/>
    <w:rsid w:val="54AC6AAB"/>
    <w:rsid w:val="54AE59EC"/>
    <w:rsid w:val="54AE767F"/>
    <w:rsid w:val="54B044F4"/>
    <w:rsid w:val="54B2281D"/>
    <w:rsid w:val="54B22DB9"/>
    <w:rsid w:val="54B323AE"/>
    <w:rsid w:val="54B41D61"/>
    <w:rsid w:val="54B4516E"/>
    <w:rsid w:val="54B52E3F"/>
    <w:rsid w:val="54B85654"/>
    <w:rsid w:val="54BA6552"/>
    <w:rsid w:val="54BB546A"/>
    <w:rsid w:val="54BB66D8"/>
    <w:rsid w:val="54BC087C"/>
    <w:rsid w:val="54BC62A3"/>
    <w:rsid w:val="54BD49D3"/>
    <w:rsid w:val="54BE5631"/>
    <w:rsid w:val="54C16F98"/>
    <w:rsid w:val="54C22A55"/>
    <w:rsid w:val="54C25199"/>
    <w:rsid w:val="54C274BE"/>
    <w:rsid w:val="54C33A33"/>
    <w:rsid w:val="54C46453"/>
    <w:rsid w:val="54C56D1B"/>
    <w:rsid w:val="54C76844"/>
    <w:rsid w:val="54C8171E"/>
    <w:rsid w:val="54C81E1C"/>
    <w:rsid w:val="54C82022"/>
    <w:rsid w:val="54C82808"/>
    <w:rsid w:val="54C85664"/>
    <w:rsid w:val="54C93227"/>
    <w:rsid w:val="54CB6910"/>
    <w:rsid w:val="54CC5BB9"/>
    <w:rsid w:val="54CD4D41"/>
    <w:rsid w:val="54CD5A73"/>
    <w:rsid w:val="54CD7004"/>
    <w:rsid w:val="54CE1609"/>
    <w:rsid w:val="54CE3262"/>
    <w:rsid w:val="54CE333C"/>
    <w:rsid w:val="54D04E48"/>
    <w:rsid w:val="54D17AAB"/>
    <w:rsid w:val="54D36D23"/>
    <w:rsid w:val="54D61F5C"/>
    <w:rsid w:val="54D70085"/>
    <w:rsid w:val="54D70BDD"/>
    <w:rsid w:val="54D71C79"/>
    <w:rsid w:val="54D748B7"/>
    <w:rsid w:val="54D76994"/>
    <w:rsid w:val="54D913C4"/>
    <w:rsid w:val="54D92D0B"/>
    <w:rsid w:val="54DA0AEE"/>
    <w:rsid w:val="54DA6D3E"/>
    <w:rsid w:val="54DB3B97"/>
    <w:rsid w:val="54DB66C0"/>
    <w:rsid w:val="54DC54F8"/>
    <w:rsid w:val="54DE27FA"/>
    <w:rsid w:val="54DE6C35"/>
    <w:rsid w:val="54DE7C02"/>
    <w:rsid w:val="54E061D6"/>
    <w:rsid w:val="54E07D43"/>
    <w:rsid w:val="54E4547E"/>
    <w:rsid w:val="54E4587F"/>
    <w:rsid w:val="54E706C3"/>
    <w:rsid w:val="54E81E5E"/>
    <w:rsid w:val="54E9427C"/>
    <w:rsid w:val="54E97A13"/>
    <w:rsid w:val="54EB1986"/>
    <w:rsid w:val="54EB25D9"/>
    <w:rsid w:val="54EB7F11"/>
    <w:rsid w:val="54ED0C26"/>
    <w:rsid w:val="54ED7337"/>
    <w:rsid w:val="54EE381B"/>
    <w:rsid w:val="54EE56AB"/>
    <w:rsid w:val="54EF0E42"/>
    <w:rsid w:val="54F00329"/>
    <w:rsid w:val="54F0196C"/>
    <w:rsid w:val="54F1286E"/>
    <w:rsid w:val="54F3622E"/>
    <w:rsid w:val="54F421F3"/>
    <w:rsid w:val="54F63502"/>
    <w:rsid w:val="54FB6BB9"/>
    <w:rsid w:val="54FC0C5A"/>
    <w:rsid w:val="54FD035E"/>
    <w:rsid w:val="54FD23BD"/>
    <w:rsid w:val="54FD352A"/>
    <w:rsid w:val="54FD542B"/>
    <w:rsid w:val="54FE2D69"/>
    <w:rsid w:val="54FE6F76"/>
    <w:rsid w:val="54FE7C51"/>
    <w:rsid w:val="55013FD1"/>
    <w:rsid w:val="55015E73"/>
    <w:rsid w:val="550277B3"/>
    <w:rsid w:val="55065B11"/>
    <w:rsid w:val="55070AFB"/>
    <w:rsid w:val="55086943"/>
    <w:rsid w:val="550A39F3"/>
    <w:rsid w:val="550B5326"/>
    <w:rsid w:val="550D2008"/>
    <w:rsid w:val="551073C2"/>
    <w:rsid w:val="5511734A"/>
    <w:rsid w:val="551304A3"/>
    <w:rsid w:val="55131220"/>
    <w:rsid w:val="55156F8B"/>
    <w:rsid w:val="55161808"/>
    <w:rsid w:val="55172BB9"/>
    <w:rsid w:val="5517346C"/>
    <w:rsid w:val="55195304"/>
    <w:rsid w:val="55197F57"/>
    <w:rsid w:val="551A4AA5"/>
    <w:rsid w:val="551B1C37"/>
    <w:rsid w:val="551C2016"/>
    <w:rsid w:val="551C6080"/>
    <w:rsid w:val="551D0FEC"/>
    <w:rsid w:val="551F081D"/>
    <w:rsid w:val="551F1038"/>
    <w:rsid w:val="551F2ED0"/>
    <w:rsid w:val="552015F1"/>
    <w:rsid w:val="55207487"/>
    <w:rsid w:val="55207700"/>
    <w:rsid w:val="55207E27"/>
    <w:rsid w:val="55210D3C"/>
    <w:rsid w:val="55211FCC"/>
    <w:rsid w:val="55220216"/>
    <w:rsid w:val="55222FC6"/>
    <w:rsid w:val="55223674"/>
    <w:rsid w:val="552308C4"/>
    <w:rsid w:val="55230B49"/>
    <w:rsid w:val="552407CD"/>
    <w:rsid w:val="55242D96"/>
    <w:rsid w:val="5525664E"/>
    <w:rsid w:val="55257CBA"/>
    <w:rsid w:val="55273BA2"/>
    <w:rsid w:val="55280DA5"/>
    <w:rsid w:val="5528146E"/>
    <w:rsid w:val="55284130"/>
    <w:rsid w:val="552876AF"/>
    <w:rsid w:val="552A22DF"/>
    <w:rsid w:val="552A31A4"/>
    <w:rsid w:val="552A77BA"/>
    <w:rsid w:val="552B5599"/>
    <w:rsid w:val="552D33AA"/>
    <w:rsid w:val="552D73A3"/>
    <w:rsid w:val="552E3F21"/>
    <w:rsid w:val="552E5301"/>
    <w:rsid w:val="552F26D6"/>
    <w:rsid w:val="55300F4F"/>
    <w:rsid w:val="55310C9C"/>
    <w:rsid w:val="5532051E"/>
    <w:rsid w:val="5533088E"/>
    <w:rsid w:val="55332DDE"/>
    <w:rsid w:val="55341625"/>
    <w:rsid w:val="55350E4F"/>
    <w:rsid w:val="55355AE7"/>
    <w:rsid w:val="55372890"/>
    <w:rsid w:val="55381B44"/>
    <w:rsid w:val="553912F3"/>
    <w:rsid w:val="55394C0E"/>
    <w:rsid w:val="553A3C42"/>
    <w:rsid w:val="553C4E98"/>
    <w:rsid w:val="553D058C"/>
    <w:rsid w:val="553E0358"/>
    <w:rsid w:val="553E2612"/>
    <w:rsid w:val="553E6B32"/>
    <w:rsid w:val="55421A3B"/>
    <w:rsid w:val="55422DB2"/>
    <w:rsid w:val="55432AC1"/>
    <w:rsid w:val="55442AFD"/>
    <w:rsid w:val="55451B59"/>
    <w:rsid w:val="5545499A"/>
    <w:rsid w:val="55464A04"/>
    <w:rsid w:val="5546680A"/>
    <w:rsid w:val="55475EC0"/>
    <w:rsid w:val="5548442F"/>
    <w:rsid w:val="55484B20"/>
    <w:rsid w:val="5548560A"/>
    <w:rsid w:val="55485FE7"/>
    <w:rsid w:val="55496C23"/>
    <w:rsid w:val="554B5361"/>
    <w:rsid w:val="554C74BB"/>
    <w:rsid w:val="554C7A08"/>
    <w:rsid w:val="554D2D05"/>
    <w:rsid w:val="554E3E51"/>
    <w:rsid w:val="554F79DC"/>
    <w:rsid w:val="55507CE4"/>
    <w:rsid w:val="55513374"/>
    <w:rsid w:val="555242F7"/>
    <w:rsid w:val="55531716"/>
    <w:rsid w:val="55541A59"/>
    <w:rsid w:val="55561861"/>
    <w:rsid w:val="55565EA5"/>
    <w:rsid w:val="55566921"/>
    <w:rsid w:val="55570492"/>
    <w:rsid w:val="5557091F"/>
    <w:rsid w:val="55582C27"/>
    <w:rsid w:val="555835BE"/>
    <w:rsid w:val="55584E05"/>
    <w:rsid w:val="55596C5C"/>
    <w:rsid w:val="555B77C3"/>
    <w:rsid w:val="555C3DD9"/>
    <w:rsid w:val="555C4582"/>
    <w:rsid w:val="555F0E4C"/>
    <w:rsid w:val="555F199A"/>
    <w:rsid w:val="555F3A89"/>
    <w:rsid w:val="555F6B8B"/>
    <w:rsid w:val="555F7C5F"/>
    <w:rsid w:val="55614B0D"/>
    <w:rsid w:val="55625D44"/>
    <w:rsid w:val="55634FD8"/>
    <w:rsid w:val="556350D8"/>
    <w:rsid w:val="556444A9"/>
    <w:rsid w:val="55656951"/>
    <w:rsid w:val="55685AE9"/>
    <w:rsid w:val="55687A4D"/>
    <w:rsid w:val="556916C1"/>
    <w:rsid w:val="556921D3"/>
    <w:rsid w:val="556A28DF"/>
    <w:rsid w:val="556A334E"/>
    <w:rsid w:val="556A340F"/>
    <w:rsid w:val="556D1F4A"/>
    <w:rsid w:val="556E63A3"/>
    <w:rsid w:val="556E7B5B"/>
    <w:rsid w:val="556E7FB9"/>
    <w:rsid w:val="55715E8A"/>
    <w:rsid w:val="55732F68"/>
    <w:rsid w:val="557373F5"/>
    <w:rsid w:val="5574275C"/>
    <w:rsid w:val="55754721"/>
    <w:rsid w:val="557602AB"/>
    <w:rsid w:val="55770DB0"/>
    <w:rsid w:val="55774A15"/>
    <w:rsid w:val="55793C7E"/>
    <w:rsid w:val="557A1343"/>
    <w:rsid w:val="557A52EA"/>
    <w:rsid w:val="557A73A6"/>
    <w:rsid w:val="557B7741"/>
    <w:rsid w:val="557D69CD"/>
    <w:rsid w:val="557E2A13"/>
    <w:rsid w:val="557F1FBD"/>
    <w:rsid w:val="55806F57"/>
    <w:rsid w:val="558108A1"/>
    <w:rsid w:val="55811495"/>
    <w:rsid w:val="5583158B"/>
    <w:rsid w:val="5583644D"/>
    <w:rsid w:val="55841A8C"/>
    <w:rsid w:val="55856EFB"/>
    <w:rsid w:val="55880E65"/>
    <w:rsid w:val="55886DA9"/>
    <w:rsid w:val="55890152"/>
    <w:rsid w:val="558A730A"/>
    <w:rsid w:val="558B5575"/>
    <w:rsid w:val="558B6E1C"/>
    <w:rsid w:val="558C00DD"/>
    <w:rsid w:val="558C5634"/>
    <w:rsid w:val="558D6ABE"/>
    <w:rsid w:val="558E0941"/>
    <w:rsid w:val="558F6CE9"/>
    <w:rsid w:val="55915150"/>
    <w:rsid w:val="5592477E"/>
    <w:rsid w:val="5594151A"/>
    <w:rsid w:val="55950E30"/>
    <w:rsid w:val="55950EDC"/>
    <w:rsid w:val="55971968"/>
    <w:rsid w:val="5599050A"/>
    <w:rsid w:val="559A3AB4"/>
    <w:rsid w:val="559A6239"/>
    <w:rsid w:val="559B2581"/>
    <w:rsid w:val="559B2D7B"/>
    <w:rsid w:val="559C38E9"/>
    <w:rsid w:val="559C6841"/>
    <w:rsid w:val="559D0BF3"/>
    <w:rsid w:val="559E46C1"/>
    <w:rsid w:val="55A0117A"/>
    <w:rsid w:val="55A03544"/>
    <w:rsid w:val="55A10C9F"/>
    <w:rsid w:val="55A1214A"/>
    <w:rsid w:val="55A13A0F"/>
    <w:rsid w:val="55A3427B"/>
    <w:rsid w:val="55A40203"/>
    <w:rsid w:val="55A47984"/>
    <w:rsid w:val="55A57C61"/>
    <w:rsid w:val="55A602BD"/>
    <w:rsid w:val="55A71C31"/>
    <w:rsid w:val="55A7307B"/>
    <w:rsid w:val="55A80FC5"/>
    <w:rsid w:val="55A86B30"/>
    <w:rsid w:val="55A87540"/>
    <w:rsid w:val="55A9278A"/>
    <w:rsid w:val="55A92E8C"/>
    <w:rsid w:val="55A9520F"/>
    <w:rsid w:val="55AA5364"/>
    <w:rsid w:val="55AA5E8D"/>
    <w:rsid w:val="55AB1AFF"/>
    <w:rsid w:val="55AB4742"/>
    <w:rsid w:val="55AC242B"/>
    <w:rsid w:val="55AC6714"/>
    <w:rsid w:val="55AD1323"/>
    <w:rsid w:val="55AD23B2"/>
    <w:rsid w:val="55AE020C"/>
    <w:rsid w:val="55AE3538"/>
    <w:rsid w:val="55B02929"/>
    <w:rsid w:val="55B12734"/>
    <w:rsid w:val="55B127EC"/>
    <w:rsid w:val="55B34E4F"/>
    <w:rsid w:val="55B64A47"/>
    <w:rsid w:val="55B8019D"/>
    <w:rsid w:val="55B80D3C"/>
    <w:rsid w:val="55B92D58"/>
    <w:rsid w:val="55B971F6"/>
    <w:rsid w:val="55BA1872"/>
    <w:rsid w:val="55BA6004"/>
    <w:rsid w:val="55BB108A"/>
    <w:rsid w:val="55BB5C4A"/>
    <w:rsid w:val="55BC4C95"/>
    <w:rsid w:val="55BC4EAF"/>
    <w:rsid w:val="55BC6956"/>
    <w:rsid w:val="55BC7A1B"/>
    <w:rsid w:val="55BE1627"/>
    <w:rsid w:val="55BE5375"/>
    <w:rsid w:val="55BE7880"/>
    <w:rsid w:val="55C0706B"/>
    <w:rsid w:val="55C102FA"/>
    <w:rsid w:val="55C32E72"/>
    <w:rsid w:val="55C37BD9"/>
    <w:rsid w:val="55C37C30"/>
    <w:rsid w:val="55C41674"/>
    <w:rsid w:val="55C560CC"/>
    <w:rsid w:val="55C5780A"/>
    <w:rsid w:val="55C736FE"/>
    <w:rsid w:val="55C73B6D"/>
    <w:rsid w:val="55C74584"/>
    <w:rsid w:val="55C7799E"/>
    <w:rsid w:val="55C91FBC"/>
    <w:rsid w:val="55C935C7"/>
    <w:rsid w:val="55C956AB"/>
    <w:rsid w:val="55CA5CA7"/>
    <w:rsid w:val="55CC2C4D"/>
    <w:rsid w:val="55CC38B8"/>
    <w:rsid w:val="55CF1271"/>
    <w:rsid w:val="55CF7504"/>
    <w:rsid w:val="55D07233"/>
    <w:rsid w:val="55D07E22"/>
    <w:rsid w:val="55D1483B"/>
    <w:rsid w:val="55D43B94"/>
    <w:rsid w:val="55D557A0"/>
    <w:rsid w:val="55D61B12"/>
    <w:rsid w:val="55D8103E"/>
    <w:rsid w:val="55D83684"/>
    <w:rsid w:val="55D94E03"/>
    <w:rsid w:val="55D97AD4"/>
    <w:rsid w:val="55DA6A07"/>
    <w:rsid w:val="55DC0CCC"/>
    <w:rsid w:val="55DC5CD9"/>
    <w:rsid w:val="55DD41EC"/>
    <w:rsid w:val="55DE04C7"/>
    <w:rsid w:val="55DE0C49"/>
    <w:rsid w:val="55E022CB"/>
    <w:rsid w:val="55E02539"/>
    <w:rsid w:val="55E04861"/>
    <w:rsid w:val="55E16B8A"/>
    <w:rsid w:val="55E207BB"/>
    <w:rsid w:val="55E24EC2"/>
    <w:rsid w:val="55E25D38"/>
    <w:rsid w:val="55E337E2"/>
    <w:rsid w:val="55E40AAE"/>
    <w:rsid w:val="55E54ECA"/>
    <w:rsid w:val="55E65246"/>
    <w:rsid w:val="55E658EF"/>
    <w:rsid w:val="55E66416"/>
    <w:rsid w:val="55E805DF"/>
    <w:rsid w:val="55E820F0"/>
    <w:rsid w:val="55EA2EEE"/>
    <w:rsid w:val="55EA3673"/>
    <w:rsid w:val="55EB38AC"/>
    <w:rsid w:val="55EC1B2A"/>
    <w:rsid w:val="55EC55DC"/>
    <w:rsid w:val="55EE2EA8"/>
    <w:rsid w:val="55F06D3B"/>
    <w:rsid w:val="55F13F27"/>
    <w:rsid w:val="55F41F36"/>
    <w:rsid w:val="55F442AB"/>
    <w:rsid w:val="55F62ABD"/>
    <w:rsid w:val="55F81866"/>
    <w:rsid w:val="55F97E01"/>
    <w:rsid w:val="55FA4C34"/>
    <w:rsid w:val="55FA5A4B"/>
    <w:rsid w:val="55FB0649"/>
    <w:rsid w:val="55FB7419"/>
    <w:rsid w:val="55FC03BA"/>
    <w:rsid w:val="55FC46EC"/>
    <w:rsid w:val="55FD46F1"/>
    <w:rsid w:val="55FE7DD6"/>
    <w:rsid w:val="55FF4628"/>
    <w:rsid w:val="55FF65E0"/>
    <w:rsid w:val="560147BE"/>
    <w:rsid w:val="56014966"/>
    <w:rsid w:val="56020FA4"/>
    <w:rsid w:val="5602103D"/>
    <w:rsid w:val="56024A93"/>
    <w:rsid w:val="56030B58"/>
    <w:rsid w:val="56031960"/>
    <w:rsid w:val="56031F80"/>
    <w:rsid w:val="5603647F"/>
    <w:rsid w:val="56037B17"/>
    <w:rsid w:val="56041F73"/>
    <w:rsid w:val="56051C73"/>
    <w:rsid w:val="5608540D"/>
    <w:rsid w:val="56086A8F"/>
    <w:rsid w:val="560D6153"/>
    <w:rsid w:val="560E3E86"/>
    <w:rsid w:val="56100FAA"/>
    <w:rsid w:val="56103D78"/>
    <w:rsid w:val="56127550"/>
    <w:rsid w:val="56131D66"/>
    <w:rsid w:val="561355B0"/>
    <w:rsid w:val="56136FFB"/>
    <w:rsid w:val="561461C0"/>
    <w:rsid w:val="561465FA"/>
    <w:rsid w:val="561601F1"/>
    <w:rsid w:val="561638CF"/>
    <w:rsid w:val="5616463C"/>
    <w:rsid w:val="5619060D"/>
    <w:rsid w:val="56195295"/>
    <w:rsid w:val="56196DB2"/>
    <w:rsid w:val="561B1AFE"/>
    <w:rsid w:val="561D57A7"/>
    <w:rsid w:val="561D6D23"/>
    <w:rsid w:val="561E2EB7"/>
    <w:rsid w:val="561E6193"/>
    <w:rsid w:val="561F0398"/>
    <w:rsid w:val="561F5709"/>
    <w:rsid w:val="56200A9E"/>
    <w:rsid w:val="562112EE"/>
    <w:rsid w:val="56214655"/>
    <w:rsid w:val="56215034"/>
    <w:rsid w:val="56215BDE"/>
    <w:rsid w:val="56223429"/>
    <w:rsid w:val="56232222"/>
    <w:rsid w:val="56246C1D"/>
    <w:rsid w:val="562739AA"/>
    <w:rsid w:val="56273DC6"/>
    <w:rsid w:val="562A6387"/>
    <w:rsid w:val="562B2FCE"/>
    <w:rsid w:val="562C09D2"/>
    <w:rsid w:val="562C1155"/>
    <w:rsid w:val="562C59C8"/>
    <w:rsid w:val="562C69E9"/>
    <w:rsid w:val="562C6B8E"/>
    <w:rsid w:val="562F41EA"/>
    <w:rsid w:val="562F5BBA"/>
    <w:rsid w:val="562F5BCD"/>
    <w:rsid w:val="56300FD4"/>
    <w:rsid w:val="56301712"/>
    <w:rsid w:val="5631509A"/>
    <w:rsid w:val="5631592A"/>
    <w:rsid w:val="563205BD"/>
    <w:rsid w:val="563222DF"/>
    <w:rsid w:val="56332C50"/>
    <w:rsid w:val="56335855"/>
    <w:rsid w:val="5634442B"/>
    <w:rsid w:val="563457D9"/>
    <w:rsid w:val="56353933"/>
    <w:rsid w:val="56356EB8"/>
    <w:rsid w:val="5637400E"/>
    <w:rsid w:val="563A4170"/>
    <w:rsid w:val="563A60ED"/>
    <w:rsid w:val="563C1D2B"/>
    <w:rsid w:val="563C3230"/>
    <w:rsid w:val="563C43A7"/>
    <w:rsid w:val="563C4858"/>
    <w:rsid w:val="563C729B"/>
    <w:rsid w:val="563D0D9B"/>
    <w:rsid w:val="563E5417"/>
    <w:rsid w:val="563F4DC4"/>
    <w:rsid w:val="56406597"/>
    <w:rsid w:val="564164C4"/>
    <w:rsid w:val="56425DBE"/>
    <w:rsid w:val="564271D4"/>
    <w:rsid w:val="56455408"/>
    <w:rsid w:val="564569FF"/>
    <w:rsid w:val="56457118"/>
    <w:rsid w:val="56481889"/>
    <w:rsid w:val="56493D5D"/>
    <w:rsid w:val="56494582"/>
    <w:rsid w:val="564B4AD4"/>
    <w:rsid w:val="564C16B2"/>
    <w:rsid w:val="564D4072"/>
    <w:rsid w:val="564E244D"/>
    <w:rsid w:val="564E4E96"/>
    <w:rsid w:val="564E7098"/>
    <w:rsid w:val="564F21D6"/>
    <w:rsid w:val="56501600"/>
    <w:rsid w:val="5650174B"/>
    <w:rsid w:val="5650251B"/>
    <w:rsid w:val="5650362C"/>
    <w:rsid w:val="5650462E"/>
    <w:rsid w:val="5653161A"/>
    <w:rsid w:val="56564863"/>
    <w:rsid w:val="565862B2"/>
    <w:rsid w:val="565A2D4B"/>
    <w:rsid w:val="565A7E3D"/>
    <w:rsid w:val="565B21CB"/>
    <w:rsid w:val="565C1BE4"/>
    <w:rsid w:val="565E18D7"/>
    <w:rsid w:val="566131C5"/>
    <w:rsid w:val="5661738D"/>
    <w:rsid w:val="566212ED"/>
    <w:rsid w:val="56623E23"/>
    <w:rsid w:val="566310B3"/>
    <w:rsid w:val="56634704"/>
    <w:rsid w:val="56646580"/>
    <w:rsid w:val="566513A6"/>
    <w:rsid w:val="56657B5B"/>
    <w:rsid w:val="56660613"/>
    <w:rsid w:val="56666F13"/>
    <w:rsid w:val="56671F81"/>
    <w:rsid w:val="5667559D"/>
    <w:rsid w:val="56695AF0"/>
    <w:rsid w:val="566A07BC"/>
    <w:rsid w:val="566B000C"/>
    <w:rsid w:val="566B20CE"/>
    <w:rsid w:val="566D1E16"/>
    <w:rsid w:val="566F1676"/>
    <w:rsid w:val="56702E39"/>
    <w:rsid w:val="56710432"/>
    <w:rsid w:val="56742710"/>
    <w:rsid w:val="56752420"/>
    <w:rsid w:val="56765732"/>
    <w:rsid w:val="5677219F"/>
    <w:rsid w:val="567846F1"/>
    <w:rsid w:val="567877B7"/>
    <w:rsid w:val="567B3EEA"/>
    <w:rsid w:val="567D43BC"/>
    <w:rsid w:val="567E06EC"/>
    <w:rsid w:val="567E658A"/>
    <w:rsid w:val="567E6F86"/>
    <w:rsid w:val="567F7963"/>
    <w:rsid w:val="5682312F"/>
    <w:rsid w:val="568272A3"/>
    <w:rsid w:val="5683132D"/>
    <w:rsid w:val="56844654"/>
    <w:rsid w:val="56864D35"/>
    <w:rsid w:val="5687024E"/>
    <w:rsid w:val="5687312D"/>
    <w:rsid w:val="56875127"/>
    <w:rsid w:val="568875E4"/>
    <w:rsid w:val="568906B7"/>
    <w:rsid w:val="5689686A"/>
    <w:rsid w:val="568A30CF"/>
    <w:rsid w:val="568B00FD"/>
    <w:rsid w:val="568C5D86"/>
    <w:rsid w:val="568D60A7"/>
    <w:rsid w:val="568D64AB"/>
    <w:rsid w:val="568D6D9A"/>
    <w:rsid w:val="568E01E7"/>
    <w:rsid w:val="568E1675"/>
    <w:rsid w:val="568F43BC"/>
    <w:rsid w:val="5690230A"/>
    <w:rsid w:val="56912B59"/>
    <w:rsid w:val="5692407F"/>
    <w:rsid w:val="56930F44"/>
    <w:rsid w:val="5693666A"/>
    <w:rsid w:val="569651EF"/>
    <w:rsid w:val="569671A8"/>
    <w:rsid w:val="56972965"/>
    <w:rsid w:val="56977800"/>
    <w:rsid w:val="56984DBE"/>
    <w:rsid w:val="56994E8C"/>
    <w:rsid w:val="56995EC2"/>
    <w:rsid w:val="569A32D9"/>
    <w:rsid w:val="569A5AF5"/>
    <w:rsid w:val="569B23CA"/>
    <w:rsid w:val="569B6F0F"/>
    <w:rsid w:val="569B7DEA"/>
    <w:rsid w:val="569C0564"/>
    <w:rsid w:val="569D0285"/>
    <w:rsid w:val="569E20D9"/>
    <w:rsid w:val="56A07822"/>
    <w:rsid w:val="56A3747F"/>
    <w:rsid w:val="56A71320"/>
    <w:rsid w:val="56A764B2"/>
    <w:rsid w:val="56A77E12"/>
    <w:rsid w:val="56A82A0A"/>
    <w:rsid w:val="56A838C7"/>
    <w:rsid w:val="56A87038"/>
    <w:rsid w:val="56AA0694"/>
    <w:rsid w:val="56AA4E20"/>
    <w:rsid w:val="56AA5933"/>
    <w:rsid w:val="56AA6916"/>
    <w:rsid w:val="56AB6E2E"/>
    <w:rsid w:val="56AC4BD8"/>
    <w:rsid w:val="56AD78E5"/>
    <w:rsid w:val="56AE3EE0"/>
    <w:rsid w:val="56AE4F4A"/>
    <w:rsid w:val="56AE5B70"/>
    <w:rsid w:val="56B039C9"/>
    <w:rsid w:val="56B05E54"/>
    <w:rsid w:val="56B10B3E"/>
    <w:rsid w:val="56B22E67"/>
    <w:rsid w:val="56B44CC3"/>
    <w:rsid w:val="56B91355"/>
    <w:rsid w:val="56B92578"/>
    <w:rsid w:val="56BA0FDC"/>
    <w:rsid w:val="56BA76C9"/>
    <w:rsid w:val="56BC0062"/>
    <w:rsid w:val="56BC2FF0"/>
    <w:rsid w:val="56BC3ACA"/>
    <w:rsid w:val="56BD47E9"/>
    <w:rsid w:val="56BD5FB3"/>
    <w:rsid w:val="56C106A4"/>
    <w:rsid w:val="56C154BD"/>
    <w:rsid w:val="56C20550"/>
    <w:rsid w:val="56C278B6"/>
    <w:rsid w:val="56C30D0A"/>
    <w:rsid w:val="56C31AD5"/>
    <w:rsid w:val="56C32643"/>
    <w:rsid w:val="56C40EE5"/>
    <w:rsid w:val="56C55C9E"/>
    <w:rsid w:val="56C56CE9"/>
    <w:rsid w:val="56C63D55"/>
    <w:rsid w:val="56C763E0"/>
    <w:rsid w:val="56C812D4"/>
    <w:rsid w:val="56C927E3"/>
    <w:rsid w:val="56CA7773"/>
    <w:rsid w:val="56CB2E32"/>
    <w:rsid w:val="56CC5FDE"/>
    <w:rsid w:val="56CE08D2"/>
    <w:rsid w:val="56D1633F"/>
    <w:rsid w:val="56D35F43"/>
    <w:rsid w:val="56D44BF0"/>
    <w:rsid w:val="56D47B9D"/>
    <w:rsid w:val="56D52DD6"/>
    <w:rsid w:val="56D60550"/>
    <w:rsid w:val="56D87D71"/>
    <w:rsid w:val="56D90572"/>
    <w:rsid w:val="56D94F91"/>
    <w:rsid w:val="56D952E7"/>
    <w:rsid w:val="56D96D17"/>
    <w:rsid w:val="56DA167E"/>
    <w:rsid w:val="56DA190A"/>
    <w:rsid w:val="56DA6301"/>
    <w:rsid w:val="56DA753D"/>
    <w:rsid w:val="56DB044C"/>
    <w:rsid w:val="56DC0C89"/>
    <w:rsid w:val="56DC1002"/>
    <w:rsid w:val="56DC2D93"/>
    <w:rsid w:val="56DD4808"/>
    <w:rsid w:val="56DE6305"/>
    <w:rsid w:val="56DE79EA"/>
    <w:rsid w:val="56DF57B0"/>
    <w:rsid w:val="56E11730"/>
    <w:rsid w:val="56E1514C"/>
    <w:rsid w:val="56E20EAC"/>
    <w:rsid w:val="56E22B05"/>
    <w:rsid w:val="56E33A35"/>
    <w:rsid w:val="56E36102"/>
    <w:rsid w:val="56E37128"/>
    <w:rsid w:val="56E41A78"/>
    <w:rsid w:val="56E542AB"/>
    <w:rsid w:val="56E754D7"/>
    <w:rsid w:val="56E87093"/>
    <w:rsid w:val="56E96044"/>
    <w:rsid w:val="56E9617B"/>
    <w:rsid w:val="56EA0000"/>
    <w:rsid w:val="56EA113C"/>
    <w:rsid w:val="56EA7B13"/>
    <w:rsid w:val="56EB6083"/>
    <w:rsid w:val="56EC3073"/>
    <w:rsid w:val="56EC6348"/>
    <w:rsid w:val="56EC7E85"/>
    <w:rsid w:val="56ED2B40"/>
    <w:rsid w:val="56EE31E7"/>
    <w:rsid w:val="56F13369"/>
    <w:rsid w:val="56F17079"/>
    <w:rsid w:val="56F51192"/>
    <w:rsid w:val="56F55025"/>
    <w:rsid w:val="56F817A9"/>
    <w:rsid w:val="56F82A43"/>
    <w:rsid w:val="56FA1141"/>
    <w:rsid w:val="56FF10C0"/>
    <w:rsid w:val="57004675"/>
    <w:rsid w:val="570179C6"/>
    <w:rsid w:val="570206A5"/>
    <w:rsid w:val="570212ED"/>
    <w:rsid w:val="570275DA"/>
    <w:rsid w:val="570342DD"/>
    <w:rsid w:val="57063D35"/>
    <w:rsid w:val="570647F6"/>
    <w:rsid w:val="57064B99"/>
    <w:rsid w:val="57064BEF"/>
    <w:rsid w:val="57065472"/>
    <w:rsid w:val="57076EC4"/>
    <w:rsid w:val="5707760F"/>
    <w:rsid w:val="57091B5D"/>
    <w:rsid w:val="570934F4"/>
    <w:rsid w:val="5709654F"/>
    <w:rsid w:val="570A6851"/>
    <w:rsid w:val="570B59F2"/>
    <w:rsid w:val="570B7A8A"/>
    <w:rsid w:val="570D563A"/>
    <w:rsid w:val="570E0655"/>
    <w:rsid w:val="570F64DF"/>
    <w:rsid w:val="570F757A"/>
    <w:rsid w:val="57107446"/>
    <w:rsid w:val="5710798F"/>
    <w:rsid w:val="57113628"/>
    <w:rsid w:val="57134D32"/>
    <w:rsid w:val="571361A9"/>
    <w:rsid w:val="57154464"/>
    <w:rsid w:val="571847AF"/>
    <w:rsid w:val="571A10F7"/>
    <w:rsid w:val="571A5AE4"/>
    <w:rsid w:val="571B16A5"/>
    <w:rsid w:val="571B3463"/>
    <w:rsid w:val="571D2916"/>
    <w:rsid w:val="572001ED"/>
    <w:rsid w:val="57203EE6"/>
    <w:rsid w:val="5720616D"/>
    <w:rsid w:val="57212D6C"/>
    <w:rsid w:val="57220200"/>
    <w:rsid w:val="572344BF"/>
    <w:rsid w:val="57237C05"/>
    <w:rsid w:val="57242730"/>
    <w:rsid w:val="57254DEC"/>
    <w:rsid w:val="57261A6A"/>
    <w:rsid w:val="5726296A"/>
    <w:rsid w:val="57283401"/>
    <w:rsid w:val="572B1657"/>
    <w:rsid w:val="572C428C"/>
    <w:rsid w:val="572E3441"/>
    <w:rsid w:val="572E627E"/>
    <w:rsid w:val="572F7946"/>
    <w:rsid w:val="57302595"/>
    <w:rsid w:val="573161DB"/>
    <w:rsid w:val="57333CE5"/>
    <w:rsid w:val="57335DFD"/>
    <w:rsid w:val="573468B9"/>
    <w:rsid w:val="57353FD2"/>
    <w:rsid w:val="57371EEA"/>
    <w:rsid w:val="57386D36"/>
    <w:rsid w:val="57393A80"/>
    <w:rsid w:val="573A2586"/>
    <w:rsid w:val="573A6853"/>
    <w:rsid w:val="573B0464"/>
    <w:rsid w:val="573B312C"/>
    <w:rsid w:val="573E12FB"/>
    <w:rsid w:val="573E7117"/>
    <w:rsid w:val="573F1AB8"/>
    <w:rsid w:val="573F2ACE"/>
    <w:rsid w:val="573F5AE9"/>
    <w:rsid w:val="574033AC"/>
    <w:rsid w:val="57410BE5"/>
    <w:rsid w:val="57426B18"/>
    <w:rsid w:val="57432B60"/>
    <w:rsid w:val="574432D8"/>
    <w:rsid w:val="5744701C"/>
    <w:rsid w:val="5745504F"/>
    <w:rsid w:val="57455F46"/>
    <w:rsid w:val="57465A6D"/>
    <w:rsid w:val="5747071E"/>
    <w:rsid w:val="57484357"/>
    <w:rsid w:val="57490418"/>
    <w:rsid w:val="57496986"/>
    <w:rsid w:val="574A26E4"/>
    <w:rsid w:val="574A594B"/>
    <w:rsid w:val="574B6503"/>
    <w:rsid w:val="574C4DA4"/>
    <w:rsid w:val="574D5A55"/>
    <w:rsid w:val="574D5AC8"/>
    <w:rsid w:val="574E3282"/>
    <w:rsid w:val="57514C29"/>
    <w:rsid w:val="57517139"/>
    <w:rsid w:val="5752104A"/>
    <w:rsid w:val="5752436B"/>
    <w:rsid w:val="5752785E"/>
    <w:rsid w:val="575475B2"/>
    <w:rsid w:val="57547A10"/>
    <w:rsid w:val="57552822"/>
    <w:rsid w:val="57561862"/>
    <w:rsid w:val="575925A3"/>
    <w:rsid w:val="57594D6B"/>
    <w:rsid w:val="575A32CA"/>
    <w:rsid w:val="575B0EB7"/>
    <w:rsid w:val="575C259C"/>
    <w:rsid w:val="575F6A77"/>
    <w:rsid w:val="57604AA4"/>
    <w:rsid w:val="57606D91"/>
    <w:rsid w:val="576113BC"/>
    <w:rsid w:val="576154BD"/>
    <w:rsid w:val="57616B44"/>
    <w:rsid w:val="576201BE"/>
    <w:rsid w:val="57620D6A"/>
    <w:rsid w:val="576228CA"/>
    <w:rsid w:val="57631D4B"/>
    <w:rsid w:val="57662ACB"/>
    <w:rsid w:val="576640CE"/>
    <w:rsid w:val="57664298"/>
    <w:rsid w:val="57664702"/>
    <w:rsid w:val="57664CC0"/>
    <w:rsid w:val="5766572E"/>
    <w:rsid w:val="5768324E"/>
    <w:rsid w:val="57685960"/>
    <w:rsid w:val="57693D16"/>
    <w:rsid w:val="57695A05"/>
    <w:rsid w:val="5769765E"/>
    <w:rsid w:val="576A7AB4"/>
    <w:rsid w:val="576B1088"/>
    <w:rsid w:val="576C7DAF"/>
    <w:rsid w:val="576D32C2"/>
    <w:rsid w:val="576D5883"/>
    <w:rsid w:val="576D6A1E"/>
    <w:rsid w:val="576E511B"/>
    <w:rsid w:val="57711FE2"/>
    <w:rsid w:val="57717D15"/>
    <w:rsid w:val="57745FD8"/>
    <w:rsid w:val="57754285"/>
    <w:rsid w:val="577A5211"/>
    <w:rsid w:val="577C11EF"/>
    <w:rsid w:val="577C331B"/>
    <w:rsid w:val="577D4124"/>
    <w:rsid w:val="577D7C72"/>
    <w:rsid w:val="577E0B1B"/>
    <w:rsid w:val="577E0C48"/>
    <w:rsid w:val="577F6109"/>
    <w:rsid w:val="57800573"/>
    <w:rsid w:val="57802BD2"/>
    <w:rsid w:val="57824460"/>
    <w:rsid w:val="5783548A"/>
    <w:rsid w:val="5783717D"/>
    <w:rsid w:val="578431D7"/>
    <w:rsid w:val="578465B2"/>
    <w:rsid w:val="5785057F"/>
    <w:rsid w:val="57853747"/>
    <w:rsid w:val="57855F29"/>
    <w:rsid w:val="57865E41"/>
    <w:rsid w:val="57883967"/>
    <w:rsid w:val="57885596"/>
    <w:rsid w:val="57891963"/>
    <w:rsid w:val="57895550"/>
    <w:rsid w:val="57897743"/>
    <w:rsid w:val="578B63E7"/>
    <w:rsid w:val="578C6C36"/>
    <w:rsid w:val="578C6CA9"/>
    <w:rsid w:val="578C7B31"/>
    <w:rsid w:val="578D176B"/>
    <w:rsid w:val="578D3F26"/>
    <w:rsid w:val="578F0B59"/>
    <w:rsid w:val="578F69AF"/>
    <w:rsid w:val="57901EFB"/>
    <w:rsid w:val="57911CE2"/>
    <w:rsid w:val="579268AE"/>
    <w:rsid w:val="57931272"/>
    <w:rsid w:val="579331E5"/>
    <w:rsid w:val="579448C0"/>
    <w:rsid w:val="5794546A"/>
    <w:rsid w:val="5794675D"/>
    <w:rsid w:val="57952D44"/>
    <w:rsid w:val="57953F10"/>
    <w:rsid w:val="5797229E"/>
    <w:rsid w:val="5798092D"/>
    <w:rsid w:val="579857A2"/>
    <w:rsid w:val="579A7861"/>
    <w:rsid w:val="579B705F"/>
    <w:rsid w:val="579B729A"/>
    <w:rsid w:val="579C7C7B"/>
    <w:rsid w:val="579D149E"/>
    <w:rsid w:val="579D1E5C"/>
    <w:rsid w:val="579D217C"/>
    <w:rsid w:val="579D6D11"/>
    <w:rsid w:val="57A06022"/>
    <w:rsid w:val="57A26D91"/>
    <w:rsid w:val="57A407E2"/>
    <w:rsid w:val="57A4777E"/>
    <w:rsid w:val="57A478E8"/>
    <w:rsid w:val="57A55866"/>
    <w:rsid w:val="57A71001"/>
    <w:rsid w:val="57A878F5"/>
    <w:rsid w:val="57AB5572"/>
    <w:rsid w:val="57AD19CA"/>
    <w:rsid w:val="57AD2856"/>
    <w:rsid w:val="57AD3186"/>
    <w:rsid w:val="57AF0E34"/>
    <w:rsid w:val="57B1329F"/>
    <w:rsid w:val="57B14E43"/>
    <w:rsid w:val="57B23AC9"/>
    <w:rsid w:val="57B24D05"/>
    <w:rsid w:val="57B27D25"/>
    <w:rsid w:val="57B3146C"/>
    <w:rsid w:val="57B331FA"/>
    <w:rsid w:val="57B46314"/>
    <w:rsid w:val="57B522AC"/>
    <w:rsid w:val="57B55B4F"/>
    <w:rsid w:val="57B61557"/>
    <w:rsid w:val="57B70101"/>
    <w:rsid w:val="57B868DF"/>
    <w:rsid w:val="57B91BD7"/>
    <w:rsid w:val="57B92819"/>
    <w:rsid w:val="57BA07B4"/>
    <w:rsid w:val="57BC1A48"/>
    <w:rsid w:val="57BD0A95"/>
    <w:rsid w:val="57BD38A6"/>
    <w:rsid w:val="57BE4DEF"/>
    <w:rsid w:val="57BF138B"/>
    <w:rsid w:val="57BF6A53"/>
    <w:rsid w:val="57C063BD"/>
    <w:rsid w:val="57C2388B"/>
    <w:rsid w:val="57C437A2"/>
    <w:rsid w:val="57C51CFA"/>
    <w:rsid w:val="57C51EE9"/>
    <w:rsid w:val="57C74EBE"/>
    <w:rsid w:val="57CA6079"/>
    <w:rsid w:val="57CB0F5D"/>
    <w:rsid w:val="57CB438E"/>
    <w:rsid w:val="57CC79AB"/>
    <w:rsid w:val="57CE7945"/>
    <w:rsid w:val="57CF0289"/>
    <w:rsid w:val="57D00BE7"/>
    <w:rsid w:val="57D12A81"/>
    <w:rsid w:val="57D12C24"/>
    <w:rsid w:val="57D147D9"/>
    <w:rsid w:val="57D25298"/>
    <w:rsid w:val="57D31A9A"/>
    <w:rsid w:val="57D37536"/>
    <w:rsid w:val="57D77D86"/>
    <w:rsid w:val="57D84B55"/>
    <w:rsid w:val="57D86D2C"/>
    <w:rsid w:val="57D87D88"/>
    <w:rsid w:val="57D947D0"/>
    <w:rsid w:val="57D96DF9"/>
    <w:rsid w:val="57DB631A"/>
    <w:rsid w:val="57DB7EED"/>
    <w:rsid w:val="57DC0045"/>
    <w:rsid w:val="57DC467C"/>
    <w:rsid w:val="57DC50FB"/>
    <w:rsid w:val="57DC7769"/>
    <w:rsid w:val="57DF1FCD"/>
    <w:rsid w:val="57E030B0"/>
    <w:rsid w:val="57E13C2A"/>
    <w:rsid w:val="57E27E20"/>
    <w:rsid w:val="57E35E2F"/>
    <w:rsid w:val="57E66E36"/>
    <w:rsid w:val="57E85F0C"/>
    <w:rsid w:val="57E87172"/>
    <w:rsid w:val="57E90BE5"/>
    <w:rsid w:val="57E9590B"/>
    <w:rsid w:val="57EA3726"/>
    <w:rsid w:val="57EA58F1"/>
    <w:rsid w:val="57ED6FDA"/>
    <w:rsid w:val="57EE0DD8"/>
    <w:rsid w:val="57F0168A"/>
    <w:rsid w:val="57F4049A"/>
    <w:rsid w:val="57F50AA4"/>
    <w:rsid w:val="57F62579"/>
    <w:rsid w:val="57F71D99"/>
    <w:rsid w:val="57F74620"/>
    <w:rsid w:val="57F8448D"/>
    <w:rsid w:val="57F92829"/>
    <w:rsid w:val="57FB5A45"/>
    <w:rsid w:val="57FB5DA3"/>
    <w:rsid w:val="57FC1F34"/>
    <w:rsid w:val="57FC5905"/>
    <w:rsid w:val="57FD169F"/>
    <w:rsid w:val="57FD5A31"/>
    <w:rsid w:val="57FD7570"/>
    <w:rsid w:val="57FE55BA"/>
    <w:rsid w:val="57FF1B93"/>
    <w:rsid w:val="57FF2736"/>
    <w:rsid w:val="58003366"/>
    <w:rsid w:val="580063AF"/>
    <w:rsid w:val="580067C9"/>
    <w:rsid w:val="5800682C"/>
    <w:rsid w:val="58032B94"/>
    <w:rsid w:val="58041D81"/>
    <w:rsid w:val="58044E63"/>
    <w:rsid w:val="58047C3F"/>
    <w:rsid w:val="58054468"/>
    <w:rsid w:val="58057DAB"/>
    <w:rsid w:val="5806097D"/>
    <w:rsid w:val="58060989"/>
    <w:rsid w:val="58062E48"/>
    <w:rsid w:val="580757CA"/>
    <w:rsid w:val="58086222"/>
    <w:rsid w:val="580901E4"/>
    <w:rsid w:val="580949EC"/>
    <w:rsid w:val="58094A6A"/>
    <w:rsid w:val="580A44EA"/>
    <w:rsid w:val="580A5034"/>
    <w:rsid w:val="580A6AF6"/>
    <w:rsid w:val="580A6CE8"/>
    <w:rsid w:val="580C1D0B"/>
    <w:rsid w:val="580D3F78"/>
    <w:rsid w:val="580E78D3"/>
    <w:rsid w:val="58101096"/>
    <w:rsid w:val="58114C84"/>
    <w:rsid w:val="58136280"/>
    <w:rsid w:val="581439CF"/>
    <w:rsid w:val="58144DF0"/>
    <w:rsid w:val="581574A9"/>
    <w:rsid w:val="581616D7"/>
    <w:rsid w:val="58163B21"/>
    <w:rsid w:val="58163D1C"/>
    <w:rsid w:val="5816480F"/>
    <w:rsid w:val="581754FA"/>
    <w:rsid w:val="58192664"/>
    <w:rsid w:val="581A4428"/>
    <w:rsid w:val="581A58B9"/>
    <w:rsid w:val="581B7766"/>
    <w:rsid w:val="581D6954"/>
    <w:rsid w:val="581E00D1"/>
    <w:rsid w:val="581E0947"/>
    <w:rsid w:val="582019D9"/>
    <w:rsid w:val="5823020E"/>
    <w:rsid w:val="582317CD"/>
    <w:rsid w:val="58262998"/>
    <w:rsid w:val="58266116"/>
    <w:rsid w:val="58282453"/>
    <w:rsid w:val="58286472"/>
    <w:rsid w:val="582B0D88"/>
    <w:rsid w:val="582C00D2"/>
    <w:rsid w:val="582C498D"/>
    <w:rsid w:val="582F7DF6"/>
    <w:rsid w:val="58317F12"/>
    <w:rsid w:val="58330DE2"/>
    <w:rsid w:val="58354EE9"/>
    <w:rsid w:val="58356C4B"/>
    <w:rsid w:val="5838257C"/>
    <w:rsid w:val="58396201"/>
    <w:rsid w:val="583C46E2"/>
    <w:rsid w:val="583D0A79"/>
    <w:rsid w:val="583D36C5"/>
    <w:rsid w:val="583E38C5"/>
    <w:rsid w:val="583E3CA8"/>
    <w:rsid w:val="583E48CA"/>
    <w:rsid w:val="583F1137"/>
    <w:rsid w:val="583F3410"/>
    <w:rsid w:val="58410493"/>
    <w:rsid w:val="58414034"/>
    <w:rsid w:val="584146A0"/>
    <w:rsid w:val="584314DB"/>
    <w:rsid w:val="58435705"/>
    <w:rsid w:val="584359C1"/>
    <w:rsid w:val="584414A5"/>
    <w:rsid w:val="58442858"/>
    <w:rsid w:val="58450D79"/>
    <w:rsid w:val="58450E31"/>
    <w:rsid w:val="58457D65"/>
    <w:rsid w:val="58462A68"/>
    <w:rsid w:val="58482183"/>
    <w:rsid w:val="584869DE"/>
    <w:rsid w:val="584931D3"/>
    <w:rsid w:val="58493783"/>
    <w:rsid w:val="584A0FB2"/>
    <w:rsid w:val="584A16A5"/>
    <w:rsid w:val="584A710A"/>
    <w:rsid w:val="584B119B"/>
    <w:rsid w:val="58500BAA"/>
    <w:rsid w:val="58500D5B"/>
    <w:rsid w:val="58504648"/>
    <w:rsid w:val="5851035A"/>
    <w:rsid w:val="5851229B"/>
    <w:rsid w:val="58531BFD"/>
    <w:rsid w:val="58531F29"/>
    <w:rsid w:val="58540660"/>
    <w:rsid w:val="585432DB"/>
    <w:rsid w:val="58546227"/>
    <w:rsid w:val="585518E5"/>
    <w:rsid w:val="58553340"/>
    <w:rsid w:val="5855396E"/>
    <w:rsid w:val="58554ED4"/>
    <w:rsid w:val="5855515B"/>
    <w:rsid w:val="58557B66"/>
    <w:rsid w:val="58571A56"/>
    <w:rsid w:val="585A272A"/>
    <w:rsid w:val="585A6991"/>
    <w:rsid w:val="585A723F"/>
    <w:rsid w:val="585B6434"/>
    <w:rsid w:val="585D7798"/>
    <w:rsid w:val="58610B1C"/>
    <w:rsid w:val="58611E1A"/>
    <w:rsid w:val="5861424C"/>
    <w:rsid w:val="58626580"/>
    <w:rsid w:val="58647F05"/>
    <w:rsid w:val="58663F9D"/>
    <w:rsid w:val="586706CA"/>
    <w:rsid w:val="58670CF0"/>
    <w:rsid w:val="58673314"/>
    <w:rsid w:val="58693314"/>
    <w:rsid w:val="586958C8"/>
    <w:rsid w:val="586A0FEA"/>
    <w:rsid w:val="586A5709"/>
    <w:rsid w:val="586D05F4"/>
    <w:rsid w:val="586E1BAB"/>
    <w:rsid w:val="586E5A95"/>
    <w:rsid w:val="586F4C25"/>
    <w:rsid w:val="586F4D55"/>
    <w:rsid w:val="58710265"/>
    <w:rsid w:val="5872296D"/>
    <w:rsid w:val="58724AA4"/>
    <w:rsid w:val="587250C8"/>
    <w:rsid w:val="58755F89"/>
    <w:rsid w:val="58763272"/>
    <w:rsid w:val="587756AF"/>
    <w:rsid w:val="587953AF"/>
    <w:rsid w:val="58795AB7"/>
    <w:rsid w:val="587C6A81"/>
    <w:rsid w:val="587C70A3"/>
    <w:rsid w:val="587D4996"/>
    <w:rsid w:val="587D6134"/>
    <w:rsid w:val="587E3FBE"/>
    <w:rsid w:val="587F1EB4"/>
    <w:rsid w:val="58806918"/>
    <w:rsid w:val="588658D3"/>
    <w:rsid w:val="58881A6C"/>
    <w:rsid w:val="58890A16"/>
    <w:rsid w:val="588F6154"/>
    <w:rsid w:val="58902C2D"/>
    <w:rsid w:val="58912CC2"/>
    <w:rsid w:val="5892526B"/>
    <w:rsid w:val="589349A1"/>
    <w:rsid w:val="58936E76"/>
    <w:rsid w:val="58944A94"/>
    <w:rsid w:val="58950C9C"/>
    <w:rsid w:val="58951A88"/>
    <w:rsid w:val="58954EB3"/>
    <w:rsid w:val="589575C5"/>
    <w:rsid w:val="589D1D28"/>
    <w:rsid w:val="589D213D"/>
    <w:rsid w:val="58A0079E"/>
    <w:rsid w:val="58A258FF"/>
    <w:rsid w:val="58A342E3"/>
    <w:rsid w:val="58A43E90"/>
    <w:rsid w:val="58A77AB4"/>
    <w:rsid w:val="58A824B5"/>
    <w:rsid w:val="58AA43DA"/>
    <w:rsid w:val="58AD0EBF"/>
    <w:rsid w:val="58AF18DB"/>
    <w:rsid w:val="58B011B5"/>
    <w:rsid w:val="58B12AFF"/>
    <w:rsid w:val="58B40580"/>
    <w:rsid w:val="58B448DF"/>
    <w:rsid w:val="58B6125A"/>
    <w:rsid w:val="58B81BC5"/>
    <w:rsid w:val="58B8595B"/>
    <w:rsid w:val="58B86044"/>
    <w:rsid w:val="58BA528D"/>
    <w:rsid w:val="58BA5A41"/>
    <w:rsid w:val="58BB043A"/>
    <w:rsid w:val="58BB0C45"/>
    <w:rsid w:val="58BD6C2C"/>
    <w:rsid w:val="58BE3149"/>
    <w:rsid w:val="58C00880"/>
    <w:rsid w:val="58C06EC1"/>
    <w:rsid w:val="58C12ACA"/>
    <w:rsid w:val="58C135AA"/>
    <w:rsid w:val="58C1773E"/>
    <w:rsid w:val="58C24E7F"/>
    <w:rsid w:val="58C26A99"/>
    <w:rsid w:val="58C3401A"/>
    <w:rsid w:val="58C46E99"/>
    <w:rsid w:val="58C50010"/>
    <w:rsid w:val="58C659C3"/>
    <w:rsid w:val="58C7035F"/>
    <w:rsid w:val="58C70B5F"/>
    <w:rsid w:val="58C742E6"/>
    <w:rsid w:val="58CA6A8D"/>
    <w:rsid w:val="58CB34BC"/>
    <w:rsid w:val="58CB389A"/>
    <w:rsid w:val="58CB6105"/>
    <w:rsid w:val="58CB6EEC"/>
    <w:rsid w:val="58CD3813"/>
    <w:rsid w:val="58CD6D59"/>
    <w:rsid w:val="58CE02C8"/>
    <w:rsid w:val="58CE1116"/>
    <w:rsid w:val="58CE31FC"/>
    <w:rsid w:val="58CE5223"/>
    <w:rsid w:val="58CE6951"/>
    <w:rsid w:val="58CF7ED0"/>
    <w:rsid w:val="58D07201"/>
    <w:rsid w:val="58D2573C"/>
    <w:rsid w:val="58D27C05"/>
    <w:rsid w:val="58D3023A"/>
    <w:rsid w:val="58D6626F"/>
    <w:rsid w:val="58D70B00"/>
    <w:rsid w:val="58D74F21"/>
    <w:rsid w:val="58D81079"/>
    <w:rsid w:val="58D87BF1"/>
    <w:rsid w:val="58DE1359"/>
    <w:rsid w:val="58DF017E"/>
    <w:rsid w:val="58DF3223"/>
    <w:rsid w:val="58E00B7D"/>
    <w:rsid w:val="58E2044D"/>
    <w:rsid w:val="58E208BA"/>
    <w:rsid w:val="58E25894"/>
    <w:rsid w:val="58E26CEE"/>
    <w:rsid w:val="58E40FD5"/>
    <w:rsid w:val="58E457D6"/>
    <w:rsid w:val="58E54168"/>
    <w:rsid w:val="58E709B8"/>
    <w:rsid w:val="58E86459"/>
    <w:rsid w:val="58EA5F80"/>
    <w:rsid w:val="58EB7463"/>
    <w:rsid w:val="58EC6345"/>
    <w:rsid w:val="58EC74C2"/>
    <w:rsid w:val="58EF4E82"/>
    <w:rsid w:val="58EF52AE"/>
    <w:rsid w:val="58F30B32"/>
    <w:rsid w:val="58F4446B"/>
    <w:rsid w:val="58F47832"/>
    <w:rsid w:val="58F47B71"/>
    <w:rsid w:val="58F629F1"/>
    <w:rsid w:val="58F75817"/>
    <w:rsid w:val="58F807B0"/>
    <w:rsid w:val="58F844EF"/>
    <w:rsid w:val="58F95C39"/>
    <w:rsid w:val="58FE5D1D"/>
    <w:rsid w:val="59001289"/>
    <w:rsid w:val="590024E3"/>
    <w:rsid w:val="59034A2A"/>
    <w:rsid w:val="59052CD2"/>
    <w:rsid w:val="59056AB6"/>
    <w:rsid w:val="59080730"/>
    <w:rsid w:val="59093C3A"/>
    <w:rsid w:val="590958E0"/>
    <w:rsid w:val="590A03EB"/>
    <w:rsid w:val="590B2CC1"/>
    <w:rsid w:val="590D0D86"/>
    <w:rsid w:val="590D2DD2"/>
    <w:rsid w:val="590D357D"/>
    <w:rsid w:val="590E5687"/>
    <w:rsid w:val="590E7F03"/>
    <w:rsid w:val="590F776B"/>
    <w:rsid w:val="591469AE"/>
    <w:rsid w:val="59146D1D"/>
    <w:rsid w:val="59153231"/>
    <w:rsid w:val="59170416"/>
    <w:rsid w:val="59184FE8"/>
    <w:rsid w:val="59186930"/>
    <w:rsid w:val="591D1B68"/>
    <w:rsid w:val="591F15CA"/>
    <w:rsid w:val="59214BE1"/>
    <w:rsid w:val="5921500A"/>
    <w:rsid w:val="592258F0"/>
    <w:rsid w:val="592265D1"/>
    <w:rsid w:val="592311BE"/>
    <w:rsid w:val="59232EBF"/>
    <w:rsid w:val="5924273D"/>
    <w:rsid w:val="59244DA6"/>
    <w:rsid w:val="592676CC"/>
    <w:rsid w:val="5928045E"/>
    <w:rsid w:val="59282A0B"/>
    <w:rsid w:val="592917F9"/>
    <w:rsid w:val="59291B61"/>
    <w:rsid w:val="592A6F9A"/>
    <w:rsid w:val="592C47AC"/>
    <w:rsid w:val="592D4F52"/>
    <w:rsid w:val="592D6228"/>
    <w:rsid w:val="592E3E96"/>
    <w:rsid w:val="59311639"/>
    <w:rsid w:val="593212FE"/>
    <w:rsid w:val="59325458"/>
    <w:rsid w:val="593274D6"/>
    <w:rsid w:val="59343DCF"/>
    <w:rsid w:val="59352049"/>
    <w:rsid w:val="5936273A"/>
    <w:rsid w:val="59375A29"/>
    <w:rsid w:val="593769EB"/>
    <w:rsid w:val="59376D32"/>
    <w:rsid w:val="59385BDC"/>
    <w:rsid w:val="59392C4B"/>
    <w:rsid w:val="5939414E"/>
    <w:rsid w:val="593A0AC4"/>
    <w:rsid w:val="593A7BF0"/>
    <w:rsid w:val="593B5784"/>
    <w:rsid w:val="593C14B7"/>
    <w:rsid w:val="593C1E22"/>
    <w:rsid w:val="593C68F6"/>
    <w:rsid w:val="593D2631"/>
    <w:rsid w:val="593D524C"/>
    <w:rsid w:val="593F0375"/>
    <w:rsid w:val="593F5431"/>
    <w:rsid w:val="5941471B"/>
    <w:rsid w:val="594170A8"/>
    <w:rsid w:val="594216B1"/>
    <w:rsid w:val="594253CD"/>
    <w:rsid w:val="59435745"/>
    <w:rsid w:val="59436753"/>
    <w:rsid w:val="594463DE"/>
    <w:rsid w:val="594504C2"/>
    <w:rsid w:val="59452E50"/>
    <w:rsid w:val="59457535"/>
    <w:rsid w:val="59464664"/>
    <w:rsid w:val="59483A72"/>
    <w:rsid w:val="594A1D1F"/>
    <w:rsid w:val="594C6333"/>
    <w:rsid w:val="594D1C37"/>
    <w:rsid w:val="594D3DD3"/>
    <w:rsid w:val="594D541B"/>
    <w:rsid w:val="594D67AC"/>
    <w:rsid w:val="594F4739"/>
    <w:rsid w:val="595102A0"/>
    <w:rsid w:val="5951727B"/>
    <w:rsid w:val="59521E3F"/>
    <w:rsid w:val="59525393"/>
    <w:rsid w:val="5953355B"/>
    <w:rsid w:val="5953388F"/>
    <w:rsid w:val="59533EDE"/>
    <w:rsid w:val="595432FF"/>
    <w:rsid w:val="595438B4"/>
    <w:rsid w:val="59543917"/>
    <w:rsid w:val="5955333E"/>
    <w:rsid w:val="59563142"/>
    <w:rsid w:val="59566E72"/>
    <w:rsid w:val="59567A00"/>
    <w:rsid w:val="59567A12"/>
    <w:rsid w:val="59572260"/>
    <w:rsid w:val="59574E37"/>
    <w:rsid w:val="59586945"/>
    <w:rsid w:val="59592683"/>
    <w:rsid w:val="595A7515"/>
    <w:rsid w:val="595B5FF1"/>
    <w:rsid w:val="595D2486"/>
    <w:rsid w:val="595D2573"/>
    <w:rsid w:val="595E0507"/>
    <w:rsid w:val="595E1424"/>
    <w:rsid w:val="595E524B"/>
    <w:rsid w:val="59616026"/>
    <w:rsid w:val="59617E35"/>
    <w:rsid w:val="59624E46"/>
    <w:rsid w:val="59637F5C"/>
    <w:rsid w:val="59645F1C"/>
    <w:rsid w:val="59646F04"/>
    <w:rsid w:val="596875FA"/>
    <w:rsid w:val="59692273"/>
    <w:rsid w:val="596953B7"/>
    <w:rsid w:val="59697626"/>
    <w:rsid w:val="596A7F5B"/>
    <w:rsid w:val="596C5D74"/>
    <w:rsid w:val="596E67EE"/>
    <w:rsid w:val="596E6971"/>
    <w:rsid w:val="596F5B3F"/>
    <w:rsid w:val="59724F0D"/>
    <w:rsid w:val="59726F04"/>
    <w:rsid w:val="5974084D"/>
    <w:rsid w:val="597524EB"/>
    <w:rsid w:val="59753BC4"/>
    <w:rsid w:val="5975535F"/>
    <w:rsid w:val="5975660F"/>
    <w:rsid w:val="59756728"/>
    <w:rsid w:val="59796F2C"/>
    <w:rsid w:val="597A1E04"/>
    <w:rsid w:val="597B683F"/>
    <w:rsid w:val="597D0209"/>
    <w:rsid w:val="597D1654"/>
    <w:rsid w:val="597E4B43"/>
    <w:rsid w:val="597E5F4D"/>
    <w:rsid w:val="59800933"/>
    <w:rsid w:val="59804F08"/>
    <w:rsid w:val="59824180"/>
    <w:rsid w:val="59831B59"/>
    <w:rsid w:val="59832025"/>
    <w:rsid w:val="5983763E"/>
    <w:rsid w:val="5987037B"/>
    <w:rsid w:val="5987402E"/>
    <w:rsid w:val="59877D05"/>
    <w:rsid w:val="59882AE2"/>
    <w:rsid w:val="598B2538"/>
    <w:rsid w:val="598B6F0A"/>
    <w:rsid w:val="598E2DF0"/>
    <w:rsid w:val="598F00B3"/>
    <w:rsid w:val="599007AD"/>
    <w:rsid w:val="599029F9"/>
    <w:rsid w:val="599051DA"/>
    <w:rsid w:val="5991071A"/>
    <w:rsid w:val="59917593"/>
    <w:rsid w:val="59937371"/>
    <w:rsid w:val="59951FB2"/>
    <w:rsid w:val="59957A2E"/>
    <w:rsid w:val="59972B38"/>
    <w:rsid w:val="59973612"/>
    <w:rsid w:val="59975448"/>
    <w:rsid w:val="5998116E"/>
    <w:rsid w:val="599A4988"/>
    <w:rsid w:val="599A7840"/>
    <w:rsid w:val="599B50F5"/>
    <w:rsid w:val="599C047E"/>
    <w:rsid w:val="599F0350"/>
    <w:rsid w:val="59A033AF"/>
    <w:rsid w:val="59A05520"/>
    <w:rsid w:val="59A30508"/>
    <w:rsid w:val="59A3278D"/>
    <w:rsid w:val="59A564A8"/>
    <w:rsid w:val="59A57ADA"/>
    <w:rsid w:val="59A6210C"/>
    <w:rsid w:val="59A667C5"/>
    <w:rsid w:val="59A6748F"/>
    <w:rsid w:val="59A86336"/>
    <w:rsid w:val="59AA034B"/>
    <w:rsid w:val="59AA1E5B"/>
    <w:rsid w:val="59AA4A65"/>
    <w:rsid w:val="59AA4C03"/>
    <w:rsid w:val="59AB103E"/>
    <w:rsid w:val="59AE02C2"/>
    <w:rsid w:val="59AE3FCD"/>
    <w:rsid w:val="59AF3048"/>
    <w:rsid w:val="59B227FD"/>
    <w:rsid w:val="59B27B0A"/>
    <w:rsid w:val="59B302AC"/>
    <w:rsid w:val="59B3314D"/>
    <w:rsid w:val="59B41482"/>
    <w:rsid w:val="59B47D1B"/>
    <w:rsid w:val="59B621BF"/>
    <w:rsid w:val="59B62F70"/>
    <w:rsid w:val="59B70B06"/>
    <w:rsid w:val="59BA3EBE"/>
    <w:rsid w:val="59BB5304"/>
    <w:rsid w:val="59BD19DB"/>
    <w:rsid w:val="59BD1E33"/>
    <w:rsid w:val="59BD24A7"/>
    <w:rsid w:val="59BD6ACF"/>
    <w:rsid w:val="59C00168"/>
    <w:rsid w:val="59C04B5B"/>
    <w:rsid w:val="59C22963"/>
    <w:rsid w:val="59C2698B"/>
    <w:rsid w:val="59C36CD4"/>
    <w:rsid w:val="59C47978"/>
    <w:rsid w:val="59C542CF"/>
    <w:rsid w:val="59C559FD"/>
    <w:rsid w:val="59C65904"/>
    <w:rsid w:val="59C730A5"/>
    <w:rsid w:val="59C76A10"/>
    <w:rsid w:val="59C90628"/>
    <w:rsid w:val="59C919CF"/>
    <w:rsid w:val="59C94A01"/>
    <w:rsid w:val="59CB121E"/>
    <w:rsid w:val="59CB5552"/>
    <w:rsid w:val="59CC4E6F"/>
    <w:rsid w:val="59CE3315"/>
    <w:rsid w:val="59CE3871"/>
    <w:rsid w:val="59CF7761"/>
    <w:rsid w:val="59D030E6"/>
    <w:rsid w:val="59D170C2"/>
    <w:rsid w:val="59D17A28"/>
    <w:rsid w:val="59D3014E"/>
    <w:rsid w:val="59D54865"/>
    <w:rsid w:val="59D55802"/>
    <w:rsid w:val="59D643E2"/>
    <w:rsid w:val="59D725AC"/>
    <w:rsid w:val="59D81AE6"/>
    <w:rsid w:val="59D86AEA"/>
    <w:rsid w:val="59D877C3"/>
    <w:rsid w:val="59D93F13"/>
    <w:rsid w:val="59D96AE1"/>
    <w:rsid w:val="59DA2086"/>
    <w:rsid w:val="59DC00FB"/>
    <w:rsid w:val="59DC47C5"/>
    <w:rsid w:val="59DD1C2A"/>
    <w:rsid w:val="59DD4C84"/>
    <w:rsid w:val="59DE3233"/>
    <w:rsid w:val="59DF0E1F"/>
    <w:rsid w:val="59DF36A1"/>
    <w:rsid w:val="59E04B1D"/>
    <w:rsid w:val="59E05351"/>
    <w:rsid w:val="59E20717"/>
    <w:rsid w:val="59E25D13"/>
    <w:rsid w:val="59E3218E"/>
    <w:rsid w:val="59E47CE3"/>
    <w:rsid w:val="59E566F5"/>
    <w:rsid w:val="59E840AC"/>
    <w:rsid w:val="59E92A5A"/>
    <w:rsid w:val="59E955DA"/>
    <w:rsid w:val="59EC651D"/>
    <w:rsid w:val="59EC7985"/>
    <w:rsid w:val="59ED163C"/>
    <w:rsid w:val="59EE3075"/>
    <w:rsid w:val="59F03D4D"/>
    <w:rsid w:val="59F04FD0"/>
    <w:rsid w:val="59F05264"/>
    <w:rsid w:val="59F0535E"/>
    <w:rsid w:val="59F053FA"/>
    <w:rsid w:val="59F179C2"/>
    <w:rsid w:val="59F20757"/>
    <w:rsid w:val="59F21D95"/>
    <w:rsid w:val="59F25F2F"/>
    <w:rsid w:val="59F265B8"/>
    <w:rsid w:val="59F30A0B"/>
    <w:rsid w:val="59F34C51"/>
    <w:rsid w:val="59F466F7"/>
    <w:rsid w:val="59F53640"/>
    <w:rsid w:val="59F5457E"/>
    <w:rsid w:val="59F83A7B"/>
    <w:rsid w:val="59F86982"/>
    <w:rsid w:val="59F93C1C"/>
    <w:rsid w:val="59FA0238"/>
    <w:rsid w:val="59FD084B"/>
    <w:rsid w:val="59FD70B2"/>
    <w:rsid w:val="59FE0647"/>
    <w:rsid w:val="59FF38D6"/>
    <w:rsid w:val="59FF6B3A"/>
    <w:rsid w:val="59FF6FA8"/>
    <w:rsid w:val="5A0225D0"/>
    <w:rsid w:val="5A0312BE"/>
    <w:rsid w:val="5A0438EB"/>
    <w:rsid w:val="5A044B33"/>
    <w:rsid w:val="5A060B44"/>
    <w:rsid w:val="5A0631A4"/>
    <w:rsid w:val="5A070945"/>
    <w:rsid w:val="5A08486F"/>
    <w:rsid w:val="5A0871E2"/>
    <w:rsid w:val="5A090245"/>
    <w:rsid w:val="5A0919AC"/>
    <w:rsid w:val="5A0A015F"/>
    <w:rsid w:val="5A0C3E74"/>
    <w:rsid w:val="5A0D283D"/>
    <w:rsid w:val="5A0E6F7A"/>
    <w:rsid w:val="5A0F3CFB"/>
    <w:rsid w:val="5A112068"/>
    <w:rsid w:val="5A117165"/>
    <w:rsid w:val="5A131D1B"/>
    <w:rsid w:val="5A1457D6"/>
    <w:rsid w:val="5A15643D"/>
    <w:rsid w:val="5A16411C"/>
    <w:rsid w:val="5A175894"/>
    <w:rsid w:val="5A18678D"/>
    <w:rsid w:val="5A192DC1"/>
    <w:rsid w:val="5A1A11E2"/>
    <w:rsid w:val="5A1A7B69"/>
    <w:rsid w:val="5A1A7C29"/>
    <w:rsid w:val="5A1A7CE4"/>
    <w:rsid w:val="5A1B4BF7"/>
    <w:rsid w:val="5A1B5031"/>
    <w:rsid w:val="5A1B5FFB"/>
    <w:rsid w:val="5A1B7AD6"/>
    <w:rsid w:val="5A1C4D92"/>
    <w:rsid w:val="5A1E3F28"/>
    <w:rsid w:val="5A201804"/>
    <w:rsid w:val="5A220673"/>
    <w:rsid w:val="5A237A00"/>
    <w:rsid w:val="5A24061E"/>
    <w:rsid w:val="5A245E4B"/>
    <w:rsid w:val="5A25667B"/>
    <w:rsid w:val="5A265B15"/>
    <w:rsid w:val="5A271C73"/>
    <w:rsid w:val="5A276C3D"/>
    <w:rsid w:val="5A29120C"/>
    <w:rsid w:val="5A297C5F"/>
    <w:rsid w:val="5A2A093E"/>
    <w:rsid w:val="5A2B01C2"/>
    <w:rsid w:val="5A2C32E0"/>
    <w:rsid w:val="5A2D36E4"/>
    <w:rsid w:val="5A2D3AF4"/>
    <w:rsid w:val="5A2E3C63"/>
    <w:rsid w:val="5A2F356F"/>
    <w:rsid w:val="5A32033D"/>
    <w:rsid w:val="5A343D89"/>
    <w:rsid w:val="5A350240"/>
    <w:rsid w:val="5A351461"/>
    <w:rsid w:val="5A352675"/>
    <w:rsid w:val="5A357BFD"/>
    <w:rsid w:val="5A366BEA"/>
    <w:rsid w:val="5A372AC6"/>
    <w:rsid w:val="5A3978FE"/>
    <w:rsid w:val="5A3979E3"/>
    <w:rsid w:val="5A3A07D7"/>
    <w:rsid w:val="5A3B3C10"/>
    <w:rsid w:val="5A3B7AC8"/>
    <w:rsid w:val="5A3C6ACF"/>
    <w:rsid w:val="5A3C7D8B"/>
    <w:rsid w:val="5A3D6D5F"/>
    <w:rsid w:val="5A3E5F09"/>
    <w:rsid w:val="5A3E63EC"/>
    <w:rsid w:val="5A3F5490"/>
    <w:rsid w:val="5A40505D"/>
    <w:rsid w:val="5A411AE3"/>
    <w:rsid w:val="5A4129B2"/>
    <w:rsid w:val="5A4204EF"/>
    <w:rsid w:val="5A421A14"/>
    <w:rsid w:val="5A425459"/>
    <w:rsid w:val="5A430A51"/>
    <w:rsid w:val="5A440016"/>
    <w:rsid w:val="5A467FE9"/>
    <w:rsid w:val="5A4762F5"/>
    <w:rsid w:val="5A481FC3"/>
    <w:rsid w:val="5A485B89"/>
    <w:rsid w:val="5A487388"/>
    <w:rsid w:val="5A4D68CB"/>
    <w:rsid w:val="5A4E2167"/>
    <w:rsid w:val="5A4F1224"/>
    <w:rsid w:val="5A4F2157"/>
    <w:rsid w:val="5A4F3951"/>
    <w:rsid w:val="5A4F50C3"/>
    <w:rsid w:val="5A5018C9"/>
    <w:rsid w:val="5A503375"/>
    <w:rsid w:val="5A50775F"/>
    <w:rsid w:val="5A51119B"/>
    <w:rsid w:val="5A5308DE"/>
    <w:rsid w:val="5A534C74"/>
    <w:rsid w:val="5A553CB9"/>
    <w:rsid w:val="5A562C7E"/>
    <w:rsid w:val="5A583FA4"/>
    <w:rsid w:val="5A59453C"/>
    <w:rsid w:val="5A594F59"/>
    <w:rsid w:val="5A5A2707"/>
    <w:rsid w:val="5A5A482E"/>
    <w:rsid w:val="5A5B0264"/>
    <w:rsid w:val="5A5C20CA"/>
    <w:rsid w:val="5A5D7DD2"/>
    <w:rsid w:val="5A5F4374"/>
    <w:rsid w:val="5A633683"/>
    <w:rsid w:val="5A63527E"/>
    <w:rsid w:val="5A657C91"/>
    <w:rsid w:val="5A662451"/>
    <w:rsid w:val="5A671FCD"/>
    <w:rsid w:val="5A677D00"/>
    <w:rsid w:val="5A681849"/>
    <w:rsid w:val="5A6823B9"/>
    <w:rsid w:val="5A683F48"/>
    <w:rsid w:val="5A6A3D35"/>
    <w:rsid w:val="5A6B46A8"/>
    <w:rsid w:val="5A6B46AD"/>
    <w:rsid w:val="5A6E20C0"/>
    <w:rsid w:val="5A6E21EB"/>
    <w:rsid w:val="5A701241"/>
    <w:rsid w:val="5A70185B"/>
    <w:rsid w:val="5A7050C0"/>
    <w:rsid w:val="5A7209A1"/>
    <w:rsid w:val="5A7242A6"/>
    <w:rsid w:val="5A7270C0"/>
    <w:rsid w:val="5A732DD9"/>
    <w:rsid w:val="5A733B1E"/>
    <w:rsid w:val="5A740C73"/>
    <w:rsid w:val="5A7637BF"/>
    <w:rsid w:val="5A7832EA"/>
    <w:rsid w:val="5A7A1201"/>
    <w:rsid w:val="5A7C29CC"/>
    <w:rsid w:val="5A7C5307"/>
    <w:rsid w:val="5A7E0621"/>
    <w:rsid w:val="5A7E44DE"/>
    <w:rsid w:val="5A7E65C4"/>
    <w:rsid w:val="5A7F47D9"/>
    <w:rsid w:val="5A800D7A"/>
    <w:rsid w:val="5A8170AB"/>
    <w:rsid w:val="5A822DB0"/>
    <w:rsid w:val="5A823E81"/>
    <w:rsid w:val="5A8409B3"/>
    <w:rsid w:val="5A851D74"/>
    <w:rsid w:val="5A852F61"/>
    <w:rsid w:val="5A861F30"/>
    <w:rsid w:val="5A864F6E"/>
    <w:rsid w:val="5A88259F"/>
    <w:rsid w:val="5A8B41D5"/>
    <w:rsid w:val="5A8C7BE9"/>
    <w:rsid w:val="5A8D12B0"/>
    <w:rsid w:val="5A8D24F1"/>
    <w:rsid w:val="5A8D37A6"/>
    <w:rsid w:val="5A90027D"/>
    <w:rsid w:val="5A900C8C"/>
    <w:rsid w:val="5A91204E"/>
    <w:rsid w:val="5A917137"/>
    <w:rsid w:val="5A91777A"/>
    <w:rsid w:val="5A962F3A"/>
    <w:rsid w:val="5A971C0E"/>
    <w:rsid w:val="5A977A82"/>
    <w:rsid w:val="5A984CC1"/>
    <w:rsid w:val="5A9B1BB6"/>
    <w:rsid w:val="5A9B4546"/>
    <w:rsid w:val="5A9F2A31"/>
    <w:rsid w:val="5AA052E0"/>
    <w:rsid w:val="5AA10A1C"/>
    <w:rsid w:val="5AA227B9"/>
    <w:rsid w:val="5AA33E76"/>
    <w:rsid w:val="5AA47A34"/>
    <w:rsid w:val="5AA61FA3"/>
    <w:rsid w:val="5AA748D1"/>
    <w:rsid w:val="5AA8671F"/>
    <w:rsid w:val="5AAB448B"/>
    <w:rsid w:val="5AAC18DD"/>
    <w:rsid w:val="5AAC3332"/>
    <w:rsid w:val="5AB02E22"/>
    <w:rsid w:val="5AB148FD"/>
    <w:rsid w:val="5AB42DE0"/>
    <w:rsid w:val="5AB45A0C"/>
    <w:rsid w:val="5AB47F9D"/>
    <w:rsid w:val="5AB648BE"/>
    <w:rsid w:val="5AB95A55"/>
    <w:rsid w:val="5ABB73D8"/>
    <w:rsid w:val="5ABB7543"/>
    <w:rsid w:val="5ABC75E8"/>
    <w:rsid w:val="5ABE1B2D"/>
    <w:rsid w:val="5ABE520F"/>
    <w:rsid w:val="5AC07D08"/>
    <w:rsid w:val="5AC12B86"/>
    <w:rsid w:val="5AC239B6"/>
    <w:rsid w:val="5AC57111"/>
    <w:rsid w:val="5AC728B7"/>
    <w:rsid w:val="5AC754B9"/>
    <w:rsid w:val="5AC773B0"/>
    <w:rsid w:val="5AC803B5"/>
    <w:rsid w:val="5AC94081"/>
    <w:rsid w:val="5ACA41BA"/>
    <w:rsid w:val="5ACB13AB"/>
    <w:rsid w:val="5ACD7D7F"/>
    <w:rsid w:val="5ACE2866"/>
    <w:rsid w:val="5ACE2971"/>
    <w:rsid w:val="5ACE3F00"/>
    <w:rsid w:val="5ACE5F73"/>
    <w:rsid w:val="5ACF478A"/>
    <w:rsid w:val="5ACF4FBC"/>
    <w:rsid w:val="5AD00583"/>
    <w:rsid w:val="5AD17239"/>
    <w:rsid w:val="5AD17455"/>
    <w:rsid w:val="5AD45019"/>
    <w:rsid w:val="5AD50B6F"/>
    <w:rsid w:val="5AD55947"/>
    <w:rsid w:val="5AD57A4C"/>
    <w:rsid w:val="5AD7215D"/>
    <w:rsid w:val="5AD75716"/>
    <w:rsid w:val="5AD9685B"/>
    <w:rsid w:val="5ADA53F5"/>
    <w:rsid w:val="5ADA5C83"/>
    <w:rsid w:val="5ADB3245"/>
    <w:rsid w:val="5ADB43F1"/>
    <w:rsid w:val="5ADB48B4"/>
    <w:rsid w:val="5ADD25B4"/>
    <w:rsid w:val="5ADE0228"/>
    <w:rsid w:val="5ADF1F02"/>
    <w:rsid w:val="5AE40D1D"/>
    <w:rsid w:val="5AE52B34"/>
    <w:rsid w:val="5AE60E0A"/>
    <w:rsid w:val="5AE6328A"/>
    <w:rsid w:val="5AE652D4"/>
    <w:rsid w:val="5AE65F64"/>
    <w:rsid w:val="5AE665DC"/>
    <w:rsid w:val="5AE825BC"/>
    <w:rsid w:val="5AEA6567"/>
    <w:rsid w:val="5AEB399F"/>
    <w:rsid w:val="5AEC1DFA"/>
    <w:rsid w:val="5AEE161E"/>
    <w:rsid w:val="5AEE4465"/>
    <w:rsid w:val="5AEE4A32"/>
    <w:rsid w:val="5AEF50A5"/>
    <w:rsid w:val="5AEF52A2"/>
    <w:rsid w:val="5AEF6FBB"/>
    <w:rsid w:val="5AF04080"/>
    <w:rsid w:val="5AF04CE1"/>
    <w:rsid w:val="5AF25292"/>
    <w:rsid w:val="5AF26C85"/>
    <w:rsid w:val="5AF34ABD"/>
    <w:rsid w:val="5AF60087"/>
    <w:rsid w:val="5AF64DC1"/>
    <w:rsid w:val="5AF71974"/>
    <w:rsid w:val="5AF74AAE"/>
    <w:rsid w:val="5AF8576E"/>
    <w:rsid w:val="5AF9024E"/>
    <w:rsid w:val="5AF92001"/>
    <w:rsid w:val="5AF9576F"/>
    <w:rsid w:val="5AF96132"/>
    <w:rsid w:val="5AFA24B2"/>
    <w:rsid w:val="5AFC2886"/>
    <w:rsid w:val="5AFE4943"/>
    <w:rsid w:val="5B0148DB"/>
    <w:rsid w:val="5B024844"/>
    <w:rsid w:val="5B033368"/>
    <w:rsid w:val="5B040D4B"/>
    <w:rsid w:val="5B042506"/>
    <w:rsid w:val="5B0509CE"/>
    <w:rsid w:val="5B070792"/>
    <w:rsid w:val="5B0A48FE"/>
    <w:rsid w:val="5B0B7ED8"/>
    <w:rsid w:val="5B0C22B5"/>
    <w:rsid w:val="5B0E0EED"/>
    <w:rsid w:val="5B101429"/>
    <w:rsid w:val="5B102832"/>
    <w:rsid w:val="5B11349E"/>
    <w:rsid w:val="5B13219B"/>
    <w:rsid w:val="5B134146"/>
    <w:rsid w:val="5B14639D"/>
    <w:rsid w:val="5B14682A"/>
    <w:rsid w:val="5B156996"/>
    <w:rsid w:val="5B160A7E"/>
    <w:rsid w:val="5B166492"/>
    <w:rsid w:val="5B182531"/>
    <w:rsid w:val="5B186628"/>
    <w:rsid w:val="5B1873E4"/>
    <w:rsid w:val="5B1934C8"/>
    <w:rsid w:val="5B1B024E"/>
    <w:rsid w:val="5B1B48BC"/>
    <w:rsid w:val="5B1B560D"/>
    <w:rsid w:val="5B203C45"/>
    <w:rsid w:val="5B205A3D"/>
    <w:rsid w:val="5B211F44"/>
    <w:rsid w:val="5B223A11"/>
    <w:rsid w:val="5B25101C"/>
    <w:rsid w:val="5B256E7C"/>
    <w:rsid w:val="5B26656D"/>
    <w:rsid w:val="5B273877"/>
    <w:rsid w:val="5B2939EB"/>
    <w:rsid w:val="5B2A27B8"/>
    <w:rsid w:val="5B2B37EB"/>
    <w:rsid w:val="5B2B400B"/>
    <w:rsid w:val="5B2C725D"/>
    <w:rsid w:val="5B2F6B3A"/>
    <w:rsid w:val="5B3006FC"/>
    <w:rsid w:val="5B303D5A"/>
    <w:rsid w:val="5B303F63"/>
    <w:rsid w:val="5B322383"/>
    <w:rsid w:val="5B323837"/>
    <w:rsid w:val="5B32685C"/>
    <w:rsid w:val="5B345801"/>
    <w:rsid w:val="5B395305"/>
    <w:rsid w:val="5B3B26CA"/>
    <w:rsid w:val="5B3D2DC0"/>
    <w:rsid w:val="5B4170BB"/>
    <w:rsid w:val="5B4215F5"/>
    <w:rsid w:val="5B463D52"/>
    <w:rsid w:val="5B47266A"/>
    <w:rsid w:val="5B4812AC"/>
    <w:rsid w:val="5B482BC7"/>
    <w:rsid w:val="5B4B286D"/>
    <w:rsid w:val="5B4B5805"/>
    <w:rsid w:val="5B4D7EE9"/>
    <w:rsid w:val="5B4E23B3"/>
    <w:rsid w:val="5B532124"/>
    <w:rsid w:val="5B537784"/>
    <w:rsid w:val="5B542975"/>
    <w:rsid w:val="5B551238"/>
    <w:rsid w:val="5B555426"/>
    <w:rsid w:val="5B5714EF"/>
    <w:rsid w:val="5B584945"/>
    <w:rsid w:val="5B5A35B8"/>
    <w:rsid w:val="5B5A5EFE"/>
    <w:rsid w:val="5B5A6C28"/>
    <w:rsid w:val="5B5D45CE"/>
    <w:rsid w:val="5B5D7F4D"/>
    <w:rsid w:val="5B5F0820"/>
    <w:rsid w:val="5B622E69"/>
    <w:rsid w:val="5B632ABF"/>
    <w:rsid w:val="5B646BFF"/>
    <w:rsid w:val="5B647768"/>
    <w:rsid w:val="5B653525"/>
    <w:rsid w:val="5B656096"/>
    <w:rsid w:val="5B68446F"/>
    <w:rsid w:val="5B690FBF"/>
    <w:rsid w:val="5B6A1364"/>
    <w:rsid w:val="5B6B34FD"/>
    <w:rsid w:val="5B6B6AAD"/>
    <w:rsid w:val="5B6C0260"/>
    <w:rsid w:val="5B6C60C6"/>
    <w:rsid w:val="5B6C7B1A"/>
    <w:rsid w:val="5B6E46BC"/>
    <w:rsid w:val="5B6E6B8F"/>
    <w:rsid w:val="5B6F3AA9"/>
    <w:rsid w:val="5B702AC5"/>
    <w:rsid w:val="5B726782"/>
    <w:rsid w:val="5B745820"/>
    <w:rsid w:val="5B7641CC"/>
    <w:rsid w:val="5B77071E"/>
    <w:rsid w:val="5B770E54"/>
    <w:rsid w:val="5B785537"/>
    <w:rsid w:val="5B79346D"/>
    <w:rsid w:val="5B7935F2"/>
    <w:rsid w:val="5B793972"/>
    <w:rsid w:val="5B7A31F6"/>
    <w:rsid w:val="5B7B26DD"/>
    <w:rsid w:val="5B7B333C"/>
    <w:rsid w:val="5B7B3A96"/>
    <w:rsid w:val="5B7B51DE"/>
    <w:rsid w:val="5B7B62A4"/>
    <w:rsid w:val="5B7C4B71"/>
    <w:rsid w:val="5B7C4D6C"/>
    <w:rsid w:val="5B7D0F55"/>
    <w:rsid w:val="5B7D30BD"/>
    <w:rsid w:val="5B7D50D0"/>
    <w:rsid w:val="5B7D5608"/>
    <w:rsid w:val="5B7E563F"/>
    <w:rsid w:val="5B7F41C5"/>
    <w:rsid w:val="5B8110A7"/>
    <w:rsid w:val="5B8160EE"/>
    <w:rsid w:val="5B823367"/>
    <w:rsid w:val="5B850923"/>
    <w:rsid w:val="5B861B68"/>
    <w:rsid w:val="5B865183"/>
    <w:rsid w:val="5B871654"/>
    <w:rsid w:val="5B8935E0"/>
    <w:rsid w:val="5B8A52D7"/>
    <w:rsid w:val="5B8B056A"/>
    <w:rsid w:val="5B8B2607"/>
    <w:rsid w:val="5B8D04F0"/>
    <w:rsid w:val="5B8D5FED"/>
    <w:rsid w:val="5B8E0B92"/>
    <w:rsid w:val="5B8E4DC8"/>
    <w:rsid w:val="5B90143E"/>
    <w:rsid w:val="5B9036ED"/>
    <w:rsid w:val="5B914F1D"/>
    <w:rsid w:val="5B94588C"/>
    <w:rsid w:val="5B963D27"/>
    <w:rsid w:val="5B9673F7"/>
    <w:rsid w:val="5B9A5641"/>
    <w:rsid w:val="5B9A79FD"/>
    <w:rsid w:val="5B9F2F9A"/>
    <w:rsid w:val="5BA05D70"/>
    <w:rsid w:val="5BA06BC6"/>
    <w:rsid w:val="5BA20A4D"/>
    <w:rsid w:val="5BA302CC"/>
    <w:rsid w:val="5BA46B30"/>
    <w:rsid w:val="5BA54C2A"/>
    <w:rsid w:val="5BA61087"/>
    <w:rsid w:val="5BA67288"/>
    <w:rsid w:val="5BA70B10"/>
    <w:rsid w:val="5BA72CE5"/>
    <w:rsid w:val="5BAA7FA2"/>
    <w:rsid w:val="5BAC27E4"/>
    <w:rsid w:val="5BAC4F37"/>
    <w:rsid w:val="5BAD222A"/>
    <w:rsid w:val="5BAD55EC"/>
    <w:rsid w:val="5BAE5B41"/>
    <w:rsid w:val="5BAF6AE6"/>
    <w:rsid w:val="5BB948E2"/>
    <w:rsid w:val="5BBA691E"/>
    <w:rsid w:val="5BBC77EB"/>
    <w:rsid w:val="5BBD3BBC"/>
    <w:rsid w:val="5BBE3136"/>
    <w:rsid w:val="5BBF3047"/>
    <w:rsid w:val="5BBF7F5B"/>
    <w:rsid w:val="5BC00E43"/>
    <w:rsid w:val="5BC16969"/>
    <w:rsid w:val="5BC219D5"/>
    <w:rsid w:val="5BC341E2"/>
    <w:rsid w:val="5BC42FE5"/>
    <w:rsid w:val="5BC44E2F"/>
    <w:rsid w:val="5BC55341"/>
    <w:rsid w:val="5BC702EF"/>
    <w:rsid w:val="5BC73DB0"/>
    <w:rsid w:val="5BC84A3C"/>
    <w:rsid w:val="5BC86729"/>
    <w:rsid w:val="5BC95655"/>
    <w:rsid w:val="5BCE10EB"/>
    <w:rsid w:val="5BCE35A5"/>
    <w:rsid w:val="5BD00F29"/>
    <w:rsid w:val="5BD03526"/>
    <w:rsid w:val="5BD0502C"/>
    <w:rsid w:val="5BD11929"/>
    <w:rsid w:val="5BD13B0B"/>
    <w:rsid w:val="5BD26DC8"/>
    <w:rsid w:val="5BD32D0A"/>
    <w:rsid w:val="5BD43953"/>
    <w:rsid w:val="5BD4694A"/>
    <w:rsid w:val="5BD552E9"/>
    <w:rsid w:val="5BD61567"/>
    <w:rsid w:val="5BD643F7"/>
    <w:rsid w:val="5BD65E2C"/>
    <w:rsid w:val="5BD671F6"/>
    <w:rsid w:val="5BD743DE"/>
    <w:rsid w:val="5BD83E35"/>
    <w:rsid w:val="5BD84102"/>
    <w:rsid w:val="5BD85616"/>
    <w:rsid w:val="5BD874F7"/>
    <w:rsid w:val="5BDA4CDA"/>
    <w:rsid w:val="5BDB4667"/>
    <w:rsid w:val="5BDB490F"/>
    <w:rsid w:val="5BDB6A3D"/>
    <w:rsid w:val="5BDC73A1"/>
    <w:rsid w:val="5BDD4DEE"/>
    <w:rsid w:val="5BDE4E60"/>
    <w:rsid w:val="5BE06E39"/>
    <w:rsid w:val="5BE13491"/>
    <w:rsid w:val="5BE216A8"/>
    <w:rsid w:val="5BE32046"/>
    <w:rsid w:val="5BE333F6"/>
    <w:rsid w:val="5BE528A8"/>
    <w:rsid w:val="5BE7445D"/>
    <w:rsid w:val="5BE76009"/>
    <w:rsid w:val="5BE96B51"/>
    <w:rsid w:val="5BEB0321"/>
    <w:rsid w:val="5BEB556B"/>
    <w:rsid w:val="5BEB5712"/>
    <w:rsid w:val="5BEC6D54"/>
    <w:rsid w:val="5BED1ACF"/>
    <w:rsid w:val="5BEE4C1A"/>
    <w:rsid w:val="5BEE7BC6"/>
    <w:rsid w:val="5BEF23E4"/>
    <w:rsid w:val="5BEF5F42"/>
    <w:rsid w:val="5BF143BE"/>
    <w:rsid w:val="5BF56841"/>
    <w:rsid w:val="5BF568C4"/>
    <w:rsid w:val="5BF60B42"/>
    <w:rsid w:val="5BF7203E"/>
    <w:rsid w:val="5BF74973"/>
    <w:rsid w:val="5BF97DC5"/>
    <w:rsid w:val="5BFA68D1"/>
    <w:rsid w:val="5BFB023B"/>
    <w:rsid w:val="5BFB2A83"/>
    <w:rsid w:val="5BFB4DBB"/>
    <w:rsid w:val="5BFB57BC"/>
    <w:rsid w:val="5BFC0DD8"/>
    <w:rsid w:val="5BFC2F7F"/>
    <w:rsid w:val="5BFD7D86"/>
    <w:rsid w:val="5BFE4078"/>
    <w:rsid w:val="5BFE5E0F"/>
    <w:rsid w:val="5BFF1F0A"/>
    <w:rsid w:val="5BFF6F19"/>
    <w:rsid w:val="5C00373D"/>
    <w:rsid w:val="5C00645E"/>
    <w:rsid w:val="5C013A03"/>
    <w:rsid w:val="5C020EF8"/>
    <w:rsid w:val="5C024989"/>
    <w:rsid w:val="5C0431DC"/>
    <w:rsid w:val="5C091E31"/>
    <w:rsid w:val="5C0A085E"/>
    <w:rsid w:val="5C0A51C6"/>
    <w:rsid w:val="5C0B4437"/>
    <w:rsid w:val="5C0F432E"/>
    <w:rsid w:val="5C110A0D"/>
    <w:rsid w:val="5C115B42"/>
    <w:rsid w:val="5C1304BB"/>
    <w:rsid w:val="5C1348DE"/>
    <w:rsid w:val="5C141DB2"/>
    <w:rsid w:val="5C153347"/>
    <w:rsid w:val="5C180C7F"/>
    <w:rsid w:val="5C1813BA"/>
    <w:rsid w:val="5C184803"/>
    <w:rsid w:val="5C1B15A2"/>
    <w:rsid w:val="5C1E23FD"/>
    <w:rsid w:val="5C1F1DA5"/>
    <w:rsid w:val="5C1F22C4"/>
    <w:rsid w:val="5C1F546D"/>
    <w:rsid w:val="5C1F79C2"/>
    <w:rsid w:val="5C201CE2"/>
    <w:rsid w:val="5C2131EB"/>
    <w:rsid w:val="5C2230C4"/>
    <w:rsid w:val="5C2271C1"/>
    <w:rsid w:val="5C237311"/>
    <w:rsid w:val="5C2444E5"/>
    <w:rsid w:val="5C244F7B"/>
    <w:rsid w:val="5C2538E6"/>
    <w:rsid w:val="5C2572A9"/>
    <w:rsid w:val="5C261A6B"/>
    <w:rsid w:val="5C264F9A"/>
    <w:rsid w:val="5C271485"/>
    <w:rsid w:val="5C274FCC"/>
    <w:rsid w:val="5C292DA1"/>
    <w:rsid w:val="5C2A6C04"/>
    <w:rsid w:val="5C2B1E97"/>
    <w:rsid w:val="5C2B4371"/>
    <w:rsid w:val="5C2C0A97"/>
    <w:rsid w:val="5C2E4171"/>
    <w:rsid w:val="5C3015EE"/>
    <w:rsid w:val="5C3065DD"/>
    <w:rsid w:val="5C322C94"/>
    <w:rsid w:val="5C324B25"/>
    <w:rsid w:val="5C333275"/>
    <w:rsid w:val="5C334452"/>
    <w:rsid w:val="5C341831"/>
    <w:rsid w:val="5C344EC8"/>
    <w:rsid w:val="5C350269"/>
    <w:rsid w:val="5C3603CE"/>
    <w:rsid w:val="5C3627CD"/>
    <w:rsid w:val="5C3671D5"/>
    <w:rsid w:val="5C382C77"/>
    <w:rsid w:val="5C390668"/>
    <w:rsid w:val="5C391F0B"/>
    <w:rsid w:val="5C393BBC"/>
    <w:rsid w:val="5C3A0536"/>
    <w:rsid w:val="5C3A4E49"/>
    <w:rsid w:val="5C3C0290"/>
    <w:rsid w:val="5C3C119B"/>
    <w:rsid w:val="5C3C2D5A"/>
    <w:rsid w:val="5C3E0880"/>
    <w:rsid w:val="5C3E5889"/>
    <w:rsid w:val="5C40192E"/>
    <w:rsid w:val="5C42393C"/>
    <w:rsid w:val="5C431356"/>
    <w:rsid w:val="5C466019"/>
    <w:rsid w:val="5C466B3A"/>
    <w:rsid w:val="5C4B2013"/>
    <w:rsid w:val="5C4B3BE4"/>
    <w:rsid w:val="5C4D1B68"/>
    <w:rsid w:val="5C4D54E1"/>
    <w:rsid w:val="5C4F1611"/>
    <w:rsid w:val="5C4F2421"/>
    <w:rsid w:val="5C501329"/>
    <w:rsid w:val="5C505EF2"/>
    <w:rsid w:val="5C511DB1"/>
    <w:rsid w:val="5C524432"/>
    <w:rsid w:val="5C5305BE"/>
    <w:rsid w:val="5C5435CD"/>
    <w:rsid w:val="5C545FDA"/>
    <w:rsid w:val="5C57150F"/>
    <w:rsid w:val="5C590186"/>
    <w:rsid w:val="5C597479"/>
    <w:rsid w:val="5C5A53EE"/>
    <w:rsid w:val="5C5A7077"/>
    <w:rsid w:val="5C5B51DC"/>
    <w:rsid w:val="5C5B53DF"/>
    <w:rsid w:val="5C5B6202"/>
    <w:rsid w:val="5C5B6E35"/>
    <w:rsid w:val="5C5D4DE6"/>
    <w:rsid w:val="5C5E1628"/>
    <w:rsid w:val="5C5E5062"/>
    <w:rsid w:val="5C5F4B51"/>
    <w:rsid w:val="5C5F618B"/>
    <w:rsid w:val="5C605E56"/>
    <w:rsid w:val="5C613E94"/>
    <w:rsid w:val="5C6167B3"/>
    <w:rsid w:val="5C623A3D"/>
    <w:rsid w:val="5C623E8B"/>
    <w:rsid w:val="5C642116"/>
    <w:rsid w:val="5C646CFF"/>
    <w:rsid w:val="5C652E47"/>
    <w:rsid w:val="5C6647C2"/>
    <w:rsid w:val="5C665388"/>
    <w:rsid w:val="5C6658AA"/>
    <w:rsid w:val="5C6754AE"/>
    <w:rsid w:val="5C6756E0"/>
    <w:rsid w:val="5C684CA0"/>
    <w:rsid w:val="5C6905C0"/>
    <w:rsid w:val="5C69500C"/>
    <w:rsid w:val="5C6A0795"/>
    <w:rsid w:val="5C6B0169"/>
    <w:rsid w:val="5C6D6CE4"/>
    <w:rsid w:val="5C6F0796"/>
    <w:rsid w:val="5C6F1CC2"/>
    <w:rsid w:val="5C6F45F7"/>
    <w:rsid w:val="5C6F5C97"/>
    <w:rsid w:val="5C726A01"/>
    <w:rsid w:val="5C74002E"/>
    <w:rsid w:val="5C75499E"/>
    <w:rsid w:val="5C7551D0"/>
    <w:rsid w:val="5C790EB2"/>
    <w:rsid w:val="5C795318"/>
    <w:rsid w:val="5C7A252B"/>
    <w:rsid w:val="5C7A32BF"/>
    <w:rsid w:val="5C7B5AFE"/>
    <w:rsid w:val="5C7C42E1"/>
    <w:rsid w:val="5C7C4BF0"/>
    <w:rsid w:val="5C7C6F01"/>
    <w:rsid w:val="5C7D4BA2"/>
    <w:rsid w:val="5C7D6820"/>
    <w:rsid w:val="5C7E0366"/>
    <w:rsid w:val="5C7E2037"/>
    <w:rsid w:val="5C7E3BD1"/>
    <w:rsid w:val="5C7F545C"/>
    <w:rsid w:val="5C7F560E"/>
    <w:rsid w:val="5C82113B"/>
    <w:rsid w:val="5C833255"/>
    <w:rsid w:val="5C840C60"/>
    <w:rsid w:val="5C8475D0"/>
    <w:rsid w:val="5C8569D4"/>
    <w:rsid w:val="5C861A75"/>
    <w:rsid w:val="5C86777B"/>
    <w:rsid w:val="5C8879F9"/>
    <w:rsid w:val="5C887CC6"/>
    <w:rsid w:val="5C89091D"/>
    <w:rsid w:val="5C895859"/>
    <w:rsid w:val="5C8A274E"/>
    <w:rsid w:val="5C8A4D8B"/>
    <w:rsid w:val="5C8C5252"/>
    <w:rsid w:val="5C8C60DC"/>
    <w:rsid w:val="5C8E2134"/>
    <w:rsid w:val="5C8F299A"/>
    <w:rsid w:val="5C917CBA"/>
    <w:rsid w:val="5C922808"/>
    <w:rsid w:val="5C925BCE"/>
    <w:rsid w:val="5C925E6C"/>
    <w:rsid w:val="5C9323EF"/>
    <w:rsid w:val="5C960309"/>
    <w:rsid w:val="5C970D21"/>
    <w:rsid w:val="5C976196"/>
    <w:rsid w:val="5C994E88"/>
    <w:rsid w:val="5C9B1DEE"/>
    <w:rsid w:val="5C9D4D8C"/>
    <w:rsid w:val="5C9D7C3E"/>
    <w:rsid w:val="5C9F3C48"/>
    <w:rsid w:val="5C9F7B8F"/>
    <w:rsid w:val="5CA054DA"/>
    <w:rsid w:val="5CA1062E"/>
    <w:rsid w:val="5CA17CAE"/>
    <w:rsid w:val="5CA20248"/>
    <w:rsid w:val="5CA20D9C"/>
    <w:rsid w:val="5CA329F1"/>
    <w:rsid w:val="5CA34618"/>
    <w:rsid w:val="5CA34F2D"/>
    <w:rsid w:val="5CA352AA"/>
    <w:rsid w:val="5CA43184"/>
    <w:rsid w:val="5CA644DC"/>
    <w:rsid w:val="5CA72002"/>
    <w:rsid w:val="5CA87B5C"/>
    <w:rsid w:val="5CA94EAB"/>
    <w:rsid w:val="5CA95B5F"/>
    <w:rsid w:val="5CA96C07"/>
    <w:rsid w:val="5CAA45CA"/>
    <w:rsid w:val="5CB01B2C"/>
    <w:rsid w:val="5CB063A8"/>
    <w:rsid w:val="5CB06557"/>
    <w:rsid w:val="5CB07109"/>
    <w:rsid w:val="5CB12CBC"/>
    <w:rsid w:val="5CB14FB6"/>
    <w:rsid w:val="5CB16EE9"/>
    <w:rsid w:val="5CB32323"/>
    <w:rsid w:val="5CB336CA"/>
    <w:rsid w:val="5CB5511A"/>
    <w:rsid w:val="5CB75ED8"/>
    <w:rsid w:val="5CB95293"/>
    <w:rsid w:val="5CB96C39"/>
    <w:rsid w:val="5CBA0712"/>
    <w:rsid w:val="5CBA7173"/>
    <w:rsid w:val="5CBB09D3"/>
    <w:rsid w:val="5CBB7A3B"/>
    <w:rsid w:val="5CBC4FCE"/>
    <w:rsid w:val="5CBD5382"/>
    <w:rsid w:val="5CBD5463"/>
    <w:rsid w:val="5CBF75AC"/>
    <w:rsid w:val="5CC0421C"/>
    <w:rsid w:val="5CC05A4C"/>
    <w:rsid w:val="5CC06285"/>
    <w:rsid w:val="5CC064DB"/>
    <w:rsid w:val="5CC12077"/>
    <w:rsid w:val="5CC130C4"/>
    <w:rsid w:val="5CC153A6"/>
    <w:rsid w:val="5CC26192"/>
    <w:rsid w:val="5CC34A11"/>
    <w:rsid w:val="5CC35E84"/>
    <w:rsid w:val="5CC37588"/>
    <w:rsid w:val="5CC7617D"/>
    <w:rsid w:val="5CC77696"/>
    <w:rsid w:val="5CC87593"/>
    <w:rsid w:val="5CC90570"/>
    <w:rsid w:val="5CC9093D"/>
    <w:rsid w:val="5CCA2CB6"/>
    <w:rsid w:val="5CCA6255"/>
    <w:rsid w:val="5CCB21FD"/>
    <w:rsid w:val="5CCB2FA2"/>
    <w:rsid w:val="5CCE11A6"/>
    <w:rsid w:val="5CCE34E5"/>
    <w:rsid w:val="5CCF3A7E"/>
    <w:rsid w:val="5CCF70FE"/>
    <w:rsid w:val="5CD03A9E"/>
    <w:rsid w:val="5CD07398"/>
    <w:rsid w:val="5CD172E1"/>
    <w:rsid w:val="5CD17CE8"/>
    <w:rsid w:val="5CD3323C"/>
    <w:rsid w:val="5CD401C2"/>
    <w:rsid w:val="5CD436B7"/>
    <w:rsid w:val="5CD5091E"/>
    <w:rsid w:val="5CD517A4"/>
    <w:rsid w:val="5CD5428A"/>
    <w:rsid w:val="5CD5632F"/>
    <w:rsid w:val="5CD575BF"/>
    <w:rsid w:val="5CD62F96"/>
    <w:rsid w:val="5CD80498"/>
    <w:rsid w:val="5CD85A87"/>
    <w:rsid w:val="5CD8651F"/>
    <w:rsid w:val="5CD906DC"/>
    <w:rsid w:val="5CD95354"/>
    <w:rsid w:val="5CDA1B5D"/>
    <w:rsid w:val="5CDC0F5F"/>
    <w:rsid w:val="5CDC7EFE"/>
    <w:rsid w:val="5CDD00DA"/>
    <w:rsid w:val="5CDE05EE"/>
    <w:rsid w:val="5CDE162E"/>
    <w:rsid w:val="5CDE34A5"/>
    <w:rsid w:val="5CDF4EC8"/>
    <w:rsid w:val="5CE06901"/>
    <w:rsid w:val="5CE15FCD"/>
    <w:rsid w:val="5CE2128D"/>
    <w:rsid w:val="5CE24D79"/>
    <w:rsid w:val="5CE33773"/>
    <w:rsid w:val="5CE61CEE"/>
    <w:rsid w:val="5CE62F23"/>
    <w:rsid w:val="5CE83632"/>
    <w:rsid w:val="5CE85ABB"/>
    <w:rsid w:val="5CEA59C7"/>
    <w:rsid w:val="5CEC6AB1"/>
    <w:rsid w:val="5CED2DC1"/>
    <w:rsid w:val="5CED36E4"/>
    <w:rsid w:val="5CED3F19"/>
    <w:rsid w:val="5CF1035F"/>
    <w:rsid w:val="5CF42B83"/>
    <w:rsid w:val="5CF50185"/>
    <w:rsid w:val="5CF50388"/>
    <w:rsid w:val="5CF504AA"/>
    <w:rsid w:val="5CF628A9"/>
    <w:rsid w:val="5CF659BC"/>
    <w:rsid w:val="5CF748DC"/>
    <w:rsid w:val="5CF8481E"/>
    <w:rsid w:val="5CF9570A"/>
    <w:rsid w:val="5CF96B9D"/>
    <w:rsid w:val="5CFA0B6A"/>
    <w:rsid w:val="5CFB0902"/>
    <w:rsid w:val="5CFC40FC"/>
    <w:rsid w:val="5CFD7E74"/>
    <w:rsid w:val="5CFF1AF3"/>
    <w:rsid w:val="5CFF609E"/>
    <w:rsid w:val="5D022657"/>
    <w:rsid w:val="5D0609B0"/>
    <w:rsid w:val="5D06131D"/>
    <w:rsid w:val="5D0645C0"/>
    <w:rsid w:val="5D075AFE"/>
    <w:rsid w:val="5D080DF9"/>
    <w:rsid w:val="5D09542A"/>
    <w:rsid w:val="5D095FFC"/>
    <w:rsid w:val="5D09634A"/>
    <w:rsid w:val="5D0B519D"/>
    <w:rsid w:val="5D0B5D0D"/>
    <w:rsid w:val="5D0E2082"/>
    <w:rsid w:val="5D101956"/>
    <w:rsid w:val="5D106296"/>
    <w:rsid w:val="5D106CE9"/>
    <w:rsid w:val="5D107167"/>
    <w:rsid w:val="5D121BBC"/>
    <w:rsid w:val="5D1271C6"/>
    <w:rsid w:val="5D1310A9"/>
    <w:rsid w:val="5D131523"/>
    <w:rsid w:val="5D13168D"/>
    <w:rsid w:val="5D13234D"/>
    <w:rsid w:val="5D136B12"/>
    <w:rsid w:val="5D137394"/>
    <w:rsid w:val="5D17007A"/>
    <w:rsid w:val="5D176671"/>
    <w:rsid w:val="5D176AAA"/>
    <w:rsid w:val="5D184091"/>
    <w:rsid w:val="5D18445A"/>
    <w:rsid w:val="5D190C7F"/>
    <w:rsid w:val="5D191F06"/>
    <w:rsid w:val="5D1C2EF6"/>
    <w:rsid w:val="5D1E30A7"/>
    <w:rsid w:val="5D1F418E"/>
    <w:rsid w:val="5D2168B4"/>
    <w:rsid w:val="5D217535"/>
    <w:rsid w:val="5D2314E4"/>
    <w:rsid w:val="5D2359DB"/>
    <w:rsid w:val="5D247886"/>
    <w:rsid w:val="5D266842"/>
    <w:rsid w:val="5D2741F1"/>
    <w:rsid w:val="5D285924"/>
    <w:rsid w:val="5D292958"/>
    <w:rsid w:val="5D2B3A86"/>
    <w:rsid w:val="5D2B6375"/>
    <w:rsid w:val="5D2C1D82"/>
    <w:rsid w:val="5D2D017C"/>
    <w:rsid w:val="5D2D448C"/>
    <w:rsid w:val="5D2E4738"/>
    <w:rsid w:val="5D314138"/>
    <w:rsid w:val="5D3177BB"/>
    <w:rsid w:val="5D323FC2"/>
    <w:rsid w:val="5D380C78"/>
    <w:rsid w:val="5D3A1941"/>
    <w:rsid w:val="5D3A227C"/>
    <w:rsid w:val="5D3A5A32"/>
    <w:rsid w:val="5D3B6694"/>
    <w:rsid w:val="5D3C04FD"/>
    <w:rsid w:val="5D3C6102"/>
    <w:rsid w:val="5D3C7F8F"/>
    <w:rsid w:val="5D3D23CD"/>
    <w:rsid w:val="5D3D35A2"/>
    <w:rsid w:val="5D3D778B"/>
    <w:rsid w:val="5D3F0654"/>
    <w:rsid w:val="5D3F3B47"/>
    <w:rsid w:val="5D41777A"/>
    <w:rsid w:val="5D427B73"/>
    <w:rsid w:val="5D436FB5"/>
    <w:rsid w:val="5D443FC0"/>
    <w:rsid w:val="5D444C6C"/>
    <w:rsid w:val="5D4456FE"/>
    <w:rsid w:val="5D445C70"/>
    <w:rsid w:val="5D44750E"/>
    <w:rsid w:val="5D4502EE"/>
    <w:rsid w:val="5D451261"/>
    <w:rsid w:val="5D4542A9"/>
    <w:rsid w:val="5D464F1C"/>
    <w:rsid w:val="5D473561"/>
    <w:rsid w:val="5D490BF4"/>
    <w:rsid w:val="5D490F13"/>
    <w:rsid w:val="5D4A0EED"/>
    <w:rsid w:val="5D4B2883"/>
    <w:rsid w:val="5D5062C9"/>
    <w:rsid w:val="5D541B87"/>
    <w:rsid w:val="5D552B7C"/>
    <w:rsid w:val="5D567F70"/>
    <w:rsid w:val="5D5A0707"/>
    <w:rsid w:val="5D5A704F"/>
    <w:rsid w:val="5D5B6A14"/>
    <w:rsid w:val="5D5C046C"/>
    <w:rsid w:val="5D5D3DBD"/>
    <w:rsid w:val="5D5E4568"/>
    <w:rsid w:val="5D5F09E0"/>
    <w:rsid w:val="5D5F1AC7"/>
    <w:rsid w:val="5D5F5654"/>
    <w:rsid w:val="5D5F7B3C"/>
    <w:rsid w:val="5D62735F"/>
    <w:rsid w:val="5D652034"/>
    <w:rsid w:val="5D661B98"/>
    <w:rsid w:val="5D673F12"/>
    <w:rsid w:val="5D676822"/>
    <w:rsid w:val="5D692EA0"/>
    <w:rsid w:val="5D6B07A3"/>
    <w:rsid w:val="5D6B17F6"/>
    <w:rsid w:val="5D6B31A7"/>
    <w:rsid w:val="5D6B61E4"/>
    <w:rsid w:val="5D6C1FC4"/>
    <w:rsid w:val="5D6C312F"/>
    <w:rsid w:val="5D6D5FA1"/>
    <w:rsid w:val="5D6D707E"/>
    <w:rsid w:val="5D6E34A7"/>
    <w:rsid w:val="5D6E6D44"/>
    <w:rsid w:val="5D6F5A3B"/>
    <w:rsid w:val="5D7033B6"/>
    <w:rsid w:val="5D703DC9"/>
    <w:rsid w:val="5D711DA6"/>
    <w:rsid w:val="5D714C1E"/>
    <w:rsid w:val="5D716FAF"/>
    <w:rsid w:val="5D72385B"/>
    <w:rsid w:val="5D7335A5"/>
    <w:rsid w:val="5D734D7F"/>
    <w:rsid w:val="5D7374E4"/>
    <w:rsid w:val="5D744906"/>
    <w:rsid w:val="5D7562EA"/>
    <w:rsid w:val="5D7627C7"/>
    <w:rsid w:val="5D763175"/>
    <w:rsid w:val="5D7744D9"/>
    <w:rsid w:val="5D774542"/>
    <w:rsid w:val="5D787EB8"/>
    <w:rsid w:val="5D792994"/>
    <w:rsid w:val="5D7A1223"/>
    <w:rsid w:val="5D7A3E83"/>
    <w:rsid w:val="5D7A662F"/>
    <w:rsid w:val="5D7B3CB4"/>
    <w:rsid w:val="5D7C6094"/>
    <w:rsid w:val="5D7D1C68"/>
    <w:rsid w:val="5D7F36A7"/>
    <w:rsid w:val="5D7F7BBF"/>
    <w:rsid w:val="5D801D71"/>
    <w:rsid w:val="5D804E4D"/>
    <w:rsid w:val="5D816E7A"/>
    <w:rsid w:val="5D820585"/>
    <w:rsid w:val="5D823810"/>
    <w:rsid w:val="5D825D18"/>
    <w:rsid w:val="5D8441AE"/>
    <w:rsid w:val="5D8622E7"/>
    <w:rsid w:val="5D8A1A35"/>
    <w:rsid w:val="5D8A4633"/>
    <w:rsid w:val="5D8C769B"/>
    <w:rsid w:val="5D8D742A"/>
    <w:rsid w:val="5D8F5F35"/>
    <w:rsid w:val="5D8F7CCF"/>
    <w:rsid w:val="5D910D95"/>
    <w:rsid w:val="5D911106"/>
    <w:rsid w:val="5D9249FB"/>
    <w:rsid w:val="5D935EDA"/>
    <w:rsid w:val="5D9576BD"/>
    <w:rsid w:val="5D966726"/>
    <w:rsid w:val="5D967352"/>
    <w:rsid w:val="5D9923AF"/>
    <w:rsid w:val="5D9B7117"/>
    <w:rsid w:val="5D9C158A"/>
    <w:rsid w:val="5D9C1FA0"/>
    <w:rsid w:val="5D9C4C84"/>
    <w:rsid w:val="5D9E24AF"/>
    <w:rsid w:val="5DA04B23"/>
    <w:rsid w:val="5DA05B0D"/>
    <w:rsid w:val="5DA15359"/>
    <w:rsid w:val="5DA35AE2"/>
    <w:rsid w:val="5DA402F0"/>
    <w:rsid w:val="5DA4166D"/>
    <w:rsid w:val="5DA42214"/>
    <w:rsid w:val="5DA61866"/>
    <w:rsid w:val="5DA62C46"/>
    <w:rsid w:val="5DA76D5E"/>
    <w:rsid w:val="5DA82366"/>
    <w:rsid w:val="5DA933E3"/>
    <w:rsid w:val="5DAA2ED1"/>
    <w:rsid w:val="5DAA3B58"/>
    <w:rsid w:val="5DAA3F2A"/>
    <w:rsid w:val="5DAB4E83"/>
    <w:rsid w:val="5DAC0222"/>
    <w:rsid w:val="5DAD23A1"/>
    <w:rsid w:val="5DAE425E"/>
    <w:rsid w:val="5DAE6197"/>
    <w:rsid w:val="5DAE641D"/>
    <w:rsid w:val="5DAE7F7C"/>
    <w:rsid w:val="5DAF088B"/>
    <w:rsid w:val="5DAF116F"/>
    <w:rsid w:val="5DAF1B1E"/>
    <w:rsid w:val="5DB1128E"/>
    <w:rsid w:val="5DB17F94"/>
    <w:rsid w:val="5DB207EA"/>
    <w:rsid w:val="5DB2371D"/>
    <w:rsid w:val="5DB50BB9"/>
    <w:rsid w:val="5DB533A2"/>
    <w:rsid w:val="5DB53D20"/>
    <w:rsid w:val="5DB70D97"/>
    <w:rsid w:val="5DB830EA"/>
    <w:rsid w:val="5DB85DBE"/>
    <w:rsid w:val="5DB94C0B"/>
    <w:rsid w:val="5DBB7922"/>
    <w:rsid w:val="5DBC4D17"/>
    <w:rsid w:val="5DBD7CA0"/>
    <w:rsid w:val="5DBF1ED2"/>
    <w:rsid w:val="5DC027B1"/>
    <w:rsid w:val="5DC2245C"/>
    <w:rsid w:val="5DC56A0C"/>
    <w:rsid w:val="5DC64A40"/>
    <w:rsid w:val="5DC66D0D"/>
    <w:rsid w:val="5DC672CA"/>
    <w:rsid w:val="5DC81DB3"/>
    <w:rsid w:val="5DC821C4"/>
    <w:rsid w:val="5DC828E8"/>
    <w:rsid w:val="5DC94546"/>
    <w:rsid w:val="5DCB64C3"/>
    <w:rsid w:val="5DCC769B"/>
    <w:rsid w:val="5DCE2EA5"/>
    <w:rsid w:val="5DD021DC"/>
    <w:rsid w:val="5DD03620"/>
    <w:rsid w:val="5DD07CEB"/>
    <w:rsid w:val="5DD15187"/>
    <w:rsid w:val="5DD35C01"/>
    <w:rsid w:val="5DD36AED"/>
    <w:rsid w:val="5DD72944"/>
    <w:rsid w:val="5DD82384"/>
    <w:rsid w:val="5DD844CC"/>
    <w:rsid w:val="5DD97268"/>
    <w:rsid w:val="5DDA04BD"/>
    <w:rsid w:val="5DDA5236"/>
    <w:rsid w:val="5DDB7E53"/>
    <w:rsid w:val="5DDC15F7"/>
    <w:rsid w:val="5DDC48C0"/>
    <w:rsid w:val="5DDD2180"/>
    <w:rsid w:val="5DDD477F"/>
    <w:rsid w:val="5DDE735C"/>
    <w:rsid w:val="5DDF153C"/>
    <w:rsid w:val="5DDF202F"/>
    <w:rsid w:val="5DE1696E"/>
    <w:rsid w:val="5DE223F4"/>
    <w:rsid w:val="5DE41B1D"/>
    <w:rsid w:val="5DE47BA2"/>
    <w:rsid w:val="5DE51680"/>
    <w:rsid w:val="5DE663F9"/>
    <w:rsid w:val="5DE82209"/>
    <w:rsid w:val="5DE82BBF"/>
    <w:rsid w:val="5DEB0E40"/>
    <w:rsid w:val="5DEB35E9"/>
    <w:rsid w:val="5DEB6FFC"/>
    <w:rsid w:val="5DED0F3C"/>
    <w:rsid w:val="5DED1C97"/>
    <w:rsid w:val="5DED7C8E"/>
    <w:rsid w:val="5DEE0465"/>
    <w:rsid w:val="5DEE193E"/>
    <w:rsid w:val="5DEE53BB"/>
    <w:rsid w:val="5DEE610F"/>
    <w:rsid w:val="5DEF1A9D"/>
    <w:rsid w:val="5DEF2AA3"/>
    <w:rsid w:val="5DEF2BAF"/>
    <w:rsid w:val="5DEF6D0D"/>
    <w:rsid w:val="5DF03411"/>
    <w:rsid w:val="5DF216BB"/>
    <w:rsid w:val="5DF36B65"/>
    <w:rsid w:val="5DF63241"/>
    <w:rsid w:val="5DF660E2"/>
    <w:rsid w:val="5DF725B7"/>
    <w:rsid w:val="5DF85036"/>
    <w:rsid w:val="5DF92CED"/>
    <w:rsid w:val="5DF96BF3"/>
    <w:rsid w:val="5DFB736C"/>
    <w:rsid w:val="5DFC1061"/>
    <w:rsid w:val="5DFC2EC2"/>
    <w:rsid w:val="5DFD0069"/>
    <w:rsid w:val="5DFD11EC"/>
    <w:rsid w:val="5DFD5554"/>
    <w:rsid w:val="5DFF6095"/>
    <w:rsid w:val="5E0038A7"/>
    <w:rsid w:val="5E0064CD"/>
    <w:rsid w:val="5E00710A"/>
    <w:rsid w:val="5E00739B"/>
    <w:rsid w:val="5E053654"/>
    <w:rsid w:val="5E060B11"/>
    <w:rsid w:val="5E071F21"/>
    <w:rsid w:val="5E0835BD"/>
    <w:rsid w:val="5E09194B"/>
    <w:rsid w:val="5E096277"/>
    <w:rsid w:val="5E0975A8"/>
    <w:rsid w:val="5E0A6545"/>
    <w:rsid w:val="5E0B7C3A"/>
    <w:rsid w:val="5E0F5974"/>
    <w:rsid w:val="5E103450"/>
    <w:rsid w:val="5E11009F"/>
    <w:rsid w:val="5E112839"/>
    <w:rsid w:val="5E11426A"/>
    <w:rsid w:val="5E126169"/>
    <w:rsid w:val="5E133992"/>
    <w:rsid w:val="5E140358"/>
    <w:rsid w:val="5E150D73"/>
    <w:rsid w:val="5E152030"/>
    <w:rsid w:val="5E16358F"/>
    <w:rsid w:val="5E177589"/>
    <w:rsid w:val="5E184B70"/>
    <w:rsid w:val="5E185137"/>
    <w:rsid w:val="5E195418"/>
    <w:rsid w:val="5E196FDD"/>
    <w:rsid w:val="5E197C64"/>
    <w:rsid w:val="5E1A5344"/>
    <w:rsid w:val="5E1C0630"/>
    <w:rsid w:val="5E1C7BED"/>
    <w:rsid w:val="5E1D0D8E"/>
    <w:rsid w:val="5E1D1C84"/>
    <w:rsid w:val="5E1D510C"/>
    <w:rsid w:val="5E1E00A2"/>
    <w:rsid w:val="5E1E55B6"/>
    <w:rsid w:val="5E1F19C0"/>
    <w:rsid w:val="5E21402D"/>
    <w:rsid w:val="5E224000"/>
    <w:rsid w:val="5E22594D"/>
    <w:rsid w:val="5E255489"/>
    <w:rsid w:val="5E2620E8"/>
    <w:rsid w:val="5E2828C2"/>
    <w:rsid w:val="5E292293"/>
    <w:rsid w:val="5E29765C"/>
    <w:rsid w:val="5E2A784C"/>
    <w:rsid w:val="5E2B5B54"/>
    <w:rsid w:val="5E2B6B98"/>
    <w:rsid w:val="5E2B7893"/>
    <w:rsid w:val="5E2C3A0E"/>
    <w:rsid w:val="5E2C6030"/>
    <w:rsid w:val="5E2D5CB7"/>
    <w:rsid w:val="5E2E5F31"/>
    <w:rsid w:val="5E305C33"/>
    <w:rsid w:val="5E306AAB"/>
    <w:rsid w:val="5E3220E7"/>
    <w:rsid w:val="5E323C38"/>
    <w:rsid w:val="5E3405FB"/>
    <w:rsid w:val="5E34302E"/>
    <w:rsid w:val="5E352AD2"/>
    <w:rsid w:val="5E360B34"/>
    <w:rsid w:val="5E381705"/>
    <w:rsid w:val="5E3B1B66"/>
    <w:rsid w:val="5E3B4503"/>
    <w:rsid w:val="5E3B59B4"/>
    <w:rsid w:val="5E3D0500"/>
    <w:rsid w:val="5E3D3534"/>
    <w:rsid w:val="5E3D4042"/>
    <w:rsid w:val="5E3D6338"/>
    <w:rsid w:val="5E3E3201"/>
    <w:rsid w:val="5E3F4DDB"/>
    <w:rsid w:val="5E402893"/>
    <w:rsid w:val="5E420055"/>
    <w:rsid w:val="5E424BC0"/>
    <w:rsid w:val="5E424D0A"/>
    <w:rsid w:val="5E444078"/>
    <w:rsid w:val="5E4440D7"/>
    <w:rsid w:val="5E445FAB"/>
    <w:rsid w:val="5E4476A0"/>
    <w:rsid w:val="5E451501"/>
    <w:rsid w:val="5E453F66"/>
    <w:rsid w:val="5E4544CF"/>
    <w:rsid w:val="5E473B34"/>
    <w:rsid w:val="5E473E8F"/>
    <w:rsid w:val="5E476233"/>
    <w:rsid w:val="5E477F1C"/>
    <w:rsid w:val="5E48511F"/>
    <w:rsid w:val="5E485EC0"/>
    <w:rsid w:val="5E494A0F"/>
    <w:rsid w:val="5E4D2F95"/>
    <w:rsid w:val="5E4D7D79"/>
    <w:rsid w:val="5E504151"/>
    <w:rsid w:val="5E5154BA"/>
    <w:rsid w:val="5E5212FE"/>
    <w:rsid w:val="5E525DF6"/>
    <w:rsid w:val="5E527FF4"/>
    <w:rsid w:val="5E5500BB"/>
    <w:rsid w:val="5E565274"/>
    <w:rsid w:val="5E5A488F"/>
    <w:rsid w:val="5E5C58AA"/>
    <w:rsid w:val="5E5F1A16"/>
    <w:rsid w:val="5E5F2157"/>
    <w:rsid w:val="5E5F6236"/>
    <w:rsid w:val="5E60690D"/>
    <w:rsid w:val="5E6104EC"/>
    <w:rsid w:val="5E610B52"/>
    <w:rsid w:val="5E620097"/>
    <w:rsid w:val="5E6202E5"/>
    <w:rsid w:val="5E621D31"/>
    <w:rsid w:val="5E662127"/>
    <w:rsid w:val="5E674344"/>
    <w:rsid w:val="5E685027"/>
    <w:rsid w:val="5E692260"/>
    <w:rsid w:val="5E6A01FB"/>
    <w:rsid w:val="5E6C2ED2"/>
    <w:rsid w:val="5E6C51B6"/>
    <w:rsid w:val="5E6D65E6"/>
    <w:rsid w:val="5E6D7DF3"/>
    <w:rsid w:val="5E7141E6"/>
    <w:rsid w:val="5E715446"/>
    <w:rsid w:val="5E715556"/>
    <w:rsid w:val="5E765FB5"/>
    <w:rsid w:val="5E774898"/>
    <w:rsid w:val="5E78162C"/>
    <w:rsid w:val="5E781E1E"/>
    <w:rsid w:val="5E781FD1"/>
    <w:rsid w:val="5E796D2A"/>
    <w:rsid w:val="5E7B1995"/>
    <w:rsid w:val="5E7B7B6D"/>
    <w:rsid w:val="5E7C640A"/>
    <w:rsid w:val="5E7D1584"/>
    <w:rsid w:val="5E8053ED"/>
    <w:rsid w:val="5E8125F3"/>
    <w:rsid w:val="5E82182D"/>
    <w:rsid w:val="5E8311B4"/>
    <w:rsid w:val="5E833C13"/>
    <w:rsid w:val="5E842BC1"/>
    <w:rsid w:val="5E885FEA"/>
    <w:rsid w:val="5E895D2C"/>
    <w:rsid w:val="5E8A2B64"/>
    <w:rsid w:val="5E8A7E82"/>
    <w:rsid w:val="5E8B1F19"/>
    <w:rsid w:val="5E8E2EA6"/>
    <w:rsid w:val="5E924E39"/>
    <w:rsid w:val="5E940A12"/>
    <w:rsid w:val="5E951DE2"/>
    <w:rsid w:val="5E954265"/>
    <w:rsid w:val="5E962CB2"/>
    <w:rsid w:val="5E973592"/>
    <w:rsid w:val="5E980D1F"/>
    <w:rsid w:val="5E9A05B6"/>
    <w:rsid w:val="5E9A3D77"/>
    <w:rsid w:val="5E9A5863"/>
    <w:rsid w:val="5E9A7ACC"/>
    <w:rsid w:val="5E9B7BE0"/>
    <w:rsid w:val="5E9C24E5"/>
    <w:rsid w:val="5E9C2C1B"/>
    <w:rsid w:val="5E9C35DE"/>
    <w:rsid w:val="5E9D19DC"/>
    <w:rsid w:val="5E9E6673"/>
    <w:rsid w:val="5E9F1DB2"/>
    <w:rsid w:val="5E9F4C3F"/>
    <w:rsid w:val="5EA017AE"/>
    <w:rsid w:val="5EA14683"/>
    <w:rsid w:val="5EA167DD"/>
    <w:rsid w:val="5EA17C7D"/>
    <w:rsid w:val="5EA20E35"/>
    <w:rsid w:val="5EA20EE2"/>
    <w:rsid w:val="5EA37559"/>
    <w:rsid w:val="5EA42C3A"/>
    <w:rsid w:val="5EA52601"/>
    <w:rsid w:val="5EA6669F"/>
    <w:rsid w:val="5EA71ED7"/>
    <w:rsid w:val="5EA753C6"/>
    <w:rsid w:val="5EA76EE0"/>
    <w:rsid w:val="5EA84AC3"/>
    <w:rsid w:val="5EA96BD8"/>
    <w:rsid w:val="5EAA489E"/>
    <w:rsid w:val="5EAC0950"/>
    <w:rsid w:val="5EAC3129"/>
    <w:rsid w:val="5EAD1AE1"/>
    <w:rsid w:val="5EAE46C0"/>
    <w:rsid w:val="5EAE51E0"/>
    <w:rsid w:val="5EAF396B"/>
    <w:rsid w:val="5EB15895"/>
    <w:rsid w:val="5EB20096"/>
    <w:rsid w:val="5EB24BA4"/>
    <w:rsid w:val="5EB278D5"/>
    <w:rsid w:val="5EB47418"/>
    <w:rsid w:val="5EB54DDB"/>
    <w:rsid w:val="5EB63D3F"/>
    <w:rsid w:val="5EB63F4D"/>
    <w:rsid w:val="5EB715CB"/>
    <w:rsid w:val="5EB71F93"/>
    <w:rsid w:val="5EB7323A"/>
    <w:rsid w:val="5EB767CF"/>
    <w:rsid w:val="5EB76991"/>
    <w:rsid w:val="5EB824A7"/>
    <w:rsid w:val="5EB8295B"/>
    <w:rsid w:val="5EB85817"/>
    <w:rsid w:val="5EB868D4"/>
    <w:rsid w:val="5EB90543"/>
    <w:rsid w:val="5EB93798"/>
    <w:rsid w:val="5EBA4C97"/>
    <w:rsid w:val="5EBA7349"/>
    <w:rsid w:val="5EBB3008"/>
    <w:rsid w:val="5EBC32C3"/>
    <w:rsid w:val="5EBD4BE0"/>
    <w:rsid w:val="5EBE2D51"/>
    <w:rsid w:val="5EC03ED3"/>
    <w:rsid w:val="5EC04399"/>
    <w:rsid w:val="5EC064BC"/>
    <w:rsid w:val="5EC065F2"/>
    <w:rsid w:val="5EC10CF6"/>
    <w:rsid w:val="5EC51F9E"/>
    <w:rsid w:val="5EC6783E"/>
    <w:rsid w:val="5EC8603E"/>
    <w:rsid w:val="5ECA341F"/>
    <w:rsid w:val="5ECA610D"/>
    <w:rsid w:val="5ECB6759"/>
    <w:rsid w:val="5ECB6E3F"/>
    <w:rsid w:val="5ECC178F"/>
    <w:rsid w:val="5ECD69E3"/>
    <w:rsid w:val="5ECF0F1E"/>
    <w:rsid w:val="5ECF2662"/>
    <w:rsid w:val="5ECF274A"/>
    <w:rsid w:val="5ED012C7"/>
    <w:rsid w:val="5ED077E3"/>
    <w:rsid w:val="5ED15687"/>
    <w:rsid w:val="5ED2038A"/>
    <w:rsid w:val="5ED20B6F"/>
    <w:rsid w:val="5ED24F0E"/>
    <w:rsid w:val="5ED25AFA"/>
    <w:rsid w:val="5ED3094B"/>
    <w:rsid w:val="5ED32F72"/>
    <w:rsid w:val="5ED52E57"/>
    <w:rsid w:val="5ED5446C"/>
    <w:rsid w:val="5ED5580D"/>
    <w:rsid w:val="5ED66DBB"/>
    <w:rsid w:val="5ED77DE1"/>
    <w:rsid w:val="5EDA0178"/>
    <w:rsid w:val="5EDA68B2"/>
    <w:rsid w:val="5EDA6D96"/>
    <w:rsid w:val="5EDF7381"/>
    <w:rsid w:val="5EE21B54"/>
    <w:rsid w:val="5EE260F6"/>
    <w:rsid w:val="5EE507FC"/>
    <w:rsid w:val="5EE52AB4"/>
    <w:rsid w:val="5EE5753E"/>
    <w:rsid w:val="5EE703F0"/>
    <w:rsid w:val="5EE75003"/>
    <w:rsid w:val="5EE926A9"/>
    <w:rsid w:val="5EEA03EF"/>
    <w:rsid w:val="5EEA1183"/>
    <w:rsid w:val="5EEA208C"/>
    <w:rsid w:val="5EEA32FC"/>
    <w:rsid w:val="5EEA6B6D"/>
    <w:rsid w:val="5EEC5625"/>
    <w:rsid w:val="5EEC6888"/>
    <w:rsid w:val="5EED36DC"/>
    <w:rsid w:val="5EF40CA9"/>
    <w:rsid w:val="5EF4340C"/>
    <w:rsid w:val="5EF44E64"/>
    <w:rsid w:val="5EF62013"/>
    <w:rsid w:val="5EF64CAE"/>
    <w:rsid w:val="5EF64DDB"/>
    <w:rsid w:val="5EF8226E"/>
    <w:rsid w:val="5EF84D97"/>
    <w:rsid w:val="5EFB1B53"/>
    <w:rsid w:val="5EFC0847"/>
    <w:rsid w:val="5F0054DC"/>
    <w:rsid w:val="5F010E06"/>
    <w:rsid w:val="5F0228E5"/>
    <w:rsid w:val="5F032A6B"/>
    <w:rsid w:val="5F034596"/>
    <w:rsid w:val="5F036EF0"/>
    <w:rsid w:val="5F050952"/>
    <w:rsid w:val="5F07191B"/>
    <w:rsid w:val="5F071F45"/>
    <w:rsid w:val="5F0A446A"/>
    <w:rsid w:val="5F0A5408"/>
    <w:rsid w:val="5F0B35E7"/>
    <w:rsid w:val="5F0B3FCB"/>
    <w:rsid w:val="5F0B5C41"/>
    <w:rsid w:val="5F0B7DA9"/>
    <w:rsid w:val="5F0C25F1"/>
    <w:rsid w:val="5F0C3060"/>
    <w:rsid w:val="5F0C40D1"/>
    <w:rsid w:val="5F0D4E11"/>
    <w:rsid w:val="5F0E45BB"/>
    <w:rsid w:val="5F0F19C1"/>
    <w:rsid w:val="5F0F7512"/>
    <w:rsid w:val="5F104CE7"/>
    <w:rsid w:val="5F125059"/>
    <w:rsid w:val="5F125AC4"/>
    <w:rsid w:val="5F13000A"/>
    <w:rsid w:val="5F145FA5"/>
    <w:rsid w:val="5F1516B2"/>
    <w:rsid w:val="5F154DBE"/>
    <w:rsid w:val="5F165266"/>
    <w:rsid w:val="5F16735C"/>
    <w:rsid w:val="5F18737F"/>
    <w:rsid w:val="5F19702A"/>
    <w:rsid w:val="5F1A4659"/>
    <w:rsid w:val="5F1B42DE"/>
    <w:rsid w:val="5F1C4231"/>
    <w:rsid w:val="5F1E2626"/>
    <w:rsid w:val="5F1E2BA0"/>
    <w:rsid w:val="5F1F2431"/>
    <w:rsid w:val="5F1F332C"/>
    <w:rsid w:val="5F205D1E"/>
    <w:rsid w:val="5F223D86"/>
    <w:rsid w:val="5F232525"/>
    <w:rsid w:val="5F237FD9"/>
    <w:rsid w:val="5F242A99"/>
    <w:rsid w:val="5F247D34"/>
    <w:rsid w:val="5F2511C4"/>
    <w:rsid w:val="5F2553E7"/>
    <w:rsid w:val="5F256F3F"/>
    <w:rsid w:val="5F266D5B"/>
    <w:rsid w:val="5F2A1955"/>
    <w:rsid w:val="5F2B212F"/>
    <w:rsid w:val="5F2C3B56"/>
    <w:rsid w:val="5F2E0174"/>
    <w:rsid w:val="5F2E6012"/>
    <w:rsid w:val="5F2F3484"/>
    <w:rsid w:val="5F306759"/>
    <w:rsid w:val="5F312917"/>
    <w:rsid w:val="5F326A1C"/>
    <w:rsid w:val="5F327115"/>
    <w:rsid w:val="5F343F36"/>
    <w:rsid w:val="5F350EC0"/>
    <w:rsid w:val="5F355608"/>
    <w:rsid w:val="5F35723A"/>
    <w:rsid w:val="5F380A56"/>
    <w:rsid w:val="5F3A045C"/>
    <w:rsid w:val="5F3A75A8"/>
    <w:rsid w:val="5F3A7801"/>
    <w:rsid w:val="5F3C662E"/>
    <w:rsid w:val="5F3C6D9C"/>
    <w:rsid w:val="5F3D45B0"/>
    <w:rsid w:val="5F3D51F0"/>
    <w:rsid w:val="5F3E0894"/>
    <w:rsid w:val="5F3E230E"/>
    <w:rsid w:val="5F3E6A61"/>
    <w:rsid w:val="5F3E7D16"/>
    <w:rsid w:val="5F4104EC"/>
    <w:rsid w:val="5F415918"/>
    <w:rsid w:val="5F44049E"/>
    <w:rsid w:val="5F443529"/>
    <w:rsid w:val="5F452F2A"/>
    <w:rsid w:val="5F4934CB"/>
    <w:rsid w:val="5F4964FE"/>
    <w:rsid w:val="5F4A14A0"/>
    <w:rsid w:val="5F4B7F07"/>
    <w:rsid w:val="5F4D7D41"/>
    <w:rsid w:val="5F4F25DB"/>
    <w:rsid w:val="5F50365D"/>
    <w:rsid w:val="5F522C39"/>
    <w:rsid w:val="5F52529E"/>
    <w:rsid w:val="5F5314C3"/>
    <w:rsid w:val="5F532C99"/>
    <w:rsid w:val="5F540F4F"/>
    <w:rsid w:val="5F54154F"/>
    <w:rsid w:val="5F543DF3"/>
    <w:rsid w:val="5F545C85"/>
    <w:rsid w:val="5F555DEC"/>
    <w:rsid w:val="5F5563D5"/>
    <w:rsid w:val="5F563B1A"/>
    <w:rsid w:val="5F5652C4"/>
    <w:rsid w:val="5F594571"/>
    <w:rsid w:val="5F5A6127"/>
    <w:rsid w:val="5F5E4657"/>
    <w:rsid w:val="5F5E6F20"/>
    <w:rsid w:val="5F5F53F9"/>
    <w:rsid w:val="5F60061E"/>
    <w:rsid w:val="5F6008C3"/>
    <w:rsid w:val="5F6030FF"/>
    <w:rsid w:val="5F60331F"/>
    <w:rsid w:val="5F606546"/>
    <w:rsid w:val="5F6143D3"/>
    <w:rsid w:val="5F614EBD"/>
    <w:rsid w:val="5F650831"/>
    <w:rsid w:val="5F66580F"/>
    <w:rsid w:val="5F667774"/>
    <w:rsid w:val="5F695105"/>
    <w:rsid w:val="5F6A26B8"/>
    <w:rsid w:val="5F6A66A9"/>
    <w:rsid w:val="5F6C20F3"/>
    <w:rsid w:val="5F6C45B5"/>
    <w:rsid w:val="5F6E64CF"/>
    <w:rsid w:val="5F70746A"/>
    <w:rsid w:val="5F7162BE"/>
    <w:rsid w:val="5F733C6D"/>
    <w:rsid w:val="5F751D93"/>
    <w:rsid w:val="5F76562C"/>
    <w:rsid w:val="5F7727D4"/>
    <w:rsid w:val="5F77380B"/>
    <w:rsid w:val="5F7742D7"/>
    <w:rsid w:val="5F785B2A"/>
    <w:rsid w:val="5F7929BD"/>
    <w:rsid w:val="5F7A6D1D"/>
    <w:rsid w:val="5F7B4388"/>
    <w:rsid w:val="5F7B5CBA"/>
    <w:rsid w:val="5F7B7CAA"/>
    <w:rsid w:val="5F7C6DCE"/>
    <w:rsid w:val="5F7D016D"/>
    <w:rsid w:val="5F7E6396"/>
    <w:rsid w:val="5F803A8F"/>
    <w:rsid w:val="5F8131BD"/>
    <w:rsid w:val="5F8140E2"/>
    <w:rsid w:val="5F8252A0"/>
    <w:rsid w:val="5F825B77"/>
    <w:rsid w:val="5F831592"/>
    <w:rsid w:val="5F83483C"/>
    <w:rsid w:val="5F8417FB"/>
    <w:rsid w:val="5F8446F5"/>
    <w:rsid w:val="5F84515A"/>
    <w:rsid w:val="5F874F8E"/>
    <w:rsid w:val="5F8925D6"/>
    <w:rsid w:val="5F8933D4"/>
    <w:rsid w:val="5F8C0873"/>
    <w:rsid w:val="5F8E3F33"/>
    <w:rsid w:val="5F8F1635"/>
    <w:rsid w:val="5F8F7EB6"/>
    <w:rsid w:val="5F9002C5"/>
    <w:rsid w:val="5F906452"/>
    <w:rsid w:val="5F911DFA"/>
    <w:rsid w:val="5F916313"/>
    <w:rsid w:val="5F9216E1"/>
    <w:rsid w:val="5F927E57"/>
    <w:rsid w:val="5F937621"/>
    <w:rsid w:val="5F9429C3"/>
    <w:rsid w:val="5F945433"/>
    <w:rsid w:val="5F95058C"/>
    <w:rsid w:val="5F97010C"/>
    <w:rsid w:val="5F970543"/>
    <w:rsid w:val="5F981508"/>
    <w:rsid w:val="5F986FF9"/>
    <w:rsid w:val="5F987AC7"/>
    <w:rsid w:val="5F991129"/>
    <w:rsid w:val="5F9A048A"/>
    <w:rsid w:val="5F9A635A"/>
    <w:rsid w:val="5F9D2A36"/>
    <w:rsid w:val="5F9D4375"/>
    <w:rsid w:val="5F9D6CF7"/>
    <w:rsid w:val="5F9F20A6"/>
    <w:rsid w:val="5FA02F8F"/>
    <w:rsid w:val="5FA2532E"/>
    <w:rsid w:val="5FA3381E"/>
    <w:rsid w:val="5FA42829"/>
    <w:rsid w:val="5FA840C8"/>
    <w:rsid w:val="5FAA046E"/>
    <w:rsid w:val="5FAD09A9"/>
    <w:rsid w:val="5FAE1155"/>
    <w:rsid w:val="5FAE5370"/>
    <w:rsid w:val="5FAE7F5E"/>
    <w:rsid w:val="5FAF204C"/>
    <w:rsid w:val="5FAF2302"/>
    <w:rsid w:val="5FB04C89"/>
    <w:rsid w:val="5FB24F46"/>
    <w:rsid w:val="5FB35281"/>
    <w:rsid w:val="5FB43D44"/>
    <w:rsid w:val="5FB46EFB"/>
    <w:rsid w:val="5FB52142"/>
    <w:rsid w:val="5FB54700"/>
    <w:rsid w:val="5FB54A36"/>
    <w:rsid w:val="5FB65E91"/>
    <w:rsid w:val="5FB7255D"/>
    <w:rsid w:val="5FB73ADE"/>
    <w:rsid w:val="5FB77B94"/>
    <w:rsid w:val="5FB804A6"/>
    <w:rsid w:val="5FB85F18"/>
    <w:rsid w:val="5FB871DA"/>
    <w:rsid w:val="5FB914B3"/>
    <w:rsid w:val="5FB97BEC"/>
    <w:rsid w:val="5FBA28FA"/>
    <w:rsid w:val="5FBA595B"/>
    <w:rsid w:val="5FBA5D0C"/>
    <w:rsid w:val="5FBC77AD"/>
    <w:rsid w:val="5FBF2475"/>
    <w:rsid w:val="5FC06DB5"/>
    <w:rsid w:val="5FC133DB"/>
    <w:rsid w:val="5FC313F1"/>
    <w:rsid w:val="5FC45D35"/>
    <w:rsid w:val="5FCA121E"/>
    <w:rsid w:val="5FCA534B"/>
    <w:rsid w:val="5FCB7748"/>
    <w:rsid w:val="5FCC7137"/>
    <w:rsid w:val="5FCD471F"/>
    <w:rsid w:val="5FCE0F1E"/>
    <w:rsid w:val="5FCE4CBF"/>
    <w:rsid w:val="5FCE6F14"/>
    <w:rsid w:val="5FCF2D5B"/>
    <w:rsid w:val="5FCF710A"/>
    <w:rsid w:val="5FD02E5F"/>
    <w:rsid w:val="5FD23D28"/>
    <w:rsid w:val="5FD3307C"/>
    <w:rsid w:val="5FD41BC5"/>
    <w:rsid w:val="5FD52CD2"/>
    <w:rsid w:val="5FD6424A"/>
    <w:rsid w:val="5FD70F10"/>
    <w:rsid w:val="5FD91BE3"/>
    <w:rsid w:val="5FD93C99"/>
    <w:rsid w:val="5FDA4ADD"/>
    <w:rsid w:val="5FDA5A49"/>
    <w:rsid w:val="5FDB468D"/>
    <w:rsid w:val="5FDF7007"/>
    <w:rsid w:val="5FE1663B"/>
    <w:rsid w:val="5FE177B4"/>
    <w:rsid w:val="5FE3434F"/>
    <w:rsid w:val="5FE42D89"/>
    <w:rsid w:val="5FE44D59"/>
    <w:rsid w:val="5FE561B5"/>
    <w:rsid w:val="5FE61094"/>
    <w:rsid w:val="5FE715AF"/>
    <w:rsid w:val="5FE76BF0"/>
    <w:rsid w:val="5FE84A2B"/>
    <w:rsid w:val="5FE8756A"/>
    <w:rsid w:val="5FE9517E"/>
    <w:rsid w:val="5FEA349E"/>
    <w:rsid w:val="5FEA6394"/>
    <w:rsid w:val="5FEA6E38"/>
    <w:rsid w:val="5FEB03B5"/>
    <w:rsid w:val="5FEB4346"/>
    <w:rsid w:val="5FEF5B9B"/>
    <w:rsid w:val="5FF05295"/>
    <w:rsid w:val="5FF12CC7"/>
    <w:rsid w:val="5FF2344D"/>
    <w:rsid w:val="5FF331A4"/>
    <w:rsid w:val="5FF427FF"/>
    <w:rsid w:val="5FF43B46"/>
    <w:rsid w:val="5FF464BF"/>
    <w:rsid w:val="5FF61B9E"/>
    <w:rsid w:val="5FF774ED"/>
    <w:rsid w:val="5FFA0811"/>
    <w:rsid w:val="5FFA5345"/>
    <w:rsid w:val="5FFB4DB9"/>
    <w:rsid w:val="5FFC0420"/>
    <w:rsid w:val="5FFC2C35"/>
    <w:rsid w:val="5FFC4B99"/>
    <w:rsid w:val="5FFE1D9D"/>
    <w:rsid w:val="5FFF18D9"/>
    <w:rsid w:val="60000B9F"/>
    <w:rsid w:val="60011D18"/>
    <w:rsid w:val="60017045"/>
    <w:rsid w:val="60025256"/>
    <w:rsid w:val="600334E8"/>
    <w:rsid w:val="60035B57"/>
    <w:rsid w:val="60043DEF"/>
    <w:rsid w:val="60046FD7"/>
    <w:rsid w:val="60051AE5"/>
    <w:rsid w:val="60062105"/>
    <w:rsid w:val="60065D84"/>
    <w:rsid w:val="60066213"/>
    <w:rsid w:val="60082049"/>
    <w:rsid w:val="60082641"/>
    <w:rsid w:val="60084182"/>
    <w:rsid w:val="600849A1"/>
    <w:rsid w:val="60086B74"/>
    <w:rsid w:val="6009147A"/>
    <w:rsid w:val="6009224F"/>
    <w:rsid w:val="600A04D9"/>
    <w:rsid w:val="600A6D33"/>
    <w:rsid w:val="600B6D5F"/>
    <w:rsid w:val="600B78DB"/>
    <w:rsid w:val="600D1414"/>
    <w:rsid w:val="600E0A3C"/>
    <w:rsid w:val="600E0F63"/>
    <w:rsid w:val="60107EBF"/>
    <w:rsid w:val="6012145B"/>
    <w:rsid w:val="601216EB"/>
    <w:rsid w:val="60125A0E"/>
    <w:rsid w:val="6013234F"/>
    <w:rsid w:val="60140941"/>
    <w:rsid w:val="601426E9"/>
    <w:rsid w:val="60143000"/>
    <w:rsid w:val="60151626"/>
    <w:rsid w:val="60156998"/>
    <w:rsid w:val="60156E31"/>
    <w:rsid w:val="60176DC9"/>
    <w:rsid w:val="60187669"/>
    <w:rsid w:val="60191290"/>
    <w:rsid w:val="601C5BF4"/>
    <w:rsid w:val="601D272C"/>
    <w:rsid w:val="601D6A76"/>
    <w:rsid w:val="601F718C"/>
    <w:rsid w:val="60214EB1"/>
    <w:rsid w:val="6022111A"/>
    <w:rsid w:val="60255718"/>
    <w:rsid w:val="60255EBF"/>
    <w:rsid w:val="602816AC"/>
    <w:rsid w:val="602B10D2"/>
    <w:rsid w:val="602B5882"/>
    <w:rsid w:val="602C15DF"/>
    <w:rsid w:val="602D2AAB"/>
    <w:rsid w:val="602D5A02"/>
    <w:rsid w:val="602E0E91"/>
    <w:rsid w:val="602F3358"/>
    <w:rsid w:val="602F57DC"/>
    <w:rsid w:val="60315F2B"/>
    <w:rsid w:val="6031784A"/>
    <w:rsid w:val="60325EAB"/>
    <w:rsid w:val="60326879"/>
    <w:rsid w:val="60331859"/>
    <w:rsid w:val="60331860"/>
    <w:rsid w:val="60346A5F"/>
    <w:rsid w:val="60353952"/>
    <w:rsid w:val="60383C32"/>
    <w:rsid w:val="603841C5"/>
    <w:rsid w:val="60385BCE"/>
    <w:rsid w:val="60390D9C"/>
    <w:rsid w:val="603B3811"/>
    <w:rsid w:val="603C1492"/>
    <w:rsid w:val="603C4F45"/>
    <w:rsid w:val="603C5333"/>
    <w:rsid w:val="603D6DB7"/>
    <w:rsid w:val="603D6F06"/>
    <w:rsid w:val="604063C0"/>
    <w:rsid w:val="604076B1"/>
    <w:rsid w:val="60411483"/>
    <w:rsid w:val="60412847"/>
    <w:rsid w:val="6042481A"/>
    <w:rsid w:val="60441C21"/>
    <w:rsid w:val="604459A9"/>
    <w:rsid w:val="6045778F"/>
    <w:rsid w:val="60470B9C"/>
    <w:rsid w:val="60470CE0"/>
    <w:rsid w:val="60471A17"/>
    <w:rsid w:val="6047442B"/>
    <w:rsid w:val="604B47C2"/>
    <w:rsid w:val="604B61C9"/>
    <w:rsid w:val="604C365E"/>
    <w:rsid w:val="604D3404"/>
    <w:rsid w:val="604D4773"/>
    <w:rsid w:val="604D7BD0"/>
    <w:rsid w:val="60502E32"/>
    <w:rsid w:val="6051709B"/>
    <w:rsid w:val="6052159C"/>
    <w:rsid w:val="60522285"/>
    <w:rsid w:val="60536F7F"/>
    <w:rsid w:val="60541A5D"/>
    <w:rsid w:val="605424A1"/>
    <w:rsid w:val="60544FF5"/>
    <w:rsid w:val="60545664"/>
    <w:rsid w:val="6054746E"/>
    <w:rsid w:val="605503F1"/>
    <w:rsid w:val="60550D9C"/>
    <w:rsid w:val="60553E5B"/>
    <w:rsid w:val="60555D62"/>
    <w:rsid w:val="60556138"/>
    <w:rsid w:val="60564A62"/>
    <w:rsid w:val="6057792D"/>
    <w:rsid w:val="60581D57"/>
    <w:rsid w:val="60583D23"/>
    <w:rsid w:val="60583E6E"/>
    <w:rsid w:val="6059757B"/>
    <w:rsid w:val="605A1FB1"/>
    <w:rsid w:val="605A4FD1"/>
    <w:rsid w:val="605B363A"/>
    <w:rsid w:val="605C3184"/>
    <w:rsid w:val="605D6A6C"/>
    <w:rsid w:val="605F1577"/>
    <w:rsid w:val="605F292F"/>
    <w:rsid w:val="6060312A"/>
    <w:rsid w:val="60603E77"/>
    <w:rsid w:val="606058A6"/>
    <w:rsid w:val="606063E8"/>
    <w:rsid w:val="60614416"/>
    <w:rsid w:val="6063440B"/>
    <w:rsid w:val="60644415"/>
    <w:rsid w:val="606447B7"/>
    <w:rsid w:val="606454DA"/>
    <w:rsid w:val="60663C75"/>
    <w:rsid w:val="6066795F"/>
    <w:rsid w:val="606813DB"/>
    <w:rsid w:val="60681A88"/>
    <w:rsid w:val="60683F42"/>
    <w:rsid w:val="60690C08"/>
    <w:rsid w:val="6069374C"/>
    <w:rsid w:val="60693C01"/>
    <w:rsid w:val="606A26EA"/>
    <w:rsid w:val="606A446B"/>
    <w:rsid w:val="606A52D8"/>
    <w:rsid w:val="606B3C15"/>
    <w:rsid w:val="606B7896"/>
    <w:rsid w:val="606B7DC0"/>
    <w:rsid w:val="606D13C6"/>
    <w:rsid w:val="606D7B57"/>
    <w:rsid w:val="606F21FD"/>
    <w:rsid w:val="6071095D"/>
    <w:rsid w:val="60711FB2"/>
    <w:rsid w:val="60717705"/>
    <w:rsid w:val="60723D5C"/>
    <w:rsid w:val="60732B6E"/>
    <w:rsid w:val="607332FD"/>
    <w:rsid w:val="6073555A"/>
    <w:rsid w:val="60743781"/>
    <w:rsid w:val="607543C6"/>
    <w:rsid w:val="607633B6"/>
    <w:rsid w:val="60767414"/>
    <w:rsid w:val="607855EE"/>
    <w:rsid w:val="607B0D19"/>
    <w:rsid w:val="607D2B6E"/>
    <w:rsid w:val="607F4727"/>
    <w:rsid w:val="607F4CC2"/>
    <w:rsid w:val="608026AC"/>
    <w:rsid w:val="6080280B"/>
    <w:rsid w:val="60804ADE"/>
    <w:rsid w:val="60807E50"/>
    <w:rsid w:val="60823521"/>
    <w:rsid w:val="60823F2D"/>
    <w:rsid w:val="60843AD5"/>
    <w:rsid w:val="60845AF8"/>
    <w:rsid w:val="60845F3F"/>
    <w:rsid w:val="60850566"/>
    <w:rsid w:val="6085304E"/>
    <w:rsid w:val="60860128"/>
    <w:rsid w:val="60862A50"/>
    <w:rsid w:val="60872920"/>
    <w:rsid w:val="60872EB9"/>
    <w:rsid w:val="60881AA0"/>
    <w:rsid w:val="60894803"/>
    <w:rsid w:val="608A2EF4"/>
    <w:rsid w:val="608C3A44"/>
    <w:rsid w:val="608C56C2"/>
    <w:rsid w:val="608D10CD"/>
    <w:rsid w:val="608E6D6C"/>
    <w:rsid w:val="609166D1"/>
    <w:rsid w:val="609256C9"/>
    <w:rsid w:val="6092756E"/>
    <w:rsid w:val="60932A98"/>
    <w:rsid w:val="60935322"/>
    <w:rsid w:val="60945CB9"/>
    <w:rsid w:val="609624FE"/>
    <w:rsid w:val="60984BCB"/>
    <w:rsid w:val="609B2485"/>
    <w:rsid w:val="609B59DA"/>
    <w:rsid w:val="609B7768"/>
    <w:rsid w:val="609C44CE"/>
    <w:rsid w:val="609C4C8A"/>
    <w:rsid w:val="609D493D"/>
    <w:rsid w:val="609D7827"/>
    <w:rsid w:val="609E7A36"/>
    <w:rsid w:val="60A1490E"/>
    <w:rsid w:val="60A249AE"/>
    <w:rsid w:val="60A350E1"/>
    <w:rsid w:val="60A35E54"/>
    <w:rsid w:val="60A50FC5"/>
    <w:rsid w:val="60A64382"/>
    <w:rsid w:val="60A75742"/>
    <w:rsid w:val="60A92383"/>
    <w:rsid w:val="60A94708"/>
    <w:rsid w:val="60A97CC3"/>
    <w:rsid w:val="60AA3E6F"/>
    <w:rsid w:val="60AA638C"/>
    <w:rsid w:val="60AC253D"/>
    <w:rsid w:val="60AC27F9"/>
    <w:rsid w:val="60AC4C28"/>
    <w:rsid w:val="60AC52AE"/>
    <w:rsid w:val="60AD1DC4"/>
    <w:rsid w:val="60AD743D"/>
    <w:rsid w:val="60AE1AAA"/>
    <w:rsid w:val="60AE333B"/>
    <w:rsid w:val="60B05FFA"/>
    <w:rsid w:val="60B12BA0"/>
    <w:rsid w:val="60B151FE"/>
    <w:rsid w:val="60B33AF0"/>
    <w:rsid w:val="60B56839"/>
    <w:rsid w:val="60B62DF6"/>
    <w:rsid w:val="60B66BEE"/>
    <w:rsid w:val="60B7629E"/>
    <w:rsid w:val="60B763B0"/>
    <w:rsid w:val="60B87F78"/>
    <w:rsid w:val="60BA28E5"/>
    <w:rsid w:val="60BC14F8"/>
    <w:rsid w:val="60BC2609"/>
    <w:rsid w:val="60BC2FCB"/>
    <w:rsid w:val="60BC3573"/>
    <w:rsid w:val="60BD0047"/>
    <w:rsid w:val="60BD18D9"/>
    <w:rsid w:val="60BD4F71"/>
    <w:rsid w:val="60BE5601"/>
    <w:rsid w:val="60C050AF"/>
    <w:rsid w:val="60C15067"/>
    <w:rsid w:val="60C229EE"/>
    <w:rsid w:val="60C30C01"/>
    <w:rsid w:val="60C4100B"/>
    <w:rsid w:val="60C47B05"/>
    <w:rsid w:val="60C746DC"/>
    <w:rsid w:val="60C7745F"/>
    <w:rsid w:val="60C775E0"/>
    <w:rsid w:val="60C864BC"/>
    <w:rsid w:val="60C90FB3"/>
    <w:rsid w:val="60C93A27"/>
    <w:rsid w:val="60CA6A02"/>
    <w:rsid w:val="60CC1A24"/>
    <w:rsid w:val="60CE24D7"/>
    <w:rsid w:val="60D05E27"/>
    <w:rsid w:val="60D1015B"/>
    <w:rsid w:val="60D1450C"/>
    <w:rsid w:val="60D22D1C"/>
    <w:rsid w:val="60D237B6"/>
    <w:rsid w:val="60D4075C"/>
    <w:rsid w:val="60D44E55"/>
    <w:rsid w:val="60D61108"/>
    <w:rsid w:val="60D61325"/>
    <w:rsid w:val="60D8794C"/>
    <w:rsid w:val="60D94C7A"/>
    <w:rsid w:val="60D961F0"/>
    <w:rsid w:val="60DA57F3"/>
    <w:rsid w:val="60DA7855"/>
    <w:rsid w:val="60DB172E"/>
    <w:rsid w:val="60DB6684"/>
    <w:rsid w:val="60DC28C1"/>
    <w:rsid w:val="60DE7A73"/>
    <w:rsid w:val="60DF136F"/>
    <w:rsid w:val="60DF430A"/>
    <w:rsid w:val="60E02696"/>
    <w:rsid w:val="60E0420C"/>
    <w:rsid w:val="60E07959"/>
    <w:rsid w:val="60E12847"/>
    <w:rsid w:val="60E1685E"/>
    <w:rsid w:val="60E2226B"/>
    <w:rsid w:val="60E320DB"/>
    <w:rsid w:val="60E34553"/>
    <w:rsid w:val="60E34830"/>
    <w:rsid w:val="60E34F4E"/>
    <w:rsid w:val="60E40B87"/>
    <w:rsid w:val="60E514E1"/>
    <w:rsid w:val="60E637C2"/>
    <w:rsid w:val="60E70207"/>
    <w:rsid w:val="60E9341C"/>
    <w:rsid w:val="60EA55FF"/>
    <w:rsid w:val="60EB0D7C"/>
    <w:rsid w:val="60EB3260"/>
    <w:rsid w:val="60EC22C1"/>
    <w:rsid w:val="60EC5775"/>
    <w:rsid w:val="60ED2219"/>
    <w:rsid w:val="60ED295E"/>
    <w:rsid w:val="60ED5F8E"/>
    <w:rsid w:val="60EE67D3"/>
    <w:rsid w:val="60EF1ECC"/>
    <w:rsid w:val="60EF47FE"/>
    <w:rsid w:val="60F13A7F"/>
    <w:rsid w:val="60F1402D"/>
    <w:rsid w:val="60F148CB"/>
    <w:rsid w:val="60F245DA"/>
    <w:rsid w:val="60F255CC"/>
    <w:rsid w:val="60F344E8"/>
    <w:rsid w:val="60F45B56"/>
    <w:rsid w:val="60F50B67"/>
    <w:rsid w:val="60F56B69"/>
    <w:rsid w:val="60F60FC6"/>
    <w:rsid w:val="60F75C84"/>
    <w:rsid w:val="60F8065A"/>
    <w:rsid w:val="60F810EF"/>
    <w:rsid w:val="60F83A26"/>
    <w:rsid w:val="60F93B48"/>
    <w:rsid w:val="60F95867"/>
    <w:rsid w:val="60FA4FD0"/>
    <w:rsid w:val="60FB003A"/>
    <w:rsid w:val="60FE5389"/>
    <w:rsid w:val="60FE7336"/>
    <w:rsid w:val="60FF6C3C"/>
    <w:rsid w:val="610047A4"/>
    <w:rsid w:val="61015BE8"/>
    <w:rsid w:val="610369CE"/>
    <w:rsid w:val="610434DE"/>
    <w:rsid w:val="610508D3"/>
    <w:rsid w:val="61051566"/>
    <w:rsid w:val="61073070"/>
    <w:rsid w:val="610A7539"/>
    <w:rsid w:val="610B2792"/>
    <w:rsid w:val="610B58A0"/>
    <w:rsid w:val="610B76D1"/>
    <w:rsid w:val="610C3F56"/>
    <w:rsid w:val="610E35A5"/>
    <w:rsid w:val="610F43A8"/>
    <w:rsid w:val="611122AC"/>
    <w:rsid w:val="611132D8"/>
    <w:rsid w:val="61113E67"/>
    <w:rsid w:val="611159DB"/>
    <w:rsid w:val="61116D85"/>
    <w:rsid w:val="61117E6B"/>
    <w:rsid w:val="61122606"/>
    <w:rsid w:val="611242A1"/>
    <w:rsid w:val="61126AAC"/>
    <w:rsid w:val="61140344"/>
    <w:rsid w:val="61143232"/>
    <w:rsid w:val="61151279"/>
    <w:rsid w:val="61152409"/>
    <w:rsid w:val="61162814"/>
    <w:rsid w:val="61167A2E"/>
    <w:rsid w:val="611853ED"/>
    <w:rsid w:val="61190FA1"/>
    <w:rsid w:val="61194498"/>
    <w:rsid w:val="6119793F"/>
    <w:rsid w:val="611C179C"/>
    <w:rsid w:val="611E4577"/>
    <w:rsid w:val="611E4D1A"/>
    <w:rsid w:val="612131DD"/>
    <w:rsid w:val="612141B2"/>
    <w:rsid w:val="61215D0F"/>
    <w:rsid w:val="61223243"/>
    <w:rsid w:val="61237F84"/>
    <w:rsid w:val="61245484"/>
    <w:rsid w:val="612705C7"/>
    <w:rsid w:val="61282EE1"/>
    <w:rsid w:val="612831B4"/>
    <w:rsid w:val="612D62DF"/>
    <w:rsid w:val="612D73B8"/>
    <w:rsid w:val="613249BE"/>
    <w:rsid w:val="613318FD"/>
    <w:rsid w:val="613329F7"/>
    <w:rsid w:val="6133313A"/>
    <w:rsid w:val="6133411C"/>
    <w:rsid w:val="613349B6"/>
    <w:rsid w:val="6134513B"/>
    <w:rsid w:val="6134673B"/>
    <w:rsid w:val="613512B7"/>
    <w:rsid w:val="61367CA8"/>
    <w:rsid w:val="61374254"/>
    <w:rsid w:val="613A4002"/>
    <w:rsid w:val="613B10C4"/>
    <w:rsid w:val="613B3E1F"/>
    <w:rsid w:val="613C3B3A"/>
    <w:rsid w:val="613D108C"/>
    <w:rsid w:val="613D1607"/>
    <w:rsid w:val="613D4F5C"/>
    <w:rsid w:val="613D6EF1"/>
    <w:rsid w:val="61403889"/>
    <w:rsid w:val="614150AB"/>
    <w:rsid w:val="6142510D"/>
    <w:rsid w:val="6143127A"/>
    <w:rsid w:val="614377DD"/>
    <w:rsid w:val="61442407"/>
    <w:rsid w:val="614452D3"/>
    <w:rsid w:val="61447800"/>
    <w:rsid w:val="61457E68"/>
    <w:rsid w:val="61467C77"/>
    <w:rsid w:val="614718D6"/>
    <w:rsid w:val="61484EF4"/>
    <w:rsid w:val="61491705"/>
    <w:rsid w:val="614936E9"/>
    <w:rsid w:val="614B3ABF"/>
    <w:rsid w:val="614C15B0"/>
    <w:rsid w:val="614E3908"/>
    <w:rsid w:val="614F1B89"/>
    <w:rsid w:val="61507D23"/>
    <w:rsid w:val="615102A5"/>
    <w:rsid w:val="61513421"/>
    <w:rsid w:val="61522A8B"/>
    <w:rsid w:val="615A2E2D"/>
    <w:rsid w:val="615A3AE7"/>
    <w:rsid w:val="615B0E7C"/>
    <w:rsid w:val="615B308E"/>
    <w:rsid w:val="615B3DCB"/>
    <w:rsid w:val="615B6389"/>
    <w:rsid w:val="615E24D3"/>
    <w:rsid w:val="61603314"/>
    <w:rsid w:val="61606BD1"/>
    <w:rsid w:val="61612F6C"/>
    <w:rsid w:val="616238CC"/>
    <w:rsid w:val="616260C3"/>
    <w:rsid w:val="61645E1E"/>
    <w:rsid w:val="616511EE"/>
    <w:rsid w:val="61652761"/>
    <w:rsid w:val="616562E0"/>
    <w:rsid w:val="61677D10"/>
    <w:rsid w:val="616927D7"/>
    <w:rsid w:val="616A497A"/>
    <w:rsid w:val="616B7E57"/>
    <w:rsid w:val="616C5B8D"/>
    <w:rsid w:val="616D1523"/>
    <w:rsid w:val="616D7365"/>
    <w:rsid w:val="6170299F"/>
    <w:rsid w:val="617050B9"/>
    <w:rsid w:val="61735A58"/>
    <w:rsid w:val="61736957"/>
    <w:rsid w:val="61736DC9"/>
    <w:rsid w:val="617453B3"/>
    <w:rsid w:val="6175614A"/>
    <w:rsid w:val="61760D78"/>
    <w:rsid w:val="61762670"/>
    <w:rsid w:val="617674CE"/>
    <w:rsid w:val="61784C76"/>
    <w:rsid w:val="61791FA1"/>
    <w:rsid w:val="61795184"/>
    <w:rsid w:val="617957BE"/>
    <w:rsid w:val="617A7837"/>
    <w:rsid w:val="617A7CE6"/>
    <w:rsid w:val="617C12C0"/>
    <w:rsid w:val="617C1CB0"/>
    <w:rsid w:val="617C3106"/>
    <w:rsid w:val="617D181A"/>
    <w:rsid w:val="617E6D30"/>
    <w:rsid w:val="617E796C"/>
    <w:rsid w:val="617F1CC7"/>
    <w:rsid w:val="617F40FF"/>
    <w:rsid w:val="617F5DFC"/>
    <w:rsid w:val="61810AF5"/>
    <w:rsid w:val="6181342D"/>
    <w:rsid w:val="61854A83"/>
    <w:rsid w:val="618620EA"/>
    <w:rsid w:val="618717AA"/>
    <w:rsid w:val="61876922"/>
    <w:rsid w:val="61887DBE"/>
    <w:rsid w:val="6189269C"/>
    <w:rsid w:val="61896F3D"/>
    <w:rsid w:val="61897467"/>
    <w:rsid w:val="618B0764"/>
    <w:rsid w:val="618B41D8"/>
    <w:rsid w:val="618C1BAA"/>
    <w:rsid w:val="618D4786"/>
    <w:rsid w:val="618D7BCB"/>
    <w:rsid w:val="618E0EA9"/>
    <w:rsid w:val="619079CF"/>
    <w:rsid w:val="619322C1"/>
    <w:rsid w:val="6193288C"/>
    <w:rsid w:val="619519DB"/>
    <w:rsid w:val="619560DC"/>
    <w:rsid w:val="619651B4"/>
    <w:rsid w:val="61967AEC"/>
    <w:rsid w:val="61976E8B"/>
    <w:rsid w:val="61994610"/>
    <w:rsid w:val="619A6190"/>
    <w:rsid w:val="619B0ADB"/>
    <w:rsid w:val="619C24F5"/>
    <w:rsid w:val="619D056C"/>
    <w:rsid w:val="619D37BF"/>
    <w:rsid w:val="619D784A"/>
    <w:rsid w:val="619D7B5E"/>
    <w:rsid w:val="619E3D1C"/>
    <w:rsid w:val="619F4F2B"/>
    <w:rsid w:val="61A10838"/>
    <w:rsid w:val="61A139D4"/>
    <w:rsid w:val="61A15A59"/>
    <w:rsid w:val="61A171A2"/>
    <w:rsid w:val="61A22E70"/>
    <w:rsid w:val="61A34C42"/>
    <w:rsid w:val="61A36202"/>
    <w:rsid w:val="61A50DCF"/>
    <w:rsid w:val="61A548E5"/>
    <w:rsid w:val="61A601A5"/>
    <w:rsid w:val="61A678BD"/>
    <w:rsid w:val="61A7582A"/>
    <w:rsid w:val="61A82A1C"/>
    <w:rsid w:val="61AA34F9"/>
    <w:rsid w:val="61AC5240"/>
    <w:rsid w:val="61AF60EA"/>
    <w:rsid w:val="61B07353"/>
    <w:rsid w:val="61B12CD5"/>
    <w:rsid w:val="61B43DE4"/>
    <w:rsid w:val="61B45B51"/>
    <w:rsid w:val="61B62375"/>
    <w:rsid w:val="61B954A9"/>
    <w:rsid w:val="61B95535"/>
    <w:rsid w:val="61B96A89"/>
    <w:rsid w:val="61BC3DE1"/>
    <w:rsid w:val="61BC498E"/>
    <w:rsid w:val="61BE0E33"/>
    <w:rsid w:val="61C0299F"/>
    <w:rsid w:val="61C14A70"/>
    <w:rsid w:val="61C210BD"/>
    <w:rsid w:val="61C31175"/>
    <w:rsid w:val="61C43CC1"/>
    <w:rsid w:val="61C53838"/>
    <w:rsid w:val="61C62815"/>
    <w:rsid w:val="61C70453"/>
    <w:rsid w:val="61C859A1"/>
    <w:rsid w:val="61C8673E"/>
    <w:rsid w:val="61CA3163"/>
    <w:rsid w:val="61CC2648"/>
    <w:rsid w:val="61CC637C"/>
    <w:rsid w:val="61CE56EE"/>
    <w:rsid w:val="61CE704F"/>
    <w:rsid w:val="61CF0097"/>
    <w:rsid w:val="61CF2574"/>
    <w:rsid w:val="61D11CA2"/>
    <w:rsid w:val="61D35DF9"/>
    <w:rsid w:val="61D50DC3"/>
    <w:rsid w:val="61D51516"/>
    <w:rsid w:val="61D51AC6"/>
    <w:rsid w:val="61D53125"/>
    <w:rsid w:val="61D62432"/>
    <w:rsid w:val="61D64082"/>
    <w:rsid w:val="61D66587"/>
    <w:rsid w:val="61D707CA"/>
    <w:rsid w:val="61D82F7A"/>
    <w:rsid w:val="61D83750"/>
    <w:rsid w:val="61D94DAC"/>
    <w:rsid w:val="61D9565D"/>
    <w:rsid w:val="61DC48F1"/>
    <w:rsid w:val="61DD012C"/>
    <w:rsid w:val="61DD1F0D"/>
    <w:rsid w:val="61DD4573"/>
    <w:rsid w:val="61DE2FAF"/>
    <w:rsid w:val="61E16F6E"/>
    <w:rsid w:val="61E17D65"/>
    <w:rsid w:val="61E21230"/>
    <w:rsid w:val="61E23677"/>
    <w:rsid w:val="61E23876"/>
    <w:rsid w:val="61E35AE7"/>
    <w:rsid w:val="61E433AE"/>
    <w:rsid w:val="61E5120A"/>
    <w:rsid w:val="61E54777"/>
    <w:rsid w:val="61E62A03"/>
    <w:rsid w:val="61E77D89"/>
    <w:rsid w:val="61EA4294"/>
    <w:rsid w:val="61EB421A"/>
    <w:rsid w:val="61EC1402"/>
    <w:rsid w:val="61EC3AF1"/>
    <w:rsid w:val="61EC4190"/>
    <w:rsid w:val="61EC4A27"/>
    <w:rsid w:val="61EC7F2D"/>
    <w:rsid w:val="61EC7F43"/>
    <w:rsid w:val="61ED68EF"/>
    <w:rsid w:val="61EE333C"/>
    <w:rsid w:val="61EF0AAB"/>
    <w:rsid w:val="61EF581B"/>
    <w:rsid w:val="61F51ABC"/>
    <w:rsid w:val="61F61CE5"/>
    <w:rsid w:val="61F76B70"/>
    <w:rsid w:val="61F8267C"/>
    <w:rsid w:val="61F83242"/>
    <w:rsid w:val="61F85352"/>
    <w:rsid w:val="61F94418"/>
    <w:rsid w:val="61FA3E55"/>
    <w:rsid w:val="61FB1D87"/>
    <w:rsid w:val="61FB41B9"/>
    <w:rsid w:val="61FD341F"/>
    <w:rsid w:val="61FE3C5C"/>
    <w:rsid w:val="61FE3D3D"/>
    <w:rsid w:val="61FF2D75"/>
    <w:rsid w:val="61FF71FB"/>
    <w:rsid w:val="6200109E"/>
    <w:rsid w:val="62005435"/>
    <w:rsid w:val="6202037B"/>
    <w:rsid w:val="620205CF"/>
    <w:rsid w:val="62033107"/>
    <w:rsid w:val="62066A43"/>
    <w:rsid w:val="620765BB"/>
    <w:rsid w:val="62086D0E"/>
    <w:rsid w:val="620917ED"/>
    <w:rsid w:val="620940D6"/>
    <w:rsid w:val="620A4219"/>
    <w:rsid w:val="620B0398"/>
    <w:rsid w:val="620C1B37"/>
    <w:rsid w:val="620C6488"/>
    <w:rsid w:val="620D3D40"/>
    <w:rsid w:val="620E392D"/>
    <w:rsid w:val="620F3C4B"/>
    <w:rsid w:val="620F6C0D"/>
    <w:rsid w:val="621038BE"/>
    <w:rsid w:val="621047E7"/>
    <w:rsid w:val="62106FAD"/>
    <w:rsid w:val="62117B1F"/>
    <w:rsid w:val="62120973"/>
    <w:rsid w:val="62124C80"/>
    <w:rsid w:val="621261F4"/>
    <w:rsid w:val="62152190"/>
    <w:rsid w:val="621538EF"/>
    <w:rsid w:val="62161769"/>
    <w:rsid w:val="6216208B"/>
    <w:rsid w:val="62163B4E"/>
    <w:rsid w:val="62196323"/>
    <w:rsid w:val="62197145"/>
    <w:rsid w:val="621A193C"/>
    <w:rsid w:val="621A38A2"/>
    <w:rsid w:val="621A416A"/>
    <w:rsid w:val="621B0543"/>
    <w:rsid w:val="621B34DB"/>
    <w:rsid w:val="621B3721"/>
    <w:rsid w:val="621D5024"/>
    <w:rsid w:val="621D779F"/>
    <w:rsid w:val="621F691E"/>
    <w:rsid w:val="622173D1"/>
    <w:rsid w:val="6224195F"/>
    <w:rsid w:val="62267AB6"/>
    <w:rsid w:val="62271CBF"/>
    <w:rsid w:val="62272343"/>
    <w:rsid w:val="62273014"/>
    <w:rsid w:val="62276AFD"/>
    <w:rsid w:val="62276CDE"/>
    <w:rsid w:val="622A2FAA"/>
    <w:rsid w:val="622D420D"/>
    <w:rsid w:val="622D6CC2"/>
    <w:rsid w:val="622F10CC"/>
    <w:rsid w:val="623225F2"/>
    <w:rsid w:val="62333FA9"/>
    <w:rsid w:val="62343F5D"/>
    <w:rsid w:val="623454E8"/>
    <w:rsid w:val="62361BA1"/>
    <w:rsid w:val="62361E5F"/>
    <w:rsid w:val="62364E2C"/>
    <w:rsid w:val="623B6CD3"/>
    <w:rsid w:val="623C4455"/>
    <w:rsid w:val="623C712A"/>
    <w:rsid w:val="623E0D13"/>
    <w:rsid w:val="623F65DC"/>
    <w:rsid w:val="62404A8B"/>
    <w:rsid w:val="6241309D"/>
    <w:rsid w:val="624220DC"/>
    <w:rsid w:val="62423E81"/>
    <w:rsid w:val="6243269D"/>
    <w:rsid w:val="624350C6"/>
    <w:rsid w:val="62456B4E"/>
    <w:rsid w:val="624576BA"/>
    <w:rsid w:val="624732D2"/>
    <w:rsid w:val="62486673"/>
    <w:rsid w:val="624876F3"/>
    <w:rsid w:val="62496448"/>
    <w:rsid w:val="624A0C63"/>
    <w:rsid w:val="624A76B8"/>
    <w:rsid w:val="624D70AF"/>
    <w:rsid w:val="624E18DD"/>
    <w:rsid w:val="624E5B7B"/>
    <w:rsid w:val="625127FC"/>
    <w:rsid w:val="62514EEA"/>
    <w:rsid w:val="6252538F"/>
    <w:rsid w:val="6254024E"/>
    <w:rsid w:val="6254478E"/>
    <w:rsid w:val="62554D2C"/>
    <w:rsid w:val="625553DB"/>
    <w:rsid w:val="62557299"/>
    <w:rsid w:val="62571DD5"/>
    <w:rsid w:val="62584E2C"/>
    <w:rsid w:val="62584F67"/>
    <w:rsid w:val="62590526"/>
    <w:rsid w:val="6259752C"/>
    <w:rsid w:val="625A2751"/>
    <w:rsid w:val="625A4FD2"/>
    <w:rsid w:val="625B040E"/>
    <w:rsid w:val="625B499A"/>
    <w:rsid w:val="625C1520"/>
    <w:rsid w:val="625C628B"/>
    <w:rsid w:val="625C6810"/>
    <w:rsid w:val="625D2F64"/>
    <w:rsid w:val="62605826"/>
    <w:rsid w:val="62610091"/>
    <w:rsid w:val="62617F2E"/>
    <w:rsid w:val="62633E7E"/>
    <w:rsid w:val="626438D5"/>
    <w:rsid w:val="62646DBB"/>
    <w:rsid w:val="62655758"/>
    <w:rsid w:val="62667D09"/>
    <w:rsid w:val="62670359"/>
    <w:rsid w:val="626B0EBB"/>
    <w:rsid w:val="626B727A"/>
    <w:rsid w:val="626E32D0"/>
    <w:rsid w:val="626F21A4"/>
    <w:rsid w:val="626F4335"/>
    <w:rsid w:val="626F6702"/>
    <w:rsid w:val="62715CBB"/>
    <w:rsid w:val="62720302"/>
    <w:rsid w:val="62720F43"/>
    <w:rsid w:val="62721792"/>
    <w:rsid w:val="62732B66"/>
    <w:rsid w:val="6273658E"/>
    <w:rsid w:val="62746BAC"/>
    <w:rsid w:val="62747C48"/>
    <w:rsid w:val="62753287"/>
    <w:rsid w:val="62754CA1"/>
    <w:rsid w:val="62762328"/>
    <w:rsid w:val="62767C2D"/>
    <w:rsid w:val="62772D64"/>
    <w:rsid w:val="62780949"/>
    <w:rsid w:val="62787800"/>
    <w:rsid w:val="62791D4B"/>
    <w:rsid w:val="627A1FEF"/>
    <w:rsid w:val="627A571F"/>
    <w:rsid w:val="627C2264"/>
    <w:rsid w:val="627C277D"/>
    <w:rsid w:val="627D1C6B"/>
    <w:rsid w:val="627E00D2"/>
    <w:rsid w:val="627E5C52"/>
    <w:rsid w:val="627E77AF"/>
    <w:rsid w:val="627F0B6E"/>
    <w:rsid w:val="6281078E"/>
    <w:rsid w:val="628108D0"/>
    <w:rsid w:val="62816B01"/>
    <w:rsid w:val="62821CBE"/>
    <w:rsid w:val="62822660"/>
    <w:rsid w:val="628232F1"/>
    <w:rsid w:val="6283114F"/>
    <w:rsid w:val="62837AE2"/>
    <w:rsid w:val="6285155F"/>
    <w:rsid w:val="62851A8D"/>
    <w:rsid w:val="628539D1"/>
    <w:rsid w:val="628769CE"/>
    <w:rsid w:val="6288169B"/>
    <w:rsid w:val="628A0E0D"/>
    <w:rsid w:val="628A1FE2"/>
    <w:rsid w:val="628A628B"/>
    <w:rsid w:val="628C0F94"/>
    <w:rsid w:val="628E5FB8"/>
    <w:rsid w:val="629001F9"/>
    <w:rsid w:val="62907FF9"/>
    <w:rsid w:val="62937093"/>
    <w:rsid w:val="62970FAB"/>
    <w:rsid w:val="6297731E"/>
    <w:rsid w:val="62981E54"/>
    <w:rsid w:val="6298416D"/>
    <w:rsid w:val="629A27F9"/>
    <w:rsid w:val="629B6312"/>
    <w:rsid w:val="629B69EE"/>
    <w:rsid w:val="629C0DBF"/>
    <w:rsid w:val="629C2BCB"/>
    <w:rsid w:val="629C3149"/>
    <w:rsid w:val="629C5D3A"/>
    <w:rsid w:val="629D08F4"/>
    <w:rsid w:val="629E631A"/>
    <w:rsid w:val="629F1B17"/>
    <w:rsid w:val="629F4DD0"/>
    <w:rsid w:val="62A04ED3"/>
    <w:rsid w:val="62A136A3"/>
    <w:rsid w:val="62A507B7"/>
    <w:rsid w:val="62A52FDD"/>
    <w:rsid w:val="62A5754F"/>
    <w:rsid w:val="62A719DD"/>
    <w:rsid w:val="62A71AFE"/>
    <w:rsid w:val="62A816AE"/>
    <w:rsid w:val="62AB14F8"/>
    <w:rsid w:val="62AB2593"/>
    <w:rsid w:val="62AC7359"/>
    <w:rsid w:val="62AE33DD"/>
    <w:rsid w:val="62AE6109"/>
    <w:rsid w:val="62AE78A6"/>
    <w:rsid w:val="62AF60CF"/>
    <w:rsid w:val="62B11774"/>
    <w:rsid w:val="62B157B0"/>
    <w:rsid w:val="62B2471B"/>
    <w:rsid w:val="62B410E5"/>
    <w:rsid w:val="62B4481A"/>
    <w:rsid w:val="62B5158C"/>
    <w:rsid w:val="62B5269B"/>
    <w:rsid w:val="62B53B5D"/>
    <w:rsid w:val="62B603B6"/>
    <w:rsid w:val="62B827CA"/>
    <w:rsid w:val="62BB15CB"/>
    <w:rsid w:val="62BD2B88"/>
    <w:rsid w:val="62C01B2F"/>
    <w:rsid w:val="62C155C9"/>
    <w:rsid w:val="62C27E6C"/>
    <w:rsid w:val="62C36823"/>
    <w:rsid w:val="62C36843"/>
    <w:rsid w:val="62C41C99"/>
    <w:rsid w:val="62C543DA"/>
    <w:rsid w:val="62C54558"/>
    <w:rsid w:val="62C54CD2"/>
    <w:rsid w:val="62C558B9"/>
    <w:rsid w:val="62C60826"/>
    <w:rsid w:val="62C65B05"/>
    <w:rsid w:val="62C75DA3"/>
    <w:rsid w:val="62C80AD6"/>
    <w:rsid w:val="62C82F54"/>
    <w:rsid w:val="62C930A1"/>
    <w:rsid w:val="62C95CDA"/>
    <w:rsid w:val="62CA2914"/>
    <w:rsid w:val="62CB4862"/>
    <w:rsid w:val="62CC1254"/>
    <w:rsid w:val="62CD252A"/>
    <w:rsid w:val="62CE56FB"/>
    <w:rsid w:val="62CE58A9"/>
    <w:rsid w:val="62CF60A7"/>
    <w:rsid w:val="62D13ACB"/>
    <w:rsid w:val="62D13BAC"/>
    <w:rsid w:val="62D1704D"/>
    <w:rsid w:val="62D636E6"/>
    <w:rsid w:val="62D65836"/>
    <w:rsid w:val="62D71393"/>
    <w:rsid w:val="62D717E1"/>
    <w:rsid w:val="62D82298"/>
    <w:rsid w:val="62D832D4"/>
    <w:rsid w:val="62D86217"/>
    <w:rsid w:val="62DC05B1"/>
    <w:rsid w:val="62DD6C1C"/>
    <w:rsid w:val="62DE35D5"/>
    <w:rsid w:val="62DE435B"/>
    <w:rsid w:val="62DF0332"/>
    <w:rsid w:val="62DF0731"/>
    <w:rsid w:val="62DF7FEC"/>
    <w:rsid w:val="62E05C72"/>
    <w:rsid w:val="62E21D62"/>
    <w:rsid w:val="62E3256D"/>
    <w:rsid w:val="62E43FC4"/>
    <w:rsid w:val="62E60372"/>
    <w:rsid w:val="62E616AD"/>
    <w:rsid w:val="62E672AF"/>
    <w:rsid w:val="62E83DD8"/>
    <w:rsid w:val="62E87922"/>
    <w:rsid w:val="62E87A1D"/>
    <w:rsid w:val="62E91AB1"/>
    <w:rsid w:val="62EA04F4"/>
    <w:rsid w:val="62EA4E6B"/>
    <w:rsid w:val="62EB0655"/>
    <w:rsid w:val="62EB5486"/>
    <w:rsid w:val="62ED09C9"/>
    <w:rsid w:val="62EE062C"/>
    <w:rsid w:val="62EE08C5"/>
    <w:rsid w:val="62EF7C6A"/>
    <w:rsid w:val="62F10094"/>
    <w:rsid w:val="62F13196"/>
    <w:rsid w:val="62F146C7"/>
    <w:rsid w:val="62F23608"/>
    <w:rsid w:val="62F4226E"/>
    <w:rsid w:val="62F477E7"/>
    <w:rsid w:val="62F60958"/>
    <w:rsid w:val="62F64234"/>
    <w:rsid w:val="62F659FF"/>
    <w:rsid w:val="62F65FD7"/>
    <w:rsid w:val="62F67840"/>
    <w:rsid w:val="62F72C82"/>
    <w:rsid w:val="62F76A15"/>
    <w:rsid w:val="62F80BF4"/>
    <w:rsid w:val="62FA1241"/>
    <w:rsid w:val="62FD0268"/>
    <w:rsid w:val="62FE085D"/>
    <w:rsid w:val="62FE7ECE"/>
    <w:rsid w:val="63004BBD"/>
    <w:rsid w:val="630120BA"/>
    <w:rsid w:val="63013006"/>
    <w:rsid w:val="63013B43"/>
    <w:rsid w:val="630308C6"/>
    <w:rsid w:val="63035190"/>
    <w:rsid w:val="6304524A"/>
    <w:rsid w:val="63056126"/>
    <w:rsid w:val="630577E1"/>
    <w:rsid w:val="63067A92"/>
    <w:rsid w:val="630731A7"/>
    <w:rsid w:val="63074D1A"/>
    <w:rsid w:val="63090F38"/>
    <w:rsid w:val="630930CF"/>
    <w:rsid w:val="63094873"/>
    <w:rsid w:val="630A1501"/>
    <w:rsid w:val="630A361E"/>
    <w:rsid w:val="630A5BD4"/>
    <w:rsid w:val="630A718F"/>
    <w:rsid w:val="630B32EB"/>
    <w:rsid w:val="630C0737"/>
    <w:rsid w:val="630C60B1"/>
    <w:rsid w:val="630E77CF"/>
    <w:rsid w:val="631066E4"/>
    <w:rsid w:val="63120965"/>
    <w:rsid w:val="63152C77"/>
    <w:rsid w:val="63157669"/>
    <w:rsid w:val="63192FB4"/>
    <w:rsid w:val="631945F9"/>
    <w:rsid w:val="631B11DF"/>
    <w:rsid w:val="631D1373"/>
    <w:rsid w:val="631D2FBC"/>
    <w:rsid w:val="631E0038"/>
    <w:rsid w:val="632169CA"/>
    <w:rsid w:val="6322395F"/>
    <w:rsid w:val="63224AF0"/>
    <w:rsid w:val="632377F0"/>
    <w:rsid w:val="63245265"/>
    <w:rsid w:val="63250AC6"/>
    <w:rsid w:val="63253D82"/>
    <w:rsid w:val="63256D5D"/>
    <w:rsid w:val="63266D82"/>
    <w:rsid w:val="6327220D"/>
    <w:rsid w:val="63277944"/>
    <w:rsid w:val="63293BC4"/>
    <w:rsid w:val="632A3D08"/>
    <w:rsid w:val="632B424B"/>
    <w:rsid w:val="632C27EB"/>
    <w:rsid w:val="632E4E0A"/>
    <w:rsid w:val="63311827"/>
    <w:rsid w:val="63322DA7"/>
    <w:rsid w:val="63325763"/>
    <w:rsid w:val="63334A55"/>
    <w:rsid w:val="63334F8E"/>
    <w:rsid w:val="633458B0"/>
    <w:rsid w:val="63365BF9"/>
    <w:rsid w:val="633747DB"/>
    <w:rsid w:val="6338417A"/>
    <w:rsid w:val="63397C81"/>
    <w:rsid w:val="633A081D"/>
    <w:rsid w:val="633A6125"/>
    <w:rsid w:val="633C6113"/>
    <w:rsid w:val="633D3E04"/>
    <w:rsid w:val="633D5A5F"/>
    <w:rsid w:val="633E64B0"/>
    <w:rsid w:val="633F49BF"/>
    <w:rsid w:val="63414345"/>
    <w:rsid w:val="634261EB"/>
    <w:rsid w:val="634345D5"/>
    <w:rsid w:val="6344155E"/>
    <w:rsid w:val="63442359"/>
    <w:rsid w:val="6344425E"/>
    <w:rsid w:val="63446FE6"/>
    <w:rsid w:val="6347009B"/>
    <w:rsid w:val="63471056"/>
    <w:rsid w:val="63471BF6"/>
    <w:rsid w:val="634854D7"/>
    <w:rsid w:val="634A7AAD"/>
    <w:rsid w:val="634B60DC"/>
    <w:rsid w:val="634C3EB2"/>
    <w:rsid w:val="634C4163"/>
    <w:rsid w:val="634C5808"/>
    <w:rsid w:val="634F27F6"/>
    <w:rsid w:val="63503F82"/>
    <w:rsid w:val="6351659B"/>
    <w:rsid w:val="6352047C"/>
    <w:rsid w:val="63533C87"/>
    <w:rsid w:val="635609D8"/>
    <w:rsid w:val="63561EB0"/>
    <w:rsid w:val="6357122B"/>
    <w:rsid w:val="6358561A"/>
    <w:rsid w:val="635A0E3F"/>
    <w:rsid w:val="635A1F86"/>
    <w:rsid w:val="635B6E34"/>
    <w:rsid w:val="635C3693"/>
    <w:rsid w:val="635D7079"/>
    <w:rsid w:val="635E473A"/>
    <w:rsid w:val="635E5B7C"/>
    <w:rsid w:val="635F4ADD"/>
    <w:rsid w:val="63602EAB"/>
    <w:rsid w:val="6361311B"/>
    <w:rsid w:val="636531CC"/>
    <w:rsid w:val="63653317"/>
    <w:rsid w:val="63660F74"/>
    <w:rsid w:val="636649D9"/>
    <w:rsid w:val="63666921"/>
    <w:rsid w:val="6367429D"/>
    <w:rsid w:val="636B45BD"/>
    <w:rsid w:val="636C0133"/>
    <w:rsid w:val="636D1A4C"/>
    <w:rsid w:val="636E56FE"/>
    <w:rsid w:val="636F1EE5"/>
    <w:rsid w:val="636F6844"/>
    <w:rsid w:val="636F7F1F"/>
    <w:rsid w:val="63700472"/>
    <w:rsid w:val="637028EF"/>
    <w:rsid w:val="63722F20"/>
    <w:rsid w:val="63733CFD"/>
    <w:rsid w:val="6374053C"/>
    <w:rsid w:val="6374440D"/>
    <w:rsid w:val="63753E26"/>
    <w:rsid w:val="63766CE4"/>
    <w:rsid w:val="63774AC3"/>
    <w:rsid w:val="63777466"/>
    <w:rsid w:val="63785A78"/>
    <w:rsid w:val="637B0715"/>
    <w:rsid w:val="637E3994"/>
    <w:rsid w:val="63801466"/>
    <w:rsid w:val="63807013"/>
    <w:rsid w:val="638073E7"/>
    <w:rsid w:val="63830FE8"/>
    <w:rsid w:val="63831999"/>
    <w:rsid w:val="63834C9B"/>
    <w:rsid w:val="63835447"/>
    <w:rsid w:val="63843068"/>
    <w:rsid w:val="638579B7"/>
    <w:rsid w:val="63874065"/>
    <w:rsid w:val="638D4E9E"/>
    <w:rsid w:val="638D6BD9"/>
    <w:rsid w:val="638E5C02"/>
    <w:rsid w:val="638E76BD"/>
    <w:rsid w:val="639037F0"/>
    <w:rsid w:val="63903B43"/>
    <w:rsid w:val="639075FB"/>
    <w:rsid w:val="63912FEC"/>
    <w:rsid w:val="639158BE"/>
    <w:rsid w:val="63920C7C"/>
    <w:rsid w:val="6392141E"/>
    <w:rsid w:val="63942B0E"/>
    <w:rsid w:val="63947C50"/>
    <w:rsid w:val="639517F9"/>
    <w:rsid w:val="63973CEB"/>
    <w:rsid w:val="63975137"/>
    <w:rsid w:val="63976DE5"/>
    <w:rsid w:val="639772C4"/>
    <w:rsid w:val="63983EA4"/>
    <w:rsid w:val="639A0740"/>
    <w:rsid w:val="639A4DB4"/>
    <w:rsid w:val="639B5BB2"/>
    <w:rsid w:val="639C0A3D"/>
    <w:rsid w:val="639C4850"/>
    <w:rsid w:val="639D2F90"/>
    <w:rsid w:val="639D5588"/>
    <w:rsid w:val="639E1028"/>
    <w:rsid w:val="639E6C51"/>
    <w:rsid w:val="639F57E1"/>
    <w:rsid w:val="63A0473F"/>
    <w:rsid w:val="63A11554"/>
    <w:rsid w:val="63A12FD5"/>
    <w:rsid w:val="63A167B8"/>
    <w:rsid w:val="63A30A03"/>
    <w:rsid w:val="63A332CE"/>
    <w:rsid w:val="63A62219"/>
    <w:rsid w:val="63A92B38"/>
    <w:rsid w:val="63A94841"/>
    <w:rsid w:val="63A9560C"/>
    <w:rsid w:val="63AA02A4"/>
    <w:rsid w:val="63AB46AA"/>
    <w:rsid w:val="63AD58D5"/>
    <w:rsid w:val="63AE3918"/>
    <w:rsid w:val="63AE3A3B"/>
    <w:rsid w:val="63AF176C"/>
    <w:rsid w:val="63AF319A"/>
    <w:rsid w:val="63B021D3"/>
    <w:rsid w:val="63B05C41"/>
    <w:rsid w:val="63B1371B"/>
    <w:rsid w:val="63B16CCD"/>
    <w:rsid w:val="63B20D46"/>
    <w:rsid w:val="63B2364F"/>
    <w:rsid w:val="63B25503"/>
    <w:rsid w:val="63B35EDA"/>
    <w:rsid w:val="63B37462"/>
    <w:rsid w:val="63B41F66"/>
    <w:rsid w:val="63B430E2"/>
    <w:rsid w:val="63B50114"/>
    <w:rsid w:val="63B514A9"/>
    <w:rsid w:val="63B7509E"/>
    <w:rsid w:val="63B87A1C"/>
    <w:rsid w:val="63BA12C9"/>
    <w:rsid w:val="63BA23B7"/>
    <w:rsid w:val="63BA53E5"/>
    <w:rsid w:val="63BB4637"/>
    <w:rsid w:val="63BB7BB5"/>
    <w:rsid w:val="63BC1B44"/>
    <w:rsid w:val="63BC2300"/>
    <w:rsid w:val="63BD1759"/>
    <w:rsid w:val="63BF3F3E"/>
    <w:rsid w:val="63BF7E09"/>
    <w:rsid w:val="63C049E2"/>
    <w:rsid w:val="63C14DCC"/>
    <w:rsid w:val="63C22258"/>
    <w:rsid w:val="63C26000"/>
    <w:rsid w:val="63C30F3B"/>
    <w:rsid w:val="63C323A3"/>
    <w:rsid w:val="63C359ED"/>
    <w:rsid w:val="63C4765E"/>
    <w:rsid w:val="63C556D2"/>
    <w:rsid w:val="63C90F97"/>
    <w:rsid w:val="63C9187C"/>
    <w:rsid w:val="63C96057"/>
    <w:rsid w:val="63CA32DD"/>
    <w:rsid w:val="63CC1979"/>
    <w:rsid w:val="63CE118C"/>
    <w:rsid w:val="63CF10DB"/>
    <w:rsid w:val="63CF604E"/>
    <w:rsid w:val="63D163BD"/>
    <w:rsid w:val="63D316EB"/>
    <w:rsid w:val="63D3419A"/>
    <w:rsid w:val="63D50686"/>
    <w:rsid w:val="63D5209C"/>
    <w:rsid w:val="63D612DE"/>
    <w:rsid w:val="63D63291"/>
    <w:rsid w:val="63D74BAD"/>
    <w:rsid w:val="63D83D3E"/>
    <w:rsid w:val="63DB277F"/>
    <w:rsid w:val="63DD4072"/>
    <w:rsid w:val="63DD659B"/>
    <w:rsid w:val="63DF0A59"/>
    <w:rsid w:val="63DF22F3"/>
    <w:rsid w:val="63DF7780"/>
    <w:rsid w:val="63E10901"/>
    <w:rsid w:val="63E27209"/>
    <w:rsid w:val="63E27F19"/>
    <w:rsid w:val="63E40DE5"/>
    <w:rsid w:val="63E51341"/>
    <w:rsid w:val="63E60193"/>
    <w:rsid w:val="63E638A6"/>
    <w:rsid w:val="63E72098"/>
    <w:rsid w:val="63E724E0"/>
    <w:rsid w:val="63E73CE1"/>
    <w:rsid w:val="63E7505C"/>
    <w:rsid w:val="63EA3D29"/>
    <w:rsid w:val="63EA51F1"/>
    <w:rsid w:val="63EA7FCB"/>
    <w:rsid w:val="63ED0E3E"/>
    <w:rsid w:val="63ED3E8B"/>
    <w:rsid w:val="63ED5F1F"/>
    <w:rsid w:val="63EF3FEB"/>
    <w:rsid w:val="63F33872"/>
    <w:rsid w:val="63F4278C"/>
    <w:rsid w:val="63F42C41"/>
    <w:rsid w:val="63F451BC"/>
    <w:rsid w:val="63F53E04"/>
    <w:rsid w:val="63F61E55"/>
    <w:rsid w:val="63F72D15"/>
    <w:rsid w:val="63F75376"/>
    <w:rsid w:val="63F927B1"/>
    <w:rsid w:val="63F92DE6"/>
    <w:rsid w:val="63F96754"/>
    <w:rsid w:val="63FA6EBC"/>
    <w:rsid w:val="63FB0BF3"/>
    <w:rsid w:val="63FF57A2"/>
    <w:rsid w:val="63FF77A1"/>
    <w:rsid w:val="640166F1"/>
    <w:rsid w:val="640326CF"/>
    <w:rsid w:val="64032709"/>
    <w:rsid w:val="640409C0"/>
    <w:rsid w:val="64050503"/>
    <w:rsid w:val="640505FD"/>
    <w:rsid w:val="6406149D"/>
    <w:rsid w:val="64061C72"/>
    <w:rsid w:val="64065F37"/>
    <w:rsid w:val="640721D2"/>
    <w:rsid w:val="64072E1E"/>
    <w:rsid w:val="640747C7"/>
    <w:rsid w:val="64084242"/>
    <w:rsid w:val="640910A0"/>
    <w:rsid w:val="64095630"/>
    <w:rsid w:val="640B0819"/>
    <w:rsid w:val="640B253D"/>
    <w:rsid w:val="640B2FC6"/>
    <w:rsid w:val="640B6887"/>
    <w:rsid w:val="640C48C1"/>
    <w:rsid w:val="640E11CD"/>
    <w:rsid w:val="640E5656"/>
    <w:rsid w:val="640F0673"/>
    <w:rsid w:val="6410581F"/>
    <w:rsid w:val="64115D00"/>
    <w:rsid w:val="64126CEE"/>
    <w:rsid w:val="6413646B"/>
    <w:rsid w:val="641576DA"/>
    <w:rsid w:val="64166967"/>
    <w:rsid w:val="64196535"/>
    <w:rsid w:val="641B1F67"/>
    <w:rsid w:val="641B5C11"/>
    <w:rsid w:val="641D1BAA"/>
    <w:rsid w:val="641E5285"/>
    <w:rsid w:val="641F0019"/>
    <w:rsid w:val="641F72ED"/>
    <w:rsid w:val="642030F7"/>
    <w:rsid w:val="64205198"/>
    <w:rsid w:val="64220DF0"/>
    <w:rsid w:val="642319C8"/>
    <w:rsid w:val="64264083"/>
    <w:rsid w:val="64267E59"/>
    <w:rsid w:val="64294926"/>
    <w:rsid w:val="64295868"/>
    <w:rsid w:val="642A7040"/>
    <w:rsid w:val="642A77A1"/>
    <w:rsid w:val="642B5467"/>
    <w:rsid w:val="642B5782"/>
    <w:rsid w:val="642C1F01"/>
    <w:rsid w:val="642C44D3"/>
    <w:rsid w:val="642C51B0"/>
    <w:rsid w:val="642D53D1"/>
    <w:rsid w:val="642E438C"/>
    <w:rsid w:val="642F39D5"/>
    <w:rsid w:val="642F5696"/>
    <w:rsid w:val="6430620E"/>
    <w:rsid w:val="64306AD8"/>
    <w:rsid w:val="64307286"/>
    <w:rsid w:val="643161CB"/>
    <w:rsid w:val="64337AB5"/>
    <w:rsid w:val="64395A43"/>
    <w:rsid w:val="643A15CA"/>
    <w:rsid w:val="643B2DF3"/>
    <w:rsid w:val="643C2229"/>
    <w:rsid w:val="643D204C"/>
    <w:rsid w:val="643E1671"/>
    <w:rsid w:val="643E4ACD"/>
    <w:rsid w:val="64411A0B"/>
    <w:rsid w:val="6441301E"/>
    <w:rsid w:val="64413809"/>
    <w:rsid w:val="6442555B"/>
    <w:rsid w:val="64450089"/>
    <w:rsid w:val="64454FD6"/>
    <w:rsid w:val="6447405D"/>
    <w:rsid w:val="64485E79"/>
    <w:rsid w:val="6449399F"/>
    <w:rsid w:val="644A3F35"/>
    <w:rsid w:val="644A6C77"/>
    <w:rsid w:val="644B632A"/>
    <w:rsid w:val="644C0C6E"/>
    <w:rsid w:val="644E218A"/>
    <w:rsid w:val="644E2727"/>
    <w:rsid w:val="644E4282"/>
    <w:rsid w:val="644E6F59"/>
    <w:rsid w:val="644E7CD2"/>
    <w:rsid w:val="6450011E"/>
    <w:rsid w:val="6450040C"/>
    <w:rsid w:val="6450704A"/>
    <w:rsid w:val="64513F31"/>
    <w:rsid w:val="64514DEF"/>
    <w:rsid w:val="6452002F"/>
    <w:rsid w:val="64534E71"/>
    <w:rsid w:val="64542A70"/>
    <w:rsid w:val="64557DD0"/>
    <w:rsid w:val="64573948"/>
    <w:rsid w:val="645744A9"/>
    <w:rsid w:val="64574955"/>
    <w:rsid w:val="64591E34"/>
    <w:rsid w:val="6459427F"/>
    <w:rsid w:val="64596BF3"/>
    <w:rsid w:val="645B2050"/>
    <w:rsid w:val="645C0FA3"/>
    <w:rsid w:val="645C5A5C"/>
    <w:rsid w:val="645C7437"/>
    <w:rsid w:val="645D0476"/>
    <w:rsid w:val="645D128C"/>
    <w:rsid w:val="645E09FC"/>
    <w:rsid w:val="645F0637"/>
    <w:rsid w:val="645F3EA9"/>
    <w:rsid w:val="6460274F"/>
    <w:rsid w:val="64611F86"/>
    <w:rsid w:val="646152FD"/>
    <w:rsid w:val="64637E3D"/>
    <w:rsid w:val="6464272F"/>
    <w:rsid w:val="64643030"/>
    <w:rsid w:val="646515C2"/>
    <w:rsid w:val="64661785"/>
    <w:rsid w:val="64687258"/>
    <w:rsid w:val="646A0F92"/>
    <w:rsid w:val="646B214F"/>
    <w:rsid w:val="646D053E"/>
    <w:rsid w:val="646F0A16"/>
    <w:rsid w:val="646F1E26"/>
    <w:rsid w:val="64700B56"/>
    <w:rsid w:val="64700B65"/>
    <w:rsid w:val="647208B8"/>
    <w:rsid w:val="64732AD3"/>
    <w:rsid w:val="64737E50"/>
    <w:rsid w:val="64782D71"/>
    <w:rsid w:val="647A6034"/>
    <w:rsid w:val="647B1242"/>
    <w:rsid w:val="647B46DF"/>
    <w:rsid w:val="647C6FFD"/>
    <w:rsid w:val="647D160B"/>
    <w:rsid w:val="647F7DC5"/>
    <w:rsid w:val="64804BDC"/>
    <w:rsid w:val="64805815"/>
    <w:rsid w:val="64813415"/>
    <w:rsid w:val="64822025"/>
    <w:rsid w:val="648334AD"/>
    <w:rsid w:val="64837218"/>
    <w:rsid w:val="648405E8"/>
    <w:rsid w:val="6484141F"/>
    <w:rsid w:val="64844371"/>
    <w:rsid w:val="64844FDE"/>
    <w:rsid w:val="64851321"/>
    <w:rsid w:val="6485392B"/>
    <w:rsid w:val="6485500C"/>
    <w:rsid w:val="64881994"/>
    <w:rsid w:val="64885776"/>
    <w:rsid w:val="648A1406"/>
    <w:rsid w:val="648B53E6"/>
    <w:rsid w:val="648C5C84"/>
    <w:rsid w:val="648E0908"/>
    <w:rsid w:val="648E7AB1"/>
    <w:rsid w:val="648F0150"/>
    <w:rsid w:val="64911A72"/>
    <w:rsid w:val="64915A72"/>
    <w:rsid w:val="649206EB"/>
    <w:rsid w:val="6492473D"/>
    <w:rsid w:val="64930DD6"/>
    <w:rsid w:val="64934E8C"/>
    <w:rsid w:val="649362FC"/>
    <w:rsid w:val="64951702"/>
    <w:rsid w:val="649533CF"/>
    <w:rsid w:val="64964FB7"/>
    <w:rsid w:val="6499151F"/>
    <w:rsid w:val="649971E6"/>
    <w:rsid w:val="649A196A"/>
    <w:rsid w:val="649A6A8C"/>
    <w:rsid w:val="649B0D1C"/>
    <w:rsid w:val="649C34EE"/>
    <w:rsid w:val="649C3604"/>
    <w:rsid w:val="649E0E8F"/>
    <w:rsid w:val="649E2A73"/>
    <w:rsid w:val="649E45B4"/>
    <w:rsid w:val="649E5AAA"/>
    <w:rsid w:val="649F4B0B"/>
    <w:rsid w:val="64A07A63"/>
    <w:rsid w:val="64A23504"/>
    <w:rsid w:val="64A248A4"/>
    <w:rsid w:val="64A2509B"/>
    <w:rsid w:val="64A27D5F"/>
    <w:rsid w:val="64A65AB3"/>
    <w:rsid w:val="64A66CA1"/>
    <w:rsid w:val="64A71C6D"/>
    <w:rsid w:val="64A741C0"/>
    <w:rsid w:val="64A86DDE"/>
    <w:rsid w:val="64A95169"/>
    <w:rsid w:val="64AA2690"/>
    <w:rsid w:val="64AB5264"/>
    <w:rsid w:val="64AB599A"/>
    <w:rsid w:val="64AC07CD"/>
    <w:rsid w:val="64AC28AC"/>
    <w:rsid w:val="64AF7CA6"/>
    <w:rsid w:val="64B0691F"/>
    <w:rsid w:val="64B15BC5"/>
    <w:rsid w:val="64B206E0"/>
    <w:rsid w:val="64B21F5E"/>
    <w:rsid w:val="64B2363A"/>
    <w:rsid w:val="64B33019"/>
    <w:rsid w:val="64B35171"/>
    <w:rsid w:val="64B65318"/>
    <w:rsid w:val="64B67D08"/>
    <w:rsid w:val="64B8379C"/>
    <w:rsid w:val="64B90B25"/>
    <w:rsid w:val="64BB70F4"/>
    <w:rsid w:val="64BD1164"/>
    <w:rsid w:val="64BD131C"/>
    <w:rsid w:val="64BD6C49"/>
    <w:rsid w:val="64BD71C9"/>
    <w:rsid w:val="64BF4772"/>
    <w:rsid w:val="64BF7015"/>
    <w:rsid w:val="64C10AE3"/>
    <w:rsid w:val="64C146A5"/>
    <w:rsid w:val="64C26F19"/>
    <w:rsid w:val="64C30A8F"/>
    <w:rsid w:val="64C51E8B"/>
    <w:rsid w:val="64C522E5"/>
    <w:rsid w:val="64C6374A"/>
    <w:rsid w:val="64C72779"/>
    <w:rsid w:val="64C734BD"/>
    <w:rsid w:val="64C74166"/>
    <w:rsid w:val="64C80323"/>
    <w:rsid w:val="64C843E3"/>
    <w:rsid w:val="64CB4B0B"/>
    <w:rsid w:val="64CC426D"/>
    <w:rsid w:val="64CC683E"/>
    <w:rsid w:val="64CD48B8"/>
    <w:rsid w:val="64CD57D4"/>
    <w:rsid w:val="64CD67C9"/>
    <w:rsid w:val="64CD7EB9"/>
    <w:rsid w:val="64CE087D"/>
    <w:rsid w:val="64CE60DD"/>
    <w:rsid w:val="64CF5885"/>
    <w:rsid w:val="64D00544"/>
    <w:rsid w:val="64D01483"/>
    <w:rsid w:val="64D271B0"/>
    <w:rsid w:val="64D309C2"/>
    <w:rsid w:val="64D36B32"/>
    <w:rsid w:val="64D37A7F"/>
    <w:rsid w:val="64D41D0E"/>
    <w:rsid w:val="64D42519"/>
    <w:rsid w:val="64D435E7"/>
    <w:rsid w:val="64D43E1E"/>
    <w:rsid w:val="64D46C6B"/>
    <w:rsid w:val="64D51F60"/>
    <w:rsid w:val="64D53103"/>
    <w:rsid w:val="64D8544F"/>
    <w:rsid w:val="64DB2FF7"/>
    <w:rsid w:val="64DB6FCC"/>
    <w:rsid w:val="64DC5072"/>
    <w:rsid w:val="64E06110"/>
    <w:rsid w:val="64E412EB"/>
    <w:rsid w:val="64E465C8"/>
    <w:rsid w:val="64E53FDB"/>
    <w:rsid w:val="64E6300E"/>
    <w:rsid w:val="64E6351C"/>
    <w:rsid w:val="64E726D0"/>
    <w:rsid w:val="64EB75AC"/>
    <w:rsid w:val="64EE1491"/>
    <w:rsid w:val="64EE2AF5"/>
    <w:rsid w:val="64EF312E"/>
    <w:rsid w:val="64EF39E6"/>
    <w:rsid w:val="64F01410"/>
    <w:rsid w:val="64F03620"/>
    <w:rsid w:val="64F12E10"/>
    <w:rsid w:val="64F2206E"/>
    <w:rsid w:val="64F27118"/>
    <w:rsid w:val="64F3477E"/>
    <w:rsid w:val="64F35D40"/>
    <w:rsid w:val="64F4384F"/>
    <w:rsid w:val="64F45003"/>
    <w:rsid w:val="64F5013C"/>
    <w:rsid w:val="64F55705"/>
    <w:rsid w:val="64F55AB6"/>
    <w:rsid w:val="64F62D3C"/>
    <w:rsid w:val="64F8366D"/>
    <w:rsid w:val="64F84E7F"/>
    <w:rsid w:val="64F878C6"/>
    <w:rsid w:val="64F95B2C"/>
    <w:rsid w:val="64F95EAB"/>
    <w:rsid w:val="64FA2604"/>
    <w:rsid w:val="64FF24C5"/>
    <w:rsid w:val="65001623"/>
    <w:rsid w:val="65007688"/>
    <w:rsid w:val="65012E46"/>
    <w:rsid w:val="65023CC6"/>
    <w:rsid w:val="65030864"/>
    <w:rsid w:val="65032C1A"/>
    <w:rsid w:val="65043CF8"/>
    <w:rsid w:val="65074A94"/>
    <w:rsid w:val="65090284"/>
    <w:rsid w:val="650959E9"/>
    <w:rsid w:val="650C22A8"/>
    <w:rsid w:val="650C57D2"/>
    <w:rsid w:val="650F058F"/>
    <w:rsid w:val="650F6547"/>
    <w:rsid w:val="650F7FC9"/>
    <w:rsid w:val="65110DA1"/>
    <w:rsid w:val="65112CD6"/>
    <w:rsid w:val="65127BEB"/>
    <w:rsid w:val="6513079B"/>
    <w:rsid w:val="6513569F"/>
    <w:rsid w:val="651540D9"/>
    <w:rsid w:val="6516082D"/>
    <w:rsid w:val="65175F2F"/>
    <w:rsid w:val="65177A65"/>
    <w:rsid w:val="65183D57"/>
    <w:rsid w:val="651C2A8A"/>
    <w:rsid w:val="651C4A05"/>
    <w:rsid w:val="651C6B91"/>
    <w:rsid w:val="651D0D8B"/>
    <w:rsid w:val="651D471C"/>
    <w:rsid w:val="651F40F4"/>
    <w:rsid w:val="65206CA8"/>
    <w:rsid w:val="652129C4"/>
    <w:rsid w:val="65222106"/>
    <w:rsid w:val="65222DFC"/>
    <w:rsid w:val="65232D68"/>
    <w:rsid w:val="652342A8"/>
    <w:rsid w:val="65235263"/>
    <w:rsid w:val="65251BE7"/>
    <w:rsid w:val="65264279"/>
    <w:rsid w:val="652643B2"/>
    <w:rsid w:val="65273081"/>
    <w:rsid w:val="65293DFF"/>
    <w:rsid w:val="652B0F80"/>
    <w:rsid w:val="652B3DFE"/>
    <w:rsid w:val="652B6C5B"/>
    <w:rsid w:val="652B762F"/>
    <w:rsid w:val="652D01E3"/>
    <w:rsid w:val="652F0C98"/>
    <w:rsid w:val="6531344C"/>
    <w:rsid w:val="65320251"/>
    <w:rsid w:val="65334787"/>
    <w:rsid w:val="65343F8E"/>
    <w:rsid w:val="653509DC"/>
    <w:rsid w:val="653533F6"/>
    <w:rsid w:val="65364423"/>
    <w:rsid w:val="653803C3"/>
    <w:rsid w:val="653803D5"/>
    <w:rsid w:val="65383481"/>
    <w:rsid w:val="65387027"/>
    <w:rsid w:val="653A754D"/>
    <w:rsid w:val="653B758F"/>
    <w:rsid w:val="653C0D9D"/>
    <w:rsid w:val="653F4EF2"/>
    <w:rsid w:val="65400BBE"/>
    <w:rsid w:val="65417B03"/>
    <w:rsid w:val="65427DCA"/>
    <w:rsid w:val="65443195"/>
    <w:rsid w:val="654523B9"/>
    <w:rsid w:val="654835E6"/>
    <w:rsid w:val="654959CB"/>
    <w:rsid w:val="654A1EFA"/>
    <w:rsid w:val="654A2ACE"/>
    <w:rsid w:val="654C739E"/>
    <w:rsid w:val="654E3322"/>
    <w:rsid w:val="654E4375"/>
    <w:rsid w:val="654E51D4"/>
    <w:rsid w:val="654E757A"/>
    <w:rsid w:val="6550471A"/>
    <w:rsid w:val="65511C5F"/>
    <w:rsid w:val="65513746"/>
    <w:rsid w:val="65516B02"/>
    <w:rsid w:val="65526CC8"/>
    <w:rsid w:val="655336C0"/>
    <w:rsid w:val="6554084E"/>
    <w:rsid w:val="6554168B"/>
    <w:rsid w:val="6555705E"/>
    <w:rsid w:val="65570FDB"/>
    <w:rsid w:val="65574034"/>
    <w:rsid w:val="65582A1D"/>
    <w:rsid w:val="65585653"/>
    <w:rsid w:val="655954C6"/>
    <w:rsid w:val="655979E2"/>
    <w:rsid w:val="655A11D1"/>
    <w:rsid w:val="655B1A7F"/>
    <w:rsid w:val="655C2B7B"/>
    <w:rsid w:val="655E7D80"/>
    <w:rsid w:val="655F1BEE"/>
    <w:rsid w:val="6560311A"/>
    <w:rsid w:val="6562740E"/>
    <w:rsid w:val="6563602B"/>
    <w:rsid w:val="65657885"/>
    <w:rsid w:val="6569111C"/>
    <w:rsid w:val="65696798"/>
    <w:rsid w:val="656A2663"/>
    <w:rsid w:val="656A2708"/>
    <w:rsid w:val="656A3148"/>
    <w:rsid w:val="656C1E10"/>
    <w:rsid w:val="656C1FB5"/>
    <w:rsid w:val="656C6997"/>
    <w:rsid w:val="656E3451"/>
    <w:rsid w:val="656F47F7"/>
    <w:rsid w:val="656F5970"/>
    <w:rsid w:val="6570558C"/>
    <w:rsid w:val="657122EE"/>
    <w:rsid w:val="65726C15"/>
    <w:rsid w:val="65732547"/>
    <w:rsid w:val="65741DCD"/>
    <w:rsid w:val="65744BE4"/>
    <w:rsid w:val="657452C9"/>
    <w:rsid w:val="65760922"/>
    <w:rsid w:val="65763E50"/>
    <w:rsid w:val="65766DA1"/>
    <w:rsid w:val="65776C33"/>
    <w:rsid w:val="65783A6B"/>
    <w:rsid w:val="65783E2F"/>
    <w:rsid w:val="657A02B4"/>
    <w:rsid w:val="657C170B"/>
    <w:rsid w:val="657C291F"/>
    <w:rsid w:val="657C6B8C"/>
    <w:rsid w:val="657E2AEB"/>
    <w:rsid w:val="65804D7B"/>
    <w:rsid w:val="65811530"/>
    <w:rsid w:val="65831CD1"/>
    <w:rsid w:val="65837BE6"/>
    <w:rsid w:val="658531E0"/>
    <w:rsid w:val="65856187"/>
    <w:rsid w:val="65864EAB"/>
    <w:rsid w:val="65877684"/>
    <w:rsid w:val="658800B8"/>
    <w:rsid w:val="6589499B"/>
    <w:rsid w:val="65895B9C"/>
    <w:rsid w:val="658C4361"/>
    <w:rsid w:val="658C748E"/>
    <w:rsid w:val="658D5F98"/>
    <w:rsid w:val="658D6343"/>
    <w:rsid w:val="658E1F7A"/>
    <w:rsid w:val="658E69C6"/>
    <w:rsid w:val="658F271E"/>
    <w:rsid w:val="65902742"/>
    <w:rsid w:val="65912F75"/>
    <w:rsid w:val="65921797"/>
    <w:rsid w:val="65953014"/>
    <w:rsid w:val="65967231"/>
    <w:rsid w:val="659734B4"/>
    <w:rsid w:val="65976DD7"/>
    <w:rsid w:val="659B11FF"/>
    <w:rsid w:val="659C33A9"/>
    <w:rsid w:val="659D0D4E"/>
    <w:rsid w:val="659D23BC"/>
    <w:rsid w:val="65A108D0"/>
    <w:rsid w:val="65A20DC2"/>
    <w:rsid w:val="65A307CC"/>
    <w:rsid w:val="65A41558"/>
    <w:rsid w:val="65A46AEC"/>
    <w:rsid w:val="65A47076"/>
    <w:rsid w:val="65A74E21"/>
    <w:rsid w:val="65A81409"/>
    <w:rsid w:val="65A83527"/>
    <w:rsid w:val="65A87235"/>
    <w:rsid w:val="65A87DB7"/>
    <w:rsid w:val="65A9287F"/>
    <w:rsid w:val="65A95A05"/>
    <w:rsid w:val="65AA6ABC"/>
    <w:rsid w:val="65AB0171"/>
    <w:rsid w:val="65AB7147"/>
    <w:rsid w:val="65AE21DA"/>
    <w:rsid w:val="65AE7F5E"/>
    <w:rsid w:val="65AF32BC"/>
    <w:rsid w:val="65B379F2"/>
    <w:rsid w:val="65B5290C"/>
    <w:rsid w:val="65B611D4"/>
    <w:rsid w:val="65B6602C"/>
    <w:rsid w:val="65B700A9"/>
    <w:rsid w:val="65B75614"/>
    <w:rsid w:val="65B8098C"/>
    <w:rsid w:val="65B95EAC"/>
    <w:rsid w:val="65BB01B9"/>
    <w:rsid w:val="65BB7F4D"/>
    <w:rsid w:val="65BC7B50"/>
    <w:rsid w:val="65BD0CAC"/>
    <w:rsid w:val="65BD3418"/>
    <w:rsid w:val="65BE7F15"/>
    <w:rsid w:val="65C03542"/>
    <w:rsid w:val="65C0543D"/>
    <w:rsid w:val="65C05AFE"/>
    <w:rsid w:val="65C14970"/>
    <w:rsid w:val="65C224D6"/>
    <w:rsid w:val="65C22D54"/>
    <w:rsid w:val="65C3555C"/>
    <w:rsid w:val="65C45A2E"/>
    <w:rsid w:val="65C473FD"/>
    <w:rsid w:val="65C6675C"/>
    <w:rsid w:val="65CB20B3"/>
    <w:rsid w:val="65CB4633"/>
    <w:rsid w:val="65CC0ABA"/>
    <w:rsid w:val="65CC1C1F"/>
    <w:rsid w:val="65CC2ACD"/>
    <w:rsid w:val="65CD1049"/>
    <w:rsid w:val="65CF31C8"/>
    <w:rsid w:val="65CF4B7A"/>
    <w:rsid w:val="65D04179"/>
    <w:rsid w:val="65D35DB3"/>
    <w:rsid w:val="65D46F08"/>
    <w:rsid w:val="65D62801"/>
    <w:rsid w:val="65D64770"/>
    <w:rsid w:val="65D75ACD"/>
    <w:rsid w:val="65D835E5"/>
    <w:rsid w:val="65DA3F3D"/>
    <w:rsid w:val="65DC5465"/>
    <w:rsid w:val="65DE1FFB"/>
    <w:rsid w:val="65E07AC1"/>
    <w:rsid w:val="65E10333"/>
    <w:rsid w:val="65E322FD"/>
    <w:rsid w:val="65E37A9F"/>
    <w:rsid w:val="65E61AC2"/>
    <w:rsid w:val="65E66249"/>
    <w:rsid w:val="65E72193"/>
    <w:rsid w:val="65E7594B"/>
    <w:rsid w:val="65E82456"/>
    <w:rsid w:val="65E83009"/>
    <w:rsid w:val="65E9576B"/>
    <w:rsid w:val="65EA20F5"/>
    <w:rsid w:val="65EA36CC"/>
    <w:rsid w:val="65EA38BA"/>
    <w:rsid w:val="65EB1015"/>
    <w:rsid w:val="65EB7654"/>
    <w:rsid w:val="65EC55D3"/>
    <w:rsid w:val="65EE6E3A"/>
    <w:rsid w:val="65EF5397"/>
    <w:rsid w:val="65F31AA6"/>
    <w:rsid w:val="65F529ED"/>
    <w:rsid w:val="65F81413"/>
    <w:rsid w:val="65F90AA1"/>
    <w:rsid w:val="65FB4657"/>
    <w:rsid w:val="65FC1967"/>
    <w:rsid w:val="65FC43F7"/>
    <w:rsid w:val="65FD3459"/>
    <w:rsid w:val="65FD3E53"/>
    <w:rsid w:val="65FE68DF"/>
    <w:rsid w:val="66001A17"/>
    <w:rsid w:val="66015006"/>
    <w:rsid w:val="66022A00"/>
    <w:rsid w:val="66022B1D"/>
    <w:rsid w:val="660477EB"/>
    <w:rsid w:val="6605315C"/>
    <w:rsid w:val="66062E9A"/>
    <w:rsid w:val="66072E68"/>
    <w:rsid w:val="660823C9"/>
    <w:rsid w:val="660912E0"/>
    <w:rsid w:val="6609219B"/>
    <w:rsid w:val="66097735"/>
    <w:rsid w:val="660A2484"/>
    <w:rsid w:val="660B228D"/>
    <w:rsid w:val="660B3A2F"/>
    <w:rsid w:val="660C17A0"/>
    <w:rsid w:val="660C7724"/>
    <w:rsid w:val="660D0BA0"/>
    <w:rsid w:val="660D4179"/>
    <w:rsid w:val="660D71E6"/>
    <w:rsid w:val="660E177C"/>
    <w:rsid w:val="660E2FAA"/>
    <w:rsid w:val="66100343"/>
    <w:rsid w:val="66141EAC"/>
    <w:rsid w:val="66146038"/>
    <w:rsid w:val="661510FB"/>
    <w:rsid w:val="661533BF"/>
    <w:rsid w:val="66173695"/>
    <w:rsid w:val="6618120B"/>
    <w:rsid w:val="6618217E"/>
    <w:rsid w:val="6618790A"/>
    <w:rsid w:val="661A6B25"/>
    <w:rsid w:val="661B60EB"/>
    <w:rsid w:val="661C46B8"/>
    <w:rsid w:val="661D6C6E"/>
    <w:rsid w:val="661E2C98"/>
    <w:rsid w:val="661F77EC"/>
    <w:rsid w:val="6620053A"/>
    <w:rsid w:val="662017D8"/>
    <w:rsid w:val="66211C37"/>
    <w:rsid w:val="66236178"/>
    <w:rsid w:val="66241E2F"/>
    <w:rsid w:val="6624670B"/>
    <w:rsid w:val="66256B0D"/>
    <w:rsid w:val="662756B1"/>
    <w:rsid w:val="66275F83"/>
    <w:rsid w:val="66277A2E"/>
    <w:rsid w:val="66286BC2"/>
    <w:rsid w:val="66297D40"/>
    <w:rsid w:val="662A38E7"/>
    <w:rsid w:val="662A4860"/>
    <w:rsid w:val="662B12B9"/>
    <w:rsid w:val="662B2FED"/>
    <w:rsid w:val="662B6B98"/>
    <w:rsid w:val="662B76B9"/>
    <w:rsid w:val="662C12D0"/>
    <w:rsid w:val="662C7B45"/>
    <w:rsid w:val="662E02B9"/>
    <w:rsid w:val="662E1BA3"/>
    <w:rsid w:val="662E58F0"/>
    <w:rsid w:val="662F0133"/>
    <w:rsid w:val="66300CAD"/>
    <w:rsid w:val="66301434"/>
    <w:rsid w:val="66316E97"/>
    <w:rsid w:val="66356649"/>
    <w:rsid w:val="66357F07"/>
    <w:rsid w:val="66362562"/>
    <w:rsid w:val="663643A4"/>
    <w:rsid w:val="663866F9"/>
    <w:rsid w:val="6639016F"/>
    <w:rsid w:val="66390E88"/>
    <w:rsid w:val="663A5093"/>
    <w:rsid w:val="663A7A43"/>
    <w:rsid w:val="663B35B8"/>
    <w:rsid w:val="663D1854"/>
    <w:rsid w:val="663E3421"/>
    <w:rsid w:val="663F6E84"/>
    <w:rsid w:val="66412536"/>
    <w:rsid w:val="66415838"/>
    <w:rsid w:val="664237B1"/>
    <w:rsid w:val="66430B14"/>
    <w:rsid w:val="6644300D"/>
    <w:rsid w:val="66453AAF"/>
    <w:rsid w:val="66473D3A"/>
    <w:rsid w:val="664769C3"/>
    <w:rsid w:val="66491DEC"/>
    <w:rsid w:val="664B56E9"/>
    <w:rsid w:val="664B794C"/>
    <w:rsid w:val="664C0E97"/>
    <w:rsid w:val="664C1C94"/>
    <w:rsid w:val="664C2B60"/>
    <w:rsid w:val="664D347D"/>
    <w:rsid w:val="664E7907"/>
    <w:rsid w:val="664F37C1"/>
    <w:rsid w:val="66504916"/>
    <w:rsid w:val="665119B3"/>
    <w:rsid w:val="66517C68"/>
    <w:rsid w:val="6652176A"/>
    <w:rsid w:val="66532288"/>
    <w:rsid w:val="66551212"/>
    <w:rsid w:val="66560D9E"/>
    <w:rsid w:val="66565F95"/>
    <w:rsid w:val="665A1AC9"/>
    <w:rsid w:val="665C716E"/>
    <w:rsid w:val="665D4AF3"/>
    <w:rsid w:val="665D5BB9"/>
    <w:rsid w:val="6660141A"/>
    <w:rsid w:val="666054F6"/>
    <w:rsid w:val="6660663A"/>
    <w:rsid w:val="666123E1"/>
    <w:rsid w:val="666321D2"/>
    <w:rsid w:val="6663379F"/>
    <w:rsid w:val="66641960"/>
    <w:rsid w:val="66652808"/>
    <w:rsid w:val="66656025"/>
    <w:rsid w:val="666622ED"/>
    <w:rsid w:val="666623B5"/>
    <w:rsid w:val="666642CF"/>
    <w:rsid w:val="66671470"/>
    <w:rsid w:val="666777E5"/>
    <w:rsid w:val="666822CA"/>
    <w:rsid w:val="66685199"/>
    <w:rsid w:val="66687664"/>
    <w:rsid w:val="66687DF7"/>
    <w:rsid w:val="666952D5"/>
    <w:rsid w:val="666B5302"/>
    <w:rsid w:val="666C0403"/>
    <w:rsid w:val="666E007F"/>
    <w:rsid w:val="666E281B"/>
    <w:rsid w:val="666E3909"/>
    <w:rsid w:val="666E41C4"/>
    <w:rsid w:val="666F09D9"/>
    <w:rsid w:val="667063B9"/>
    <w:rsid w:val="667154A4"/>
    <w:rsid w:val="66736DBC"/>
    <w:rsid w:val="667473F9"/>
    <w:rsid w:val="667538CA"/>
    <w:rsid w:val="66756B10"/>
    <w:rsid w:val="66776578"/>
    <w:rsid w:val="66776BFB"/>
    <w:rsid w:val="66786A2D"/>
    <w:rsid w:val="66791368"/>
    <w:rsid w:val="667975F7"/>
    <w:rsid w:val="667D3133"/>
    <w:rsid w:val="667D5DAF"/>
    <w:rsid w:val="667E2D3A"/>
    <w:rsid w:val="66800534"/>
    <w:rsid w:val="66802C84"/>
    <w:rsid w:val="668145BB"/>
    <w:rsid w:val="668219C4"/>
    <w:rsid w:val="66824137"/>
    <w:rsid w:val="66827D3D"/>
    <w:rsid w:val="668302D2"/>
    <w:rsid w:val="668340B8"/>
    <w:rsid w:val="66847E92"/>
    <w:rsid w:val="66860BAC"/>
    <w:rsid w:val="66865E9E"/>
    <w:rsid w:val="66870FD5"/>
    <w:rsid w:val="6687332C"/>
    <w:rsid w:val="66887AB0"/>
    <w:rsid w:val="668940AF"/>
    <w:rsid w:val="668959E8"/>
    <w:rsid w:val="668A13F0"/>
    <w:rsid w:val="668B199B"/>
    <w:rsid w:val="668B1E6A"/>
    <w:rsid w:val="668C1DE7"/>
    <w:rsid w:val="668C5B28"/>
    <w:rsid w:val="66911AAC"/>
    <w:rsid w:val="669361F1"/>
    <w:rsid w:val="66941351"/>
    <w:rsid w:val="669606CD"/>
    <w:rsid w:val="66962B30"/>
    <w:rsid w:val="66995ACA"/>
    <w:rsid w:val="66996818"/>
    <w:rsid w:val="669A1F35"/>
    <w:rsid w:val="669A256A"/>
    <w:rsid w:val="669C007A"/>
    <w:rsid w:val="669C4381"/>
    <w:rsid w:val="669C635D"/>
    <w:rsid w:val="669D5F70"/>
    <w:rsid w:val="669E3141"/>
    <w:rsid w:val="669E5230"/>
    <w:rsid w:val="669F547F"/>
    <w:rsid w:val="66A10292"/>
    <w:rsid w:val="66A14BCE"/>
    <w:rsid w:val="66A2538E"/>
    <w:rsid w:val="66A257F1"/>
    <w:rsid w:val="66A26B30"/>
    <w:rsid w:val="66A61DC0"/>
    <w:rsid w:val="66A83D04"/>
    <w:rsid w:val="66A8511D"/>
    <w:rsid w:val="66A95730"/>
    <w:rsid w:val="66AA70F7"/>
    <w:rsid w:val="66AB1EE7"/>
    <w:rsid w:val="66AC1DC6"/>
    <w:rsid w:val="66AD2C49"/>
    <w:rsid w:val="66AD48E1"/>
    <w:rsid w:val="66AD7F19"/>
    <w:rsid w:val="66AF3357"/>
    <w:rsid w:val="66B01E81"/>
    <w:rsid w:val="66B042CF"/>
    <w:rsid w:val="66B11614"/>
    <w:rsid w:val="66B131ED"/>
    <w:rsid w:val="66B20711"/>
    <w:rsid w:val="66B27262"/>
    <w:rsid w:val="66B37D7A"/>
    <w:rsid w:val="66B60516"/>
    <w:rsid w:val="66B67AEA"/>
    <w:rsid w:val="66B86AFE"/>
    <w:rsid w:val="66B87F57"/>
    <w:rsid w:val="66B90744"/>
    <w:rsid w:val="66B95BDB"/>
    <w:rsid w:val="66BB7AB0"/>
    <w:rsid w:val="66BD0360"/>
    <w:rsid w:val="66BE29C6"/>
    <w:rsid w:val="66C10842"/>
    <w:rsid w:val="66C20EB4"/>
    <w:rsid w:val="66C26A87"/>
    <w:rsid w:val="66C358BF"/>
    <w:rsid w:val="66C3798E"/>
    <w:rsid w:val="66C40E3B"/>
    <w:rsid w:val="66C453E3"/>
    <w:rsid w:val="66C464ED"/>
    <w:rsid w:val="66C76150"/>
    <w:rsid w:val="66C80507"/>
    <w:rsid w:val="66C843A5"/>
    <w:rsid w:val="66CA4FA3"/>
    <w:rsid w:val="66CB021C"/>
    <w:rsid w:val="66CB26CF"/>
    <w:rsid w:val="66CC454E"/>
    <w:rsid w:val="66CF096D"/>
    <w:rsid w:val="66CF0A14"/>
    <w:rsid w:val="66CF2461"/>
    <w:rsid w:val="66CF35B4"/>
    <w:rsid w:val="66D01B7F"/>
    <w:rsid w:val="66D070EE"/>
    <w:rsid w:val="66D55F54"/>
    <w:rsid w:val="66D66DCB"/>
    <w:rsid w:val="66D84E36"/>
    <w:rsid w:val="66D85EA6"/>
    <w:rsid w:val="66D91933"/>
    <w:rsid w:val="66D91F10"/>
    <w:rsid w:val="66DA15CD"/>
    <w:rsid w:val="66DA5AC3"/>
    <w:rsid w:val="66DB0CC1"/>
    <w:rsid w:val="66DB678F"/>
    <w:rsid w:val="66DE71BD"/>
    <w:rsid w:val="66E0029F"/>
    <w:rsid w:val="66E11B56"/>
    <w:rsid w:val="66E11DE1"/>
    <w:rsid w:val="66E12649"/>
    <w:rsid w:val="66E20929"/>
    <w:rsid w:val="66E30339"/>
    <w:rsid w:val="66E80AAF"/>
    <w:rsid w:val="66E83F73"/>
    <w:rsid w:val="66EA60F9"/>
    <w:rsid w:val="66EE6D24"/>
    <w:rsid w:val="66EE6FDA"/>
    <w:rsid w:val="66EF49FD"/>
    <w:rsid w:val="66EF7FBE"/>
    <w:rsid w:val="66F05D82"/>
    <w:rsid w:val="66F14F06"/>
    <w:rsid w:val="66F8282D"/>
    <w:rsid w:val="66F87450"/>
    <w:rsid w:val="66F8782C"/>
    <w:rsid w:val="66FC6B2E"/>
    <w:rsid w:val="66FE3CF8"/>
    <w:rsid w:val="66FF2F3E"/>
    <w:rsid w:val="66FF7D75"/>
    <w:rsid w:val="67010791"/>
    <w:rsid w:val="670214EE"/>
    <w:rsid w:val="670317DC"/>
    <w:rsid w:val="67054732"/>
    <w:rsid w:val="6706409C"/>
    <w:rsid w:val="67097998"/>
    <w:rsid w:val="670A35EF"/>
    <w:rsid w:val="670A4051"/>
    <w:rsid w:val="670B180C"/>
    <w:rsid w:val="670B78D5"/>
    <w:rsid w:val="670C4159"/>
    <w:rsid w:val="670C62E0"/>
    <w:rsid w:val="670C7632"/>
    <w:rsid w:val="670D1FF3"/>
    <w:rsid w:val="670D24F1"/>
    <w:rsid w:val="670E6D43"/>
    <w:rsid w:val="670F5B5F"/>
    <w:rsid w:val="670F7267"/>
    <w:rsid w:val="6710331E"/>
    <w:rsid w:val="67106A35"/>
    <w:rsid w:val="67142711"/>
    <w:rsid w:val="67190E35"/>
    <w:rsid w:val="67190FCC"/>
    <w:rsid w:val="6719483A"/>
    <w:rsid w:val="67196D92"/>
    <w:rsid w:val="67197973"/>
    <w:rsid w:val="67197D7D"/>
    <w:rsid w:val="671A0B9E"/>
    <w:rsid w:val="671A6DC9"/>
    <w:rsid w:val="671C464F"/>
    <w:rsid w:val="671E14F1"/>
    <w:rsid w:val="671E2EC2"/>
    <w:rsid w:val="67250D17"/>
    <w:rsid w:val="67274892"/>
    <w:rsid w:val="67282832"/>
    <w:rsid w:val="672A4502"/>
    <w:rsid w:val="672B22D0"/>
    <w:rsid w:val="672C29CE"/>
    <w:rsid w:val="672C50F9"/>
    <w:rsid w:val="672D2A10"/>
    <w:rsid w:val="672D4BAA"/>
    <w:rsid w:val="6730698B"/>
    <w:rsid w:val="67316F27"/>
    <w:rsid w:val="673235E0"/>
    <w:rsid w:val="67327B6F"/>
    <w:rsid w:val="673413BB"/>
    <w:rsid w:val="67343DB6"/>
    <w:rsid w:val="67346377"/>
    <w:rsid w:val="67363261"/>
    <w:rsid w:val="6737097C"/>
    <w:rsid w:val="67371EF3"/>
    <w:rsid w:val="67373AA0"/>
    <w:rsid w:val="673756F3"/>
    <w:rsid w:val="673778DC"/>
    <w:rsid w:val="67385F34"/>
    <w:rsid w:val="673A2353"/>
    <w:rsid w:val="673A273F"/>
    <w:rsid w:val="673F1F87"/>
    <w:rsid w:val="673F3905"/>
    <w:rsid w:val="673F443C"/>
    <w:rsid w:val="67401089"/>
    <w:rsid w:val="67416E01"/>
    <w:rsid w:val="67423E5B"/>
    <w:rsid w:val="67426C99"/>
    <w:rsid w:val="67430463"/>
    <w:rsid w:val="67432562"/>
    <w:rsid w:val="67433187"/>
    <w:rsid w:val="674357AE"/>
    <w:rsid w:val="6743656C"/>
    <w:rsid w:val="67437B82"/>
    <w:rsid w:val="67466D28"/>
    <w:rsid w:val="67477763"/>
    <w:rsid w:val="674A3A45"/>
    <w:rsid w:val="674B726E"/>
    <w:rsid w:val="674C7A2E"/>
    <w:rsid w:val="674F22FC"/>
    <w:rsid w:val="674F4052"/>
    <w:rsid w:val="674F6A3F"/>
    <w:rsid w:val="6750005A"/>
    <w:rsid w:val="67510C3F"/>
    <w:rsid w:val="67516915"/>
    <w:rsid w:val="67535B4D"/>
    <w:rsid w:val="675361D5"/>
    <w:rsid w:val="67537B14"/>
    <w:rsid w:val="67540D13"/>
    <w:rsid w:val="67543C03"/>
    <w:rsid w:val="67550188"/>
    <w:rsid w:val="67550338"/>
    <w:rsid w:val="67563C8E"/>
    <w:rsid w:val="67577F61"/>
    <w:rsid w:val="67583F88"/>
    <w:rsid w:val="675C62CA"/>
    <w:rsid w:val="675D3C18"/>
    <w:rsid w:val="675E16E1"/>
    <w:rsid w:val="675E5AC8"/>
    <w:rsid w:val="675F18DB"/>
    <w:rsid w:val="675F3C2E"/>
    <w:rsid w:val="676021BE"/>
    <w:rsid w:val="67605C70"/>
    <w:rsid w:val="67615C97"/>
    <w:rsid w:val="6762328C"/>
    <w:rsid w:val="67630A34"/>
    <w:rsid w:val="67631CFA"/>
    <w:rsid w:val="67643B33"/>
    <w:rsid w:val="67652920"/>
    <w:rsid w:val="67665176"/>
    <w:rsid w:val="6767099D"/>
    <w:rsid w:val="67677186"/>
    <w:rsid w:val="67683ED9"/>
    <w:rsid w:val="6769703E"/>
    <w:rsid w:val="676B0277"/>
    <w:rsid w:val="676B0390"/>
    <w:rsid w:val="676E209D"/>
    <w:rsid w:val="676E2A0A"/>
    <w:rsid w:val="676E4C97"/>
    <w:rsid w:val="676F62F4"/>
    <w:rsid w:val="67701B41"/>
    <w:rsid w:val="67704B38"/>
    <w:rsid w:val="677111C9"/>
    <w:rsid w:val="67713889"/>
    <w:rsid w:val="67713A46"/>
    <w:rsid w:val="67714846"/>
    <w:rsid w:val="67725D08"/>
    <w:rsid w:val="67754B48"/>
    <w:rsid w:val="67765200"/>
    <w:rsid w:val="67773CF6"/>
    <w:rsid w:val="677B202D"/>
    <w:rsid w:val="677C130A"/>
    <w:rsid w:val="677C54A5"/>
    <w:rsid w:val="677C77C1"/>
    <w:rsid w:val="677E0D49"/>
    <w:rsid w:val="677E419B"/>
    <w:rsid w:val="677E68C2"/>
    <w:rsid w:val="67810565"/>
    <w:rsid w:val="678354EF"/>
    <w:rsid w:val="67835506"/>
    <w:rsid w:val="6783662B"/>
    <w:rsid w:val="67841AC6"/>
    <w:rsid w:val="67845ADF"/>
    <w:rsid w:val="6785151E"/>
    <w:rsid w:val="67855436"/>
    <w:rsid w:val="678565B3"/>
    <w:rsid w:val="67856A25"/>
    <w:rsid w:val="67857DEA"/>
    <w:rsid w:val="67861060"/>
    <w:rsid w:val="67877E1F"/>
    <w:rsid w:val="678829E7"/>
    <w:rsid w:val="678A132B"/>
    <w:rsid w:val="678A7C07"/>
    <w:rsid w:val="678B06C9"/>
    <w:rsid w:val="678B6524"/>
    <w:rsid w:val="678C468E"/>
    <w:rsid w:val="678F1D45"/>
    <w:rsid w:val="67902CDB"/>
    <w:rsid w:val="67904F4A"/>
    <w:rsid w:val="67911DAB"/>
    <w:rsid w:val="679178BA"/>
    <w:rsid w:val="67920DB1"/>
    <w:rsid w:val="679465F1"/>
    <w:rsid w:val="67967022"/>
    <w:rsid w:val="679708FD"/>
    <w:rsid w:val="679710CD"/>
    <w:rsid w:val="67974636"/>
    <w:rsid w:val="679821D7"/>
    <w:rsid w:val="679831B2"/>
    <w:rsid w:val="67986407"/>
    <w:rsid w:val="67993975"/>
    <w:rsid w:val="679A246F"/>
    <w:rsid w:val="679A2E90"/>
    <w:rsid w:val="679C25CB"/>
    <w:rsid w:val="679E4065"/>
    <w:rsid w:val="679F6C3F"/>
    <w:rsid w:val="67A025E3"/>
    <w:rsid w:val="67A0657A"/>
    <w:rsid w:val="67A2393F"/>
    <w:rsid w:val="67A27081"/>
    <w:rsid w:val="67A439CD"/>
    <w:rsid w:val="67A46BF7"/>
    <w:rsid w:val="67A559C8"/>
    <w:rsid w:val="67A64C43"/>
    <w:rsid w:val="67A70C4C"/>
    <w:rsid w:val="67A7122A"/>
    <w:rsid w:val="67A73D61"/>
    <w:rsid w:val="67A7481F"/>
    <w:rsid w:val="67A80ED1"/>
    <w:rsid w:val="67A902D5"/>
    <w:rsid w:val="67AA187F"/>
    <w:rsid w:val="67AB11D5"/>
    <w:rsid w:val="67AE49E8"/>
    <w:rsid w:val="67AE4DB5"/>
    <w:rsid w:val="67B04E44"/>
    <w:rsid w:val="67B1361F"/>
    <w:rsid w:val="67B333EF"/>
    <w:rsid w:val="67B34637"/>
    <w:rsid w:val="67B44FEB"/>
    <w:rsid w:val="67B54A11"/>
    <w:rsid w:val="67B573CA"/>
    <w:rsid w:val="67B732F2"/>
    <w:rsid w:val="67B97E03"/>
    <w:rsid w:val="67BB3634"/>
    <w:rsid w:val="67BC1CD2"/>
    <w:rsid w:val="67BC5B3D"/>
    <w:rsid w:val="67BC72BC"/>
    <w:rsid w:val="67BF6452"/>
    <w:rsid w:val="67C00A75"/>
    <w:rsid w:val="67C14F90"/>
    <w:rsid w:val="67C24F26"/>
    <w:rsid w:val="67C47409"/>
    <w:rsid w:val="67C5748F"/>
    <w:rsid w:val="67C7235E"/>
    <w:rsid w:val="67C80208"/>
    <w:rsid w:val="67C82589"/>
    <w:rsid w:val="67C92A1E"/>
    <w:rsid w:val="67C96374"/>
    <w:rsid w:val="67C97744"/>
    <w:rsid w:val="67C97D0C"/>
    <w:rsid w:val="67CA070B"/>
    <w:rsid w:val="67CA2A43"/>
    <w:rsid w:val="67CA41CB"/>
    <w:rsid w:val="67CA5E03"/>
    <w:rsid w:val="67CB13F6"/>
    <w:rsid w:val="67CB1B8E"/>
    <w:rsid w:val="67CE203A"/>
    <w:rsid w:val="67CE3666"/>
    <w:rsid w:val="67CE7D25"/>
    <w:rsid w:val="67CF67E2"/>
    <w:rsid w:val="67D21691"/>
    <w:rsid w:val="67D33B21"/>
    <w:rsid w:val="67D373DE"/>
    <w:rsid w:val="67D4119D"/>
    <w:rsid w:val="67D542EA"/>
    <w:rsid w:val="67D80A2B"/>
    <w:rsid w:val="67D9310B"/>
    <w:rsid w:val="67DB1B8C"/>
    <w:rsid w:val="67DC00DB"/>
    <w:rsid w:val="67DC662F"/>
    <w:rsid w:val="67DD0A9B"/>
    <w:rsid w:val="67DE436A"/>
    <w:rsid w:val="67DF0232"/>
    <w:rsid w:val="67E01BA8"/>
    <w:rsid w:val="67E05985"/>
    <w:rsid w:val="67E35011"/>
    <w:rsid w:val="67E42FB3"/>
    <w:rsid w:val="67E52C47"/>
    <w:rsid w:val="67E53848"/>
    <w:rsid w:val="67E90E8E"/>
    <w:rsid w:val="67EA7C3E"/>
    <w:rsid w:val="67EC09E1"/>
    <w:rsid w:val="67EC527E"/>
    <w:rsid w:val="67EC57BC"/>
    <w:rsid w:val="67ED2921"/>
    <w:rsid w:val="67EE2E38"/>
    <w:rsid w:val="67EE593A"/>
    <w:rsid w:val="67EE6818"/>
    <w:rsid w:val="67F021CA"/>
    <w:rsid w:val="67F25560"/>
    <w:rsid w:val="67F2668A"/>
    <w:rsid w:val="67F34548"/>
    <w:rsid w:val="67F3688F"/>
    <w:rsid w:val="67F40285"/>
    <w:rsid w:val="67F41A80"/>
    <w:rsid w:val="67F42234"/>
    <w:rsid w:val="67F67742"/>
    <w:rsid w:val="67F72C6B"/>
    <w:rsid w:val="67F82E8E"/>
    <w:rsid w:val="67F9716C"/>
    <w:rsid w:val="67FA1406"/>
    <w:rsid w:val="67FD6C42"/>
    <w:rsid w:val="680134C3"/>
    <w:rsid w:val="680377C3"/>
    <w:rsid w:val="68041BAF"/>
    <w:rsid w:val="68076E92"/>
    <w:rsid w:val="68077322"/>
    <w:rsid w:val="68081CF5"/>
    <w:rsid w:val="680840D9"/>
    <w:rsid w:val="680930B0"/>
    <w:rsid w:val="680B3BB8"/>
    <w:rsid w:val="680C5410"/>
    <w:rsid w:val="680D0640"/>
    <w:rsid w:val="680D4113"/>
    <w:rsid w:val="680D6703"/>
    <w:rsid w:val="680D7E3C"/>
    <w:rsid w:val="680E57A0"/>
    <w:rsid w:val="680F2990"/>
    <w:rsid w:val="68124F88"/>
    <w:rsid w:val="6813373D"/>
    <w:rsid w:val="68147CCD"/>
    <w:rsid w:val="68154F43"/>
    <w:rsid w:val="68185D32"/>
    <w:rsid w:val="68186060"/>
    <w:rsid w:val="68191A14"/>
    <w:rsid w:val="68195441"/>
    <w:rsid w:val="681957D0"/>
    <w:rsid w:val="68197BA9"/>
    <w:rsid w:val="681A04A3"/>
    <w:rsid w:val="681A210E"/>
    <w:rsid w:val="681A41B8"/>
    <w:rsid w:val="681A58A6"/>
    <w:rsid w:val="681B3A5B"/>
    <w:rsid w:val="681C01A5"/>
    <w:rsid w:val="681D73A1"/>
    <w:rsid w:val="681E1515"/>
    <w:rsid w:val="681F1153"/>
    <w:rsid w:val="68201289"/>
    <w:rsid w:val="682101C7"/>
    <w:rsid w:val="68220AB0"/>
    <w:rsid w:val="682235BB"/>
    <w:rsid w:val="68224C33"/>
    <w:rsid w:val="68255673"/>
    <w:rsid w:val="6825733F"/>
    <w:rsid w:val="682650E1"/>
    <w:rsid w:val="68266F56"/>
    <w:rsid w:val="6827677A"/>
    <w:rsid w:val="68282351"/>
    <w:rsid w:val="682A1221"/>
    <w:rsid w:val="682A3CCB"/>
    <w:rsid w:val="682A4DD7"/>
    <w:rsid w:val="682A641F"/>
    <w:rsid w:val="682A6ACF"/>
    <w:rsid w:val="682B121C"/>
    <w:rsid w:val="682B2899"/>
    <w:rsid w:val="682B627A"/>
    <w:rsid w:val="682D7860"/>
    <w:rsid w:val="682E6068"/>
    <w:rsid w:val="682E7CE8"/>
    <w:rsid w:val="682F5D14"/>
    <w:rsid w:val="682F75A0"/>
    <w:rsid w:val="683121EC"/>
    <w:rsid w:val="68325C61"/>
    <w:rsid w:val="68334346"/>
    <w:rsid w:val="683364F5"/>
    <w:rsid w:val="6833761C"/>
    <w:rsid w:val="6834450F"/>
    <w:rsid w:val="68360A0F"/>
    <w:rsid w:val="6836304E"/>
    <w:rsid w:val="68367C3A"/>
    <w:rsid w:val="68387021"/>
    <w:rsid w:val="683A57F6"/>
    <w:rsid w:val="683B1EF9"/>
    <w:rsid w:val="683B2EEA"/>
    <w:rsid w:val="683B44A9"/>
    <w:rsid w:val="683C2AC2"/>
    <w:rsid w:val="683C7B80"/>
    <w:rsid w:val="683E31F9"/>
    <w:rsid w:val="68413CC0"/>
    <w:rsid w:val="68427AF4"/>
    <w:rsid w:val="68441CCD"/>
    <w:rsid w:val="6844314E"/>
    <w:rsid w:val="68443A04"/>
    <w:rsid w:val="684532E6"/>
    <w:rsid w:val="68454191"/>
    <w:rsid w:val="684602B0"/>
    <w:rsid w:val="684631E7"/>
    <w:rsid w:val="684676D1"/>
    <w:rsid w:val="684804CD"/>
    <w:rsid w:val="68480F7E"/>
    <w:rsid w:val="684841AC"/>
    <w:rsid w:val="68495EE9"/>
    <w:rsid w:val="684A2EFA"/>
    <w:rsid w:val="684B6B9C"/>
    <w:rsid w:val="684C1920"/>
    <w:rsid w:val="684C43B6"/>
    <w:rsid w:val="684D5DFB"/>
    <w:rsid w:val="685079F2"/>
    <w:rsid w:val="6854341C"/>
    <w:rsid w:val="68556BCB"/>
    <w:rsid w:val="685939E5"/>
    <w:rsid w:val="685A66E5"/>
    <w:rsid w:val="685B1E68"/>
    <w:rsid w:val="685D6FD5"/>
    <w:rsid w:val="685F0215"/>
    <w:rsid w:val="6860292D"/>
    <w:rsid w:val="68604DC6"/>
    <w:rsid w:val="68610B28"/>
    <w:rsid w:val="686174BD"/>
    <w:rsid w:val="6863003A"/>
    <w:rsid w:val="6864046D"/>
    <w:rsid w:val="68643263"/>
    <w:rsid w:val="68657DE2"/>
    <w:rsid w:val="686674AB"/>
    <w:rsid w:val="68670E46"/>
    <w:rsid w:val="68676359"/>
    <w:rsid w:val="6867691B"/>
    <w:rsid w:val="68686C1E"/>
    <w:rsid w:val="686A0C90"/>
    <w:rsid w:val="686A18A3"/>
    <w:rsid w:val="686B3E6D"/>
    <w:rsid w:val="686C7AAF"/>
    <w:rsid w:val="686C7C64"/>
    <w:rsid w:val="68710728"/>
    <w:rsid w:val="68714668"/>
    <w:rsid w:val="68723801"/>
    <w:rsid w:val="68723D4A"/>
    <w:rsid w:val="68747C0D"/>
    <w:rsid w:val="68756798"/>
    <w:rsid w:val="68762373"/>
    <w:rsid w:val="68763711"/>
    <w:rsid w:val="68773ECD"/>
    <w:rsid w:val="687A194C"/>
    <w:rsid w:val="687B4F06"/>
    <w:rsid w:val="687D62BC"/>
    <w:rsid w:val="687E1B27"/>
    <w:rsid w:val="687F3240"/>
    <w:rsid w:val="687F4CE6"/>
    <w:rsid w:val="68804BDB"/>
    <w:rsid w:val="68814D1D"/>
    <w:rsid w:val="68821783"/>
    <w:rsid w:val="68834229"/>
    <w:rsid w:val="68835EF0"/>
    <w:rsid w:val="68862CFB"/>
    <w:rsid w:val="68863AD0"/>
    <w:rsid w:val="68870718"/>
    <w:rsid w:val="68875A02"/>
    <w:rsid w:val="68892F6C"/>
    <w:rsid w:val="688C29F9"/>
    <w:rsid w:val="688C6C6E"/>
    <w:rsid w:val="688F0E6D"/>
    <w:rsid w:val="689023AD"/>
    <w:rsid w:val="6890492B"/>
    <w:rsid w:val="689063C9"/>
    <w:rsid w:val="68910811"/>
    <w:rsid w:val="68910F78"/>
    <w:rsid w:val="68913951"/>
    <w:rsid w:val="68917899"/>
    <w:rsid w:val="689233FA"/>
    <w:rsid w:val="68930BE9"/>
    <w:rsid w:val="68936565"/>
    <w:rsid w:val="68940D41"/>
    <w:rsid w:val="68955405"/>
    <w:rsid w:val="68963970"/>
    <w:rsid w:val="68964469"/>
    <w:rsid w:val="68970A5A"/>
    <w:rsid w:val="68971EFD"/>
    <w:rsid w:val="689773CF"/>
    <w:rsid w:val="68980E16"/>
    <w:rsid w:val="68982A8E"/>
    <w:rsid w:val="68983F1E"/>
    <w:rsid w:val="68984631"/>
    <w:rsid w:val="689868D1"/>
    <w:rsid w:val="68991661"/>
    <w:rsid w:val="68997142"/>
    <w:rsid w:val="689B6C2A"/>
    <w:rsid w:val="689B76BA"/>
    <w:rsid w:val="689C60DA"/>
    <w:rsid w:val="689D58E9"/>
    <w:rsid w:val="689E0070"/>
    <w:rsid w:val="68A00E8C"/>
    <w:rsid w:val="68A204DA"/>
    <w:rsid w:val="68A26036"/>
    <w:rsid w:val="68A33CC8"/>
    <w:rsid w:val="68A34E9D"/>
    <w:rsid w:val="68A50198"/>
    <w:rsid w:val="68A711C6"/>
    <w:rsid w:val="68A71CDE"/>
    <w:rsid w:val="68A774BA"/>
    <w:rsid w:val="68A8401A"/>
    <w:rsid w:val="68A91803"/>
    <w:rsid w:val="68A9649C"/>
    <w:rsid w:val="68AA0EB0"/>
    <w:rsid w:val="68AB63A5"/>
    <w:rsid w:val="68AB69D7"/>
    <w:rsid w:val="68AC6D64"/>
    <w:rsid w:val="68AD18C9"/>
    <w:rsid w:val="68AD7432"/>
    <w:rsid w:val="68AE020B"/>
    <w:rsid w:val="68AF2FF9"/>
    <w:rsid w:val="68B0223F"/>
    <w:rsid w:val="68B03321"/>
    <w:rsid w:val="68B06267"/>
    <w:rsid w:val="68B22A3D"/>
    <w:rsid w:val="68B316F7"/>
    <w:rsid w:val="68B37957"/>
    <w:rsid w:val="68B47A79"/>
    <w:rsid w:val="68B61981"/>
    <w:rsid w:val="68B6459D"/>
    <w:rsid w:val="68B65F5C"/>
    <w:rsid w:val="68B66893"/>
    <w:rsid w:val="68B7001F"/>
    <w:rsid w:val="68B70368"/>
    <w:rsid w:val="68B82932"/>
    <w:rsid w:val="68B82C68"/>
    <w:rsid w:val="68B82FAF"/>
    <w:rsid w:val="68BA54EB"/>
    <w:rsid w:val="68BA6B0F"/>
    <w:rsid w:val="68BA7BBD"/>
    <w:rsid w:val="68BB67F5"/>
    <w:rsid w:val="68BC1735"/>
    <w:rsid w:val="68BD253B"/>
    <w:rsid w:val="68BD47D3"/>
    <w:rsid w:val="68C0017F"/>
    <w:rsid w:val="68C00A0C"/>
    <w:rsid w:val="68C113AE"/>
    <w:rsid w:val="68C117EE"/>
    <w:rsid w:val="68C118D9"/>
    <w:rsid w:val="68C12023"/>
    <w:rsid w:val="68C16140"/>
    <w:rsid w:val="68C17176"/>
    <w:rsid w:val="68C22133"/>
    <w:rsid w:val="68C52074"/>
    <w:rsid w:val="68C57F29"/>
    <w:rsid w:val="68C62680"/>
    <w:rsid w:val="68C62716"/>
    <w:rsid w:val="68C65452"/>
    <w:rsid w:val="68C7081C"/>
    <w:rsid w:val="68C94A39"/>
    <w:rsid w:val="68CA1354"/>
    <w:rsid w:val="68CB33BD"/>
    <w:rsid w:val="68CB3A1A"/>
    <w:rsid w:val="68CB5DAA"/>
    <w:rsid w:val="68CC09CE"/>
    <w:rsid w:val="68CC13C1"/>
    <w:rsid w:val="68CC17B5"/>
    <w:rsid w:val="68CE42C3"/>
    <w:rsid w:val="68CF308E"/>
    <w:rsid w:val="68D00A83"/>
    <w:rsid w:val="68D214D9"/>
    <w:rsid w:val="68D353D0"/>
    <w:rsid w:val="68D40856"/>
    <w:rsid w:val="68D41494"/>
    <w:rsid w:val="68D43CD7"/>
    <w:rsid w:val="68D5662D"/>
    <w:rsid w:val="68D57C03"/>
    <w:rsid w:val="68D67773"/>
    <w:rsid w:val="68D76C7A"/>
    <w:rsid w:val="68D77EA0"/>
    <w:rsid w:val="68D843E1"/>
    <w:rsid w:val="68DA0C85"/>
    <w:rsid w:val="68DA5CB2"/>
    <w:rsid w:val="68DC3EA4"/>
    <w:rsid w:val="68DC5DC1"/>
    <w:rsid w:val="68DC7C5D"/>
    <w:rsid w:val="68DD2233"/>
    <w:rsid w:val="68DD6538"/>
    <w:rsid w:val="68DF06A5"/>
    <w:rsid w:val="68E11C96"/>
    <w:rsid w:val="68E179C6"/>
    <w:rsid w:val="68E25A44"/>
    <w:rsid w:val="68E62946"/>
    <w:rsid w:val="68E62EC3"/>
    <w:rsid w:val="68E62F2E"/>
    <w:rsid w:val="68E63185"/>
    <w:rsid w:val="68E75A86"/>
    <w:rsid w:val="68E92407"/>
    <w:rsid w:val="68EB285E"/>
    <w:rsid w:val="68EB5411"/>
    <w:rsid w:val="68EB5E39"/>
    <w:rsid w:val="68EB77B8"/>
    <w:rsid w:val="68EC6016"/>
    <w:rsid w:val="68ED214D"/>
    <w:rsid w:val="68ED6499"/>
    <w:rsid w:val="68ED6958"/>
    <w:rsid w:val="68EE0A20"/>
    <w:rsid w:val="68EE3C45"/>
    <w:rsid w:val="68EF4B15"/>
    <w:rsid w:val="68EF4E38"/>
    <w:rsid w:val="68F1350F"/>
    <w:rsid w:val="68F2474A"/>
    <w:rsid w:val="68F340E8"/>
    <w:rsid w:val="68F34686"/>
    <w:rsid w:val="68F42D46"/>
    <w:rsid w:val="68F74079"/>
    <w:rsid w:val="68F86618"/>
    <w:rsid w:val="68FB228A"/>
    <w:rsid w:val="68FC5484"/>
    <w:rsid w:val="68FD70EF"/>
    <w:rsid w:val="68FE20D3"/>
    <w:rsid w:val="6900077B"/>
    <w:rsid w:val="690146E9"/>
    <w:rsid w:val="69023B8D"/>
    <w:rsid w:val="690819AF"/>
    <w:rsid w:val="690C24EE"/>
    <w:rsid w:val="690C4F29"/>
    <w:rsid w:val="690C5F1F"/>
    <w:rsid w:val="690D0B02"/>
    <w:rsid w:val="690D14C0"/>
    <w:rsid w:val="690F4F77"/>
    <w:rsid w:val="690F68D0"/>
    <w:rsid w:val="69124CA8"/>
    <w:rsid w:val="691337A3"/>
    <w:rsid w:val="69145ED0"/>
    <w:rsid w:val="691534E4"/>
    <w:rsid w:val="69166F16"/>
    <w:rsid w:val="69167818"/>
    <w:rsid w:val="69170E6A"/>
    <w:rsid w:val="691733B7"/>
    <w:rsid w:val="69182A02"/>
    <w:rsid w:val="69183B91"/>
    <w:rsid w:val="691862B9"/>
    <w:rsid w:val="69186DBE"/>
    <w:rsid w:val="691871A2"/>
    <w:rsid w:val="69195AA0"/>
    <w:rsid w:val="69197FFF"/>
    <w:rsid w:val="691A1BE9"/>
    <w:rsid w:val="691A5A79"/>
    <w:rsid w:val="691B4302"/>
    <w:rsid w:val="691D5752"/>
    <w:rsid w:val="691F7660"/>
    <w:rsid w:val="69201173"/>
    <w:rsid w:val="69201EC1"/>
    <w:rsid w:val="692061F1"/>
    <w:rsid w:val="69217F25"/>
    <w:rsid w:val="692457F9"/>
    <w:rsid w:val="6927702B"/>
    <w:rsid w:val="6929512F"/>
    <w:rsid w:val="69296B07"/>
    <w:rsid w:val="692C1477"/>
    <w:rsid w:val="692C5735"/>
    <w:rsid w:val="692D20ED"/>
    <w:rsid w:val="692D4134"/>
    <w:rsid w:val="692F2D98"/>
    <w:rsid w:val="69310A66"/>
    <w:rsid w:val="6931666E"/>
    <w:rsid w:val="69321223"/>
    <w:rsid w:val="693342CC"/>
    <w:rsid w:val="6933534A"/>
    <w:rsid w:val="693466D8"/>
    <w:rsid w:val="6935619F"/>
    <w:rsid w:val="69367536"/>
    <w:rsid w:val="69367D40"/>
    <w:rsid w:val="69374DF8"/>
    <w:rsid w:val="69375675"/>
    <w:rsid w:val="693812B6"/>
    <w:rsid w:val="69381925"/>
    <w:rsid w:val="693850BB"/>
    <w:rsid w:val="693A153E"/>
    <w:rsid w:val="693A5F45"/>
    <w:rsid w:val="693A70C3"/>
    <w:rsid w:val="693B535D"/>
    <w:rsid w:val="693D7785"/>
    <w:rsid w:val="693D7F76"/>
    <w:rsid w:val="693E0812"/>
    <w:rsid w:val="693F090D"/>
    <w:rsid w:val="693F50A3"/>
    <w:rsid w:val="693F7F36"/>
    <w:rsid w:val="694029D8"/>
    <w:rsid w:val="6941147C"/>
    <w:rsid w:val="694141CF"/>
    <w:rsid w:val="69417F8E"/>
    <w:rsid w:val="69426404"/>
    <w:rsid w:val="69434AED"/>
    <w:rsid w:val="694625FF"/>
    <w:rsid w:val="694668C0"/>
    <w:rsid w:val="69480B84"/>
    <w:rsid w:val="69490E12"/>
    <w:rsid w:val="69494073"/>
    <w:rsid w:val="69495E1D"/>
    <w:rsid w:val="694A4A15"/>
    <w:rsid w:val="694C2F42"/>
    <w:rsid w:val="694D10F8"/>
    <w:rsid w:val="694F0055"/>
    <w:rsid w:val="69513A22"/>
    <w:rsid w:val="6951675A"/>
    <w:rsid w:val="69516C80"/>
    <w:rsid w:val="695262AE"/>
    <w:rsid w:val="69531EE2"/>
    <w:rsid w:val="69534F79"/>
    <w:rsid w:val="6958294A"/>
    <w:rsid w:val="69592A61"/>
    <w:rsid w:val="69594021"/>
    <w:rsid w:val="695C1183"/>
    <w:rsid w:val="695C4B97"/>
    <w:rsid w:val="695E4A98"/>
    <w:rsid w:val="695F37E6"/>
    <w:rsid w:val="69603D3F"/>
    <w:rsid w:val="69605039"/>
    <w:rsid w:val="69615747"/>
    <w:rsid w:val="696254B8"/>
    <w:rsid w:val="6962552C"/>
    <w:rsid w:val="69635CCE"/>
    <w:rsid w:val="696407C1"/>
    <w:rsid w:val="69644A9C"/>
    <w:rsid w:val="69654FCE"/>
    <w:rsid w:val="696729C1"/>
    <w:rsid w:val="69682A80"/>
    <w:rsid w:val="6968616D"/>
    <w:rsid w:val="69690968"/>
    <w:rsid w:val="696937E4"/>
    <w:rsid w:val="696938BD"/>
    <w:rsid w:val="696A510F"/>
    <w:rsid w:val="696C2A7C"/>
    <w:rsid w:val="696C65AA"/>
    <w:rsid w:val="696E3A25"/>
    <w:rsid w:val="696E46C0"/>
    <w:rsid w:val="696F060D"/>
    <w:rsid w:val="696F16C8"/>
    <w:rsid w:val="696F54A6"/>
    <w:rsid w:val="696F6EF6"/>
    <w:rsid w:val="69702875"/>
    <w:rsid w:val="69717927"/>
    <w:rsid w:val="697257EB"/>
    <w:rsid w:val="697316C0"/>
    <w:rsid w:val="697366DA"/>
    <w:rsid w:val="69746744"/>
    <w:rsid w:val="69757D2F"/>
    <w:rsid w:val="69764B06"/>
    <w:rsid w:val="69765946"/>
    <w:rsid w:val="697A1631"/>
    <w:rsid w:val="697C6B3E"/>
    <w:rsid w:val="697E0DCC"/>
    <w:rsid w:val="697F3CC1"/>
    <w:rsid w:val="697F7C5B"/>
    <w:rsid w:val="69813EB6"/>
    <w:rsid w:val="698152F5"/>
    <w:rsid w:val="698163A2"/>
    <w:rsid w:val="698258D3"/>
    <w:rsid w:val="69845BA5"/>
    <w:rsid w:val="698670A8"/>
    <w:rsid w:val="6987194D"/>
    <w:rsid w:val="69874A57"/>
    <w:rsid w:val="6989077C"/>
    <w:rsid w:val="698A15E2"/>
    <w:rsid w:val="698A7EBC"/>
    <w:rsid w:val="698D3AC0"/>
    <w:rsid w:val="698F09E6"/>
    <w:rsid w:val="698F7603"/>
    <w:rsid w:val="699043F2"/>
    <w:rsid w:val="69904B29"/>
    <w:rsid w:val="699148F2"/>
    <w:rsid w:val="69917587"/>
    <w:rsid w:val="69942AC8"/>
    <w:rsid w:val="69946952"/>
    <w:rsid w:val="699763DE"/>
    <w:rsid w:val="699856A3"/>
    <w:rsid w:val="6999771F"/>
    <w:rsid w:val="699B49E6"/>
    <w:rsid w:val="699C3B21"/>
    <w:rsid w:val="699C3D34"/>
    <w:rsid w:val="699D4FF1"/>
    <w:rsid w:val="699D5AC7"/>
    <w:rsid w:val="699D71CE"/>
    <w:rsid w:val="699E2DDE"/>
    <w:rsid w:val="699F3B05"/>
    <w:rsid w:val="699F4097"/>
    <w:rsid w:val="699F610A"/>
    <w:rsid w:val="69A0706E"/>
    <w:rsid w:val="69A236B0"/>
    <w:rsid w:val="69A24B6F"/>
    <w:rsid w:val="69A41DA4"/>
    <w:rsid w:val="69A463ED"/>
    <w:rsid w:val="69A502D8"/>
    <w:rsid w:val="69A734A5"/>
    <w:rsid w:val="69A865A8"/>
    <w:rsid w:val="69A87AC3"/>
    <w:rsid w:val="69AA245A"/>
    <w:rsid w:val="69AB7B74"/>
    <w:rsid w:val="69AC0258"/>
    <w:rsid w:val="69AC37FB"/>
    <w:rsid w:val="69AE42DB"/>
    <w:rsid w:val="69AE7260"/>
    <w:rsid w:val="69B02E76"/>
    <w:rsid w:val="69B1061C"/>
    <w:rsid w:val="69B30767"/>
    <w:rsid w:val="69B71206"/>
    <w:rsid w:val="69B722D7"/>
    <w:rsid w:val="69B74859"/>
    <w:rsid w:val="69B77972"/>
    <w:rsid w:val="69B874A1"/>
    <w:rsid w:val="69BC7A90"/>
    <w:rsid w:val="69BD51A4"/>
    <w:rsid w:val="69BE24A0"/>
    <w:rsid w:val="69BF1B58"/>
    <w:rsid w:val="69BF2FC7"/>
    <w:rsid w:val="69BF6ADF"/>
    <w:rsid w:val="69C029AA"/>
    <w:rsid w:val="69C06881"/>
    <w:rsid w:val="69C1664B"/>
    <w:rsid w:val="69C24A81"/>
    <w:rsid w:val="69C47083"/>
    <w:rsid w:val="69C77332"/>
    <w:rsid w:val="69C808F0"/>
    <w:rsid w:val="69C91FE5"/>
    <w:rsid w:val="69CA5FC0"/>
    <w:rsid w:val="69CD4C1C"/>
    <w:rsid w:val="69CE0D7F"/>
    <w:rsid w:val="69CF2CDA"/>
    <w:rsid w:val="69CF7AC0"/>
    <w:rsid w:val="69D00DEB"/>
    <w:rsid w:val="69D13186"/>
    <w:rsid w:val="69D42DDB"/>
    <w:rsid w:val="69D53C41"/>
    <w:rsid w:val="69D62050"/>
    <w:rsid w:val="69D6236B"/>
    <w:rsid w:val="69D6792E"/>
    <w:rsid w:val="69D708DD"/>
    <w:rsid w:val="69D73412"/>
    <w:rsid w:val="69D86F10"/>
    <w:rsid w:val="69DC6E0D"/>
    <w:rsid w:val="69DE10F3"/>
    <w:rsid w:val="69DF1986"/>
    <w:rsid w:val="69E022E0"/>
    <w:rsid w:val="69E13D2E"/>
    <w:rsid w:val="69E14FC4"/>
    <w:rsid w:val="69E20B6D"/>
    <w:rsid w:val="69E317A8"/>
    <w:rsid w:val="69E61A6C"/>
    <w:rsid w:val="69E64ED7"/>
    <w:rsid w:val="69E822E0"/>
    <w:rsid w:val="69E93C5A"/>
    <w:rsid w:val="69EA6122"/>
    <w:rsid w:val="69EC583B"/>
    <w:rsid w:val="69EC5CC2"/>
    <w:rsid w:val="69ED09A8"/>
    <w:rsid w:val="69ED66A5"/>
    <w:rsid w:val="69EE2FFB"/>
    <w:rsid w:val="69EF422A"/>
    <w:rsid w:val="69F04E1C"/>
    <w:rsid w:val="69F112DF"/>
    <w:rsid w:val="69F27522"/>
    <w:rsid w:val="69F34C03"/>
    <w:rsid w:val="69F81B05"/>
    <w:rsid w:val="69F85C4B"/>
    <w:rsid w:val="69FA030B"/>
    <w:rsid w:val="69FC30E0"/>
    <w:rsid w:val="69FC5B4F"/>
    <w:rsid w:val="69FC7DE7"/>
    <w:rsid w:val="69FD21E2"/>
    <w:rsid w:val="69FD7261"/>
    <w:rsid w:val="69FF533F"/>
    <w:rsid w:val="6A0048FF"/>
    <w:rsid w:val="6A021814"/>
    <w:rsid w:val="6A023C48"/>
    <w:rsid w:val="6A027774"/>
    <w:rsid w:val="6A03343F"/>
    <w:rsid w:val="6A03384D"/>
    <w:rsid w:val="6A03386C"/>
    <w:rsid w:val="6A036A86"/>
    <w:rsid w:val="6A0407DF"/>
    <w:rsid w:val="6A0601F1"/>
    <w:rsid w:val="6A065AFF"/>
    <w:rsid w:val="6A073885"/>
    <w:rsid w:val="6A080F6C"/>
    <w:rsid w:val="6A0B3804"/>
    <w:rsid w:val="6A0C16F7"/>
    <w:rsid w:val="6A0C468E"/>
    <w:rsid w:val="6A0C60EB"/>
    <w:rsid w:val="6A0D624D"/>
    <w:rsid w:val="6A0F461E"/>
    <w:rsid w:val="6A0F634D"/>
    <w:rsid w:val="6A0F7429"/>
    <w:rsid w:val="6A1119B6"/>
    <w:rsid w:val="6A121F35"/>
    <w:rsid w:val="6A122EB0"/>
    <w:rsid w:val="6A1464A1"/>
    <w:rsid w:val="6A146FEC"/>
    <w:rsid w:val="6A147D39"/>
    <w:rsid w:val="6A176CD5"/>
    <w:rsid w:val="6A1828A6"/>
    <w:rsid w:val="6A186F4E"/>
    <w:rsid w:val="6A187A9B"/>
    <w:rsid w:val="6A1B0EC5"/>
    <w:rsid w:val="6A1C4C20"/>
    <w:rsid w:val="6A1D23AB"/>
    <w:rsid w:val="6A1D49E6"/>
    <w:rsid w:val="6A1D56B2"/>
    <w:rsid w:val="6A1E475A"/>
    <w:rsid w:val="6A1F7ADD"/>
    <w:rsid w:val="6A2057B8"/>
    <w:rsid w:val="6A2509EE"/>
    <w:rsid w:val="6A252E06"/>
    <w:rsid w:val="6A26307E"/>
    <w:rsid w:val="6A265093"/>
    <w:rsid w:val="6A271723"/>
    <w:rsid w:val="6A281D14"/>
    <w:rsid w:val="6A2928AF"/>
    <w:rsid w:val="6A2971BA"/>
    <w:rsid w:val="6A2A5A71"/>
    <w:rsid w:val="6A2D59DF"/>
    <w:rsid w:val="6A2E361E"/>
    <w:rsid w:val="6A3065A9"/>
    <w:rsid w:val="6A307EB9"/>
    <w:rsid w:val="6A311B82"/>
    <w:rsid w:val="6A312B2A"/>
    <w:rsid w:val="6A327BDB"/>
    <w:rsid w:val="6A3348A6"/>
    <w:rsid w:val="6A334CA2"/>
    <w:rsid w:val="6A3536BA"/>
    <w:rsid w:val="6A357E8D"/>
    <w:rsid w:val="6A364768"/>
    <w:rsid w:val="6A37053F"/>
    <w:rsid w:val="6A384B21"/>
    <w:rsid w:val="6A386B5F"/>
    <w:rsid w:val="6A390FBB"/>
    <w:rsid w:val="6A3A2F44"/>
    <w:rsid w:val="6A3B0FF1"/>
    <w:rsid w:val="6A3B135B"/>
    <w:rsid w:val="6A3C47B3"/>
    <w:rsid w:val="6A3E28E9"/>
    <w:rsid w:val="6A3E30B7"/>
    <w:rsid w:val="6A3F1BA9"/>
    <w:rsid w:val="6A3F4098"/>
    <w:rsid w:val="6A405C25"/>
    <w:rsid w:val="6A407944"/>
    <w:rsid w:val="6A411D57"/>
    <w:rsid w:val="6A4175F2"/>
    <w:rsid w:val="6A42304D"/>
    <w:rsid w:val="6A430C4E"/>
    <w:rsid w:val="6A447DFA"/>
    <w:rsid w:val="6A4563E5"/>
    <w:rsid w:val="6A456FB0"/>
    <w:rsid w:val="6A462C9A"/>
    <w:rsid w:val="6A464AD0"/>
    <w:rsid w:val="6A477ABD"/>
    <w:rsid w:val="6A494BF7"/>
    <w:rsid w:val="6A4A583D"/>
    <w:rsid w:val="6A4B23F9"/>
    <w:rsid w:val="6A4B41C9"/>
    <w:rsid w:val="6A4C12ED"/>
    <w:rsid w:val="6A4D14B9"/>
    <w:rsid w:val="6A4E15F6"/>
    <w:rsid w:val="6A4E7B68"/>
    <w:rsid w:val="6A4F0F97"/>
    <w:rsid w:val="6A4F678D"/>
    <w:rsid w:val="6A4F7163"/>
    <w:rsid w:val="6A524D83"/>
    <w:rsid w:val="6A5250A9"/>
    <w:rsid w:val="6A547160"/>
    <w:rsid w:val="6A5771E9"/>
    <w:rsid w:val="6A591319"/>
    <w:rsid w:val="6A5B4299"/>
    <w:rsid w:val="6A5C08F0"/>
    <w:rsid w:val="6A5D4117"/>
    <w:rsid w:val="6A5E2A41"/>
    <w:rsid w:val="6A5E6911"/>
    <w:rsid w:val="6A5F3CF8"/>
    <w:rsid w:val="6A5F5946"/>
    <w:rsid w:val="6A5F7DF7"/>
    <w:rsid w:val="6A601163"/>
    <w:rsid w:val="6A605217"/>
    <w:rsid w:val="6A6074EF"/>
    <w:rsid w:val="6A611E2F"/>
    <w:rsid w:val="6A617014"/>
    <w:rsid w:val="6A627D69"/>
    <w:rsid w:val="6A642413"/>
    <w:rsid w:val="6A6450E8"/>
    <w:rsid w:val="6A645C75"/>
    <w:rsid w:val="6A672621"/>
    <w:rsid w:val="6A675583"/>
    <w:rsid w:val="6A687894"/>
    <w:rsid w:val="6A6A24C1"/>
    <w:rsid w:val="6A6B0730"/>
    <w:rsid w:val="6A6B2DA9"/>
    <w:rsid w:val="6A6B66E0"/>
    <w:rsid w:val="6A6D4950"/>
    <w:rsid w:val="6A6E2A40"/>
    <w:rsid w:val="6A6E4F37"/>
    <w:rsid w:val="6A6F0545"/>
    <w:rsid w:val="6A70234F"/>
    <w:rsid w:val="6A702F5C"/>
    <w:rsid w:val="6A7046B9"/>
    <w:rsid w:val="6A70580C"/>
    <w:rsid w:val="6A7079FD"/>
    <w:rsid w:val="6A7321D9"/>
    <w:rsid w:val="6A74428F"/>
    <w:rsid w:val="6A744AB6"/>
    <w:rsid w:val="6A7470B7"/>
    <w:rsid w:val="6A761531"/>
    <w:rsid w:val="6A76358E"/>
    <w:rsid w:val="6A783CF6"/>
    <w:rsid w:val="6A7855B3"/>
    <w:rsid w:val="6A79231E"/>
    <w:rsid w:val="6A7B1131"/>
    <w:rsid w:val="6A7D70AD"/>
    <w:rsid w:val="6A7E0C01"/>
    <w:rsid w:val="6A7E224E"/>
    <w:rsid w:val="6A7E6C41"/>
    <w:rsid w:val="6A7F0438"/>
    <w:rsid w:val="6A811315"/>
    <w:rsid w:val="6A81462C"/>
    <w:rsid w:val="6A8325C9"/>
    <w:rsid w:val="6A88377E"/>
    <w:rsid w:val="6A89004C"/>
    <w:rsid w:val="6A8A42F9"/>
    <w:rsid w:val="6A8A529D"/>
    <w:rsid w:val="6A8B4A59"/>
    <w:rsid w:val="6A8C462D"/>
    <w:rsid w:val="6A8D7680"/>
    <w:rsid w:val="6A8E2C83"/>
    <w:rsid w:val="6A8E64E0"/>
    <w:rsid w:val="6A8E73AB"/>
    <w:rsid w:val="6A8E7895"/>
    <w:rsid w:val="6A8F2BFB"/>
    <w:rsid w:val="6A8F2D56"/>
    <w:rsid w:val="6A911A98"/>
    <w:rsid w:val="6A913A4E"/>
    <w:rsid w:val="6A9253AA"/>
    <w:rsid w:val="6A934B17"/>
    <w:rsid w:val="6A947363"/>
    <w:rsid w:val="6A96025D"/>
    <w:rsid w:val="6A965CD9"/>
    <w:rsid w:val="6A9800C0"/>
    <w:rsid w:val="6A9A2DBC"/>
    <w:rsid w:val="6A9A6B93"/>
    <w:rsid w:val="6A9B3627"/>
    <w:rsid w:val="6A9C4A65"/>
    <w:rsid w:val="6A9C5F46"/>
    <w:rsid w:val="6A9D7B13"/>
    <w:rsid w:val="6A9E1D09"/>
    <w:rsid w:val="6A9E1F27"/>
    <w:rsid w:val="6AA12CA7"/>
    <w:rsid w:val="6AA162E3"/>
    <w:rsid w:val="6AA34744"/>
    <w:rsid w:val="6AA37ACC"/>
    <w:rsid w:val="6AA45DD3"/>
    <w:rsid w:val="6AA521A6"/>
    <w:rsid w:val="6AA575BC"/>
    <w:rsid w:val="6AA63C78"/>
    <w:rsid w:val="6AA6740A"/>
    <w:rsid w:val="6AA71C80"/>
    <w:rsid w:val="6AA7367A"/>
    <w:rsid w:val="6AA76C12"/>
    <w:rsid w:val="6AA8068C"/>
    <w:rsid w:val="6AA92730"/>
    <w:rsid w:val="6AA930F2"/>
    <w:rsid w:val="6AAA28CA"/>
    <w:rsid w:val="6AAA2903"/>
    <w:rsid w:val="6AAA2D51"/>
    <w:rsid w:val="6AAA71B6"/>
    <w:rsid w:val="6AAC070C"/>
    <w:rsid w:val="6AAE630C"/>
    <w:rsid w:val="6AAF4DD6"/>
    <w:rsid w:val="6AAF78EA"/>
    <w:rsid w:val="6AB052F4"/>
    <w:rsid w:val="6AB1099D"/>
    <w:rsid w:val="6AB20E44"/>
    <w:rsid w:val="6AB3764E"/>
    <w:rsid w:val="6AB43FC2"/>
    <w:rsid w:val="6AB4619C"/>
    <w:rsid w:val="6AB478D8"/>
    <w:rsid w:val="6AB51DAF"/>
    <w:rsid w:val="6AB56047"/>
    <w:rsid w:val="6AB65D69"/>
    <w:rsid w:val="6AB73A86"/>
    <w:rsid w:val="6AB776D9"/>
    <w:rsid w:val="6AB875D0"/>
    <w:rsid w:val="6AB91395"/>
    <w:rsid w:val="6AB917C7"/>
    <w:rsid w:val="6AB927C7"/>
    <w:rsid w:val="6AB93BE1"/>
    <w:rsid w:val="6AB9530C"/>
    <w:rsid w:val="6AB9716D"/>
    <w:rsid w:val="6ABA068F"/>
    <w:rsid w:val="6ABA73A5"/>
    <w:rsid w:val="6ABB2AE2"/>
    <w:rsid w:val="6ABC414A"/>
    <w:rsid w:val="6ABD3C7E"/>
    <w:rsid w:val="6ABE5276"/>
    <w:rsid w:val="6ABF48D2"/>
    <w:rsid w:val="6ABF65D9"/>
    <w:rsid w:val="6ABF65DE"/>
    <w:rsid w:val="6AC1330E"/>
    <w:rsid w:val="6AC25FBE"/>
    <w:rsid w:val="6AC32691"/>
    <w:rsid w:val="6AC32F77"/>
    <w:rsid w:val="6AC552F4"/>
    <w:rsid w:val="6AC56E51"/>
    <w:rsid w:val="6AC76EB8"/>
    <w:rsid w:val="6AC9508C"/>
    <w:rsid w:val="6AC956CE"/>
    <w:rsid w:val="6ACA5B7F"/>
    <w:rsid w:val="6ACA7280"/>
    <w:rsid w:val="6ACB2046"/>
    <w:rsid w:val="6ACD6D8F"/>
    <w:rsid w:val="6ACD7DF0"/>
    <w:rsid w:val="6ACE395D"/>
    <w:rsid w:val="6ACF4C49"/>
    <w:rsid w:val="6AD06BC8"/>
    <w:rsid w:val="6AD07CAD"/>
    <w:rsid w:val="6AD13D56"/>
    <w:rsid w:val="6AD22940"/>
    <w:rsid w:val="6AD24877"/>
    <w:rsid w:val="6AD2665D"/>
    <w:rsid w:val="6AD27517"/>
    <w:rsid w:val="6AD40467"/>
    <w:rsid w:val="6AD50457"/>
    <w:rsid w:val="6AD60261"/>
    <w:rsid w:val="6AD60A5C"/>
    <w:rsid w:val="6AD64EA1"/>
    <w:rsid w:val="6AD705ED"/>
    <w:rsid w:val="6AD72286"/>
    <w:rsid w:val="6AD76E4A"/>
    <w:rsid w:val="6AD825D2"/>
    <w:rsid w:val="6ADA436F"/>
    <w:rsid w:val="6ADB0840"/>
    <w:rsid w:val="6ADC26F2"/>
    <w:rsid w:val="6ADD0F1F"/>
    <w:rsid w:val="6ADF066D"/>
    <w:rsid w:val="6AE0120C"/>
    <w:rsid w:val="6AE12A37"/>
    <w:rsid w:val="6AE14B8A"/>
    <w:rsid w:val="6AE1653F"/>
    <w:rsid w:val="6AE22502"/>
    <w:rsid w:val="6AE37B53"/>
    <w:rsid w:val="6AE45B4E"/>
    <w:rsid w:val="6AE608DB"/>
    <w:rsid w:val="6AE736DE"/>
    <w:rsid w:val="6AE73F06"/>
    <w:rsid w:val="6AE82A4B"/>
    <w:rsid w:val="6AE83033"/>
    <w:rsid w:val="6AE9017C"/>
    <w:rsid w:val="6AE90D28"/>
    <w:rsid w:val="6AEB242A"/>
    <w:rsid w:val="6AEB3F95"/>
    <w:rsid w:val="6AEB6592"/>
    <w:rsid w:val="6AED618E"/>
    <w:rsid w:val="6AEF162D"/>
    <w:rsid w:val="6AEF6F75"/>
    <w:rsid w:val="6AF24A6D"/>
    <w:rsid w:val="6AF31853"/>
    <w:rsid w:val="6AF405DA"/>
    <w:rsid w:val="6AF40938"/>
    <w:rsid w:val="6AF42059"/>
    <w:rsid w:val="6AF4385A"/>
    <w:rsid w:val="6AF43B00"/>
    <w:rsid w:val="6AF6184E"/>
    <w:rsid w:val="6AF62723"/>
    <w:rsid w:val="6AF72BFA"/>
    <w:rsid w:val="6AF7579A"/>
    <w:rsid w:val="6AF84298"/>
    <w:rsid w:val="6AF928CE"/>
    <w:rsid w:val="6AF92D5A"/>
    <w:rsid w:val="6AF9677D"/>
    <w:rsid w:val="6AFA1A73"/>
    <w:rsid w:val="6AFB2135"/>
    <w:rsid w:val="6AFC5D2E"/>
    <w:rsid w:val="6AFE2A15"/>
    <w:rsid w:val="6B0113F9"/>
    <w:rsid w:val="6B013584"/>
    <w:rsid w:val="6B01685F"/>
    <w:rsid w:val="6B030B12"/>
    <w:rsid w:val="6B037B77"/>
    <w:rsid w:val="6B0403F4"/>
    <w:rsid w:val="6B054AC4"/>
    <w:rsid w:val="6B062EAF"/>
    <w:rsid w:val="6B066DD4"/>
    <w:rsid w:val="6B06751F"/>
    <w:rsid w:val="6B070DB0"/>
    <w:rsid w:val="6B086A31"/>
    <w:rsid w:val="6B094ADB"/>
    <w:rsid w:val="6B0A1FDE"/>
    <w:rsid w:val="6B0A5F88"/>
    <w:rsid w:val="6B0B6EBC"/>
    <w:rsid w:val="6B0C109A"/>
    <w:rsid w:val="6B0C5E52"/>
    <w:rsid w:val="6B0D50E3"/>
    <w:rsid w:val="6B0F3A74"/>
    <w:rsid w:val="6B105217"/>
    <w:rsid w:val="6B105A4B"/>
    <w:rsid w:val="6B105B7D"/>
    <w:rsid w:val="6B10675B"/>
    <w:rsid w:val="6B110FD0"/>
    <w:rsid w:val="6B1150D2"/>
    <w:rsid w:val="6B11699B"/>
    <w:rsid w:val="6B15567A"/>
    <w:rsid w:val="6B166045"/>
    <w:rsid w:val="6B170C45"/>
    <w:rsid w:val="6B1822D2"/>
    <w:rsid w:val="6B197C76"/>
    <w:rsid w:val="6B1A0E7A"/>
    <w:rsid w:val="6B1B2535"/>
    <w:rsid w:val="6B1B4D71"/>
    <w:rsid w:val="6B1E734B"/>
    <w:rsid w:val="6B204F80"/>
    <w:rsid w:val="6B207F87"/>
    <w:rsid w:val="6B2147CF"/>
    <w:rsid w:val="6B215301"/>
    <w:rsid w:val="6B226028"/>
    <w:rsid w:val="6B226D44"/>
    <w:rsid w:val="6B231B90"/>
    <w:rsid w:val="6B237021"/>
    <w:rsid w:val="6B2430E0"/>
    <w:rsid w:val="6B2524DB"/>
    <w:rsid w:val="6B2565DE"/>
    <w:rsid w:val="6B2602AA"/>
    <w:rsid w:val="6B263AAF"/>
    <w:rsid w:val="6B265255"/>
    <w:rsid w:val="6B2749BB"/>
    <w:rsid w:val="6B2806FF"/>
    <w:rsid w:val="6B2A4CD6"/>
    <w:rsid w:val="6B2A63A4"/>
    <w:rsid w:val="6B2A7AC0"/>
    <w:rsid w:val="6B2B5B06"/>
    <w:rsid w:val="6B2C56FF"/>
    <w:rsid w:val="6B2D2DC0"/>
    <w:rsid w:val="6B2D47CD"/>
    <w:rsid w:val="6B2F28E5"/>
    <w:rsid w:val="6B341140"/>
    <w:rsid w:val="6B353B64"/>
    <w:rsid w:val="6B354A0F"/>
    <w:rsid w:val="6B364D54"/>
    <w:rsid w:val="6B374F06"/>
    <w:rsid w:val="6B390FF7"/>
    <w:rsid w:val="6B393DD5"/>
    <w:rsid w:val="6B394D5A"/>
    <w:rsid w:val="6B3C6388"/>
    <w:rsid w:val="6B3D1D01"/>
    <w:rsid w:val="6B3E18D9"/>
    <w:rsid w:val="6B3F2BA1"/>
    <w:rsid w:val="6B417133"/>
    <w:rsid w:val="6B417340"/>
    <w:rsid w:val="6B425395"/>
    <w:rsid w:val="6B445E54"/>
    <w:rsid w:val="6B4518E0"/>
    <w:rsid w:val="6B4534E1"/>
    <w:rsid w:val="6B456043"/>
    <w:rsid w:val="6B4857B5"/>
    <w:rsid w:val="6B485AC5"/>
    <w:rsid w:val="6B4D1859"/>
    <w:rsid w:val="6B4E0C55"/>
    <w:rsid w:val="6B4E4F36"/>
    <w:rsid w:val="6B544017"/>
    <w:rsid w:val="6B544CEF"/>
    <w:rsid w:val="6B557759"/>
    <w:rsid w:val="6B560E7C"/>
    <w:rsid w:val="6B562A52"/>
    <w:rsid w:val="6B5718FA"/>
    <w:rsid w:val="6B5856D2"/>
    <w:rsid w:val="6B5A52FA"/>
    <w:rsid w:val="6B5B46DD"/>
    <w:rsid w:val="6B5C0EBF"/>
    <w:rsid w:val="6B5C20B6"/>
    <w:rsid w:val="6B5D0A58"/>
    <w:rsid w:val="6B5D24FF"/>
    <w:rsid w:val="6B5E0A86"/>
    <w:rsid w:val="6B5E0E5E"/>
    <w:rsid w:val="6B5F5421"/>
    <w:rsid w:val="6B6303FD"/>
    <w:rsid w:val="6B63172F"/>
    <w:rsid w:val="6B6360F5"/>
    <w:rsid w:val="6B6361CB"/>
    <w:rsid w:val="6B647288"/>
    <w:rsid w:val="6B6719F1"/>
    <w:rsid w:val="6B6822A9"/>
    <w:rsid w:val="6B694606"/>
    <w:rsid w:val="6B6C565E"/>
    <w:rsid w:val="6B6E39AB"/>
    <w:rsid w:val="6B6F4B0E"/>
    <w:rsid w:val="6B71690B"/>
    <w:rsid w:val="6B753648"/>
    <w:rsid w:val="6B765DE7"/>
    <w:rsid w:val="6B767C76"/>
    <w:rsid w:val="6B770829"/>
    <w:rsid w:val="6B7949F3"/>
    <w:rsid w:val="6B7B0FA5"/>
    <w:rsid w:val="6B7B7526"/>
    <w:rsid w:val="6B7C0675"/>
    <w:rsid w:val="6B7C7317"/>
    <w:rsid w:val="6B7E1CAD"/>
    <w:rsid w:val="6B7E4333"/>
    <w:rsid w:val="6B7E7B79"/>
    <w:rsid w:val="6B7F6615"/>
    <w:rsid w:val="6B7F7A6A"/>
    <w:rsid w:val="6B801EEC"/>
    <w:rsid w:val="6B81427F"/>
    <w:rsid w:val="6B816317"/>
    <w:rsid w:val="6B826EB0"/>
    <w:rsid w:val="6B831AD1"/>
    <w:rsid w:val="6B8331C6"/>
    <w:rsid w:val="6B855F6C"/>
    <w:rsid w:val="6B861C90"/>
    <w:rsid w:val="6B866937"/>
    <w:rsid w:val="6B876587"/>
    <w:rsid w:val="6B887441"/>
    <w:rsid w:val="6B8A3FF0"/>
    <w:rsid w:val="6B8A74D8"/>
    <w:rsid w:val="6B8C6160"/>
    <w:rsid w:val="6B8E37E8"/>
    <w:rsid w:val="6B8E66AA"/>
    <w:rsid w:val="6B8F3144"/>
    <w:rsid w:val="6B8F6C3B"/>
    <w:rsid w:val="6B910D0B"/>
    <w:rsid w:val="6B92118D"/>
    <w:rsid w:val="6B926908"/>
    <w:rsid w:val="6B981DD3"/>
    <w:rsid w:val="6B9A3D01"/>
    <w:rsid w:val="6B9A7F33"/>
    <w:rsid w:val="6B9B43B3"/>
    <w:rsid w:val="6B9B78E8"/>
    <w:rsid w:val="6B9C12FA"/>
    <w:rsid w:val="6B9C53D8"/>
    <w:rsid w:val="6B9F44A4"/>
    <w:rsid w:val="6BA0135A"/>
    <w:rsid w:val="6BA067F4"/>
    <w:rsid w:val="6BA2382C"/>
    <w:rsid w:val="6BA2489A"/>
    <w:rsid w:val="6BA31114"/>
    <w:rsid w:val="6BA33C71"/>
    <w:rsid w:val="6BA35F18"/>
    <w:rsid w:val="6BA36CE1"/>
    <w:rsid w:val="6BA45704"/>
    <w:rsid w:val="6BA57F6E"/>
    <w:rsid w:val="6BA75796"/>
    <w:rsid w:val="6BA8252B"/>
    <w:rsid w:val="6BA90D4E"/>
    <w:rsid w:val="6BA92C3F"/>
    <w:rsid w:val="6BAA7419"/>
    <w:rsid w:val="6BAC03BC"/>
    <w:rsid w:val="6BAC13B4"/>
    <w:rsid w:val="6BAC30DC"/>
    <w:rsid w:val="6BAC3C42"/>
    <w:rsid w:val="6BAD7CE8"/>
    <w:rsid w:val="6BAF2400"/>
    <w:rsid w:val="6BAF40B2"/>
    <w:rsid w:val="6BAF44BC"/>
    <w:rsid w:val="6BAF7155"/>
    <w:rsid w:val="6BB01857"/>
    <w:rsid w:val="6BB07226"/>
    <w:rsid w:val="6BB1266B"/>
    <w:rsid w:val="6BB268CB"/>
    <w:rsid w:val="6BB36AB8"/>
    <w:rsid w:val="6BB63B1A"/>
    <w:rsid w:val="6BB7303C"/>
    <w:rsid w:val="6BB9487A"/>
    <w:rsid w:val="6BB95D5A"/>
    <w:rsid w:val="6BB96D6D"/>
    <w:rsid w:val="6BBD2F9D"/>
    <w:rsid w:val="6BBE3CE2"/>
    <w:rsid w:val="6BBF51C8"/>
    <w:rsid w:val="6BC072A8"/>
    <w:rsid w:val="6BC14658"/>
    <w:rsid w:val="6BC2360A"/>
    <w:rsid w:val="6BC24D08"/>
    <w:rsid w:val="6BC40E40"/>
    <w:rsid w:val="6BC41949"/>
    <w:rsid w:val="6BC613B1"/>
    <w:rsid w:val="6BC75B14"/>
    <w:rsid w:val="6BC80DE9"/>
    <w:rsid w:val="6BC81ECE"/>
    <w:rsid w:val="6BC9114D"/>
    <w:rsid w:val="6BC95BB9"/>
    <w:rsid w:val="6BC96A20"/>
    <w:rsid w:val="6BCA255D"/>
    <w:rsid w:val="6BCA4132"/>
    <w:rsid w:val="6BCC2D51"/>
    <w:rsid w:val="6BCC6E7C"/>
    <w:rsid w:val="6BCD2F22"/>
    <w:rsid w:val="6BCD45AC"/>
    <w:rsid w:val="6BCE07F2"/>
    <w:rsid w:val="6BCF2D51"/>
    <w:rsid w:val="6BD03FF8"/>
    <w:rsid w:val="6BD424EE"/>
    <w:rsid w:val="6BD450F5"/>
    <w:rsid w:val="6BD5368A"/>
    <w:rsid w:val="6BD65F4F"/>
    <w:rsid w:val="6BD67E73"/>
    <w:rsid w:val="6BD74C5F"/>
    <w:rsid w:val="6BD87F46"/>
    <w:rsid w:val="6BD91AAD"/>
    <w:rsid w:val="6BD932AA"/>
    <w:rsid w:val="6BD967CB"/>
    <w:rsid w:val="6BDA6A31"/>
    <w:rsid w:val="6BDC063C"/>
    <w:rsid w:val="6BDC3ECA"/>
    <w:rsid w:val="6BDC5BD4"/>
    <w:rsid w:val="6BDE2A7C"/>
    <w:rsid w:val="6BDF68A4"/>
    <w:rsid w:val="6BE00665"/>
    <w:rsid w:val="6BE0187F"/>
    <w:rsid w:val="6BE049A7"/>
    <w:rsid w:val="6BE72A5B"/>
    <w:rsid w:val="6BE73F80"/>
    <w:rsid w:val="6BE768CE"/>
    <w:rsid w:val="6BE865D3"/>
    <w:rsid w:val="6BE95E45"/>
    <w:rsid w:val="6BEA3461"/>
    <w:rsid w:val="6BEA6A8B"/>
    <w:rsid w:val="6BEC2154"/>
    <w:rsid w:val="6BEC4B36"/>
    <w:rsid w:val="6BEF28CC"/>
    <w:rsid w:val="6BEF4CF7"/>
    <w:rsid w:val="6BEF72BC"/>
    <w:rsid w:val="6BF0202A"/>
    <w:rsid w:val="6BF04049"/>
    <w:rsid w:val="6BF10B05"/>
    <w:rsid w:val="6BF17A14"/>
    <w:rsid w:val="6BF21607"/>
    <w:rsid w:val="6BF225A9"/>
    <w:rsid w:val="6BF22A05"/>
    <w:rsid w:val="6BF32B6E"/>
    <w:rsid w:val="6BF3318C"/>
    <w:rsid w:val="6BF40357"/>
    <w:rsid w:val="6BF55570"/>
    <w:rsid w:val="6BF65D41"/>
    <w:rsid w:val="6BF7151D"/>
    <w:rsid w:val="6BF84629"/>
    <w:rsid w:val="6BF876FD"/>
    <w:rsid w:val="6BF91973"/>
    <w:rsid w:val="6BFA62D3"/>
    <w:rsid w:val="6BFB101C"/>
    <w:rsid w:val="6BFB1E50"/>
    <w:rsid w:val="6BFB4801"/>
    <w:rsid w:val="6BFC1888"/>
    <w:rsid w:val="6BFC6BC5"/>
    <w:rsid w:val="6BFD55CC"/>
    <w:rsid w:val="6BFF02C1"/>
    <w:rsid w:val="6BFF4FDC"/>
    <w:rsid w:val="6C007BA3"/>
    <w:rsid w:val="6C015C3F"/>
    <w:rsid w:val="6C0358E4"/>
    <w:rsid w:val="6C0403BE"/>
    <w:rsid w:val="6C040E69"/>
    <w:rsid w:val="6C041E9D"/>
    <w:rsid w:val="6C05248C"/>
    <w:rsid w:val="6C05353C"/>
    <w:rsid w:val="6C06371C"/>
    <w:rsid w:val="6C067B84"/>
    <w:rsid w:val="6C08691C"/>
    <w:rsid w:val="6C093CEF"/>
    <w:rsid w:val="6C094951"/>
    <w:rsid w:val="6C0B0EE9"/>
    <w:rsid w:val="6C0B406D"/>
    <w:rsid w:val="6C0C647D"/>
    <w:rsid w:val="6C0D445C"/>
    <w:rsid w:val="6C0D496A"/>
    <w:rsid w:val="6C0E049D"/>
    <w:rsid w:val="6C0F5D75"/>
    <w:rsid w:val="6C111C6F"/>
    <w:rsid w:val="6C1151C2"/>
    <w:rsid w:val="6C14461D"/>
    <w:rsid w:val="6C1615EA"/>
    <w:rsid w:val="6C17201A"/>
    <w:rsid w:val="6C1749DB"/>
    <w:rsid w:val="6C180722"/>
    <w:rsid w:val="6C1B1C7F"/>
    <w:rsid w:val="6C1C541B"/>
    <w:rsid w:val="6C1F00CE"/>
    <w:rsid w:val="6C2076DB"/>
    <w:rsid w:val="6C210867"/>
    <w:rsid w:val="6C212D00"/>
    <w:rsid w:val="6C214371"/>
    <w:rsid w:val="6C226884"/>
    <w:rsid w:val="6C244E13"/>
    <w:rsid w:val="6C2471CC"/>
    <w:rsid w:val="6C262903"/>
    <w:rsid w:val="6C281420"/>
    <w:rsid w:val="6C2B2984"/>
    <w:rsid w:val="6C2B720A"/>
    <w:rsid w:val="6C2E0781"/>
    <w:rsid w:val="6C2F4ACC"/>
    <w:rsid w:val="6C2F6777"/>
    <w:rsid w:val="6C3218C6"/>
    <w:rsid w:val="6C321A97"/>
    <w:rsid w:val="6C322E3C"/>
    <w:rsid w:val="6C331B73"/>
    <w:rsid w:val="6C350AED"/>
    <w:rsid w:val="6C352ABF"/>
    <w:rsid w:val="6C371061"/>
    <w:rsid w:val="6C371DCD"/>
    <w:rsid w:val="6C375151"/>
    <w:rsid w:val="6C376878"/>
    <w:rsid w:val="6C391F36"/>
    <w:rsid w:val="6C3A0673"/>
    <w:rsid w:val="6C3A113F"/>
    <w:rsid w:val="6C3A6FB1"/>
    <w:rsid w:val="6C3B166E"/>
    <w:rsid w:val="6C3B5CF2"/>
    <w:rsid w:val="6C3B634D"/>
    <w:rsid w:val="6C3C0222"/>
    <w:rsid w:val="6C3C1731"/>
    <w:rsid w:val="6C3C1F2F"/>
    <w:rsid w:val="6C3C359D"/>
    <w:rsid w:val="6C3D168D"/>
    <w:rsid w:val="6C3E67F6"/>
    <w:rsid w:val="6C3F218B"/>
    <w:rsid w:val="6C3F4B20"/>
    <w:rsid w:val="6C3F72B8"/>
    <w:rsid w:val="6C4075B7"/>
    <w:rsid w:val="6C412D63"/>
    <w:rsid w:val="6C422966"/>
    <w:rsid w:val="6C4320B5"/>
    <w:rsid w:val="6C451FC4"/>
    <w:rsid w:val="6C460899"/>
    <w:rsid w:val="6C462E1C"/>
    <w:rsid w:val="6C464A1F"/>
    <w:rsid w:val="6C4717BD"/>
    <w:rsid w:val="6C472EBA"/>
    <w:rsid w:val="6C491F2C"/>
    <w:rsid w:val="6C4B338F"/>
    <w:rsid w:val="6C4B441E"/>
    <w:rsid w:val="6C4B4758"/>
    <w:rsid w:val="6C4C6D6E"/>
    <w:rsid w:val="6C4D430E"/>
    <w:rsid w:val="6C4D4E96"/>
    <w:rsid w:val="6C4E01AF"/>
    <w:rsid w:val="6C4E5279"/>
    <w:rsid w:val="6C510238"/>
    <w:rsid w:val="6C5202B3"/>
    <w:rsid w:val="6C535A7C"/>
    <w:rsid w:val="6C547588"/>
    <w:rsid w:val="6C551DF7"/>
    <w:rsid w:val="6C570F8F"/>
    <w:rsid w:val="6C5779EB"/>
    <w:rsid w:val="6C584426"/>
    <w:rsid w:val="6C5A3DF5"/>
    <w:rsid w:val="6C5B4920"/>
    <w:rsid w:val="6C5B4AD3"/>
    <w:rsid w:val="6C5B5231"/>
    <w:rsid w:val="6C5B7EAA"/>
    <w:rsid w:val="6C5C3A2D"/>
    <w:rsid w:val="6C5C3B57"/>
    <w:rsid w:val="6C5D31BD"/>
    <w:rsid w:val="6C5F7F1F"/>
    <w:rsid w:val="6C6026B0"/>
    <w:rsid w:val="6C60485F"/>
    <w:rsid w:val="6C607458"/>
    <w:rsid w:val="6C617C9D"/>
    <w:rsid w:val="6C651E92"/>
    <w:rsid w:val="6C661A18"/>
    <w:rsid w:val="6C666D95"/>
    <w:rsid w:val="6C6677E4"/>
    <w:rsid w:val="6C673C7D"/>
    <w:rsid w:val="6C67530A"/>
    <w:rsid w:val="6C681C73"/>
    <w:rsid w:val="6C6A7643"/>
    <w:rsid w:val="6C6B613F"/>
    <w:rsid w:val="6C6C0011"/>
    <w:rsid w:val="6C6C0904"/>
    <w:rsid w:val="6C6C3FA4"/>
    <w:rsid w:val="6C6D2E35"/>
    <w:rsid w:val="6C6D362F"/>
    <w:rsid w:val="6C6E2625"/>
    <w:rsid w:val="6C6E33AB"/>
    <w:rsid w:val="6C6F041D"/>
    <w:rsid w:val="6C6F2772"/>
    <w:rsid w:val="6C7125FE"/>
    <w:rsid w:val="6C717498"/>
    <w:rsid w:val="6C726E9E"/>
    <w:rsid w:val="6C732F57"/>
    <w:rsid w:val="6C7336F1"/>
    <w:rsid w:val="6C733E36"/>
    <w:rsid w:val="6C737E2D"/>
    <w:rsid w:val="6C75503E"/>
    <w:rsid w:val="6C760CAD"/>
    <w:rsid w:val="6C777585"/>
    <w:rsid w:val="6C7808B7"/>
    <w:rsid w:val="6C79146E"/>
    <w:rsid w:val="6C7A5E7D"/>
    <w:rsid w:val="6C7C3879"/>
    <w:rsid w:val="6C7C6A59"/>
    <w:rsid w:val="6C7C6A9B"/>
    <w:rsid w:val="6C7F6B59"/>
    <w:rsid w:val="6C7F7271"/>
    <w:rsid w:val="6C806520"/>
    <w:rsid w:val="6C813387"/>
    <w:rsid w:val="6C827D8F"/>
    <w:rsid w:val="6C830A93"/>
    <w:rsid w:val="6C843C53"/>
    <w:rsid w:val="6C846D77"/>
    <w:rsid w:val="6C851049"/>
    <w:rsid w:val="6C8529CF"/>
    <w:rsid w:val="6C87443D"/>
    <w:rsid w:val="6C8767E2"/>
    <w:rsid w:val="6C8B3195"/>
    <w:rsid w:val="6C8C4DB7"/>
    <w:rsid w:val="6C8C6DCD"/>
    <w:rsid w:val="6C8E0AE9"/>
    <w:rsid w:val="6C8F5649"/>
    <w:rsid w:val="6C8F7C79"/>
    <w:rsid w:val="6C9131B7"/>
    <w:rsid w:val="6C92744C"/>
    <w:rsid w:val="6C935A4E"/>
    <w:rsid w:val="6C960FD2"/>
    <w:rsid w:val="6C964107"/>
    <w:rsid w:val="6C971420"/>
    <w:rsid w:val="6C981A6B"/>
    <w:rsid w:val="6C992D26"/>
    <w:rsid w:val="6C9A0CEA"/>
    <w:rsid w:val="6C9A3115"/>
    <w:rsid w:val="6C9A33D5"/>
    <w:rsid w:val="6C9A5C70"/>
    <w:rsid w:val="6C9B24CC"/>
    <w:rsid w:val="6C9B3841"/>
    <w:rsid w:val="6C9B3967"/>
    <w:rsid w:val="6C9E541A"/>
    <w:rsid w:val="6C9F7DAE"/>
    <w:rsid w:val="6CA03884"/>
    <w:rsid w:val="6CA20807"/>
    <w:rsid w:val="6CA47645"/>
    <w:rsid w:val="6CA527C4"/>
    <w:rsid w:val="6CA54C13"/>
    <w:rsid w:val="6CA67005"/>
    <w:rsid w:val="6CA70223"/>
    <w:rsid w:val="6CA80DAA"/>
    <w:rsid w:val="6CA92642"/>
    <w:rsid w:val="6CAA178F"/>
    <w:rsid w:val="6CAA3791"/>
    <w:rsid w:val="6CAB2A56"/>
    <w:rsid w:val="6CAB51F7"/>
    <w:rsid w:val="6CAC045C"/>
    <w:rsid w:val="6CAC4E72"/>
    <w:rsid w:val="6CAE1CD5"/>
    <w:rsid w:val="6CB13E09"/>
    <w:rsid w:val="6CB27750"/>
    <w:rsid w:val="6CB4309F"/>
    <w:rsid w:val="6CB57E24"/>
    <w:rsid w:val="6CB64E06"/>
    <w:rsid w:val="6CB65441"/>
    <w:rsid w:val="6CB7584F"/>
    <w:rsid w:val="6CB8658D"/>
    <w:rsid w:val="6CB9436C"/>
    <w:rsid w:val="6CB94B93"/>
    <w:rsid w:val="6CBD260E"/>
    <w:rsid w:val="6CBD56E8"/>
    <w:rsid w:val="6CBD794B"/>
    <w:rsid w:val="6CBE312F"/>
    <w:rsid w:val="6CBE6F88"/>
    <w:rsid w:val="6CBF211D"/>
    <w:rsid w:val="6CC02C0A"/>
    <w:rsid w:val="6CC03BA1"/>
    <w:rsid w:val="6CC050C9"/>
    <w:rsid w:val="6CC2583A"/>
    <w:rsid w:val="6CC32284"/>
    <w:rsid w:val="6CC43BB0"/>
    <w:rsid w:val="6CC568BA"/>
    <w:rsid w:val="6CC96BC2"/>
    <w:rsid w:val="6CCA1754"/>
    <w:rsid w:val="6CCB3B87"/>
    <w:rsid w:val="6CD204B4"/>
    <w:rsid w:val="6CD25EF1"/>
    <w:rsid w:val="6CD30CFC"/>
    <w:rsid w:val="6CD34EE5"/>
    <w:rsid w:val="6CD71FF0"/>
    <w:rsid w:val="6CD75206"/>
    <w:rsid w:val="6CD770D9"/>
    <w:rsid w:val="6CD86DE4"/>
    <w:rsid w:val="6CDE04B9"/>
    <w:rsid w:val="6CDE1188"/>
    <w:rsid w:val="6CDE42C1"/>
    <w:rsid w:val="6CE135F2"/>
    <w:rsid w:val="6CE2196E"/>
    <w:rsid w:val="6CE24E99"/>
    <w:rsid w:val="6CE37551"/>
    <w:rsid w:val="6CE414FD"/>
    <w:rsid w:val="6CE43D5F"/>
    <w:rsid w:val="6CE540AC"/>
    <w:rsid w:val="6CE73516"/>
    <w:rsid w:val="6CE8511B"/>
    <w:rsid w:val="6CE85E38"/>
    <w:rsid w:val="6CE9017B"/>
    <w:rsid w:val="6CEB46D5"/>
    <w:rsid w:val="6CEC4D18"/>
    <w:rsid w:val="6CED6924"/>
    <w:rsid w:val="6CEE39DA"/>
    <w:rsid w:val="6CEF4649"/>
    <w:rsid w:val="6CF00713"/>
    <w:rsid w:val="6CF03234"/>
    <w:rsid w:val="6CF16FAB"/>
    <w:rsid w:val="6CF20D8F"/>
    <w:rsid w:val="6CF22AA5"/>
    <w:rsid w:val="6CF71738"/>
    <w:rsid w:val="6CF84C46"/>
    <w:rsid w:val="6CF8705B"/>
    <w:rsid w:val="6CF93131"/>
    <w:rsid w:val="6CFC44E9"/>
    <w:rsid w:val="6CFF357B"/>
    <w:rsid w:val="6D000590"/>
    <w:rsid w:val="6D003452"/>
    <w:rsid w:val="6D0173AF"/>
    <w:rsid w:val="6D02104F"/>
    <w:rsid w:val="6D041654"/>
    <w:rsid w:val="6D05708E"/>
    <w:rsid w:val="6D0756DC"/>
    <w:rsid w:val="6D092C68"/>
    <w:rsid w:val="6D0A4F6C"/>
    <w:rsid w:val="6D0C772B"/>
    <w:rsid w:val="6D0E032C"/>
    <w:rsid w:val="6D0E5FA7"/>
    <w:rsid w:val="6D0E75A8"/>
    <w:rsid w:val="6D0E7D05"/>
    <w:rsid w:val="6D0F0AC7"/>
    <w:rsid w:val="6D0F3505"/>
    <w:rsid w:val="6D106BF7"/>
    <w:rsid w:val="6D114D8F"/>
    <w:rsid w:val="6D114F98"/>
    <w:rsid w:val="6D11766B"/>
    <w:rsid w:val="6D1234C8"/>
    <w:rsid w:val="6D1257AC"/>
    <w:rsid w:val="6D146C24"/>
    <w:rsid w:val="6D175AA8"/>
    <w:rsid w:val="6D192AA9"/>
    <w:rsid w:val="6D1B1FF2"/>
    <w:rsid w:val="6D1D70D4"/>
    <w:rsid w:val="6D1E5B45"/>
    <w:rsid w:val="6D1F20CD"/>
    <w:rsid w:val="6D1F2F2D"/>
    <w:rsid w:val="6D1F74B9"/>
    <w:rsid w:val="6D2210EA"/>
    <w:rsid w:val="6D250962"/>
    <w:rsid w:val="6D265055"/>
    <w:rsid w:val="6D2733A0"/>
    <w:rsid w:val="6D2755BF"/>
    <w:rsid w:val="6D276BB5"/>
    <w:rsid w:val="6D276FF5"/>
    <w:rsid w:val="6D280437"/>
    <w:rsid w:val="6D284878"/>
    <w:rsid w:val="6D29260E"/>
    <w:rsid w:val="6D2A629F"/>
    <w:rsid w:val="6D2B71B8"/>
    <w:rsid w:val="6D2C4ED0"/>
    <w:rsid w:val="6D2C5995"/>
    <w:rsid w:val="6D2D453F"/>
    <w:rsid w:val="6D2D4D3C"/>
    <w:rsid w:val="6D2D685A"/>
    <w:rsid w:val="6D2D738D"/>
    <w:rsid w:val="6D2E11EC"/>
    <w:rsid w:val="6D2F6B5B"/>
    <w:rsid w:val="6D2F7ADA"/>
    <w:rsid w:val="6D310505"/>
    <w:rsid w:val="6D314019"/>
    <w:rsid w:val="6D3157C5"/>
    <w:rsid w:val="6D321474"/>
    <w:rsid w:val="6D33797F"/>
    <w:rsid w:val="6D34780F"/>
    <w:rsid w:val="6D360901"/>
    <w:rsid w:val="6D3824E3"/>
    <w:rsid w:val="6D395E90"/>
    <w:rsid w:val="6D396A82"/>
    <w:rsid w:val="6D3A360C"/>
    <w:rsid w:val="6D3A43C4"/>
    <w:rsid w:val="6D3B02DB"/>
    <w:rsid w:val="6D3D6FC5"/>
    <w:rsid w:val="6D3D7B5A"/>
    <w:rsid w:val="6D3E56D7"/>
    <w:rsid w:val="6D3F5C6C"/>
    <w:rsid w:val="6D400035"/>
    <w:rsid w:val="6D404792"/>
    <w:rsid w:val="6D4111C4"/>
    <w:rsid w:val="6D422E44"/>
    <w:rsid w:val="6D431B30"/>
    <w:rsid w:val="6D466745"/>
    <w:rsid w:val="6D4800D2"/>
    <w:rsid w:val="6D481A2C"/>
    <w:rsid w:val="6D4929AF"/>
    <w:rsid w:val="6D497036"/>
    <w:rsid w:val="6D4A2C62"/>
    <w:rsid w:val="6D4B2536"/>
    <w:rsid w:val="6D4B75E8"/>
    <w:rsid w:val="6D4E04D1"/>
    <w:rsid w:val="6D4E4719"/>
    <w:rsid w:val="6D5078B8"/>
    <w:rsid w:val="6D521B17"/>
    <w:rsid w:val="6D526FB1"/>
    <w:rsid w:val="6D527B83"/>
    <w:rsid w:val="6D534408"/>
    <w:rsid w:val="6D542E5A"/>
    <w:rsid w:val="6D5506F6"/>
    <w:rsid w:val="6D552ED2"/>
    <w:rsid w:val="6D557700"/>
    <w:rsid w:val="6D567AAC"/>
    <w:rsid w:val="6D576A24"/>
    <w:rsid w:val="6D587E14"/>
    <w:rsid w:val="6D595CF6"/>
    <w:rsid w:val="6D5A7B05"/>
    <w:rsid w:val="6D5E3754"/>
    <w:rsid w:val="6D5F1C6E"/>
    <w:rsid w:val="6D5F35FF"/>
    <w:rsid w:val="6D600932"/>
    <w:rsid w:val="6D62440E"/>
    <w:rsid w:val="6D6445F2"/>
    <w:rsid w:val="6D6610BB"/>
    <w:rsid w:val="6D664CA0"/>
    <w:rsid w:val="6D66550B"/>
    <w:rsid w:val="6D67092E"/>
    <w:rsid w:val="6D671F4B"/>
    <w:rsid w:val="6D68540E"/>
    <w:rsid w:val="6D68639B"/>
    <w:rsid w:val="6D696540"/>
    <w:rsid w:val="6D6A5F2A"/>
    <w:rsid w:val="6D6C5967"/>
    <w:rsid w:val="6D6D21FD"/>
    <w:rsid w:val="6D6E7E4F"/>
    <w:rsid w:val="6D7102FE"/>
    <w:rsid w:val="6D7175B7"/>
    <w:rsid w:val="6D732EBF"/>
    <w:rsid w:val="6D741EC8"/>
    <w:rsid w:val="6D7420F9"/>
    <w:rsid w:val="6D742BDD"/>
    <w:rsid w:val="6D7449E8"/>
    <w:rsid w:val="6D752364"/>
    <w:rsid w:val="6D760C95"/>
    <w:rsid w:val="6D763D58"/>
    <w:rsid w:val="6D7970A3"/>
    <w:rsid w:val="6D7A061D"/>
    <w:rsid w:val="6D7A415F"/>
    <w:rsid w:val="6D7C557A"/>
    <w:rsid w:val="6D7D6519"/>
    <w:rsid w:val="6D7F3DD9"/>
    <w:rsid w:val="6D7F7896"/>
    <w:rsid w:val="6D806D73"/>
    <w:rsid w:val="6D81122B"/>
    <w:rsid w:val="6D817410"/>
    <w:rsid w:val="6D82027D"/>
    <w:rsid w:val="6D84038E"/>
    <w:rsid w:val="6D8412F8"/>
    <w:rsid w:val="6D875250"/>
    <w:rsid w:val="6D8862CB"/>
    <w:rsid w:val="6D891522"/>
    <w:rsid w:val="6D8A12B0"/>
    <w:rsid w:val="6D8B1FEA"/>
    <w:rsid w:val="6D8C0189"/>
    <w:rsid w:val="6D8C0ABE"/>
    <w:rsid w:val="6D8C23AB"/>
    <w:rsid w:val="6D8C3902"/>
    <w:rsid w:val="6D8C73FA"/>
    <w:rsid w:val="6D8C764F"/>
    <w:rsid w:val="6D8E3102"/>
    <w:rsid w:val="6D8E6E70"/>
    <w:rsid w:val="6D8F2D11"/>
    <w:rsid w:val="6D90197B"/>
    <w:rsid w:val="6D911A7C"/>
    <w:rsid w:val="6D926A46"/>
    <w:rsid w:val="6D9304B1"/>
    <w:rsid w:val="6D962389"/>
    <w:rsid w:val="6D9676A4"/>
    <w:rsid w:val="6D973793"/>
    <w:rsid w:val="6D985D1E"/>
    <w:rsid w:val="6D991711"/>
    <w:rsid w:val="6D995052"/>
    <w:rsid w:val="6D9A73D0"/>
    <w:rsid w:val="6D9B6237"/>
    <w:rsid w:val="6D9E0D5B"/>
    <w:rsid w:val="6D9E4FC5"/>
    <w:rsid w:val="6D9E5A21"/>
    <w:rsid w:val="6DA0303B"/>
    <w:rsid w:val="6DA51354"/>
    <w:rsid w:val="6DA62F6C"/>
    <w:rsid w:val="6DA71630"/>
    <w:rsid w:val="6DA739EA"/>
    <w:rsid w:val="6DA84D0E"/>
    <w:rsid w:val="6DA9343F"/>
    <w:rsid w:val="6DA937D7"/>
    <w:rsid w:val="6DA96065"/>
    <w:rsid w:val="6DAA4A1A"/>
    <w:rsid w:val="6DAC43A4"/>
    <w:rsid w:val="6DAC461D"/>
    <w:rsid w:val="6DAC7448"/>
    <w:rsid w:val="6DAE4B35"/>
    <w:rsid w:val="6DAE58FA"/>
    <w:rsid w:val="6DB12B65"/>
    <w:rsid w:val="6DB2457E"/>
    <w:rsid w:val="6DB34B2B"/>
    <w:rsid w:val="6DB35D57"/>
    <w:rsid w:val="6DB36B43"/>
    <w:rsid w:val="6DB533D3"/>
    <w:rsid w:val="6DB544B3"/>
    <w:rsid w:val="6DB63E53"/>
    <w:rsid w:val="6DB65354"/>
    <w:rsid w:val="6DB96A98"/>
    <w:rsid w:val="6DBB72F1"/>
    <w:rsid w:val="6DBD4ACF"/>
    <w:rsid w:val="6DBE687B"/>
    <w:rsid w:val="6DBF09A2"/>
    <w:rsid w:val="6DC06D48"/>
    <w:rsid w:val="6DC0708F"/>
    <w:rsid w:val="6DC13DA6"/>
    <w:rsid w:val="6DC14E2E"/>
    <w:rsid w:val="6DC236E1"/>
    <w:rsid w:val="6DC243D5"/>
    <w:rsid w:val="6DC26604"/>
    <w:rsid w:val="6DC41C17"/>
    <w:rsid w:val="6DC52246"/>
    <w:rsid w:val="6DCB443A"/>
    <w:rsid w:val="6DCB6819"/>
    <w:rsid w:val="6DCD76C0"/>
    <w:rsid w:val="6DD20BA9"/>
    <w:rsid w:val="6DD24608"/>
    <w:rsid w:val="6DD35881"/>
    <w:rsid w:val="6DD41160"/>
    <w:rsid w:val="6DD43791"/>
    <w:rsid w:val="6DD625EA"/>
    <w:rsid w:val="6DD62F68"/>
    <w:rsid w:val="6DD67098"/>
    <w:rsid w:val="6DD71DBF"/>
    <w:rsid w:val="6DD738EF"/>
    <w:rsid w:val="6DD8026E"/>
    <w:rsid w:val="6DD86DFD"/>
    <w:rsid w:val="6DDA355D"/>
    <w:rsid w:val="6DDA4A1A"/>
    <w:rsid w:val="6DDA4F51"/>
    <w:rsid w:val="6DDA5B19"/>
    <w:rsid w:val="6DDB7CEB"/>
    <w:rsid w:val="6DDC5762"/>
    <w:rsid w:val="6DDD0545"/>
    <w:rsid w:val="6DDD5960"/>
    <w:rsid w:val="6DDE2816"/>
    <w:rsid w:val="6DDE326E"/>
    <w:rsid w:val="6DDE7080"/>
    <w:rsid w:val="6DDF7F6D"/>
    <w:rsid w:val="6DE023B4"/>
    <w:rsid w:val="6DE43A00"/>
    <w:rsid w:val="6DE87AB7"/>
    <w:rsid w:val="6DE9273F"/>
    <w:rsid w:val="6DE97ED3"/>
    <w:rsid w:val="6DEB0832"/>
    <w:rsid w:val="6DEB3A76"/>
    <w:rsid w:val="6DEC52C8"/>
    <w:rsid w:val="6DF1132F"/>
    <w:rsid w:val="6DF1620E"/>
    <w:rsid w:val="6DF273B2"/>
    <w:rsid w:val="6DF30B51"/>
    <w:rsid w:val="6DF468B5"/>
    <w:rsid w:val="6DF51B5F"/>
    <w:rsid w:val="6DF604D4"/>
    <w:rsid w:val="6DF64B89"/>
    <w:rsid w:val="6DF74B33"/>
    <w:rsid w:val="6DF774DD"/>
    <w:rsid w:val="6DF865EC"/>
    <w:rsid w:val="6DF96090"/>
    <w:rsid w:val="6DF96AE2"/>
    <w:rsid w:val="6DFA130E"/>
    <w:rsid w:val="6DFA5769"/>
    <w:rsid w:val="6DFB1703"/>
    <w:rsid w:val="6DFD3F18"/>
    <w:rsid w:val="6DFD7D1D"/>
    <w:rsid w:val="6DFE30D3"/>
    <w:rsid w:val="6DFF2C16"/>
    <w:rsid w:val="6DFF3D61"/>
    <w:rsid w:val="6E017228"/>
    <w:rsid w:val="6E020458"/>
    <w:rsid w:val="6E026BB8"/>
    <w:rsid w:val="6E026E2A"/>
    <w:rsid w:val="6E042114"/>
    <w:rsid w:val="6E0427D5"/>
    <w:rsid w:val="6E045E25"/>
    <w:rsid w:val="6E055BA5"/>
    <w:rsid w:val="6E063376"/>
    <w:rsid w:val="6E06563D"/>
    <w:rsid w:val="6E07111B"/>
    <w:rsid w:val="6E084F9F"/>
    <w:rsid w:val="6E0923AB"/>
    <w:rsid w:val="6E0949C1"/>
    <w:rsid w:val="6E0B176B"/>
    <w:rsid w:val="6E0D44AC"/>
    <w:rsid w:val="6E0D6C94"/>
    <w:rsid w:val="6E0E2AB1"/>
    <w:rsid w:val="6E0E36F2"/>
    <w:rsid w:val="6E0E3C8F"/>
    <w:rsid w:val="6E0E4E64"/>
    <w:rsid w:val="6E1024E0"/>
    <w:rsid w:val="6E106321"/>
    <w:rsid w:val="6E1114D0"/>
    <w:rsid w:val="6E1305E3"/>
    <w:rsid w:val="6E144A77"/>
    <w:rsid w:val="6E1579C2"/>
    <w:rsid w:val="6E160F34"/>
    <w:rsid w:val="6E16192C"/>
    <w:rsid w:val="6E161D05"/>
    <w:rsid w:val="6E162872"/>
    <w:rsid w:val="6E166DA1"/>
    <w:rsid w:val="6E167E45"/>
    <w:rsid w:val="6E172157"/>
    <w:rsid w:val="6E190B0D"/>
    <w:rsid w:val="6E192634"/>
    <w:rsid w:val="6E194736"/>
    <w:rsid w:val="6E1B4504"/>
    <w:rsid w:val="6E1B45FE"/>
    <w:rsid w:val="6E1C3766"/>
    <w:rsid w:val="6E1C666B"/>
    <w:rsid w:val="6E1D2FD0"/>
    <w:rsid w:val="6E1E6855"/>
    <w:rsid w:val="6E1F0ACC"/>
    <w:rsid w:val="6E1F4854"/>
    <w:rsid w:val="6E1F50FB"/>
    <w:rsid w:val="6E216A63"/>
    <w:rsid w:val="6E221583"/>
    <w:rsid w:val="6E23023B"/>
    <w:rsid w:val="6E240DF5"/>
    <w:rsid w:val="6E243DF6"/>
    <w:rsid w:val="6E257F1A"/>
    <w:rsid w:val="6E2642FA"/>
    <w:rsid w:val="6E270F6E"/>
    <w:rsid w:val="6E2801FB"/>
    <w:rsid w:val="6E287351"/>
    <w:rsid w:val="6E292863"/>
    <w:rsid w:val="6E2A01BC"/>
    <w:rsid w:val="6E2A33CE"/>
    <w:rsid w:val="6E2A3D1A"/>
    <w:rsid w:val="6E2A6086"/>
    <w:rsid w:val="6E2B1712"/>
    <w:rsid w:val="6E2B2326"/>
    <w:rsid w:val="6E2B3370"/>
    <w:rsid w:val="6E2B3665"/>
    <w:rsid w:val="6E2C0F5B"/>
    <w:rsid w:val="6E2D44F8"/>
    <w:rsid w:val="6E2D5AB5"/>
    <w:rsid w:val="6E2E17A1"/>
    <w:rsid w:val="6E321271"/>
    <w:rsid w:val="6E336340"/>
    <w:rsid w:val="6E3449CA"/>
    <w:rsid w:val="6E35135C"/>
    <w:rsid w:val="6E387A9F"/>
    <w:rsid w:val="6E393E3C"/>
    <w:rsid w:val="6E3A2896"/>
    <w:rsid w:val="6E3B1CC4"/>
    <w:rsid w:val="6E3C5031"/>
    <w:rsid w:val="6E3D55C3"/>
    <w:rsid w:val="6E3E5DC3"/>
    <w:rsid w:val="6E3F09BA"/>
    <w:rsid w:val="6E41284C"/>
    <w:rsid w:val="6E4224E8"/>
    <w:rsid w:val="6E43271F"/>
    <w:rsid w:val="6E43492C"/>
    <w:rsid w:val="6E4360FF"/>
    <w:rsid w:val="6E442FFC"/>
    <w:rsid w:val="6E4463B0"/>
    <w:rsid w:val="6E4715F3"/>
    <w:rsid w:val="6E47209B"/>
    <w:rsid w:val="6E4723B0"/>
    <w:rsid w:val="6E4759FD"/>
    <w:rsid w:val="6E476569"/>
    <w:rsid w:val="6E484E5F"/>
    <w:rsid w:val="6E486F04"/>
    <w:rsid w:val="6E493036"/>
    <w:rsid w:val="6E4A461B"/>
    <w:rsid w:val="6E4B08F5"/>
    <w:rsid w:val="6E4B30D8"/>
    <w:rsid w:val="6E4E2BA3"/>
    <w:rsid w:val="6E4E550E"/>
    <w:rsid w:val="6E4F29E5"/>
    <w:rsid w:val="6E514C19"/>
    <w:rsid w:val="6E517E39"/>
    <w:rsid w:val="6E536AE8"/>
    <w:rsid w:val="6E5532A9"/>
    <w:rsid w:val="6E555175"/>
    <w:rsid w:val="6E575A4F"/>
    <w:rsid w:val="6E577AF7"/>
    <w:rsid w:val="6E5A476D"/>
    <w:rsid w:val="6E5D6167"/>
    <w:rsid w:val="6E5D6FA1"/>
    <w:rsid w:val="6E5E21A2"/>
    <w:rsid w:val="6E5F1335"/>
    <w:rsid w:val="6E5F56C6"/>
    <w:rsid w:val="6E6221E6"/>
    <w:rsid w:val="6E634009"/>
    <w:rsid w:val="6E63698A"/>
    <w:rsid w:val="6E637444"/>
    <w:rsid w:val="6E641581"/>
    <w:rsid w:val="6E641EA4"/>
    <w:rsid w:val="6E6436B6"/>
    <w:rsid w:val="6E6450D4"/>
    <w:rsid w:val="6E650431"/>
    <w:rsid w:val="6E6622FC"/>
    <w:rsid w:val="6E697C7A"/>
    <w:rsid w:val="6E6B07B4"/>
    <w:rsid w:val="6E6B3839"/>
    <w:rsid w:val="6E6C1754"/>
    <w:rsid w:val="6E6C29A1"/>
    <w:rsid w:val="6E6C35D9"/>
    <w:rsid w:val="6E6D7B5D"/>
    <w:rsid w:val="6E6E0A4C"/>
    <w:rsid w:val="6E6E7F60"/>
    <w:rsid w:val="6E701F30"/>
    <w:rsid w:val="6E712470"/>
    <w:rsid w:val="6E712F06"/>
    <w:rsid w:val="6E72227C"/>
    <w:rsid w:val="6E73088C"/>
    <w:rsid w:val="6E775CD9"/>
    <w:rsid w:val="6E780F00"/>
    <w:rsid w:val="6E785E8A"/>
    <w:rsid w:val="6E7A30D3"/>
    <w:rsid w:val="6E7A47C1"/>
    <w:rsid w:val="6E7C15E6"/>
    <w:rsid w:val="6E7C173D"/>
    <w:rsid w:val="6E7D1C18"/>
    <w:rsid w:val="6E7E2778"/>
    <w:rsid w:val="6E7E499A"/>
    <w:rsid w:val="6E7E6067"/>
    <w:rsid w:val="6E7E609C"/>
    <w:rsid w:val="6E7F181E"/>
    <w:rsid w:val="6E7F2436"/>
    <w:rsid w:val="6E811D21"/>
    <w:rsid w:val="6E812220"/>
    <w:rsid w:val="6E8173E2"/>
    <w:rsid w:val="6E841446"/>
    <w:rsid w:val="6E850165"/>
    <w:rsid w:val="6E87234E"/>
    <w:rsid w:val="6E876224"/>
    <w:rsid w:val="6E8847CE"/>
    <w:rsid w:val="6E8A0647"/>
    <w:rsid w:val="6E8B02B1"/>
    <w:rsid w:val="6E8B3543"/>
    <w:rsid w:val="6E8B56A0"/>
    <w:rsid w:val="6E8D26DA"/>
    <w:rsid w:val="6E8D5058"/>
    <w:rsid w:val="6E8E05A3"/>
    <w:rsid w:val="6E8E0D6C"/>
    <w:rsid w:val="6E8E3BAD"/>
    <w:rsid w:val="6E8F08A1"/>
    <w:rsid w:val="6E8F4C56"/>
    <w:rsid w:val="6E9234FA"/>
    <w:rsid w:val="6E946BFE"/>
    <w:rsid w:val="6E973826"/>
    <w:rsid w:val="6E9839D2"/>
    <w:rsid w:val="6E99424F"/>
    <w:rsid w:val="6E9B007B"/>
    <w:rsid w:val="6E9C0DA2"/>
    <w:rsid w:val="6E9D366E"/>
    <w:rsid w:val="6E9F30BB"/>
    <w:rsid w:val="6E9F7CEE"/>
    <w:rsid w:val="6EA02050"/>
    <w:rsid w:val="6EA1557F"/>
    <w:rsid w:val="6EA21832"/>
    <w:rsid w:val="6EA2340E"/>
    <w:rsid w:val="6EA27EF8"/>
    <w:rsid w:val="6EA46565"/>
    <w:rsid w:val="6EA5468A"/>
    <w:rsid w:val="6EA56F66"/>
    <w:rsid w:val="6EA6087E"/>
    <w:rsid w:val="6EA64314"/>
    <w:rsid w:val="6EA723AD"/>
    <w:rsid w:val="6EA73997"/>
    <w:rsid w:val="6EA85130"/>
    <w:rsid w:val="6EA93B0D"/>
    <w:rsid w:val="6EAA5F53"/>
    <w:rsid w:val="6EAD056D"/>
    <w:rsid w:val="6EAD1050"/>
    <w:rsid w:val="6EAD5782"/>
    <w:rsid w:val="6EAF1A18"/>
    <w:rsid w:val="6EAF20D7"/>
    <w:rsid w:val="6EB01B7B"/>
    <w:rsid w:val="6EB1045C"/>
    <w:rsid w:val="6EB15CA7"/>
    <w:rsid w:val="6EB25D00"/>
    <w:rsid w:val="6EB3389F"/>
    <w:rsid w:val="6EB4595E"/>
    <w:rsid w:val="6EB65B8D"/>
    <w:rsid w:val="6EB7154A"/>
    <w:rsid w:val="6EB87E48"/>
    <w:rsid w:val="6EB93B79"/>
    <w:rsid w:val="6EBA6797"/>
    <w:rsid w:val="6EBB1D37"/>
    <w:rsid w:val="6EBD0D6F"/>
    <w:rsid w:val="6EBD1AAF"/>
    <w:rsid w:val="6EBE5804"/>
    <w:rsid w:val="6EBE7224"/>
    <w:rsid w:val="6EBE7769"/>
    <w:rsid w:val="6EBF03E5"/>
    <w:rsid w:val="6EBF2D8D"/>
    <w:rsid w:val="6EBF7460"/>
    <w:rsid w:val="6EC01FD2"/>
    <w:rsid w:val="6EC20C28"/>
    <w:rsid w:val="6EC6074C"/>
    <w:rsid w:val="6EC634B0"/>
    <w:rsid w:val="6EC708D0"/>
    <w:rsid w:val="6EC71A99"/>
    <w:rsid w:val="6EC87AC4"/>
    <w:rsid w:val="6EC961C1"/>
    <w:rsid w:val="6ECA3906"/>
    <w:rsid w:val="6ECA78FF"/>
    <w:rsid w:val="6ECB06FF"/>
    <w:rsid w:val="6ECB3D3F"/>
    <w:rsid w:val="6ECB4FF5"/>
    <w:rsid w:val="6ECB76BA"/>
    <w:rsid w:val="6ECE4D46"/>
    <w:rsid w:val="6ECF74D8"/>
    <w:rsid w:val="6ED211AF"/>
    <w:rsid w:val="6ED2170B"/>
    <w:rsid w:val="6ED505F6"/>
    <w:rsid w:val="6ED611FA"/>
    <w:rsid w:val="6ED61D5F"/>
    <w:rsid w:val="6ED65523"/>
    <w:rsid w:val="6ED67954"/>
    <w:rsid w:val="6ED84DFD"/>
    <w:rsid w:val="6ED9342A"/>
    <w:rsid w:val="6EDA28C4"/>
    <w:rsid w:val="6EDB1D83"/>
    <w:rsid w:val="6EDD257A"/>
    <w:rsid w:val="6EDD4BCE"/>
    <w:rsid w:val="6EDD7121"/>
    <w:rsid w:val="6EDF174A"/>
    <w:rsid w:val="6EDF1FCD"/>
    <w:rsid w:val="6EE1418D"/>
    <w:rsid w:val="6EE40B52"/>
    <w:rsid w:val="6EE427CD"/>
    <w:rsid w:val="6EE44903"/>
    <w:rsid w:val="6EE538F1"/>
    <w:rsid w:val="6EE60911"/>
    <w:rsid w:val="6EE63966"/>
    <w:rsid w:val="6EE81D80"/>
    <w:rsid w:val="6EE82116"/>
    <w:rsid w:val="6EE9793D"/>
    <w:rsid w:val="6EEB7772"/>
    <w:rsid w:val="6EEC50A2"/>
    <w:rsid w:val="6EED1151"/>
    <w:rsid w:val="6EED7D49"/>
    <w:rsid w:val="6EEE15EB"/>
    <w:rsid w:val="6EEF1B93"/>
    <w:rsid w:val="6EEF4752"/>
    <w:rsid w:val="6EF05191"/>
    <w:rsid w:val="6EF17FFC"/>
    <w:rsid w:val="6EF20A33"/>
    <w:rsid w:val="6EF22FCB"/>
    <w:rsid w:val="6EF276FC"/>
    <w:rsid w:val="6EF27851"/>
    <w:rsid w:val="6EF300A2"/>
    <w:rsid w:val="6EF31B3E"/>
    <w:rsid w:val="6EF55E4C"/>
    <w:rsid w:val="6EF649A9"/>
    <w:rsid w:val="6EF86C0C"/>
    <w:rsid w:val="6EF966EE"/>
    <w:rsid w:val="6EFC6502"/>
    <w:rsid w:val="6EFD2EB2"/>
    <w:rsid w:val="6EFE39B1"/>
    <w:rsid w:val="6F020CDB"/>
    <w:rsid w:val="6F022CCD"/>
    <w:rsid w:val="6F030B2C"/>
    <w:rsid w:val="6F034172"/>
    <w:rsid w:val="6F042783"/>
    <w:rsid w:val="6F042A35"/>
    <w:rsid w:val="6F057848"/>
    <w:rsid w:val="6F060F51"/>
    <w:rsid w:val="6F07002E"/>
    <w:rsid w:val="6F087AA5"/>
    <w:rsid w:val="6F0D02A1"/>
    <w:rsid w:val="6F0D3FEB"/>
    <w:rsid w:val="6F0D7A23"/>
    <w:rsid w:val="6F0E6DEC"/>
    <w:rsid w:val="6F0E7CC1"/>
    <w:rsid w:val="6F0F17DA"/>
    <w:rsid w:val="6F107017"/>
    <w:rsid w:val="6F110195"/>
    <w:rsid w:val="6F1277AF"/>
    <w:rsid w:val="6F1746A6"/>
    <w:rsid w:val="6F175B04"/>
    <w:rsid w:val="6F182E5A"/>
    <w:rsid w:val="6F191013"/>
    <w:rsid w:val="6F196278"/>
    <w:rsid w:val="6F1A05F0"/>
    <w:rsid w:val="6F1A3A85"/>
    <w:rsid w:val="6F1A65A8"/>
    <w:rsid w:val="6F1B287C"/>
    <w:rsid w:val="6F1B52B3"/>
    <w:rsid w:val="6F1C1184"/>
    <w:rsid w:val="6F1E7428"/>
    <w:rsid w:val="6F1F1ECC"/>
    <w:rsid w:val="6F1F272C"/>
    <w:rsid w:val="6F204E8E"/>
    <w:rsid w:val="6F2078C9"/>
    <w:rsid w:val="6F210F50"/>
    <w:rsid w:val="6F217781"/>
    <w:rsid w:val="6F235519"/>
    <w:rsid w:val="6F240867"/>
    <w:rsid w:val="6F253AB4"/>
    <w:rsid w:val="6F255BD7"/>
    <w:rsid w:val="6F2664CA"/>
    <w:rsid w:val="6F2B0871"/>
    <w:rsid w:val="6F2B1F97"/>
    <w:rsid w:val="6F2B6EBA"/>
    <w:rsid w:val="6F2D6192"/>
    <w:rsid w:val="6F2E61F1"/>
    <w:rsid w:val="6F2F0878"/>
    <w:rsid w:val="6F2F3C76"/>
    <w:rsid w:val="6F3008D3"/>
    <w:rsid w:val="6F30559A"/>
    <w:rsid w:val="6F331A56"/>
    <w:rsid w:val="6F3322DF"/>
    <w:rsid w:val="6F3326A5"/>
    <w:rsid w:val="6F343355"/>
    <w:rsid w:val="6F351986"/>
    <w:rsid w:val="6F3524F3"/>
    <w:rsid w:val="6F362FE1"/>
    <w:rsid w:val="6F3634D9"/>
    <w:rsid w:val="6F39027E"/>
    <w:rsid w:val="6F397DBC"/>
    <w:rsid w:val="6F397FFF"/>
    <w:rsid w:val="6F3A6178"/>
    <w:rsid w:val="6F3C4682"/>
    <w:rsid w:val="6F3C597A"/>
    <w:rsid w:val="6F3E05E1"/>
    <w:rsid w:val="6F3F0FCE"/>
    <w:rsid w:val="6F3F363F"/>
    <w:rsid w:val="6F400758"/>
    <w:rsid w:val="6F41034E"/>
    <w:rsid w:val="6F4148C0"/>
    <w:rsid w:val="6F431EE9"/>
    <w:rsid w:val="6F4322C3"/>
    <w:rsid w:val="6F4359BF"/>
    <w:rsid w:val="6F436B94"/>
    <w:rsid w:val="6F46176F"/>
    <w:rsid w:val="6F485DE3"/>
    <w:rsid w:val="6F4920E9"/>
    <w:rsid w:val="6F4B25A9"/>
    <w:rsid w:val="6F4D2DA0"/>
    <w:rsid w:val="6F507409"/>
    <w:rsid w:val="6F525782"/>
    <w:rsid w:val="6F5322F1"/>
    <w:rsid w:val="6F541C09"/>
    <w:rsid w:val="6F54613E"/>
    <w:rsid w:val="6F552958"/>
    <w:rsid w:val="6F5666A9"/>
    <w:rsid w:val="6F57102F"/>
    <w:rsid w:val="6F571343"/>
    <w:rsid w:val="6F571C1E"/>
    <w:rsid w:val="6F585A5D"/>
    <w:rsid w:val="6F594E31"/>
    <w:rsid w:val="6F5A1825"/>
    <w:rsid w:val="6F5B2428"/>
    <w:rsid w:val="6F5B4D86"/>
    <w:rsid w:val="6F5B6ACB"/>
    <w:rsid w:val="6F5C3B1D"/>
    <w:rsid w:val="6F5C7E5A"/>
    <w:rsid w:val="6F5D5730"/>
    <w:rsid w:val="6F5E272E"/>
    <w:rsid w:val="6F5F0539"/>
    <w:rsid w:val="6F623826"/>
    <w:rsid w:val="6F645DBE"/>
    <w:rsid w:val="6F691DF3"/>
    <w:rsid w:val="6F696352"/>
    <w:rsid w:val="6F6A0576"/>
    <w:rsid w:val="6F6A1399"/>
    <w:rsid w:val="6F6B301D"/>
    <w:rsid w:val="6F6B560C"/>
    <w:rsid w:val="6F6C2EFD"/>
    <w:rsid w:val="6F6C4BEE"/>
    <w:rsid w:val="6F6D5874"/>
    <w:rsid w:val="6F701856"/>
    <w:rsid w:val="6F71395C"/>
    <w:rsid w:val="6F720065"/>
    <w:rsid w:val="6F7236A0"/>
    <w:rsid w:val="6F730582"/>
    <w:rsid w:val="6F7350AE"/>
    <w:rsid w:val="6F757B92"/>
    <w:rsid w:val="6F764302"/>
    <w:rsid w:val="6F7805FF"/>
    <w:rsid w:val="6F792333"/>
    <w:rsid w:val="6F79425D"/>
    <w:rsid w:val="6F7A5D35"/>
    <w:rsid w:val="6F7B2E15"/>
    <w:rsid w:val="6F7D0837"/>
    <w:rsid w:val="6F7E4403"/>
    <w:rsid w:val="6F800BBD"/>
    <w:rsid w:val="6F8221E2"/>
    <w:rsid w:val="6F825398"/>
    <w:rsid w:val="6F825B84"/>
    <w:rsid w:val="6F8345E6"/>
    <w:rsid w:val="6F844E7E"/>
    <w:rsid w:val="6F851615"/>
    <w:rsid w:val="6F8C14B9"/>
    <w:rsid w:val="6F8C5D22"/>
    <w:rsid w:val="6F8C6524"/>
    <w:rsid w:val="6F9004BA"/>
    <w:rsid w:val="6F9102B7"/>
    <w:rsid w:val="6F915386"/>
    <w:rsid w:val="6F9266B2"/>
    <w:rsid w:val="6F926F93"/>
    <w:rsid w:val="6F937FB2"/>
    <w:rsid w:val="6F971768"/>
    <w:rsid w:val="6F98077D"/>
    <w:rsid w:val="6F985C3E"/>
    <w:rsid w:val="6F9943BD"/>
    <w:rsid w:val="6F9B14E9"/>
    <w:rsid w:val="6F9B479D"/>
    <w:rsid w:val="6F9B5578"/>
    <w:rsid w:val="6F9C52CB"/>
    <w:rsid w:val="6F9E5331"/>
    <w:rsid w:val="6FA006AF"/>
    <w:rsid w:val="6FA0218B"/>
    <w:rsid w:val="6FA146CA"/>
    <w:rsid w:val="6FA15CFE"/>
    <w:rsid w:val="6FA17683"/>
    <w:rsid w:val="6FA178EC"/>
    <w:rsid w:val="6FA31CA7"/>
    <w:rsid w:val="6FA34B15"/>
    <w:rsid w:val="6FA35119"/>
    <w:rsid w:val="6FA360BE"/>
    <w:rsid w:val="6FA442EF"/>
    <w:rsid w:val="6FA600B2"/>
    <w:rsid w:val="6FA64000"/>
    <w:rsid w:val="6FA712DA"/>
    <w:rsid w:val="6FA8377C"/>
    <w:rsid w:val="6FA86D33"/>
    <w:rsid w:val="6FA90507"/>
    <w:rsid w:val="6FA96C5F"/>
    <w:rsid w:val="6FAA367A"/>
    <w:rsid w:val="6FAD5F18"/>
    <w:rsid w:val="6FAE4FDE"/>
    <w:rsid w:val="6FAF022F"/>
    <w:rsid w:val="6FAF06C2"/>
    <w:rsid w:val="6FAF4D1C"/>
    <w:rsid w:val="6FAF5A51"/>
    <w:rsid w:val="6FB06ADD"/>
    <w:rsid w:val="6FB07798"/>
    <w:rsid w:val="6FB325BA"/>
    <w:rsid w:val="6FB326FD"/>
    <w:rsid w:val="6FB52B38"/>
    <w:rsid w:val="6FB6638D"/>
    <w:rsid w:val="6FB6645A"/>
    <w:rsid w:val="6FB74765"/>
    <w:rsid w:val="6FB872ED"/>
    <w:rsid w:val="6FBA275C"/>
    <w:rsid w:val="6FBA30BB"/>
    <w:rsid w:val="6FBB0056"/>
    <w:rsid w:val="6FBB23AA"/>
    <w:rsid w:val="6FBC2317"/>
    <w:rsid w:val="6FBC6C32"/>
    <w:rsid w:val="6FBE2610"/>
    <w:rsid w:val="6FBF0C5B"/>
    <w:rsid w:val="6FC05931"/>
    <w:rsid w:val="6FC0743B"/>
    <w:rsid w:val="6FC07F11"/>
    <w:rsid w:val="6FC16DFB"/>
    <w:rsid w:val="6FC221D1"/>
    <w:rsid w:val="6FC32D0E"/>
    <w:rsid w:val="6FC36836"/>
    <w:rsid w:val="6FC36A68"/>
    <w:rsid w:val="6FC36CFC"/>
    <w:rsid w:val="6FC67E8F"/>
    <w:rsid w:val="6FC707A7"/>
    <w:rsid w:val="6FC7392E"/>
    <w:rsid w:val="6FC770DE"/>
    <w:rsid w:val="6FC84312"/>
    <w:rsid w:val="6FC849AB"/>
    <w:rsid w:val="6FCA3180"/>
    <w:rsid w:val="6FCA7A4C"/>
    <w:rsid w:val="6FCB11CA"/>
    <w:rsid w:val="6FCC3046"/>
    <w:rsid w:val="6FCC4CDB"/>
    <w:rsid w:val="6FCD52B5"/>
    <w:rsid w:val="6FCD7A93"/>
    <w:rsid w:val="6FCE54F5"/>
    <w:rsid w:val="6FCE7D30"/>
    <w:rsid w:val="6FD0108E"/>
    <w:rsid w:val="6FD105A7"/>
    <w:rsid w:val="6FD26F3F"/>
    <w:rsid w:val="6FD32013"/>
    <w:rsid w:val="6FD4092C"/>
    <w:rsid w:val="6FD57D74"/>
    <w:rsid w:val="6FD6219F"/>
    <w:rsid w:val="6FD63F4D"/>
    <w:rsid w:val="6FD71F21"/>
    <w:rsid w:val="6FD76775"/>
    <w:rsid w:val="6FD90156"/>
    <w:rsid w:val="6FDB5E75"/>
    <w:rsid w:val="6FDC20B7"/>
    <w:rsid w:val="6FDD0A49"/>
    <w:rsid w:val="6FDD1716"/>
    <w:rsid w:val="6FDD600F"/>
    <w:rsid w:val="6FDD63E2"/>
    <w:rsid w:val="6FDD7C78"/>
    <w:rsid w:val="6FDF3226"/>
    <w:rsid w:val="6FDF7755"/>
    <w:rsid w:val="6FE122DF"/>
    <w:rsid w:val="6FE17278"/>
    <w:rsid w:val="6FE54B4C"/>
    <w:rsid w:val="6FE678FD"/>
    <w:rsid w:val="6FE9496E"/>
    <w:rsid w:val="6FEB0694"/>
    <w:rsid w:val="6FEC0F1A"/>
    <w:rsid w:val="6FEC271D"/>
    <w:rsid w:val="6FEC6E45"/>
    <w:rsid w:val="6FED455F"/>
    <w:rsid w:val="6FEE6F89"/>
    <w:rsid w:val="6FEF35E0"/>
    <w:rsid w:val="6FEF3661"/>
    <w:rsid w:val="6FF15617"/>
    <w:rsid w:val="6FF27265"/>
    <w:rsid w:val="6FF32C12"/>
    <w:rsid w:val="6FF45850"/>
    <w:rsid w:val="6FF56B8D"/>
    <w:rsid w:val="6FF835D4"/>
    <w:rsid w:val="6FF944C8"/>
    <w:rsid w:val="6FF97FAC"/>
    <w:rsid w:val="6FFB1275"/>
    <w:rsid w:val="6FFB1330"/>
    <w:rsid w:val="6FFC0E2B"/>
    <w:rsid w:val="6FFC1A2F"/>
    <w:rsid w:val="6FFC25B4"/>
    <w:rsid w:val="6FFD4934"/>
    <w:rsid w:val="6FFF2FF2"/>
    <w:rsid w:val="70004B03"/>
    <w:rsid w:val="70005192"/>
    <w:rsid w:val="70005E25"/>
    <w:rsid w:val="70017519"/>
    <w:rsid w:val="70027E21"/>
    <w:rsid w:val="700400E4"/>
    <w:rsid w:val="7004475D"/>
    <w:rsid w:val="70055093"/>
    <w:rsid w:val="7006497B"/>
    <w:rsid w:val="700A5FEC"/>
    <w:rsid w:val="700A723B"/>
    <w:rsid w:val="700A7485"/>
    <w:rsid w:val="700E0D9F"/>
    <w:rsid w:val="700F1036"/>
    <w:rsid w:val="700F736F"/>
    <w:rsid w:val="70113BD6"/>
    <w:rsid w:val="70127BDD"/>
    <w:rsid w:val="70133152"/>
    <w:rsid w:val="70133F8A"/>
    <w:rsid w:val="70143AD5"/>
    <w:rsid w:val="70155EA6"/>
    <w:rsid w:val="70157205"/>
    <w:rsid w:val="7018346E"/>
    <w:rsid w:val="70186F47"/>
    <w:rsid w:val="701A093A"/>
    <w:rsid w:val="701A4693"/>
    <w:rsid w:val="701B1C21"/>
    <w:rsid w:val="701B2740"/>
    <w:rsid w:val="701D2AFB"/>
    <w:rsid w:val="70202FE0"/>
    <w:rsid w:val="70213726"/>
    <w:rsid w:val="70231BED"/>
    <w:rsid w:val="70245DC0"/>
    <w:rsid w:val="702550D9"/>
    <w:rsid w:val="70282FC1"/>
    <w:rsid w:val="702831F4"/>
    <w:rsid w:val="7029027C"/>
    <w:rsid w:val="70291B1F"/>
    <w:rsid w:val="702A1B1A"/>
    <w:rsid w:val="702A2129"/>
    <w:rsid w:val="702C473A"/>
    <w:rsid w:val="702C504C"/>
    <w:rsid w:val="702D41F7"/>
    <w:rsid w:val="703112FB"/>
    <w:rsid w:val="70314EFA"/>
    <w:rsid w:val="70321811"/>
    <w:rsid w:val="7032779A"/>
    <w:rsid w:val="70327D0A"/>
    <w:rsid w:val="7033084B"/>
    <w:rsid w:val="70333816"/>
    <w:rsid w:val="70350726"/>
    <w:rsid w:val="7037009D"/>
    <w:rsid w:val="703756AF"/>
    <w:rsid w:val="70396812"/>
    <w:rsid w:val="703B5C70"/>
    <w:rsid w:val="703C47C1"/>
    <w:rsid w:val="703D2C68"/>
    <w:rsid w:val="703E065E"/>
    <w:rsid w:val="703E3E65"/>
    <w:rsid w:val="703E4EE5"/>
    <w:rsid w:val="703E5AA4"/>
    <w:rsid w:val="703F6FD2"/>
    <w:rsid w:val="704039E9"/>
    <w:rsid w:val="7040696D"/>
    <w:rsid w:val="704176EA"/>
    <w:rsid w:val="704450A3"/>
    <w:rsid w:val="704566F1"/>
    <w:rsid w:val="70467135"/>
    <w:rsid w:val="70473744"/>
    <w:rsid w:val="704A2F79"/>
    <w:rsid w:val="704A7BB2"/>
    <w:rsid w:val="704B40E9"/>
    <w:rsid w:val="704C09FF"/>
    <w:rsid w:val="704C0F65"/>
    <w:rsid w:val="704C7171"/>
    <w:rsid w:val="704E38E4"/>
    <w:rsid w:val="7050562B"/>
    <w:rsid w:val="705067E1"/>
    <w:rsid w:val="70520926"/>
    <w:rsid w:val="70531E2E"/>
    <w:rsid w:val="70540B11"/>
    <w:rsid w:val="70542234"/>
    <w:rsid w:val="7056294A"/>
    <w:rsid w:val="70565952"/>
    <w:rsid w:val="7057295C"/>
    <w:rsid w:val="7058188C"/>
    <w:rsid w:val="705A73A4"/>
    <w:rsid w:val="705B1EB9"/>
    <w:rsid w:val="705D6EB8"/>
    <w:rsid w:val="705E17DB"/>
    <w:rsid w:val="705E4DCA"/>
    <w:rsid w:val="705E6313"/>
    <w:rsid w:val="705E67A0"/>
    <w:rsid w:val="705E74F3"/>
    <w:rsid w:val="705F0694"/>
    <w:rsid w:val="706015B8"/>
    <w:rsid w:val="70601D03"/>
    <w:rsid w:val="70604BA5"/>
    <w:rsid w:val="70625106"/>
    <w:rsid w:val="706260F0"/>
    <w:rsid w:val="70643AE9"/>
    <w:rsid w:val="70653103"/>
    <w:rsid w:val="70656824"/>
    <w:rsid w:val="70656AC1"/>
    <w:rsid w:val="70673036"/>
    <w:rsid w:val="70685801"/>
    <w:rsid w:val="70686610"/>
    <w:rsid w:val="70692733"/>
    <w:rsid w:val="706A0CC5"/>
    <w:rsid w:val="706A3364"/>
    <w:rsid w:val="706A678E"/>
    <w:rsid w:val="706B569B"/>
    <w:rsid w:val="706B7C37"/>
    <w:rsid w:val="706C6936"/>
    <w:rsid w:val="706C694A"/>
    <w:rsid w:val="706D7D38"/>
    <w:rsid w:val="706F0FB6"/>
    <w:rsid w:val="706F3D56"/>
    <w:rsid w:val="706F3FC0"/>
    <w:rsid w:val="707002C7"/>
    <w:rsid w:val="70700C31"/>
    <w:rsid w:val="707026E3"/>
    <w:rsid w:val="70732575"/>
    <w:rsid w:val="70734DEA"/>
    <w:rsid w:val="707365E1"/>
    <w:rsid w:val="70747161"/>
    <w:rsid w:val="707520F5"/>
    <w:rsid w:val="707530E3"/>
    <w:rsid w:val="707642C1"/>
    <w:rsid w:val="70780C0E"/>
    <w:rsid w:val="707A185D"/>
    <w:rsid w:val="707A1A1F"/>
    <w:rsid w:val="707C6D6B"/>
    <w:rsid w:val="707F1C2B"/>
    <w:rsid w:val="707F4B16"/>
    <w:rsid w:val="707F7B85"/>
    <w:rsid w:val="70816067"/>
    <w:rsid w:val="70826069"/>
    <w:rsid w:val="70826294"/>
    <w:rsid w:val="70831158"/>
    <w:rsid w:val="70853720"/>
    <w:rsid w:val="7086144E"/>
    <w:rsid w:val="70875E8C"/>
    <w:rsid w:val="70895A58"/>
    <w:rsid w:val="70897B0E"/>
    <w:rsid w:val="708A37BF"/>
    <w:rsid w:val="708C560F"/>
    <w:rsid w:val="708D5753"/>
    <w:rsid w:val="708E40D9"/>
    <w:rsid w:val="708E672B"/>
    <w:rsid w:val="70903669"/>
    <w:rsid w:val="7090418B"/>
    <w:rsid w:val="709109FF"/>
    <w:rsid w:val="709171CE"/>
    <w:rsid w:val="70920CE4"/>
    <w:rsid w:val="70921514"/>
    <w:rsid w:val="70921D24"/>
    <w:rsid w:val="7093062C"/>
    <w:rsid w:val="70940B1D"/>
    <w:rsid w:val="70943B5E"/>
    <w:rsid w:val="70950FB0"/>
    <w:rsid w:val="70955E92"/>
    <w:rsid w:val="709604F4"/>
    <w:rsid w:val="70980761"/>
    <w:rsid w:val="7098177C"/>
    <w:rsid w:val="709B08DE"/>
    <w:rsid w:val="709C1419"/>
    <w:rsid w:val="709D33D5"/>
    <w:rsid w:val="709E3127"/>
    <w:rsid w:val="70A01CC9"/>
    <w:rsid w:val="70A1297D"/>
    <w:rsid w:val="70A13958"/>
    <w:rsid w:val="70A14660"/>
    <w:rsid w:val="70A1528F"/>
    <w:rsid w:val="70A57563"/>
    <w:rsid w:val="70A7095C"/>
    <w:rsid w:val="70A74C65"/>
    <w:rsid w:val="70A8492A"/>
    <w:rsid w:val="70A87FFF"/>
    <w:rsid w:val="70AD3373"/>
    <w:rsid w:val="70AF6A1F"/>
    <w:rsid w:val="70AF7644"/>
    <w:rsid w:val="70B07280"/>
    <w:rsid w:val="70B23778"/>
    <w:rsid w:val="70B249D6"/>
    <w:rsid w:val="70B30251"/>
    <w:rsid w:val="70B3394B"/>
    <w:rsid w:val="70B478AC"/>
    <w:rsid w:val="70B76AF2"/>
    <w:rsid w:val="70B80241"/>
    <w:rsid w:val="70B8055D"/>
    <w:rsid w:val="70B83736"/>
    <w:rsid w:val="70B87B75"/>
    <w:rsid w:val="70BA1E28"/>
    <w:rsid w:val="70BB79D3"/>
    <w:rsid w:val="70BC0E00"/>
    <w:rsid w:val="70BC5216"/>
    <w:rsid w:val="70BE7589"/>
    <w:rsid w:val="70BF5A59"/>
    <w:rsid w:val="70C00702"/>
    <w:rsid w:val="70C02FEB"/>
    <w:rsid w:val="70C0425E"/>
    <w:rsid w:val="70C11D28"/>
    <w:rsid w:val="70C11F64"/>
    <w:rsid w:val="70C21A64"/>
    <w:rsid w:val="70C36D83"/>
    <w:rsid w:val="70C379B8"/>
    <w:rsid w:val="70C739E8"/>
    <w:rsid w:val="70C82E6E"/>
    <w:rsid w:val="70C84572"/>
    <w:rsid w:val="70C933F6"/>
    <w:rsid w:val="70C93788"/>
    <w:rsid w:val="70CA7729"/>
    <w:rsid w:val="70CB503F"/>
    <w:rsid w:val="70CB5E68"/>
    <w:rsid w:val="70CB7796"/>
    <w:rsid w:val="70CC5252"/>
    <w:rsid w:val="70CD4E19"/>
    <w:rsid w:val="70CE32A0"/>
    <w:rsid w:val="70CF4742"/>
    <w:rsid w:val="70D00DDB"/>
    <w:rsid w:val="70D37959"/>
    <w:rsid w:val="70D42E16"/>
    <w:rsid w:val="70D7422C"/>
    <w:rsid w:val="70D77603"/>
    <w:rsid w:val="70D83B93"/>
    <w:rsid w:val="70D85C62"/>
    <w:rsid w:val="70D87E71"/>
    <w:rsid w:val="70DB345E"/>
    <w:rsid w:val="70DE14A2"/>
    <w:rsid w:val="70DF5577"/>
    <w:rsid w:val="70DF587A"/>
    <w:rsid w:val="70E06EA5"/>
    <w:rsid w:val="70E356ED"/>
    <w:rsid w:val="70E367FA"/>
    <w:rsid w:val="70E433CD"/>
    <w:rsid w:val="70E5082D"/>
    <w:rsid w:val="70E66BB4"/>
    <w:rsid w:val="70E66E0B"/>
    <w:rsid w:val="70E87117"/>
    <w:rsid w:val="70E93CCD"/>
    <w:rsid w:val="70EB5089"/>
    <w:rsid w:val="70EC5DDE"/>
    <w:rsid w:val="70ED2453"/>
    <w:rsid w:val="70ED3FF8"/>
    <w:rsid w:val="70EE1DD4"/>
    <w:rsid w:val="70EE28FE"/>
    <w:rsid w:val="70EE5881"/>
    <w:rsid w:val="70EF052B"/>
    <w:rsid w:val="70F03ADC"/>
    <w:rsid w:val="70F1318A"/>
    <w:rsid w:val="70F26DE7"/>
    <w:rsid w:val="70F81B05"/>
    <w:rsid w:val="70F87287"/>
    <w:rsid w:val="70F96B3F"/>
    <w:rsid w:val="70FD072D"/>
    <w:rsid w:val="70FD1E25"/>
    <w:rsid w:val="70FE16BE"/>
    <w:rsid w:val="70FE3211"/>
    <w:rsid w:val="70FE63F5"/>
    <w:rsid w:val="71005A10"/>
    <w:rsid w:val="71036549"/>
    <w:rsid w:val="71042390"/>
    <w:rsid w:val="71054EBC"/>
    <w:rsid w:val="71067C16"/>
    <w:rsid w:val="7107515D"/>
    <w:rsid w:val="710818EF"/>
    <w:rsid w:val="710848EF"/>
    <w:rsid w:val="71092ABD"/>
    <w:rsid w:val="71095A7F"/>
    <w:rsid w:val="710E1840"/>
    <w:rsid w:val="711163D1"/>
    <w:rsid w:val="71121A54"/>
    <w:rsid w:val="71123A97"/>
    <w:rsid w:val="71127321"/>
    <w:rsid w:val="7114378C"/>
    <w:rsid w:val="7116055B"/>
    <w:rsid w:val="711758F4"/>
    <w:rsid w:val="71180083"/>
    <w:rsid w:val="71185A10"/>
    <w:rsid w:val="71194347"/>
    <w:rsid w:val="711A60FF"/>
    <w:rsid w:val="711B2C3F"/>
    <w:rsid w:val="711D1972"/>
    <w:rsid w:val="711D422D"/>
    <w:rsid w:val="711D6987"/>
    <w:rsid w:val="711E4C1D"/>
    <w:rsid w:val="7122259B"/>
    <w:rsid w:val="712256BA"/>
    <w:rsid w:val="71273B7F"/>
    <w:rsid w:val="71285E25"/>
    <w:rsid w:val="712A0AAE"/>
    <w:rsid w:val="712D76D6"/>
    <w:rsid w:val="712E1545"/>
    <w:rsid w:val="712E2AE3"/>
    <w:rsid w:val="71300089"/>
    <w:rsid w:val="71300447"/>
    <w:rsid w:val="71301CB3"/>
    <w:rsid w:val="71303B36"/>
    <w:rsid w:val="71315308"/>
    <w:rsid w:val="71354249"/>
    <w:rsid w:val="71377394"/>
    <w:rsid w:val="713822D1"/>
    <w:rsid w:val="71391E36"/>
    <w:rsid w:val="71394FD4"/>
    <w:rsid w:val="71397275"/>
    <w:rsid w:val="713A1300"/>
    <w:rsid w:val="713A1AD3"/>
    <w:rsid w:val="713C3E42"/>
    <w:rsid w:val="713D2670"/>
    <w:rsid w:val="713D28B5"/>
    <w:rsid w:val="713D502C"/>
    <w:rsid w:val="713E182F"/>
    <w:rsid w:val="713F3915"/>
    <w:rsid w:val="713F5B33"/>
    <w:rsid w:val="71404340"/>
    <w:rsid w:val="7141437C"/>
    <w:rsid w:val="71421D0C"/>
    <w:rsid w:val="7142434B"/>
    <w:rsid w:val="7142489B"/>
    <w:rsid w:val="71430333"/>
    <w:rsid w:val="71431349"/>
    <w:rsid w:val="7143711E"/>
    <w:rsid w:val="71440200"/>
    <w:rsid w:val="71450180"/>
    <w:rsid w:val="71450424"/>
    <w:rsid w:val="71472133"/>
    <w:rsid w:val="714809EA"/>
    <w:rsid w:val="71480D22"/>
    <w:rsid w:val="71491BA7"/>
    <w:rsid w:val="714A0D5C"/>
    <w:rsid w:val="714B62FC"/>
    <w:rsid w:val="714D0DD9"/>
    <w:rsid w:val="714D145B"/>
    <w:rsid w:val="714D299D"/>
    <w:rsid w:val="714D320C"/>
    <w:rsid w:val="714D43CC"/>
    <w:rsid w:val="714F064B"/>
    <w:rsid w:val="714F4301"/>
    <w:rsid w:val="71502757"/>
    <w:rsid w:val="71517056"/>
    <w:rsid w:val="71517F3F"/>
    <w:rsid w:val="71520159"/>
    <w:rsid w:val="71527D3D"/>
    <w:rsid w:val="715324AD"/>
    <w:rsid w:val="71542612"/>
    <w:rsid w:val="7155288D"/>
    <w:rsid w:val="71555305"/>
    <w:rsid w:val="7158329C"/>
    <w:rsid w:val="7159549F"/>
    <w:rsid w:val="715B724D"/>
    <w:rsid w:val="715C0B3E"/>
    <w:rsid w:val="715C11B6"/>
    <w:rsid w:val="715C4161"/>
    <w:rsid w:val="715C49D6"/>
    <w:rsid w:val="715C6F88"/>
    <w:rsid w:val="715C7C93"/>
    <w:rsid w:val="715D0B10"/>
    <w:rsid w:val="715E0E0B"/>
    <w:rsid w:val="715E3A30"/>
    <w:rsid w:val="715F4A7D"/>
    <w:rsid w:val="71600CEC"/>
    <w:rsid w:val="71604791"/>
    <w:rsid w:val="716327FB"/>
    <w:rsid w:val="71651C71"/>
    <w:rsid w:val="7165608B"/>
    <w:rsid w:val="71656EC3"/>
    <w:rsid w:val="71664A2E"/>
    <w:rsid w:val="71676546"/>
    <w:rsid w:val="716801BD"/>
    <w:rsid w:val="716829FF"/>
    <w:rsid w:val="7168750A"/>
    <w:rsid w:val="71693C41"/>
    <w:rsid w:val="716A270E"/>
    <w:rsid w:val="716A2A9F"/>
    <w:rsid w:val="716B23BC"/>
    <w:rsid w:val="716B29E8"/>
    <w:rsid w:val="716C2E16"/>
    <w:rsid w:val="716D036E"/>
    <w:rsid w:val="717023B6"/>
    <w:rsid w:val="71723FE4"/>
    <w:rsid w:val="7172768C"/>
    <w:rsid w:val="71762BDD"/>
    <w:rsid w:val="7177738F"/>
    <w:rsid w:val="71780D81"/>
    <w:rsid w:val="717826FF"/>
    <w:rsid w:val="717860E6"/>
    <w:rsid w:val="71794CED"/>
    <w:rsid w:val="717B0C6F"/>
    <w:rsid w:val="717B32EB"/>
    <w:rsid w:val="717C13CE"/>
    <w:rsid w:val="717C185A"/>
    <w:rsid w:val="717C19C6"/>
    <w:rsid w:val="717D2F11"/>
    <w:rsid w:val="717E5186"/>
    <w:rsid w:val="717E6581"/>
    <w:rsid w:val="717F269B"/>
    <w:rsid w:val="7180579A"/>
    <w:rsid w:val="7180631D"/>
    <w:rsid w:val="71816270"/>
    <w:rsid w:val="71816A98"/>
    <w:rsid w:val="71817F5C"/>
    <w:rsid w:val="71823CAC"/>
    <w:rsid w:val="71830709"/>
    <w:rsid w:val="71835B4D"/>
    <w:rsid w:val="71836B48"/>
    <w:rsid w:val="71860E50"/>
    <w:rsid w:val="71867EE6"/>
    <w:rsid w:val="71872BEC"/>
    <w:rsid w:val="71877E80"/>
    <w:rsid w:val="71883D59"/>
    <w:rsid w:val="71885E79"/>
    <w:rsid w:val="7189000F"/>
    <w:rsid w:val="71890116"/>
    <w:rsid w:val="7189187F"/>
    <w:rsid w:val="71895CF5"/>
    <w:rsid w:val="718A662C"/>
    <w:rsid w:val="718B0932"/>
    <w:rsid w:val="718D3DAB"/>
    <w:rsid w:val="718D496D"/>
    <w:rsid w:val="718E50D8"/>
    <w:rsid w:val="7191525A"/>
    <w:rsid w:val="719170B1"/>
    <w:rsid w:val="719252E8"/>
    <w:rsid w:val="719405E6"/>
    <w:rsid w:val="71946E52"/>
    <w:rsid w:val="7197113E"/>
    <w:rsid w:val="71972022"/>
    <w:rsid w:val="719937D1"/>
    <w:rsid w:val="71996B6C"/>
    <w:rsid w:val="71997D14"/>
    <w:rsid w:val="719A1A93"/>
    <w:rsid w:val="719A66AA"/>
    <w:rsid w:val="719B3EA7"/>
    <w:rsid w:val="719C0AEF"/>
    <w:rsid w:val="719C5661"/>
    <w:rsid w:val="719D6266"/>
    <w:rsid w:val="719E357C"/>
    <w:rsid w:val="719F5A25"/>
    <w:rsid w:val="719F64B7"/>
    <w:rsid w:val="71A156E1"/>
    <w:rsid w:val="71A239AF"/>
    <w:rsid w:val="71A23A92"/>
    <w:rsid w:val="71A33CA9"/>
    <w:rsid w:val="71A51399"/>
    <w:rsid w:val="71A54A97"/>
    <w:rsid w:val="71A56935"/>
    <w:rsid w:val="71A6122B"/>
    <w:rsid w:val="71A768B5"/>
    <w:rsid w:val="71A83BF0"/>
    <w:rsid w:val="71A95047"/>
    <w:rsid w:val="71AA7ED7"/>
    <w:rsid w:val="71AB1967"/>
    <w:rsid w:val="71AB3E31"/>
    <w:rsid w:val="71AC6A09"/>
    <w:rsid w:val="71AD4DE5"/>
    <w:rsid w:val="71B001C4"/>
    <w:rsid w:val="71B05AD2"/>
    <w:rsid w:val="71B1799C"/>
    <w:rsid w:val="71B33818"/>
    <w:rsid w:val="71B33D81"/>
    <w:rsid w:val="71B42754"/>
    <w:rsid w:val="71B43339"/>
    <w:rsid w:val="71B608C6"/>
    <w:rsid w:val="71B6398D"/>
    <w:rsid w:val="71B73DCE"/>
    <w:rsid w:val="71B7655B"/>
    <w:rsid w:val="71B81F06"/>
    <w:rsid w:val="71B8436F"/>
    <w:rsid w:val="71B916D2"/>
    <w:rsid w:val="71B94A2A"/>
    <w:rsid w:val="71BB2382"/>
    <w:rsid w:val="71BB2558"/>
    <w:rsid w:val="71BB424D"/>
    <w:rsid w:val="71BC4CBC"/>
    <w:rsid w:val="71BD65B7"/>
    <w:rsid w:val="71BE5E15"/>
    <w:rsid w:val="71BE79CE"/>
    <w:rsid w:val="71BF130E"/>
    <w:rsid w:val="71C02AEC"/>
    <w:rsid w:val="71C2310D"/>
    <w:rsid w:val="71C3052C"/>
    <w:rsid w:val="71C329FF"/>
    <w:rsid w:val="71C44F5B"/>
    <w:rsid w:val="71C745CC"/>
    <w:rsid w:val="71C94C62"/>
    <w:rsid w:val="71CA07F0"/>
    <w:rsid w:val="71CA1272"/>
    <w:rsid w:val="71CA25C3"/>
    <w:rsid w:val="71CC3F1C"/>
    <w:rsid w:val="71CE3609"/>
    <w:rsid w:val="71CE4130"/>
    <w:rsid w:val="71D02554"/>
    <w:rsid w:val="71D04CCC"/>
    <w:rsid w:val="71D209D4"/>
    <w:rsid w:val="71D3130C"/>
    <w:rsid w:val="71D365F2"/>
    <w:rsid w:val="71D4452C"/>
    <w:rsid w:val="71D71249"/>
    <w:rsid w:val="71D979A1"/>
    <w:rsid w:val="71DA3691"/>
    <w:rsid w:val="71DA454B"/>
    <w:rsid w:val="71DA5C9A"/>
    <w:rsid w:val="71DC2E01"/>
    <w:rsid w:val="71DC6742"/>
    <w:rsid w:val="71DE7E1D"/>
    <w:rsid w:val="71E02BC2"/>
    <w:rsid w:val="71E02D3F"/>
    <w:rsid w:val="71E11F47"/>
    <w:rsid w:val="71E14DDB"/>
    <w:rsid w:val="71E159FD"/>
    <w:rsid w:val="71E17D21"/>
    <w:rsid w:val="71E33685"/>
    <w:rsid w:val="71E3423E"/>
    <w:rsid w:val="71E4532D"/>
    <w:rsid w:val="71E52ABA"/>
    <w:rsid w:val="71E832C8"/>
    <w:rsid w:val="71E868A1"/>
    <w:rsid w:val="71E900C2"/>
    <w:rsid w:val="71E92E14"/>
    <w:rsid w:val="71E97992"/>
    <w:rsid w:val="71EA7F24"/>
    <w:rsid w:val="71EC7520"/>
    <w:rsid w:val="71EC7B40"/>
    <w:rsid w:val="71ED35C0"/>
    <w:rsid w:val="71EE01EA"/>
    <w:rsid w:val="71EE3C2B"/>
    <w:rsid w:val="71F05181"/>
    <w:rsid w:val="71F142F0"/>
    <w:rsid w:val="71F17B50"/>
    <w:rsid w:val="71F25676"/>
    <w:rsid w:val="71F33A34"/>
    <w:rsid w:val="71F36A21"/>
    <w:rsid w:val="71F41AE1"/>
    <w:rsid w:val="71F46613"/>
    <w:rsid w:val="71F46C2B"/>
    <w:rsid w:val="71F5709F"/>
    <w:rsid w:val="71F57CBF"/>
    <w:rsid w:val="71F75099"/>
    <w:rsid w:val="71F82C2B"/>
    <w:rsid w:val="71FB01CA"/>
    <w:rsid w:val="71FD06F5"/>
    <w:rsid w:val="71FD208B"/>
    <w:rsid w:val="71FD7F29"/>
    <w:rsid w:val="71FE512B"/>
    <w:rsid w:val="71FF2A3F"/>
    <w:rsid w:val="72006A6D"/>
    <w:rsid w:val="72007E98"/>
    <w:rsid w:val="72010A38"/>
    <w:rsid w:val="72064E62"/>
    <w:rsid w:val="72084631"/>
    <w:rsid w:val="72097419"/>
    <w:rsid w:val="720B1D8C"/>
    <w:rsid w:val="720B4D99"/>
    <w:rsid w:val="720B7EE3"/>
    <w:rsid w:val="720C38C1"/>
    <w:rsid w:val="720D6613"/>
    <w:rsid w:val="720E26D3"/>
    <w:rsid w:val="720F6108"/>
    <w:rsid w:val="72115D19"/>
    <w:rsid w:val="72122788"/>
    <w:rsid w:val="7215158C"/>
    <w:rsid w:val="7215297F"/>
    <w:rsid w:val="72177C3F"/>
    <w:rsid w:val="7218162C"/>
    <w:rsid w:val="72183B6F"/>
    <w:rsid w:val="72185E73"/>
    <w:rsid w:val="721A0D6D"/>
    <w:rsid w:val="721A7087"/>
    <w:rsid w:val="721A7DF6"/>
    <w:rsid w:val="721B0261"/>
    <w:rsid w:val="721B1A57"/>
    <w:rsid w:val="721B5033"/>
    <w:rsid w:val="721C5B90"/>
    <w:rsid w:val="721C5C43"/>
    <w:rsid w:val="721D0878"/>
    <w:rsid w:val="721D26F3"/>
    <w:rsid w:val="721D4234"/>
    <w:rsid w:val="721F5FEE"/>
    <w:rsid w:val="722033AB"/>
    <w:rsid w:val="7220451E"/>
    <w:rsid w:val="7222476C"/>
    <w:rsid w:val="72262C67"/>
    <w:rsid w:val="72266A2D"/>
    <w:rsid w:val="72274259"/>
    <w:rsid w:val="72297E1E"/>
    <w:rsid w:val="722A70CA"/>
    <w:rsid w:val="722D0483"/>
    <w:rsid w:val="722D53B8"/>
    <w:rsid w:val="722E4900"/>
    <w:rsid w:val="722F2801"/>
    <w:rsid w:val="722F3251"/>
    <w:rsid w:val="72336356"/>
    <w:rsid w:val="72351982"/>
    <w:rsid w:val="72361DAA"/>
    <w:rsid w:val="723700F2"/>
    <w:rsid w:val="723752C2"/>
    <w:rsid w:val="72395C00"/>
    <w:rsid w:val="723B1191"/>
    <w:rsid w:val="723B451B"/>
    <w:rsid w:val="723B49B1"/>
    <w:rsid w:val="723C0510"/>
    <w:rsid w:val="723D1EF5"/>
    <w:rsid w:val="723F007D"/>
    <w:rsid w:val="72414478"/>
    <w:rsid w:val="72414ACF"/>
    <w:rsid w:val="7241756B"/>
    <w:rsid w:val="72427C29"/>
    <w:rsid w:val="72440555"/>
    <w:rsid w:val="7244102E"/>
    <w:rsid w:val="72451B75"/>
    <w:rsid w:val="724704A4"/>
    <w:rsid w:val="7247225C"/>
    <w:rsid w:val="72474D8D"/>
    <w:rsid w:val="724820D9"/>
    <w:rsid w:val="724909E3"/>
    <w:rsid w:val="724970FF"/>
    <w:rsid w:val="724A0F2A"/>
    <w:rsid w:val="724A353E"/>
    <w:rsid w:val="724B6050"/>
    <w:rsid w:val="724E5627"/>
    <w:rsid w:val="72516C59"/>
    <w:rsid w:val="72543011"/>
    <w:rsid w:val="725625B1"/>
    <w:rsid w:val="72565C12"/>
    <w:rsid w:val="725679F2"/>
    <w:rsid w:val="725758B4"/>
    <w:rsid w:val="725853E9"/>
    <w:rsid w:val="72596E4C"/>
    <w:rsid w:val="725A5F57"/>
    <w:rsid w:val="725A6EB5"/>
    <w:rsid w:val="725B1B57"/>
    <w:rsid w:val="725B4ABE"/>
    <w:rsid w:val="725D5465"/>
    <w:rsid w:val="725D6753"/>
    <w:rsid w:val="725E0219"/>
    <w:rsid w:val="725E3C43"/>
    <w:rsid w:val="725E5277"/>
    <w:rsid w:val="725E6877"/>
    <w:rsid w:val="725E69AA"/>
    <w:rsid w:val="725F7B5A"/>
    <w:rsid w:val="726011EF"/>
    <w:rsid w:val="72620555"/>
    <w:rsid w:val="72622300"/>
    <w:rsid w:val="72622CF3"/>
    <w:rsid w:val="72635AB6"/>
    <w:rsid w:val="72644CCB"/>
    <w:rsid w:val="72661F4F"/>
    <w:rsid w:val="7267218C"/>
    <w:rsid w:val="726733D2"/>
    <w:rsid w:val="72677E7E"/>
    <w:rsid w:val="72680F42"/>
    <w:rsid w:val="7268693E"/>
    <w:rsid w:val="726A66E5"/>
    <w:rsid w:val="726A7F9E"/>
    <w:rsid w:val="726C3997"/>
    <w:rsid w:val="726C7C15"/>
    <w:rsid w:val="726D3C41"/>
    <w:rsid w:val="726E3F05"/>
    <w:rsid w:val="726E412A"/>
    <w:rsid w:val="727022AE"/>
    <w:rsid w:val="7270721A"/>
    <w:rsid w:val="72726D94"/>
    <w:rsid w:val="727310BF"/>
    <w:rsid w:val="7274064F"/>
    <w:rsid w:val="727509DC"/>
    <w:rsid w:val="72754043"/>
    <w:rsid w:val="72754AD1"/>
    <w:rsid w:val="72780704"/>
    <w:rsid w:val="7278736C"/>
    <w:rsid w:val="727929C2"/>
    <w:rsid w:val="72795A5C"/>
    <w:rsid w:val="727B3068"/>
    <w:rsid w:val="727B38BE"/>
    <w:rsid w:val="727B6A2B"/>
    <w:rsid w:val="727F5071"/>
    <w:rsid w:val="72803EB4"/>
    <w:rsid w:val="72810272"/>
    <w:rsid w:val="728118CD"/>
    <w:rsid w:val="72812A83"/>
    <w:rsid w:val="728257C2"/>
    <w:rsid w:val="728269AD"/>
    <w:rsid w:val="728358C6"/>
    <w:rsid w:val="72853B17"/>
    <w:rsid w:val="7285473C"/>
    <w:rsid w:val="72854797"/>
    <w:rsid w:val="7285715A"/>
    <w:rsid w:val="7285724C"/>
    <w:rsid w:val="7289435E"/>
    <w:rsid w:val="72897A32"/>
    <w:rsid w:val="728A045F"/>
    <w:rsid w:val="728A4377"/>
    <w:rsid w:val="728A7FDA"/>
    <w:rsid w:val="728C1E43"/>
    <w:rsid w:val="728C7B02"/>
    <w:rsid w:val="728D714E"/>
    <w:rsid w:val="728E06B6"/>
    <w:rsid w:val="728E0EFD"/>
    <w:rsid w:val="728E12CE"/>
    <w:rsid w:val="728F4BEF"/>
    <w:rsid w:val="729174AD"/>
    <w:rsid w:val="72924596"/>
    <w:rsid w:val="72937B6D"/>
    <w:rsid w:val="72945AD6"/>
    <w:rsid w:val="72955D5B"/>
    <w:rsid w:val="72965DCD"/>
    <w:rsid w:val="72972F34"/>
    <w:rsid w:val="72973542"/>
    <w:rsid w:val="72975146"/>
    <w:rsid w:val="72977E38"/>
    <w:rsid w:val="72982D42"/>
    <w:rsid w:val="7298580E"/>
    <w:rsid w:val="7298621E"/>
    <w:rsid w:val="729A1B83"/>
    <w:rsid w:val="729A7D67"/>
    <w:rsid w:val="729B29FC"/>
    <w:rsid w:val="729D3D53"/>
    <w:rsid w:val="729E344F"/>
    <w:rsid w:val="729E42ED"/>
    <w:rsid w:val="729E6D8F"/>
    <w:rsid w:val="72A119E5"/>
    <w:rsid w:val="72A25A46"/>
    <w:rsid w:val="72A25F50"/>
    <w:rsid w:val="72A31A03"/>
    <w:rsid w:val="72A45C9C"/>
    <w:rsid w:val="72A614C3"/>
    <w:rsid w:val="72A71CA9"/>
    <w:rsid w:val="72A82DC4"/>
    <w:rsid w:val="72A83B19"/>
    <w:rsid w:val="72A86012"/>
    <w:rsid w:val="72AB1B9C"/>
    <w:rsid w:val="72AB223D"/>
    <w:rsid w:val="72AB2574"/>
    <w:rsid w:val="72AB2BD0"/>
    <w:rsid w:val="72AC0967"/>
    <w:rsid w:val="72AE4508"/>
    <w:rsid w:val="72AF0CE2"/>
    <w:rsid w:val="72AF7618"/>
    <w:rsid w:val="72B054BF"/>
    <w:rsid w:val="72B115CA"/>
    <w:rsid w:val="72B35CD9"/>
    <w:rsid w:val="72B35EEC"/>
    <w:rsid w:val="72B403C1"/>
    <w:rsid w:val="72B55475"/>
    <w:rsid w:val="72B602F3"/>
    <w:rsid w:val="72B8066E"/>
    <w:rsid w:val="72B85B83"/>
    <w:rsid w:val="72B87F6B"/>
    <w:rsid w:val="72B92BB1"/>
    <w:rsid w:val="72BA3D37"/>
    <w:rsid w:val="72BA4E74"/>
    <w:rsid w:val="72BC2533"/>
    <w:rsid w:val="72BC30B4"/>
    <w:rsid w:val="72BD60BF"/>
    <w:rsid w:val="72BE273D"/>
    <w:rsid w:val="72BF6F1D"/>
    <w:rsid w:val="72C1675C"/>
    <w:rsid w:val="72C16BBF"/>
    <w:rsid w:val="72C17177"/>
    <w:rsid w:val="72C3673D"/>
    <w:rsid w:val="72C36D50"/>
    <w:rsid w:val="72C47013"/>
    <w:rsid w:val="72C6241C"/>
    <w:rsid w:val="72C753A5"/>
    <w:rsid w:val="72C76034"/>
    <w:rsid w:val="72C85BE9"/>
    <w:rsid w:val="72C93B03"/>
    <w:rsid w:val="72CB5C9A"/>
    <w:rsid w:val="72CB5F94"/>
    <w:rsid w:val="72CB79CA"/>
    <w:rsid w:val="72CC16D1"/>
    <w:rsid w:val="72CC4568"/>
    <w:rsid w:val="72CC7A90"/>
    <w:rsid w:val="72CD32F2"/>
    <w:rsid w:val="72CF35B9"/>
    <w:rsid w:val="72CF76C1"/>
    <w:rsid w:val="72D01604"/>
    <w:rsid w:val="72D05C1D"/>
    <w:rsid w:val="72D05D41"/>
    <w:rsid w:val="72D11C76"/>
    <w:rsid w:val="72D17B00"/>
    <w:rsid w:val="72D22A6C"/>
    <w:rsid w:val="72D42E49"/>
    <w:rsid w:val="72D80BF9"/>
    <w:rsid w:val="72D811E8"/>
    <w:rsid w:val="72D84E2C"/>
    <w:rsid w:val="72D90D14"/>
    <w:rsid w:val="72DB6B76"/>
    <w:rsid w:val="72DC2F3F"/>
    <w:rsid w:val="72DD2CD5"/>
    <w:rsid w:val="72DE6BAC"/>
    <w:rsid w:val="72DF1ED2"/>
    <w:rsid w:val="72DF4C70"/>
    <w:rsid w:val="72DF667E"/>
    <w:rsid w:val="72E15E16"/>
    <w:rsid w:val="72E179FA"/>
    <w:rsid w:val="72E25AF8"/>
    <w:rsid w:val="72E33C1D"/>
    <w:rsid w:val="72E40DAB"/>
    <w:rsid w:val="72E7531A"/>
    <w:rsid w:val="72E81E7D"/>
    <w:rsid w:val="72E8534B"/>
    <w:rsid w:val="72EB0557"/>
    <w:rsid w:val="72EC0D81"/>
    <w:rsid w:val="72EC16EA"/>
    <w:rsid w:val="72ED3BCF"/>
    <w:rsid w:val="72EE08FF"/>
    <w:rsid w:val="72EE54E0"/>
    <w:rsid w:val="72F01877"/>
    <w:rsid w:val="72F1663B"/>
    <w:rsid w:val="72F31550"/>
    <w:rsid w:val="72F33669"/>
    <w:rsid w:val="72F60082"/>
    <w:rsid w:val="72F6173E"/>
    <w:rsid w:val="72F651B8"/>
    <w:rsid w:val="72F9489B"/>
    <w:rsid w:val="72FB5A7B"/>
    <w:rsid w:val="72FB72D0"/>
    <w:rsid w:val="72FC43A9"/>
    <w:rsid w:val="730068DD"/>
    <w:rsid w:val="73017A4B"/>
    <w:rsid w:val="73023419"/>
    <w:rsid w:val="73025F3A"/>
    <w:rsid w:val="730266AB"/>
    <w:rsid w:val="730301F3"/>
    <w:rsid w:val="73035207"/>
    <w:rsid w:val="73050984"/>
    <w:rsid w:val="730533D6"/>
    <w:rsid w:val="7307096A"/>
    <w:rsid w:val="73071150"/>
    <w:rsid w:val="7307304A"/>
    <w:rsid w:val="73075151"/>
    <w:rsid w:val="73081D12"/>
    <w:rsid w:val="73086CAF"/>
    <w:rsid w:val="7309067A"/>
    <w:rsid w:val="730906FB"/>
    <w:rsid w:val="730A4302"/>
    <w:rsid w:val="730A6B86"/>
    <w:rsid w:val="730B0299"/>
    <w:rsid w:val="730B4566"/>
    <w:rsid w:val="730C6F58"/>
    <w:rsid w:val="730F3206"/>
    <w:rsid w:val="7311642C"/>
    <w:rsid w:val="731165C8"/>
    <w:rsid w:val="73121B09"/>
    <w:rsid w:val="73141A34"/>
    <w:rsid w:val="731570ED"/>
    <w:rsid w:val="7316004E"/>
    <w:rsid w:val="73180C6D"/>
    <w:rsid w:val="731878A3"/>
    <w:rsid w:val="731910DC"/>
    <w:rsid w:val="7319348C"/>
    <w:rsid w:val="731A3963"/>
    <w:rsid w:val="731C2A18"/>
    <w:rsid w:val="731C2B5C"/>
    <w:rsid w:val="731C6E2A"/>
    <w:rsid w:val="731D61E5"/>
    <w:rsid w:val="731D76AA"/>
    <w:rsid w:val="731D77A7"/>
    <w:rsid w:val="731F4124"/>
    <w:rsid w:val="732168B4"/>
    <w:rsid w:val="732227CC"/>
    <w:rsid w:val="73231496"/>
    <w:rsid w:val="7323232F"/>
    <w:rsid w:val="7323430C"/>
    <w:rsid w:val="732707CB"/>
    <w:rsid w:val="73295DE3"/>
    <w:rsid w:val="732C0729"/>
    <w:rsid w:val="732C1F57"/>
    <w:rsid w:val="732C7A68"/>
    <w:rsid w:val="732D5B4F"/>
    <w:rsid w:val="732E0694"/>
    <w:rsid w:val="733101DD"/>
    <w:rsid w:val="73313593"/>
    <w:rsid w:val="73314102"/>
    <w:rsid w:val="73314AD6"/>
    <w:rsid w:val="7332128B"/>
    <w:rsid w:val="73335654"/>
    <w:rsid w:val="73335776"/>
    <w:rsid w:val="733578C1"/>
    <w:rsid w:val="73366702"/>
    <w:rsid w:val="73373167"/>
    <w:rsid w:val="733769DB"/>
    <w:rsid w:val="73387461"/>
    <w:rsid w:val="7339505D"/>
    <w:rsid w:val="733A5527"/>
    <w:rsid w:val="733B1CFE"/>
    <w:rsid w:val="733B3EB0"/>
    <w:rsid w:val="733C2BE8"/>
    <w:rsid w:val="733D0B73"/>
    <w:rsid w:val="733E6EF1"/>
    <w:rsid w:val="733E76AF"/>
    <w:rsid w:val="733F0CFD"/>
    <w:rsid w:val="733F5494"/>
    <w:rsid w:val="734031D6"/>
    <w:rsid w:val="7341554F"/>
    <w:rsid w:val="73415778"/>
    <w:rsid w:val="73417A2C"/>
    <w:rsid w:val="73421716"/>
    <w:rsid w:val="73442D4D"/>
    <w:rsid w:val="73454882"/>
    <w:rsid w:val="73455329"/>
    <w:rsid w:val="73480DAA"/>
    <w:rsid w:val="7348161A"/>
    <w:rsid w:val="734A4550"/>
    <w:rsid w:val="734B3280"/>
    <w:rsid w:val="734D26F7"/>
    <w:rsid w:val="734D4A36"/>
    <w:rsid w:val="73514508"/>
    <w:rsid w:val="7351570B"/>
    <w:rsid w:val="7352048C"/>
    <w:rsid w:val="735277C5"/>
    <w:rsid w:val="735367FE"/>
    <w:rsid w:val="735371BA"/>
    <w:rsid w:val="73554802"/>
    <w:rsid w:val="7355580D"/>
    <w:rsid w:val="7356696D"/>
    <w:rsid w:val="735673F8"/>
    <w:rsid w:val="73571E2F"/>
    <w:rsid w:val="73593A0E"/>
    <w:rsid w:val="73596735"/>
    <w:rsid w:val="735A1F32"/>
    <w:rsid w:val="735A6C19"/>
    <w:rsid w:val="735C1E17"/>
    <w:rsid w:val="735E2E41"/>
    <w:rsid w:val="735E3933"/>
    <w:rsid w:val="735E75B9"/>
    <w:rsid w:val="735F0ACB"/>
    <w:rsid w:val="735F2A58"/>
    <w:rsid w:val="735F6BEB"/>
    <w:rsid w:val="736112B0"/>
    <w:rsid w:val="73646C23"/>
    <w:rsid w:val="7365437A"/>
    <w:rsid w:val="73670989"/>
    <w:rsid w:val="7367124F"/>
    <w:rsid w:val="7367454A"/>
    <w:rsid w:val="73686FA9"/>
    <w:rsid w:val="736A0219"/>
    <w:rsid w:val="736C3961"/>
    <w:rsid w:val="736C5726"/>
    <w:rsid w:val="736D3206"/>
    <w:rsid w:val="736D7A45"/>
    <w:rsid w:val="736E36C8"/>
    <w:rsid w:val="736E7FC2"/>
    <w:rsid w:val="73711E20"/>
    <w:rsid w:val="73715444"/>
    <w:rsid w:val="73743AD5"/>
    <w:rsid w:val="7377781C"/>
    <w:rsid w:val="7378529D"/>
    <w:rsid w:val="73792E94"/>
    <w:rsid w:val="737963CF"/>
    <w:rsid w:val="737A2889"/>
    <w:rsid w:val="737B293D"/>
    <w:rsid w:val="737C5BBA"/>
    <w:rsid w:val="737E75D2"/>
    <w:rsid w:val="737F0394"/>
    <w:rsid w:val="737F086B"/>
    <w:rsid w:val="738118E4"/>
    <w:rsid w:val="73817772"/>
    <w:rsid w:val="73821FD2"/>
    <w:rsid w:val="7382225E"/>
    <w:rsid w:val="73825124"/>
    <w:rsid w:val="73834304"/>
    <w:rsid w:val="7383627F"/>
    <w:rsid w:val="738515F6"/>
    <w:rsid w:val="73852A11"/>
    <w:rsid w:val="73854DFA"/>
    <w:rsid w:val="73855DBF"/>
    <w:rsid w:val="73865563"/>
    <w:rsid w:val="738669B7"/>
    <w:rsid w:val="73885FF8"/>
    <w:rsid w:val="738866CC"/>
    <w:rsid w:val="738913D8"/>
    <w:rsid w:val="738918B9"/>
    <w:rsid w:val="738A38CD"/>
    <w:rsid w:val="738C0F73"/>
    <w:rsid w:val="738D1D3F"/>
    <w:rsid w:val="738E3B58"/>
    <w:rsid w:val="73902F10"/>
    <w:rsid w:val="739038D0"/>
    <w:rsid w:val="73911D46"/>
    <w:rsid w:val="73921B0C"/>
    <w:rsid w:val="7393448A"/>
    <w:rsid w:val="73934E9D"/>
    <w:rsid w:val="73964163"/>
    <w:rsid w:val="739659E5"/>
    <w:rsid w:val="739749FF"/>
    <w:rsid w:val="73977574"/>
    <w:rsid w:val="73977D8E"/>
    <w:rsid w:val="739821F8"/>
    <w:rsid w:val="73986862"/>
    <w:rsid w:val="739A089B"/>
    <w:rsid w:val="739A3CEA"/>
    <w:rsid w:val="739C0EE9"/>
    <w:rsid w:val="739E2AB0"/>
    <w:rsid w:val="739F5BF5"/>
    <w:rsid w:val="73A05EB2"/>
    <w:rsid w:val="73A14998"/>
    <w:rsid w:val="73A16B87"/>
    <w:rsid w:val="73A336A6"/>
    <w:rsid w:val="73A33C23"/>
    <w:rsid w:val="73A745B7"/>
    <w:rsid w:val="73A75EAB"/>
    <w:rsid w:val="73AA471E"/>
    <w:rsid w:val="73AB156C"/>
    <w:rsid w:val="73AC1F67"/>
    <w:rsid w:val="73AC6386"/>
    <w:rsid w:val="73AD7FBA"/>
    <w:rsid w:val="73AE56E1"/>
    <w:rsid w:val="73B13D2E"/>
    <w:rsid w:val="73B14E59"/>
    <w:rsid w:val="73B42796"/>
    <w:rsid w:val="73B7158F"/>
    <w:rsid w:val="73B8505D"/>
    <w:rsid w:val="73B95EC6"/>
    <w:rsid w:val="73BA6E45"/>
    <w:rsid w:val="73BC1559"/>
    <w:rsid w:val="73BD2A74"/>
    <w:rsid w:val="73BD4EDE"/>
    <w:rsid w:val="73BD5D07"/>
    <w:rsid w:val="73BD656E"/>
    <w:rsid w:val="73C13F91"/>
    <w:rsid w:val="73C2052E"/>
    <w:rsid w:val="73C30A72"/>
    <w:rsid w:val="73C52072"/>
    <w:rsid w:val="73C54EE2"/>
    <w:rsid w:val="73C55EF4"/>
    <w:rsid w:val="73C606A4"/>
    <w:rsid w:val="73C62828"/>
    <w:rsid w:val="73C85FB6"/>
    <w:rsid w:val="73C97CEE"/>
    <w:rsid w:val="73CC5C34"/>
    <w:rsid w:val="73CE7AAA"/>
    <w:rsid w:val="73CF1D1B"/>
    <w:rsid w:val="73CF23A0"/>
    <w:rsid w:val="73D06AE0"/>
    <w:rsid w:val="73D119F3"/>
    <w:rsid w:val="73D136D9"/>
    <w:rsid w:val="73D23027"/>
    <w:rsid w:val="73D319FC"/>
    <w:rsid w:val="73D57297"/>
    <w:rsid w:val="73D65119"/>
    <w:rsid w:val="73D66457"/>
    <w:rsid w:val="73D70B24"/>
    <w:rsid w:val="73D75687"/>
    <w:rsid w:val="73D76531"/>
    <w:rsid w:val="73D969D7"/>
    <w:rsid w:val="73DA7EB4"/>
    <w:rsid w:val="73DC3B51"/>
    <w:rsid w:val="73E13741"/>
    <w:rsid w:val="73E17B5E"/>
    <w:rsid w:val="73E34C9E"/>
    <w:rsid w:val="73E35ADA"/>
    <w:rsid w:val="73E36942"/>
    <w:rsid w:val="73E37055"/>
    <w:rsid w:val="73E50D6E"/>
    <w:rsid w:val="73E51694"/>
    <w:rsid w:val="73E57CF6"/>
    <w:rsid w:val="73E77502"/>
    <w:rsid w:val="73E8633A"/>
    <w:rsid w:val="73E86D31"/>
    <w:rsid w:val="73E93643"/>
    <w:rsid w:val="73E96F98"/>
    <w:rsid w:val="73EA2AA9"/>
    <w:rsid w:val="73EA5D2F"/>
    <w:rsid w:val="73EA75FE"/>
    <w:rsid w:val="73EB3948"/>
    <w:rsid w:val="73EB42E8"/>
    <w:rsid w:val="73EC0C32"/>
    <w:rsid w:val="73EC65E1"/>
    <w:rsid w:val="73ED2DB9"/>
    <w:rsid w:val="73ED4740"/>
    <w:rsid w:val="73EE48CE"/>
    <w:rsid w:val="73EF36C1"/>
    <w:rsid w:val="73F04B2D"/>
    <w:rsid w:val="73F27D35"/>
    <w:rsid w:val="73F35AB7"/>
    <w:rsid w:val="73F368BA"/>
    <w:rsid w:val="73F54E96"/>
    <w:rsid w:val="73F75F45"/>
    <w:rsid w:val="73F76656"/>
    <w:rsid w:val="73F77A3A"/>
    <w:rsid w:val="73F8097D"/>
    <w:rsid w:val="73F832DF"/>
    <w:rsid w:val="73F876F2"/>
    <w:rsid w:val="73F92B5F"/>
    <w:rsid w:val="73FA44CF"/>
    <w:rsid w:val="73FB0C79"/>
    <w:rsid w:val="73FC70BF"/>
    <w:rsid w:val="73FD602A"/>
    <w:rsid w:val="73FF01D8"/>
    <w:rsid w:val="74057683"/>
    <w:rsid w:val="74063EE4"/>
    <w:rsid w:val="74065409"/>
    <w:rsid w:val="74065636"/>
    <w:rsid w:val="74073A26"/>
    <w:rsid w:val="74075D31"/>
    <w:rsid w:val="74080D6E"/>
    <w:rsid w:val="74085C60"/>
    <w:rsid w:val="740A2CF0"/>
    <w:rsid w:val="740B6B35"/>
    <w:rsid w:val="740C0317"/>
    <w:rsid w:val="740C1C28"/>
    <w:rsid w:val="740C26B7"/>
    <w:rsid w:val="740C55F0"/>
    <w:rsid w:val="740D3BA2"/>
    <w:rsid w:val="740E1564"/>
    <w:rsid w:val="74100036"/>
    <w:rsid w:val="741446A8"/>
    <w:rsid w:val="7415226A"/>
    <w:rsid w:val="7416176E"/>
    <w:rsid w:val="741720A2"/>
    <w:rsid w:val="7418493E"/>
    <w:rsid w:val="74190634"/>
    <w:rsid w:val="741B2533"/>
    <w:rsid w:val="741C2AE8"/>
    <w:rsid w:val="741C53CB"/>
    <w:rsid w:val="741C5F55"/>
    <w:rsid w:val="741D2337"/>
    <w:rsid w:val="741E0BE6"/>
    <w:rsid w:val="74205A52"/>
    <w:rsid w:val="74235152"/>
    <w:rsid w:val="7425684E"/>
    <w:rsid w:val="7428117C"/>
    <w:rsid w:val="74281D9D"/>
    <w:rsid w:val="74296DE2"/>
    <w:rsid w:val="742B28B6"/>
    <w:rsid w:val="742B3944"/>
    <w:rsid w:val="742D47E9"/>
    <w:rsid w:val="743056F6"/>
    <w:rsid w:val="743136AC"/>
    <w:rsid w:val="743313DD"/>
    <w:rsid w:val="7433288D"/>
    <w:rsid w:val="7436411D"/>
    <w:rsid w:val="74364825"/>
    <w:rsid w:val="74365CAD"/>
    <w:rsid w:val="743820EB"/>
    <w:rsid w:val="74382AA6"/>
    <w:rsid w:val="74384EE9"/>
    <w:rsid w:val="743B186D"/>
    <w:rsid w:val="743B3304"/>
    <w:rsid w:val="743B40EB"/>
    <w:rsid w:val="743B6781"/>
    <w:rsid w:val="743B7CBC"/>
    <w:rsid w:val="743C3549"/>
    <w:rsid w:val="743E143C"/>
    <w:rsid w:val="743E3872"/>
    <w:rsid w:val="743E4BA3"/>
    <w:rsid w:val="743E7870"/>
    <w:rsid w:val="743F1159"/>
    <w:rsid w:val="743F1E90"/>
    <w:rsid w:val="743F4870"/>
    <w:rsid w:val="74400E3D"/>
    <w:rsid w:val="7440352A"/>
    <w:rsid w:val="7442632F"/>
    <w:rsid w:val="74443380"/>
    <w:rsid w:val="74450557"/>
    <w:rsid w:val="74453002"/>
    <w:rsid w:val="74454A6C"/>
    <w:rsid w:val="74465281"/>
    <w:rsid w:val="744663A2"/>
    <w:rsid w:val="744722FA"/>
    <w:rsid w:val="744733C7"/>
    <w:rsid w:val="74476746"/>
    <w:rsid w:val="744820B3"/>
    <w:rsid w:val="74483FE2"/>
    <w:rsid w:val="744A7E47"/>
    <w:rsid w:val="744D0CE8"/>
    <w:rsid w:val="744F26D7"/>
    <w:rsid w:val="744F61FE"/>
    <w:rsid w:val="74513906"/>
    <w:rsid w:val="74523C66"/>
    <w:rsid w:val="7454564D"/>
    <w:rsid w:val="74553B56"/>
    <w:rsid w:val="7456172A"/>
    <w:rsid w:val="74561BE2"/>
    <w:rsid w:val="74562513"/>
    <w:rsid w:val="745635E9"/>
    <w:rsid w:val="7457077D"/>
    <w:rsid w:val="74572386"/>
    <w:rsid w:val="745850F8"/>
    <w:rsid w:val="74586508"/>
    <w:rsid w:val="74593814"/>
    <w:rsid w:val="745A1E2D"/>
    <w:rsid w:val="745A39EA"/>
    <w:rsid w:val="745B4DBF"/>
    <w:rsid w:val="745E0A25"/>
    <w:rsid w:val="745E23B8"/>
    <w:rsid w:val="745F2939"/>
    <w:rsid w:val="746128FD"/>
    <w:rsid w:val="746324AD"/>
    <w:rsid w:val="74656009"/>
    <w:rsid w:val="746565D3"/>
    <w:rsid w:val="74682367"/>
    <w:rsid w:val="746911A4"/>
    <w:rsid w:val="74691D5F"/>
    <w:rsid w:val="746B2D14"/>
    <w:rsid w:val="746E374D"/>
    <w:rsid w:val="746E4229"/>
    <w:rsid w:val="746F4AD1"/>
    <w:rsid w:val="74703473"/>
    <w:rsid w:val="74703B1B"/>
    <w:rsid w:val="747066AC"/>
    <w:rsid w:val="74722EB5"/>
    <w:rsid w:val="747246C6"/>
    <w:rsid w:val="74732FF4"/>
    <w:rsid w:val="74747035"/>
    <w:rsid w:val="74774F2C"/>
    <w:rsid w:val="74775CE3"/>
    <w:rsid w:val="747A66CF"/>
    <w:rsid w:val="747B1850"/>
    <w:rsid w:val="747C0BA0"/>
    <w:rsid w:val="747C671C"/>
    <w:rsid w:val="747C7A27"/>
    <w:rsid w:val="747E1AC8"/>
    <w:rsid w:val="747E39CC"/>
    <w:rsid w:val="747F1F99"/>
    <w:rsid w:val="7480751B"/>
    <w:rsid w:val="748270AF"/>
    <w:rsid w:val="74836A50"/>
    <w:rsid w:val="74844BC6"/>
    <w:rsid w:val="74853C13"/>
    <w:rsid w:val="748808A7"/>
    <w:rsid w:val="748815C8"/>
    <w:rsid w:val="74883749"/>
    <w:rsid w:val="74896931"/>
    <w:rsid w:val="74897E85"/>
    <w:rsid w:val="748A2BDE"/>
    <w:rsid w:val="748D3468"/>
    <w:rsid w:val="748E78D8"/>
    <w:rsid w:val="749131F6"/>
    <w:rsid w:val="74936C9D"/>
    <w:rsid w:val="74954808"/>
    <w:rsid w:val="749566B3"/>
    <w:rsid w:val="7495687F"/>
    <w:rsid w:val="749578D8"/>
    <w:rsid w:val="74965A35"/>
    <w:rsid w:val="74980938"/>
    <w:rsid w:val="74980B01"/>
    <w:rsid w:val="7498686F"/>
    <w:rsid w:val="74986AB7"/>
    <w:rsid w:val="749A126B"/>
    <w:rsid w:val="749E69DA"/>
    <w:rsid w:val="74A174C3"/>
    <w:rsid w:val="74A36C3E"/>
    <w:rsid w:val="74A71995"/>
    <w:rsid w:val="74A85611"/>
    <w:rsid w:val="74A87BDE"/>
    <w:rsid w:val="74AA400F"/>
    <w:rsid w:val="74AB552E"/>
    <w:rsid w:val="74AB6AA1"/>
    <w:rsid w:val="74AC6E71"/>
    <w:rsid w:val="74AE30E0"/>
    <w:rsid w:val="74AF06D6"/>
    <w:rsid w:val="74AF4D07"/>
    <w:rsid w:val="74B02883"/>
    <w:rsid w:val="74B03041"/>
    <w:rsid w:val="74B03EEE"/>
    <w:rsid w:val="74B07A5D"/>
    <w:rsid w:val="74B228EC"/>
    <w:rsid w:val="74B25EE1"/>
    <w:rsid w:val="74B40E53"/>
    <w:rsid w:val="74B421D6"/>
    <w:rsid w:val="74B44232"/>
    <w:rsid w:val="74B74F83"/>
    <w:rsid w:val="74B77AE1"/>
    <w:rsid w:val="74B91187"/>
    <w:rsid w:val="74BA01D2"/>
    <w:rsid w:val="74BA4701"/>
    <w:rsid w:val="74BA61DB"/>
    <w:rsid w:val="74BB0899"/>
    <w:rsid w:val="74BD01BD"/>
    <w:rsid w:val="74BD4E68"/>
    <w:rsid w:val="74BD5592"/>
    <w:rsid w:val="74BD5EEF"/>
    <w:rsid w:val="74BE71AC"/>
    <w:rsid w:val="74C0536B"/>
    <w:rsid w:val="74C23A26"/>
    <w:rsid w:val="74C27F79"/>
    <w:rsid w:val="74C421DE"/>
    <w:rsid w:val="74C60C12"/>
    <w:rsid w:val="74C60F16"/>
    <w:rsid w:val="74C77C4F"/>
    <w:rsid w:val="74C9350B"/>
    <w:rsid w:val="74CB0EAC"/>
    <w:rsid w:val="74CC5F11"/>
    <w:rsid w:val="74CC70CC"/>
    <w:rsid w:val="74CE29EA"/>
    <w:rsid w:val="74CF6512"/>
    <w:rsid w:val="74D053EE"/>
    <w:rsid w:val="74D13748"/>
    <w:rsid w:val="74D17C56"/>
    <w:rsid w:val="74D307B1"/>
    <w:rsid w:val="74D47E21"/>
    <w:rsid w:val="74D5120C"/>
    <w:rsid w:val="74D62E03"/>
    <w:rsid w:val="74D76E2C"/>
    <w:rsid w:val="74D84D40"/>
    <w:rsid w:val="74D8568A"/>
    <w:rsid w:val="74D8761E"/>
    <w:rsid w:val="74D95D63"/>
    <w:rsid w:val="74DA2B1D"/>
    <w:rsid w:val="74DD3F34"/>
    <w:rsid w:val="74DE0A39"/>
    <w:rsid w:val="74DE31CA"/>
    <w:rsid w:val="74DF57D8"/>
    <w:rsid w:val="74E024B2"/>
    <w:rsid w:val="74E1063A"/>
    <w:rsid w:val="74E201FC"/>
    <w:rsid w:val="74E23D58"/>
    <w:rsid w:val="74E2681B"/>
    <w:rsid w:val="74E36B3F"/>
    <w:rsid w:val="74E36FD8"/>
    <w:rsid w:val="74E50261"/>
    <w:rsid w:val="74E60F35"/>
    <w:rsid w:val="74E84AB8"/>
    <w:rsid w:val="74EA11CE"/>
    <w:rsid w:val="74EC01B8"/>
    <w:rsid w:val="74EC21BF"/>
    <w:rsid w:val="74EC46D9"/>
    <w:rsid w:val="74EC4782"/>
    <w:rsid w:val="74ED357B"/>
    <w:rsid w:val="74EE194F"/>
    <w:rsid w:val="74EE1A1E"/>
    <w:rsid w:val="74EF0DDA"/>
    <w:rsid w:val="74EF3438"/>
    <w:rsid w:val="74F1393C"/>
    <w:rsid w:val="74F322FF"/>
    <w:rsid w:val="74F417FF"/>
    <w:rsid w:val="74F419C9"/>
    <w:rsid w:val="74F45D48"/>
    <w:rsid w:val="74F467B0"/>
    <w:rsid w:val="74F52295"/>
    <w:rsid w:val="74F52E1F"/>
    <w:rsid w:val="74F6200C"/>
    <w:rsid w:val="74F674D2"/>
    <w:rsid w:val="74F92AC2"/>
    <w:rsid w:val="74FB38AB"/>
    <w:rsid w:val="74FC68B9"/>
    <w:rsid w:val="74FD53B8"/>
    <w:rsid w:val="74FF0425"/>
    <w:rsid w:val="75007557"/>
    <w:rsid w:val="75014E6D"/>
    <w:rsid w:val="75015494"/>
    <w:rsid w:val="75016E6A"/>
    <w:rsid w:val="750379E7"/>
    <w:rsid w:val="750438A1"/>
    <w:rsid w:val="7506356B"/>
    <w:rsid w:val="75090A4E"/>
    <w:rsid w:val="75092851"/>
    <w:rsid w:val="75092D81"/>
    <w:rsid w:val="750955CC"/>
    <w:rsid w:val="750B10E4"/>
    <w:rsid w:val="750C3AFA"/>
    <w:rsid w:val="750C6C3D"/>
    <w:rsid w:val="750D6BDE"/>
    <w:rsid w:val="750E2CC2"/>
    <w:rsid w:val="75110459"/>
    <w:rsid w:val="7511071F"/>
    <w:rsid w:val="75111CF0"/>
    <w:rsid w:val="75113147"/>
    <w:rsid w:val="75120509"/>
    <w:rsid w:val="751349E0"/>
    <w:rsid w:val="75147E43"/>
    <w:rsid w:val="7516081E"/>
    <w:rsid w:val="75161ADA"/>
    <w:rsid w:val="7516701A"/>
    <w:rsid w:val="75170B99"/>
    <w:rsid w:val="75176B9A"/>
    <w:rsid w:val="75194C0C"/>
    <w:rsid w:val="75195317"/>
    <w:rsid w:val="751A4251"/>
    <w:rsid w:val="751A6023"/>
    <w:rsid w:val="751C037F"/>
    <w:rsid w:val="751D005C"/>
    <w:rsid w:val="7521031D"/>
    <w:rsid w:val="75240B84"/>
    <w:rsid w:val="7524338F"/>
    <w:rsid w:val="75246735"/>
    <w:rsid w:val="75247B82"/>
    <w:rsid w:val="7526395D"/>
    <w:rsid w:val="75264F3F"/>
    <w:rsid w:val="752707C9"/>
    <w:rsid w:val="75271ADB"/>
    <w:rsid w:val="75272C62"/>
    <w:rsid w:val="7527590E"/>
    <w:rsid w:val="752B41E2"/>
    <w:rsid w:val="752D6D9A"/>
    <w:rsid w:val="752D7123"/>
    <w:rsid w:val="752E0E05"/>
    <w:rsid w:val="752E3E5B"/>
    <w:rsid w:val="752F34A3"/>
    <w:rsid w:val="752F387E"/>
    <w:rsid w:val="752F3962"/>
    <w:rsid w:val="7530186F"/>
    <w:rsid w:val="75311C6F"/>
    <w:rsid w:val="75316363"/>
    <w:rsid w:val="75322274"/>
    <w:rsid w:val="753278A3"/>
    <w:rsid w:val="75333F2E"/>
    <w:rsid w:val="75336416"/>
    <w:rsid w:val="75343EBF"/>
    <w:rsid w:val="75344C86"/>
    <w:rsid w:val="75346241"/>
    <w:rsid w:val="753675D5"/>
    <w:rsid w:val="75376AA2"/>
    <w:rsid w:val="753B5AA0"/>
    <w:rsid w:val="753B69D1"/>
    <w:rsid w:val="753B7CC3"/>
    <w:rsid w:val="753C5D11"/>
    <w:rsid w:val="753D11A8"/>
    <w:rsid w:val="753D202D"/>
    <w:rsid w:val="753D5445"/>
    <w:rsid w:val="753F2582"/>
    <w:rsid w:val="753F38E8"/>
    <w:rsid w:val="75405B62"/>
    <w:rsid w:val="754259CF"/>
    <w:rsid w:val="75430BAD"/>
    <w:rsid w:val="75444847"/>
    <w:rsid w:val="75463D0F"/>
    <w:rsid w:val="754644D9"/>
    <w:rsid w:val="7547210C"/>
    <w:rsid w:val="754732E5"/>
    <w:rsid w:val="75474B75"/>
    <w:rsid w:val="75483020"/>
    <w:rsid w:val="754937FF"/>
    <w:rsid w:val="754A2682"/>
    <w:rsid w:val="754B7109"/>
    <w:rsid w:val="754B7F76"/>
    <w:rsid w:val="754D06D8"/>
    <w:rsid w:val="754D72D6"/>
    <w:rsid w:val="754D74C5"/>
    <w:rsid w:val="754F45F3"/>
    <w:rsid w:val="754F4BF9"/>
    <w:rsid w:val="7550036B"/>
    <w:rsid w:val="75506CE6"/>
    <w:rsid w:val="75507814"/>
    <w:rsid w:val="75534F63"/>
    <w:rsid w:val="755453A2"/>
    <w:rsid w:val="755521A4"/>
    <w:rsid w:val="755554F0"/>
    <w:rsid w:val="755646A8"/>
    <w:rsid w:val="75565983"/>
    <w:rsid w:val="75592CB4"/>
    <w:rsid w:val="755C19C1"/>
    <w:rsid w:val="755D5DB6"/>
    <w:rsid w:val="75600355"/>
    <w:rsid w:val="75603FC6"/>
    <w:rsid w:val="75610DF5"/>
    <w:rsid w:val="7561415F"/>
    <w:rsid w:val="75624D0D"/>
    <w:rsid w:val="75653D00"/>
    <w:rsid w:val="75655D82"/>
    <w:rsid w:val="75673C9E"/>
    <w:rsid w:val="75691CAE"/>
    <w:rsid w:val="75692372"/>
    <w:rsid w:val="75694CDD"/>
    <w:rsid w:val="756A0F54"/>
    <w:rsid w:val="756B73FD"/>
    <w:rsid w:val="756C086F"/>
    <w:rsid w:val="756C7829"/>
    <w:rsid w:val="756D7F25"/>
    <w:rsid w:val="756E3112"/>
    <w:rsid w:val="756E63D4"/>
    <w:rsid w:val="75713BA2"/>
    <w:rsid w:val="75715E20"/>
    <w:rsid w:val="75721A5F"/>
    <w:rsid w:val="75721CC1"/>
    <w:rsid w:val="75733092"/>
    <w:rsid w:val="7573738C"/>
    <w:rsid w:val="757406F9"/>
    <w:rsid w:val="75756349"/>
    <w:rsid w:val="75761A90"/>
    <w:rsid w:val="75761E94"/>
    <w:rsid w:val="757704C6"/>
    <w:rsid w:val="75784497"/>
    <w:rsid w:val="75786A2A"/>
    <w:rsid w:val="75794307"/>
    <w:rsid w:val="757B0F6F"/>
    <w:rsid w:val="757B7431"/>
    <w:rsid w:val="757D16FB"/>
    <w:rsid w:val="757F0DB2"/>
    <w:rsid w:val="757F6E5B"/>
    <w:rsid w:val="757F74FF"/>
    <w:rsid w:val="758016F2"/>
    <w:rsid w:val="7581025E"/>
    <w:rsid w:val="75813858"/>
    <w:rsid w:val="758430D6"/>
    <w:rsid w:val="758559BD"/>
    <w:rsid w:val="758639C6"/>
    <w:rsid w:val="7586606A"/>
    <w:rsid w:val="758754BF"/>
    <w:rsid w:val="758823DF"/>
    <w:rsid w:val="75893ACE"/>
    <w:rsid w:val="75895ABA"/>
    <w:rsid w:val="758A4A4C"/>
    <w:rsid w:val="758A4F6C"/>
    <w:rsid w:val="758A6D64"/>
    <w:rsid w:val="758B1B9B"/>
    <w:rsid w:val="758C0347"/>
    <w:rsid w:val="758C203F"/>
    <w:rsid w:val="758C59AD"/>
    <w:rsid w:val="758C7FC4"/>
    <w:rsid w:val="758F7E74"/>
    <w:rsid w:val="7590084A"/>
    <w:rsid w:val="75907680"/>
    <w:rsid w:val="75910C2B"/>
    <w:rsid w:val="759210FA"/>
    <w:rsid w:val="759233F8"/>
    <w:rsid w:val="7592432A"/>
    <w:rsid w:val="7592797F"/>
    <w:rsid w:val="75930F1E"/>
    <w:rsid w:val="75935022"/>
    <w:rsid w:val="7593651A"/>
    <w:rsid w:val="759432DB"/>
    <w:rsid w:val="75943544"/>
    <w:rsid w:val="75951601"/>
    <w:rsid w:val="75960D9F"/>
    <w:rsid w:val="759674B4"/>
    <w:rsid w:val="75967B9E"/>
    <w:rsid w:val="75972FB2"/>
    <w:rsid w:val="75974D6C"/>
    <w:rsid w:val="75975332"/>
    <w:rsid w:val="75992806"/>
    <w:rsid w:val="759942F7"/>
    <w:rsid w:val="759B2301"/>
    <w:rsid w:val="759B5CAE"/>
    <w:rsid w:val="759B6AC5"/>
    <w:rsid w:val="759C3B2C"/>
    <w:rsid w:val="759C5BB7"/>
    <w:rsid w:val="759D27B8"/>
    <w:rsid w:val="759D72E0"/>
    <w:rsid w:val="759E58B3"/>
    <w:rsid w:val="759F13F8"/>
    <w:rsid w:val="75A16203"/>
    <w:rsid w:val="75A23CE8"/>
    <w:rsid w:val="75A37A9D"/>
    <w:rsid w:val="75A40ABF"/>
    <w:rsid w:val="75A53399"/>
    <w:rsid w:val="75A624EE"/>
    <w:rsid w:val="75A819B1"/>
    <w:rsid w:val="75A81A62"/>
    <w:rsid w:val="75AB6082"/>
    <w:rsid w:val="75AB60F6"/>
    <w:rsid w:val="75AC13B9"/>
    <w:rsid w:val="75AE439A"/>
    <w:rsid w:val="75AF4068"/>
    <w:rsid w:val="75AF5E87"/>
    <w:rsid w:val="75B044DB"/>
    <w:rsid w:val="75B11BA0"/>
    <w:rsid w:val="75B234C0"/>
    <w:rsid w:val="75B43365"/>
    <w:rsid w:val="75B5715E"/>
    <w:rsid w:val="75B6004A"/>
    <w:rsid w:val="75B90525"/>
    <w:rsid w:val="75B90B6E"/>
    <w:rsid w:val="75BB12E7"/>
    <w:rsid w:val="75BB6719"/>
    <w:rsid w:val="75BC232D"/>
    <w:rsid w:val="75BD5A5C"/>
    <w:rsid w:val="75BE2088"/>
    <w:rsid w:val="75BE745C"/>
    <w:rsid w:val="75BF4F4F"/>
    <w:rsid w:val="75C14474"/>
    <w:rsid w:val="75C227DE"/>
    <w:rsid w:val="75C335B1"/>
    <w:rsid w:val="75C44771"/>
    <w:rsid w:val="75C47C85"/>
    <w:rsid w:val="75C5385D"/>
    <w:rsid w:val="75C770CE"/>
    <w:rsid w:val="75C82807"/>
    <w:rsid w:val="75C8677E"/>
    <w:rsid w:val="75CE41EC"/>
    <w:rsid w:val="75CF2815"/>
    <w:rsid w:val="75D02065"/>
    <w:rsid w:val="75D05CCE"/>
    <w:rsid w:val="75D14CF6"/>
    <w:rsid w:val="75D25928"/>
    <w:rsid w:val="75D27A87"/>
    <w:rsid w:val="75D4712A"/>
    <w:rsid w:val="75D728E8"/>
    <w:rsid w:val="75D94F77"/>
    <w:rsid w:val="75DA3424"/>
    <w:rsid w:val="75DA76B7"/>
    <w:rsid w:val="75DB00EE"/>
    <w:rsid w:val="75DB1446"/>
    <w:rsid w:val="75DB2C76"/>
    <w:rsid w:val="75DC5B2E"/>
    <w:rsid w:val="75DE232F"/>
    <w:rsid w:val="75E040ED"/>
    <w:rsid w:val="75E25C38"/>
    <w:rsid w:val="75E317FE"/>
    <w:rsid w:val="75E50C8A"/>
    <w:rsid w:val="75E52375"/>
    <w:rsid w:val="75E63A22"/>
    <w:rsid w:val="75E97F1D"/>
    <w:rsid w:val="75EA1308"/>
    <w:rsid w:val="75EA2EDE"/>
    <w:rsid w:val="75EB3E35"/>
    <w:rsid w:val="75EC1C40"/>
    <w:rsid w:val="75ED0A7C"/>
    <w:rsid w:val="75ED265E"/>
    <w:rsid w:val="75ED58B8"/>
    <w:rsid w:val="75EE1367"/>
    <w:rsid w:val="75EF1DC6"/>
    <w:rsid w:val="75EF1FB0"/>
    <w:rsid w:val="75EF319B"/>
    <w:rsid w:val="75EF3FF2"/>
    <w:rsid w:val="75EF59C5"/>
    <w:rsid w:val="75F145C2"/>
    <w:rsid w:val="75F27B61"/>
    <w:rsid w:val="75F452EC"/>
    <w:rsid w:val="75F60677"/>
    <w:rsid w:val="75F87EB8"/>
    <w:rsid w:val="75FA037B"/>
    <w:rsid w:val="75FC2E20"/>
    <w:rsid w:val="75FC3A54"/>
    <w:rsid w:val="75FC72E4"/>
    <w:rsid w:val="75FE2343"/>
    <w:rsid w:val="75FE45EA"/>
    <w:rsid w:val="75FE6E13"/>
    <w:rsid w:val="75FF1E83"/>
    <w:rsid w:val="76043DE8"/>
    <w:rsid w:val="76057252"/>
    <w:rsid w:val="760A07BB"/>
    <w:rsid w:val="760A42DB"/>
    <w:rsid w:val="760B0E51"/>
    <w:rsid w:val="760C47A0"/>
    <w:rsid w:val="760D293D"/>
    <w:rsid w:val="760D7ADD"/>
    <w:rsid w:val="760E14AB"/>
    <w:rsid w:val="760E182A"/>
    <w:rsid w:val="760E4750"/>
    <w:rsid w:val="760E481A"/>
    <w:rsid w:val="760F1128"/>
    <w:rsid w:val="76110183"/>
    <w:rsid w:val="76123BA1"/>
    <w:rsid w:val="76131870"/>
    <w:rsid w:val="76153315"/>
    <w:rsid w:val="76165307"/>
    <w:rsid w:val="76177ADF"/>
    <w:rsid w:val="761806D1"/>
    <w:rsid w:val="7618165F"/>
    <w:rsid w:val="761874CA"/>
    <w:rsid w:val="761906C1"/>
    <w:rsid w:val="76195885"/>
    <w:rsid w:val="76197675"/>
    <w:rsid w:val="761B25B3"/>
    <w:rsid w:val="761B771A"/>
    <w:rsid w:val="761C5ABC"/>
    <w:rsid w:val="761D2EAB"/>
    <w:rsid w:val="761D57A9"/>
    <w:rsid w:val="761F0312"/>
    <w:rsid w:val="761F5CB0"/>
    <w:rsid w:val="761F69D2"/>
    <w:rsid w:val="76210743"/>
    <w:rsid w:val="76216417"/>
    <w:rsid w:val="762168DC"/>
    <w:rsid w:val="76216D15"/>
    <w:rsid w:val="76261713"/>
    <w:rsid w:val="76261E47"/>
    <w:rsid w:val="76263321"/>
    <w:rsid w:val="76267A55"/>
    <w:rsid w:val="76267E45"/>
    <w:rsid w:val="76275677"/>
    <w:rsid w:val="76277D20"/>
    <w:rsid w:val="76286779"/>
    <w:rsid w:val="7629074B"/>
    <w:rsid w:val="762929B0"/>
    <w:rsid w:val="762A472B"/>
    <w:rsid w:val="762A482C"/>
    <w:rsid w:val="762A7A0F"/>
    <w:rsid w:val="762C4DCD"/>
    <w:rsid w:val="762C501B"/>
    <w:rsid w:val="762D644D"/>
    <w:rsid w:val="762F6580"/>
    <w:rsid w:val="76304836"/>
    <w:rsid w:val="763116E1"/>
    <w:rsid w:val="76316E5D"/>
    <w:rsid w:val="76322A37"/>
    <w:rsid w:val="763261CA"/>
    <w:rsid w:val="763311D3"/>
    <w:rsid w:val="76354177"/>
    <w:rsid w:val="76357EA4"/>
    <w:rsid w:val="763636F2"/>
    <w:rsid w:val="76386B51"/>
    <w:rsid w:val="763911BC"/>
    <w:rsid w:val="763925F9"/>
    <w:rsid w:val="763A0218"/>
    <w:rsid w:val="763A09BC"/>
    <w:rsid w:val="763A26F7"/>
    <w:rsid w:val="763A787A"/>
    <w:rsid w:val="763C14B2"/>
    <w:rsid w:val="763C5112"/>
    <w:rsid w:val="763C5928"/>
    <w:rsid w:val="763C77D3"/>
    <w:rsid w:val="763E54FD"/>
    <w:rsid w:val="763E5C55"/>
    <w:rsid w:val="763E70DC"/>
    <w:rsid w:val="764010A6"/>
    <w:rsid w:val="76426E5E"/>
    <w:rsid w:val="76431CE4"/>
    <w:rsid w:val="76443F20"/>
    <w:rsid w:val="7644611F"/>
    <w:rsid w:val="76457537"/>
    <w:rsid w:val="7648366B"/>
    <w:rsid w:val="764918B4"/>
    <w:rsid w:val="76494F09"/>
    <w:rsid w:val="76495191"/>
    <w:rsid w:val="764A17F2"/>
    <w:rsid w:val="764B3269"/>
    <w:rsid w:val="764B3B35"/>
    <w:rsid w:val="764B5352"/>
    <w:rsid w:val="76536EB6"/>
    <w:rsid w:val="76545FF1"/>
    <w:rsid w:val="765468FF"/>
    <w:rsid w:val="76552F86"/>
    <w:rsid w:val="7657519D"/>
    <w:rsid w:val="76575BE0"/>
    <w:rsid w:val="76592ECB"/>
    <w:rsid w:val="765A0CC2"/>
    <w:rsid w:val="765A40A9"/>
    <w:rsid w:val="765B2241"/>
    <w:rsid w:val="765B3E80"/>
    <w:rsid w:val="765C01CD"/>
    <w:rsid w:val="765C764C"/>
    <w:rsid w:val="765D1CB5"/>
    <w:rsid w:val="765E152C"/>
    <w:rsid w:val="765E6A13"/>
    <w:rsid w:val="7663414D"/>
    <w:rsid w:val="76634546"/>
    <w:rsid w:val="7664687B"/>
    <w:rsid w:val="76646EDC"/>
    <w:rsid w:val="76665710"/>
    <w:rsid w:val="76670629"/>
    <w:rsid w:val="7667587A"/>
    <w:rsid w:val="76681DC2"/>
    <w:rsid w:val="766A244B"/>
    <w:rsid w:val="766B0D5A"/>
    <w:rsid w:val="766C42A0"/>
    <w:rsid w:val="766D2D7B"/>
    <w:rsid w:val="766D630A"/>
    <w:rsid w:val="766D76F6"/>
    <w:rsid w:val="766F1B1B"/>
    <w:rsid w:val="766F7972"/>
    <w:rsid w:val="76703724"/>
    <w:rsid w:val="76704DAA"/>
    <w:rsid w:val="76710608"/>
    <w:rsid w:val="767539A8"/>
    <w:rsid w:val="7675533B"/>
    <w:rsid w:val="76755A11"/>
    <w:rsid w:val="767705BF"/>
    <w:rsid w:val="76773F1B"/>
    <w:rsid w:val="76785225"/>
    <w:rsid w:val="76793DD5"/>
    <w:rsid w:val="767A4563"/>
    <w:rsid w:val="767B3193"/>
    <w:rsid w:val="767C28DE"/>
    <w:rsid w:val="767C571C"/>
    <w:rsid w:val="767C6896"/>
    <w:rsid w:val="767E0A26"/>
    <w:rsid w:val="767E4A3B"/>
    <w:rsid w:val="768106A4"/>
    <w:rsid w:val="768253CD"/>
    <w:rsid w:val="76840A0A"/>
    <w:rsid w:val="76865788"/>
    <w:rsid w:val="76877146"/>
    <w:rsid w:val="76882EDA"/>
    <w:rsid w:val="768913AD"/>
    <w:rsid w:val="768934E6"/>
    <w:rsid w:val="76894A11"/>
    <w:rsid w:val="768A0DA0"/>
    <w:rsid w:val="768A37EF"/>
    <w:rsid w:val="768A6B60"/>
    <w:rsid w:val="768C0943"/>
    <w:rsid w:val="768C1E34"/>
    <w:rsid w:val="768D1721"/>
    <w:rsid w:val="768D49D1"/>
    <w:rsid w:val="768E51F7"/>
    <w:rsid w:val="768F24C5"/>
    <w:rsid w:val="7690074D"/>
    <w:rsid w:val="7690172E"/>
    <w:rsid w:val="76924FE9"/>
    <w:rsid w:val="76933C2B"/>
    <w:rsid w:val="76945E91"/>
    <w:rsid w:val="76962B17"/>
    <w:rsid w:val="76975080"/>
    <w:rsid w:val="7697715E"/>
    <w:rsid w:val="769839D7"/>
    <w:rsid w:val="76987FA6"/>
    <w:rsid w:val="76991F7F"/>
    <w:rsid w:val="769A1865"/>
    <w:rsid w:val="769A3157"/>
    <w:rsid w:val="769A5CB1"/>
    <w:rsid w:val="769D029C"/>
    <w:rsid w:val="769D5B57"/>
    <w:rsid w:val="769F401E"/>
    <w:rsid w:val="76A05CF5"/>
    <w:rsid w:val="76A0631F"/>
    <w:rsid w:val="76A122DF"/>
    <w:rsid w:val="76A56114"/>
    <w:rsid w:val="76A65DFE"/>
    <w:rsid w:val="76A766FC"/>
    <w:rsid w:val="76A87C44"/>
    <w:rsid w:val="76A87DF6"/>
    <w:rsid w:val="76AB67C8"/>
    <w:rsid w:val="76AC2548"/>
    <w:rsid w:val="76AC70EE"/>
    <w:rsid w:val="76AC7730"/>
    <w:rsid w:val="76AD0FED"/>
    <w:rsid w:val="76AE09BF"/>
    <w:rsid w:val="76B01F72"/>
    <w:rsid w:val="76B03277"/>
    <w:rsid w:val="76B259D9"/>
    <w:rsid w:val="76B35115"/>
    <w:rsid w:val="76B43724"/>
    <w:rsid w:val="76B43C11"/>
    <w:rsid w:val="76B52B88"/>
    <w:rsid w:val="76B53E4A"/>
    <w:rsid w:val="76B86EA7"/>
    <w:rsid w:val="76BB072D"/>
    <w:rsid w:val="76BB1D52"/>
    <w:rsid w:val="76BC372D"/>
    <w:rsid w:val="76BC66A4"/>
    <w:rsid w:val="76BE0334"/>
    <w:rsid w:val="76BE1E83"/>
    <w:rsid w:val="76BE4C08"/>
    <w:rsid w:val="76BE4DE0"/>
    <w:rsid w:val="76C13908"/>
    <w:rsid w:val="76C13F22"/>
    <w:rsid w:val="76C23290"/>
    <w:rsid w:val="76C34A0E"/>
    <w:rsid w:val="76C369AD"/>
    <w:rsid w:val="76C623AA"/>
    <w:rsid w:val="76C65DE7"/>
    <w:rsid w:val="76C801A2"/>
    <w:rsid w:val="76C90EA4"/>
    <w:rsid w:val="76C97411"/>
    <w:rsid w:val="76C97D26"/>
    <w:rsid w:val="76CA0034"/>
    <w:rsid w:val="76CB5DCD"/>
    <w:rsid w:val="76CD0F9E"/>
    <w:rsid w:val="76CD2E66"/>
    <w:rsid w:val="76CD3730"/>
    <w:rsid w:val="76CE580F"/>
    <w:rsid w:val="76D0018D"/>
    <w:rsid w:val="76D01F85"/>
    <w:rsid w:val="76D025C9"/>
    <w:rsid w:val="76D07018"/>
    <w:rsid w:val="76D27C9D"/>
    <w:rsid w:val="76D36E85"/>
    <w:rsid w:val="76D66E04"/>
    <w:rsid w:val="76D77263"/>
    <w:rsid w:val="76D945AB"/>
    <w:rsid w:val="76D97A60"/>
    <w:rsid w:val="76DA219C"/>
    <w:rsid w:val="76DA53D0"/>
    <w:rsid w:val="76DA6FD0"/>
    <w:rsid w:val="76DB143F"/>
    <w:rsid w:val="76DB7762"/>
    <w:rsid w:val="76DC717E"/>
    <w:rsid w:val="76DC7DF2"/>
    <w:rsid w:val="76E02C47"/>
    <w:rsid w:val="76E109D2"/>
    <w:rsid w:val="76E10D5A"/>
    <w:rsid w:val="76E16A44"/>
    <w:rsid w:val="76E35A01"/>
    <w:rsid w:val="76E361CD"/>
    <w:rsid w:val="76E447D0"/>
    <w:rsid w:val="76E55C3D"/>
    <w:rsid w:val="76E57DBE"/>
    <w:rsid w:val="76E61C4D"/>
    <w:rsid w:val="76E62CF0"/>
    <w:rsid w:val="76E76655"/>
    <w:rsid w:val="76EA0C82"/>
    <w:rsid w:val="76EA216E"/>
    <w:rsid w:val="76EB0038"/>
    <w:rsid w:val="76EB48C7"/>
    <w:rsid w:val="76EB4C30"/>
    <w:rsid w:val="76EB4F0B"/>
    <w:rsid w:val="76EB5451"/>
    <w:rsid w:val="76EC25F1"/>
    <w:rsid w:val="76ED2227"/>
    <w:rsid w:val="76ED4B4F"/>
    <w:rsid w:val="76EE5D0D"/>
    <w:rsid w:val="76F03584"/>
    <w:rsid w:val="76F052EC"/>
    <w:rsid w:val="76F06840"/>
    <w:rsid w:val="76F278D4"/>
    <w:rsid w:val="76F27950"/>
    <w:rsid w:val="76F4256A"/>
    <w:rsid w:val="76F43EAB"/>
    <w:rsid w:val="76F56231"/>
    <w:rsid w:val="76F6458F"/>
    <w:rsid w:val="76F65631"/>
    <w:rsid w:val="76F66360"/>
    <w:rsid w:val="76F6687D"/>
    <w:rsid w:val="76F7127F"/>
    <w:rsid w:val="76F9320D"/>
    <w:rsid w:val="76F9498F"/>
    <w:rsid w:val="76FB0D3F"/>
    <w:rsid w:val="76FC3ED0"/>
    <w:rsid w:val="76FD75D7"/>
    <w:rsid w:val="76FE1BC6"/>
    <w:rsid w:val="76FE5E5E"/>
    <w:rsid w:val="76FF459E"/>
    <w:rsid w:val="76FF4ABD"/>
    <w:rsid w:val="77012061"/>
    <w:rsid w:val="770135EE"/>
    <w:rsid w:val="770232C2"/>
    <w:rsid w:val="770330C6"/>
    <w:rsid w:val="77037714"/>
    <w:rsid w:val="770477AC"/>
    <w:rsid w:val="770642BC"/>
    <w:rsid w:val="77072FFD"/>
    <w:rsid w:val="77080CC1"/>
    <w:rsid w:val="77081871"/>
    <w:rsid w:val="7708325C"/>
    <w:rsid w:val="7709673D"/>
    <w:rsid w:val="770A2328"/>
    <w:rsid w:val="770A6E18"/>
    <w:rsid w:val="770A6E8D"/>
    <w:rsid w:val="770B5374"/>
    <w:rsid w:val="770C1D4C"/>
    <w:rsid w:val="770C38FC"/>
    <w:rsid w:val="770D5A7E"/>
    <w:rsid w:val="770F316F"/>
    <w:rsid w:val="771051D9"/>
    <w:rsid w:val="77110CCC"/>
    <w:rsid w:val="7713680A"/>
    <w:rsid w:val="77140AAA"/>
    <w:rsid w:val="77141D68"/>
    <w:rsid w:val="77146FB3"/>
    <w:rsid w:val="771608F7"/>
    <w:rsid w:val="77163CB8"/>
    <w:rsid w:val="7716476A"/>
    <w:rsid w:val="77177287"/>
    <w:rsid w:val="77185A70"/>
    <w:rsid w:val="7719335E"/>
    <w:rsid w:val="771B0103"/>
    <w:rsid w:val="771B2132"/>
    <w:rsid w:val="771C171E"/>
    <w:rsid w:val="771E1C37"/>
    <w:rsid w:val="771F2D28"/>
    <w:rsid w:val="771F7A29"/>
    <w:rsid w:val="7720275C"/>
    <w:rsid w:val="772111F1"/>
    <w:rsid w:val="77220016"/>
    <w:rsid w:val="77245758"/>
    <w:rsid w:val="7725161F"/>
    <w:rsid w:val="77256661"/>
    <w:rsid w:val="77270FC8"/>
    <w:rsid w:val="77275DC2"/>
    <w:rsid w:val="77281FB7"/>
    <w:rsid w:val="77286775"/>
    <w:rsid w:val="772938E8"/>
    <w:rsid w:val="772A0D66"/>
    <w:rsid w:val="772B73CE"/>
    <w:rsid w:val="772B7824"/>
    <w:rsid w:val="772C2B57"/>
    <w:rsid w:val="772D06AA"/>
    <w:rsid w:val="772E1E8F"/>
    <w:rsid w:val="772F6AE2"/>
    <w:rsid w:val="7731396E"/>
    <w:rsid w:val="773477A7"/>
    <w:rsid w:val="773525B3"/>
    <w:rsid w:val="773546DF"/>
    <w:rsid w:val="77355695"/>
    <w:rsid w:val="7737533B"/>
    <w:rsid w:val="77384F3A"/>
    <w:rsid w:val="773912C9"/>
    <w:rsid w:val="773A431C"/>
    <w:rsid w:val="773A797C"/>
    <w:rsid w:val="773B0496"/>
    <w:rsid w:val="773C4D25"/>
    <w:rsid w:val="773E338B"/>
    <w:rsid w:val="7740468B"/>
    <w:rsid w:val="77416B06"/>
    <w:rsid w:val="77417D2C"/>
    <w:rsid w:val="77423B1C"/>
    <w:rsid w:val="774249A2"/>
    <w:rsid w:val="77425582"/>
    <w:rsid w:val="77431062"/>
    <w:rsid w:val="77471C9F"/>
    <w:rsid w:val="77471D04"/>
    <w:rsid w:val="774801D3"/>
    <w:rsid w:val="7748723E"/>
    <w:rsid w:val="77487A13"/>
    <w:rsid w:val="77490E50"/>
    <w:rsid w:val="774B106D"/>
    <w:rsid w:val="774B6E85"/>
    <w:rsid w:val="774D1C3A"/>
    <w:rsid w:val="774E1599"/>
    <w:rsid w:val="774E2E6F"/>
    <w:rsid w:val="774E7D97"/>
    <w:rsid w:val="774F22B4"/>
    <w:rsid w:val="775006CF"/>
    <w:rsid w:val="775013E0"/>
    <w:rsid w:val="7752261F"/>
    <w:rsid w:val="77527889"/>
    <w:rsid w:val="77530965"/>
    <w:rsid w:val="775426A3"/>
    <w:rsid w:val="77545064"/>
    <w:rsid w:val="77552164"/>
    <w:rsid w:val="775521E8"/>
    <w:rsid w:val="7755292F"/>
    <w:rsid w:val="77562A05"/>
    <w:rsid w:val="77567F59"/>
    <w:rsid w:val="775733AD"/>
    <w:rsid w:val="77573D8F"/>
    <w:rsid w:val="77577BA7"/>
    <w:rsid w:val="7759006B"/>
    <w:rsid w:val="77596435"/>
    <w:rsid w:val="775C320B"/>
    <w:rsid w:val="775D0D9A"/>
    <w:rsid w:val="775D3592"/>
    <w:rsid w:val="775D3685"/>
    <w:rsid w:val="775D6114"/>
    <w:rsid w:val="775E4AA0"/>
    <w:rsid w:val="775E6DBB"/>
    <w:rsid w:val="775F605A"/>
    <w:rsid w:val="77614A1B"/>
    <w:rsid w:val="77621588"/>
    <w:rsid w:val="776267A9"/>
    <w:rsid w:val="77635A17"/>
    <w:rsid w:val="77642A49"/>
    <w:rsid w:val="77650269"/>
    <w:rsid w:val="77655F80"/>
    <w:rsid w:val="77660C22"/>
    <w:rsid w:val="776706DD"/>
    <w:rsid w:val="77672662"/>
    <w:rsid w:val="77694637"/>
    <w:rsid w:val="77697332"/>
    <w:rsid w:val="776B56DD"/>
    <w:rsid w:val="776C197D"/>
    <w:rsid w:val="776C6449"/>
    <w:rsid w:val="776D768A"/>
    <w:rsid w:val="776E20FD"/>
    <w:rsid w:val="776F3131"/>
    <w:rsid w:val="77705065"/>
    <w:rsid w:val="777525A2"/>
    <w:rsid w:val="7775435B"/>
    <w:rsid w:val="777619DA"/>
    <w:rsid w:val="77763BF1"/>
    <w:rsid w:val="77775393"/>
    <w:rsid w:val="777803CC"/>
    <w:rsid w:val="777B50F8"/>
    <w:rsid w:val="777D18C7"/>
    <w:rsid w:val="777E56AE"/>
    <w:rsid w:val="777F56A8"/>
    <w:rsid w:val="777F6228"/>
    <w:rsid w:val="777F79AC"/>
    <w:rsid w:val="77826B49"/>
    <w:rsid w:val="7783637A"/>
    <w:rsid w:val="7783667F"/>
    <w:rsid w:val="778448FC"/>
    <w:rsid w:val="77851A66"/>
    <w:rsid w:val="77854DE8"/>
    <w:rsid w:val="77870B56"/>
    <w:rsid w:val="77871E70"/>
    <w:rsid w:val="778740D0"/>
    <w:rsid w:val="77895611"/>
    <w:rsid w:val="778C3200"/>
    <w:rsid w:val="778D4E8F"/>
    <w:rsid w:val="778F11D7"/>
    <w:rsid w:val="778F22B8"/>
    <w:rsid w:val="778F46D9"/>
    <w:rsid w:val="779006E8"/>
    <w:rsid w:val="779127FE"/>
    <w:rsid w:val="77916D9F"/>
    <w:rsid w:val="77927C35"/>
    <w:rsid w:val="7794262E"/>
    <w:rsid w:val="77944DB3"/>
    <w:rsid w:val="77952215"/>
    <w:rsid w:val="7795373F"/>
    <w:rsid w:val="77956AE8"/>
    <w:rsid w:val="779804E5"/>
    <w:rsid w:val="7798502C"/>
    <w:rsid w:val="779A6EA7"/>
    <w:rsid w:val="779D2487"/>
    <w:rsid w:val="77A067AA"/>
    <w:rsid w:val="77A21494"/>
    <w:rsid w:val="77A32B70"/>
    <w:rsid w:val="77A42039"/>
    <w:rsid w:val="77A4262A"/>
    <w:rsid w:val="77A450F7"/>
    <w:rsid w:val="77A46B37"/>
    <w:rsid w:val="77A56966"/>
    <w:rsid w:val="77A61018"/>
    <w:rsid w:val="77A8637A"/>
    <w:rsid w:val="77AB00B8"/>
    <w:rsid w:val="77B166B7"/>
    <w:rsid w:val="77B220B9"/>
    <w:rsid w:val="77B23C4D"/>
    <w:rsid w:val="77B25ED5"/>
    <w:rsid w:val="77B305FA"/>
    <w:rsid w:val="77B30CFD"/>
    <w:rsid w:val="77B30EF0"/>
    <w:rsid w:val="77B31E97"/>
    <w:rsid w:val="77B5033B"/>
    <w:rsid w:val="77B83CF4"/>
    <w:rsid w:val="77B97490"/>
    <w:rsid w:val="77BA3014"/>
    <w:rsid w:val="77BA73F5"/>
    <w:rsid w:val="77BA7446"/>
    <w:rsid w:val="77BD1DC3"/>
    <w:rsid w:val="77BE12FE"/>
    <w:rsid w:val="77BE7940"/>
    <w:rsid w:val="77BF22D8"/>
    <w:rsid w:val="77BF32EE"/>
    <w:rsid w:val="77BF3709"/>
    <w:rsid w:val="77BF7B22"/>
    <w:rsid w:val="77C03AD3"/>
    <w:rsid w:val="77C07013"/>
    <w:rsid w:val="77C17F7F"/>
    <w:rsid w:val="77C25FD0"/>
    <w:rsid w:val="77C27A17"/>
    <w:rsid w:val="77C31278"/>
    <w:rsid w:val="77C337A0"/>
    <w:rsid w:val="77C3701D"/>
    <w:rsid w:val="77C9266D"/>
    <w:rsid w:val="77CA0F3F"/>
    <w:rsid w:val="77CA4AE1"/>
    <w:rsid w:val="77CD622B"/>
    <w:rsid w:val="77CD7CCA"/>
    <w:rsid w:val="77CE1AEE"/>
    <w:rsid w:val="77CF0A88"/>
    <w:rsid w:val="77CF4223"/>
    <w:rsid w:val="77D42D73"/>
    <w:rsid w:val="77D4668E"/>
    <w:rsid w:val="77D575CC"/>
    <w:rsid w:val="77D71FB5"/>
    <w:rsid w:val="77D72FD9"/>
    <w:rsid w:val="77D80E87"/>
    <w:rsid w:val="77D85BE9"/>
    <w:rsid w:val="77DB2C37"/>
    <w:rsid w:val="77DC1C50"/>
    <w:rsid w:val="77DD0A6F"/>
    <w:rsid w:val="77DD2444"/>
    <w:rsid w:val="77DE130D"/>
    <w:rsid w:val="77DE5C6C"/>
    <w:rsid w:val="77DF0F7D"/>
    <w:rsid w:val="77DF799B"/>
    <w:rsid w:val="77E44D79"/>
    <w:rsid w:val="77E46167"/>
    <w:rsid w:val="77E54768"/>
    <w:rsid w:val="77E8077A"/>
    <w:rsid w:val="77E81B6F"/>
    <w:rsid w:val="77E91013"/>
    <w:rsid w:val="77EA0FF4"/>
    <w:rsid w:val="77EA4F05"/>
    <w:rsid w:val="77EB060D"/>
    <w:rsid w:val="77EC3EAE"/>
    <w:rsid w:val="77EF7EDE"/>
    <w:rsid w:val="77F21501"/>
    <w:rsid w:val="77F31856"/>
    <w:rsid w:val="77F40FC0"/>
    <w:rsid w:val="77F645BB"/>
    <w:rsid w:val="77F6486C"/>
    <w:rsid w:val="77F754EE"/>
    <w:rsid w:val="77F82BAD"/>
    <w:rsid w:val="77F965A4"/>
    <w:rsid w:val="77FB1A55"/>
    <w:rsid w:val="77FC0FFD"/>
    <w:rsid w:val="77FD1E63"/>
    <w:rsid w:val="77FE6928"/>
    <w:rsid w:val="77FF093E"/>
    <w:rsid w:val="77FF0E2E"/>
    <w:rsid w:val="77FF37F8"/>
    <w:rsid w:val="78004F35"/>
    <w:rsid w:val="7801329A"/>
    <w:rsid w:val="780145A0"/>
    <w:rsid w:val="78014B99"/>
    <w:rsid w:val="7801660F"/>
    <w:rsid w:val="78063A92"/>
    <w:rsid w:val="780665D2"/>
    <w:rsid w:val="780676AD"/>
    <w:rsid w:val="780A17D8"/>
    <w:rsid w:val="780A4BF3"/>
    <w:rsid w:val="780C0F0C"/>
    <w:rsid w:val="780C305C"/>
    <w:rsid w:val="780D5D36"/>
    <w:rsid w:val="780E0071"/>
    <w:rsid w:val="780E1CCC"/>
    <w:rsid w:val="780F6F82"/>
    <w:rsid w:val="780F74AE"/>
    <w:rsid w:val="7810268B"/>
    <w:rsid w:val="78104394"/>
    <w:rsid w:val="78104C7C"/>
    <w:rsid w:val="7811211E"/>
    <w:rsid w:val="78116C47"/>
    <w:rsid w:val="78127C1A"/>
    <w:rsid w:val="78131F51"/>
    <w:rsid w:val="78134A82"/>
    <w:rsid w:val="7816293E"/>
    <w:rsid w:val="781656AE"/>
    <w:rsid w:val="78190D6A"/>
    <w:rsid w:val="781C59C5"/>
    <w:rsid w:val="781D4E4D"/>
    <w:rsid w:val="781D5C45"/>
    <w:rsid w:val="781E5168"/>
    <w:rsid w:val="781F18CC"/>
    <w:rsid w:val="78204025"/>
    <w:rsid w:val="78210A63"/>
    <w:rsid w:val="782142A0"/>
    <w:rsid w:val="78244847"/>
    <w:rsid w:val="782501D4"/>
    <w:rsid w:val="78252051"/>
    <w:rsid w:val="78263959"/>
    <w:rsid w:val="78273C63"/>
    <w:rsid w:val="782E76DA"/>
    <w:rsid w:val="78306BE9"/>
    <w:rsid w:val="78322061"/>
    <w:rsid w:val="78323AE7"/>
    <w:rsid w:val="78327A6D"/>
    <w:rsid w:val="78335A4B"/>
    <w:rsid w:val="78347646"/>
    <w:rsid w:val="78347C3E"/>
    <w:rsid w:val="783519EC"/>
    <w:rsid w:val="783756A9"/>
    <w:rsid w:val="78375FB2"/>
    <w:rsid w:val="783779BD"/>
    <w:rsid w:val="783837E9"/>
    <w:rsid w:val="783A7B1C"/>
    <w:rsid w:val="783B1579"/>
    <w:rsid w:val="783B368A"/>
    <w:rsid w:val="783E33C3"/>
    <w:rsid w:val="783F018A"/>
    <w:rsid w:val="783F05E8"/>
    <w:rsid w:val="783F1FDD"/>
    <w:rsid w:val="78405A0F"/>
    <w:rsid w:val="7841099E"/>
    <w:rsid w:val="78411E9C"/>
    <w:rsid w:val="78414FEC"/>
    <w:rsid w:val="7842135C"/>
    <w:rsid w:val="78427816"/>
    <w:rsid w:val="78437D52"/>
    <w:rsid w:val="78446CDA"/>
    <w:rsid w:val="78450A96"/>
    <w:rsid w:val="7846163D"/>
    <w:rsid w:val="78464484"/>
    <w:rsid w:val="7848009C"/>
    <w:rsid w:val="784A0F52"/>
    <w:rsid w:val="784B70B3"/>
    <w:rsid w:val="784C0483"/>
    <w:rsid w:val="784C3351"/>
    <w:rsid w:val="784F05C5"/>
    <w:rsid w:val="78503253"/>
    <w:rsid w:val="78506135"/>
    <w:rsid w:val="78514B5D"/>
    <w:rsid w:val="78515F1B"/>
    <w:rsid w:val="78520DC8"/>
    <w:rsid w:val="78537E57"/>
    <w:rsid w:val="785467F0"/>
    <w:rsid w:val="78564944"/>
    <w:rsid w:val="78571A61"/>
    <w:rsid w:val="785726D7"/>
    <w:rsid w:val="78577EF6"/>
    <w:rsid w:val="78586EC6"/>
    <w:rsid w:val="785A2503"/>
    <w:rsid w:val="785A31DA"/>
    <w:rsid w:val="785C0D32"/>
    <w:rsid w:val="785C1883"/>
    <w:rsid w:val="785D0B95"/>
    <w:rsid w:val="785E329A"/>
    <w:rsid w:val="785E5794"/>
    <w:rsid w:val="785F6160"/>
    <w:rsid w:val="78600FE0"/>
    <w:rsid w:val="786065DC"/>
    <w:rsid w:val="78610AE8"/>
    <w:rsid w:val="786170B2"/>
    <w:rsid w:val="78622A94"/>
    <w:rsid w:val="78650103"/>
    <w:rsid w:val="78651DD7"/>
    <w:rsid w:val="786654B9"/>
    <w:rsid w:val="786724D1"/>
    <w:rsid w:val="786A052F"/>
    <w:rsid w:val="786A089F"/>
    <w:rsid w:val="786A3B2F"/>
    <w:rsid w:val="786A42CF"/>
    <w:rsid w:val="786B044C"/>
    <w:rsid w:val="786B1D42"/>
    <w:rsid w:val="786D62EE"/>
    <w:rsid w:val="786E053C"/>
    <w:rsid w:val="786E5865"/>
    <w:rsid w:val="786F5524"/>
    <w:rsid w:val="78700B0A"/>
    <w:rsid w:val="787102CF"/>
    <w:rsid w:val="787140F1"/>
    <w:rsid w:val="78723AD2"/>
    <w:rsid w:val="78732293"/>
    <w:rsid w:val="787351C6"/>
    <w:rsid w:val="78735486"/>
    <w:rsid w:val="7875067D"/>
    <w:rsid w:val="78754565"/>
    <w:rsid w:val="78754BC4"/>
    <w:rsid w:val="7877589A"/>
    <w:rsid w:val="787A0840"/>
    <w:rsid w:val="787B6A4A"/>
    <w:rsid w:val="787B7358"/>
    <w:rsid w:val="787C4B0D"/>
    <w:rsid w:val="787E183B"/>
    <w:rsid w:val="787E5B7D"/>
    <w:rsid w:val="787F3B1A"/>
    <w:rsid w:val="7880366F"/>
    <w:rsid w:val="788106D5"/>
    <w:rsid w:val="78813891"/>
    <w:rsid w:val="78831597"/>
    <w:rsid w:val="7883604A"/>
    <w:rsid w:val="78841255"/>
    <w:rsid w:val="78842A48"/>
    <w:rsid w:val="788511A2"/>
    <w:rsid w:val="78863025"/>
    <w:rsid w:val="78864615"/>
    <w:rsid w:val="788753EC"/>
    <w:rsid w:val="78877869"/>
    <w:rsid w:val="78881461"/>
    <w:rsid w:val="78882909"/>
    <w:rsid w:val="78887209"/>
    <w:rsid w:val="78896F01"/>
    <w:rsid w:val="788A6B02"/>
    <w:rsid w:val="788B2027"/>
    <w:rsid w:val="788B47E5"/>
    <w:rsid w:val="788C1CC7"/>
    <w:rsid w:val="788C3762"/>
    <w:rsid w:val="788F0FD4"/>
    <w:rsid w:val="78915BE9"/>
    <w:rsid w:val="789562E9"/>
    <w:rsid w:val="78964B85"/>
    <w:rsid w:val="78964FAD"/>
    <w:rsid w:val="78966A2D"/>
    <w:rsid w:val="789743DB"/>
    <w:rsid w:val="78990A2A"/>
    <w:rsid w:val="78992DB8"/>
    <w:rsid w:val="789A50BD"/>
    <w:rsid w:val="789B02C4"/>
    <w:rsid w:val="789B4DD0"/>
    <w:rsid w:val="789B5566"/>
    <w:rsid w:val="789C18CD"/>
    <w:rsid w:val="789C4580"/>
    <w:rsid w:val="789D20D7"/>
    <w:rsid w:val="789D27E0"/>
    <w:rsid w:val="789D636F"/>
    <w:rsid w:val="789E1292"/>
    <w:rsid w:val="789E18A0"/>
    <w:rsid w:val="789F48FF"/>
    <w:rsid w:val="78A03E6F"/>
    <w:rsid w:val="78A042CE"/>
    <w:rsid w:val="78A07F0B"/>
    <w:rsid w:val="78A11C86"/>
    <w:rsid w:val="78A21A31"/>
    <w:rsid w:val="78A24752"/>
    <w:rsid w:val="78A336E2"/>
    <w:rsid w:val="78A47420"/>
    <w:rsid w:val="78A53442"/>
    <w:rsid w:val="78A547E4"/>
    <w:rsid w:val="78A64FF4"/>
    <w:rsid w:val="78A65009"/>
    <w:rsid w:val="78A839A5"/>
    <w:rsid w:val="78A8607C"/>
    <w:rsid w:val="78A90613"/>
    <w:rsid w:val="78A90ED6"/>
    <w:rsid w:val="78AA2D93"/>
    <w:rsid w:val="78AA5E5A"/>
    <w:rsid w:val="78AB1B8B"/>
    <w:rsid w:val="78AC4CE3"/>
    <w:rsid w:val="78AE23E1"/>
    <w:rsid w:val="78B036B5"/>
    <w:rsid w:val="78B07F7F"/>
    <w:rsid w:val="78B1410D"/>
    <w:rsid w:val="78B23572"/>
    <w:rsid w:val="78B34B4F"/>
    <w:rsid w:val="78B37525"/>
    <w:rsid w:val="78B4063B"/>
    <w:rsid w:val="78B43AA8"/>
    <w:rsid w:val="78B507B8"/>
    <w:rsid w:val="78B52377"/>
    <w:rsid w:val="78B566C3"/>
    <w:rsid w:val="78B81067"/>
    <w:rsid w:val="78B947CE"/>
    <w:rsid w:val="78B97F48"/>
    <w:rsid w:val="78BA01A7"/>
    <w:rsid w:val="78BB2B68"/>
    <w:rsid w:val="78BC22DE"/>
    <w:rsid w:val="78BC3B28"/>
    <w:rsid w:val="78BC6875"/>
    <w:rsid w:val="78BE6A89"/>
    <w:rsid w:val="78BE73A7"/>
    <w:rsid w:val="78BE76EF"/>
    <w:rsid w:val="78BF4848"/>
    <w:rsid w:val="78C1103C"/>
    <w:rsid w:val="78C12087"/>
    <w:rsid w:val="78C32DF3"/>
    <w:rsid w:val="78C35CED"/>
    <w:rsid w:val="78C41E28"/>
    <w:rsid w:val="78C4730E"/>
    <w:rsid w:val="78C55AC4"/>
    <w:rsid w:val="78C67884"/>
    <w:rsid w:val="78C775F8"/>
    <w:rsid w:val="78C7794A"/>
    <w:rsid w:val="78C860E9"/>
    <w:rsid w:val="78C87D15"/>
    <w:rsid w:val="78CD332C"/>
    <w:rsid w:val="78CF22AE"/>
    <w:rsid w:val="78D166ED"/>
    <w:rsid w:val="78D4029C"/>
    <w:rsid w:val="78D51A0B"/>
    <w:rsid w:val="78D81F60"/>
    <w:rsid w:val="78D92D9D"/>
    <w:rsid w:val="78DB48C0"/>
    <w:rsid w:val="78DC03E0"/>
    <w:rsid w:val="78DC2963"/>
    <w:rsid w:val="78DC3963"/>
    <w:rsid w:val="78DD5B67"/>
    <w:rsid w:val="78DD651D"/>
    <w:rsid w:val="78DE5CA1"/>
    <w:rsid w:val="78E00BBD"/>
    <w:rsid w:val="78E0237B"/>
    <w:rsid w:val="78E026EC"/>
    <w:rsid w:val="78E17A84"/>
    <w:rsid w:val="78E262AA"/>
    <w:rsid w:val="78E2639F"/>
    <w:rsid w:val="78E3423B"/>
    <w:rsid w:val="78E47EC9"/>
    <w:rsid w:val="78E54693"/>
    <w:rsid w:val="78E701E2"/>
    <w:rsid w:val="78E749B9"/>
    <w:rsid w:val="78E8332F"/>
    <w:rsid w:val="78E97AE0"/>
    <w:rsid w:val="78EA572D"/>
    <w:rsid w:val="78EB6F9B"/>
    <w:rsid w:val="78EC7DD5"/>
    <w:rsid w:val="78EF6D8E"/>
    <w:rsid w:val="78F20125"/>
    <w:rsid w:val="78F272D3"/>
    <w:rsid w:val="78F43471"/>
    <w:rsid w:val="78F44B45"/>
    <w:rsid w:val="78F51F35"/>
    <w:rsid w:val="78F52FF0"/>
    <w:rsid w:val="78F577D6"/>
    <w:rsid w:val="78F6793A"/>
    <w:rsid w:val="78F7389F"/>
    <w:rsid w:val="78FA55D9"/>
    <w:rsid w:val="78FA6F41"/>
    <w:rsid w:val="78FD3FB5"/>
    <w:rsid w:val="78FD4FB0"/>
    <w:rsid w:val="78FE280F"/>
    <w:rsid w:val="78FE5400"/>
    <w:rsid w:val="78FF389C"/>
    <w:rsid w:val="78FF6EBD"/>
    <w:rsid w:val="78FF7D1F"/>
    <w:rsid w:val="790126BE"/>
    <w:rsid w:val="790213CD"/>
    <w:rsid w:val="790263C0"/>
    <w:rsid w:val="79041783"/>
    <w:rsid w:val="79047BBA"/>
    <w:rsid w:val="790C1FC0"/>
    <w:rsid w:val="790C6A07"/>
    <w:rsid w:val="790D4E51"/>
    <w:rsid w:val="790E0191"/>
    <w:rsid w:val="7910635B"/>
    <w:rsid w:val="79111D3E"/>
    <w:rsid w:val="79150504"/>
    <w:rsid w:val="791735C5"/>
    <w:rsid w:val="79175A83"/>
    <w:rsid w:val="791809BA"/>
    <w:rsid w:val="79186567"/>
    <w:rsid w:val="79195000"/>
    <w:rsid w:val="791956B9"/>
    <w:rsid w:val="791A6763"/>
    <w:rsid w:val="791A76DD"/>
    <w:rsid w:val="791D25A1"/>
    <w:rsid w:val="791D76EB"/>
    <w:rsid w:val="791F093A"/>
    <w:rsid w:val="792333C4"/>
    <w:rsid w:val="792610BA"/>
    <w:rsid w:val="79264F96"/>
    <w:rsid w:val="79266F6A"/>
    <w:rsid w:val="79267091"/>
    <w:rsid w:val="792750A4"/>
    <w:rsid w:val="7927654D"/>
    <w:rsid w:val="79285084"/>
    <w:rsid w:val="7929000A"/>
    <w:rsid w:val="792B1B49"/>
    <w:rsid w:val="792C3693"/>
    <w:rsid w:val="792C5288"/>
    <w:rsid w:val="792E2436"/>
    <w:rsid w:val="793046C3"/>
    <w:rsid w:val="79315B77"/>
    <w:rsid w:val="79320804"/>
    <w:rsid w:val="793272CB"/>
    <w:rsid w:val="793411D7"/>
    <w:rsid w:val="79346CDA"/>
    <w:rsid w:val="79346CE8"/>
    <w:rsid w:val="79352A5A"/>
    <w:rsid w:val="7935676A"/>
    <w:rsid w:val="79356870"/>
    <w:rsid w:val="7937579A"/>
    <w:rsid w:val="79382FC6"/>
    <w:rsid w:val="7938330C"/>
    <w:rsid w:val="79386BD9"/>
    <w:rsid w:val="79387E41"/>
    <w:rsid w:val="793A7459"/>
    <w:rsid w:val="793B1CD9"/>
    <w:rsid w:val="793B26B3"/>
    <w:rsid w:val="793C0112"/>
    <w:rsid w:val="793D1AE2"/>
    <w:rsid w:val="793D595C"/>
    <w:rsid w:val="79400B29"/>
    <w:rsid w:val="79466A1E"/>
    <w:rsid w:val="7947274B"/>
    <w:rsid w:val="79474221"/>
    <w:rsid w:val="79477D7E"/>
    <w:rsid w:val="79487ECC"/>
    <w:rsid w:val="794A1C79"/>
    <w:rsid w:val="794A334B"/>
    <w:rsid w:val="794C6E73"/>
    <w:rsid w:val="794D3977"/>
    <w:rsid w:val="794F05D6"/>
    <w:rsid w:val="794F37FD"/>
    <w:rsid w:val="795036D1"/>
    <w:rsid w:val="79505EAF"/>
    <w:rsid w:val="79522E18"/>
    <w:rsid w:val="79527366"/>
    <w:rsid w:val="79531605"/>
    <w:rsid w:val="79537334"/>
    <w:rsid w:val="79545E18"/>
    <w:rsid w:val="7956194D"/>
    <w:rsid w:val="79563993"/>
    <w:rsid w:val="79581809"/>
    <w:rsid w:val="79584959"/>
    <w:rsid w:val="79585EBD"/>
    <w:rsid w:val="79591A23"/>
    <w:rsid w:val="79594170"/>
    <w:rsid w:val="795976DC"/>
    <w:rsid w:val="795B1F43"/>
    <w:rsid w:val="795C7B7B"/>
    <w:rsid w:val="795D1124"/>
    <w:rsid w:val="795D1207"/>
    <w:rsid w:val="795E27AC"/>
    <w:rsid w:val="795E2981"/>
    <w:rsid w:val="795F2A68"/>
    <w:rsid w:val="795F7A95"/>
    <w:rsid w:val="796018EE"/>
    <w:rsid w:val="79603574"/>
    <w:rsid w:val="796073DD"/>
    <w:rsid w:val="7961500A"/>
    <w:rsid w:val="796220DF"/>
    <w:rsid w:val="79624670"/>
    <w:rsid w:val="79646921"/>
    <w:rsid w:val="796729D7"/>
    <w:rsid w:val="79682670"/>
    <w:rsid w:val="7968678D"/>
    <w:rsid w:val="79687A85"/>
    <w:rsid w:val="79690C1E"/>
    <w:rsid w:val="796B01E8"/>
    <w:rsid w:val="796B1246"/>
    <w:rsid w:val="796F40C5"/>
    <w:rsid w:val="79711E63"/>
    <w:rsid w:val="79724CD5"/>
    <w:rsid w:val="79725C3D"/>
    <w:rsid w:val="79731570"/>
    <w:rsid w:val="79733B94"/>
    <w:rsid w:val="79752F25"/>
    <w:rsid w:val="79753ABE"/>
    <w:rsid w:val="79753DF9"/>
    <w:rsid w:val="79762A9F"/>
    <w:rsid w:val="79771D1C"/>
    <w:rsid w:val="797812CF"/>
    <w:rsid w:val="7978135B"/>
    <w:rsid w:val="79781B5D"/>
    <w:rsid w:val="7978347E"/>
    <w:rsid w:val="79797043"/>
    <w:rsid w:val="797C0647"/>
    <w:rsid w:val="797C6337"/>
    <w:rsid w:val="797D0BB3"/>
    <w:rsid w:val="797D5D40"/>
    <w:rsid w:val="797D7191"/>
    <w:rsid w:val="797E3479"/>
    <w:rsid w:val="797E598C"/>
    <w:rsid w:val="79804CC4"/>
    <w:rsid w:val="79821325"/>
    <w:rsid w:val="79834703"/>
    <w:rsid w:val="798400DB"/>
    <w:rsid w:val="79850707"/>
    <w:rsid w:val="798600BC"/>
    <w:rsid w:val="79865022"/>
    <w:rsid w:val="79865250"/>
    <w:rsid w:val="79865A38"/>
    <w:rsid w:val="79870D9A"/>
    <w:rsid w:val="79884072"/>
    <w:rsid w:val="798D23F1"/>
    <w:rsid w:val="798E0A34"/>
    <w:rsid w:val="798E3442"/>
    <w:rsid w:val="798F3CCA"/>
    <w:rsid w:val="79902B09"/>
    <w:rsid w:val="79914328"/>
    <w:rsid w:val="79927B39"/>
    <w:rsid w:val="79933A16"/>
    <w:rsid w:val="7993583E"/>
    <w:rsid w:val="7994097C"/>
    <w:rsid w:val="7994294B"/>
    <w:rsid w:val="799560A3"/>
    <w:rsid w:val="7997637C"/>
    <w:rsid w:val="799935FE"/>
    <w:rsid w:val="79994D6B"/>
    <w:rsid w:val="799B2AC7"/>
    <w:rsid w:val="799B5B4D"/>
    <w:rsid w:val="799B5F37"/>
    <w:rsid w:val="799B6D02"/>
    <w:rsid w:val="799C45F5"/>
    <w:rsid w:val="799D7CCC"/>
    <w:rsid w:val="79A3542C"/>
    <w:rsid w:val="79A36E5D"/>
    <w:rsid w:val="79A3758C"/>
    <w:rsid w:val="79A43713"/>
    <w:rsid w:val="79A46575"/>
    <w:rsid w:val="79A54E5D"/>
    <w:rsid w:val="79A61220"/>
    <w:rsid w:val="79A703CF"/>
    <w:rsid w:val="79A715FD"/>
    <w:rsid w:val="79A870CE"/>
    <w:rsid w:val="79A96A11"/>
    <w:rsid w:val="79A978C7"/>
    <w:rsid w:val="79AA2136"/>
    <w:rsid w:val="79AA2F42"/>
    <w:rsid w:val="79AA7B32"/>
    <w:rsid w:val="79AB1C7A"/>
    <w:rsid w:val="79AC2711"/>
    <w:rsid w:val="79AE27CB"/>
    <w:rsid w:val="79AE2CA9"/>
    <w:rsid w:val="79AF118D"/>
    <w:rsid w:val="79AF5D8D"/>
    <w:rsid w:val="79B03C07"/>
    <w:rsid w:val="79B07EED"/>
    <w:rsid w:val="79B1639C"/>
    <w:rsid w:val="79B310D4"/>
    <w:rsid w:val="79B32A3B"/>
    <w:rsid w:val="79B54748"/>
    <w:rsid w:val="79B57A48"/>
    <w:rsid w:val="79B64E05"/>
    <w:rsid w:val="79B650E5"/>
    <w:rsid w:val="79B71C3B"/>
    <w:rsid w:val="79B71F39"/>
    <w:rsid w:val="79B817D5"/>
    <w:rsid w:val="79B828A9"/>
    <w:rsid w:val="79B87DF1"/>
    <w:rsid w:val="79B96185"/>
    <w:rsid w:val="79BA2830"/>
    <w:rsid w:val="79BB0557"/>
    <w:rsid w:val="79BD6C97"/>
    <w:rsid w:val="79BE1778"/>
    <w:rsid w:val="79BF00EA"/>
    <w:rsid w:val="79BF20BA"/>
    <w:rsid w:val="79C135E0"/>
    <w:rsid w:val="79C73613"/>
    <w:rsid w:val="79C82AB9"/>
    <w:rsid w:val="79C952F3"/>
    <w:rsid w:val="79CB074F"/>
    <w:rsid w:val="79CB0A5E"/>
    <w:rsid w:val="79CB176B"/>
    <w:rsid w:val="79CC2D68"/>
    <w:rsid w:val="79CD2C51"/>
    <w:rsid w:val="79CE4958"/>
    <w:rsid w:val="79CE7CE3"/>
    <w:rsid w:val="79CF000F"/>
    <w:rsid w:val="79D03FEC"/>
    <w:rsid w:val="79D05E99"/>
    <w:rsid w:val="79D062B6"/>
    <w:rsid w:val="79D208CB"/>
    <w:rsid w:val="79D260A6"/>
    <w:rsid w:val="79D278C5"/>
    <w:rsid w:val="79D361DF"/>
    <w:rsid w:val="79D46EA0"/>
    <w:rsid w:val="79D555FB"/>
    <w:rsid w:val="79D70304"/>
    <w:rsid w:val="79D875F7"/>
    <w:rsid w:val="79D92625"/>
    <w:rsid w:val="79D96F2F"/>
    <w:rsid w:val="79DA1BBC"/>
    <w:rsid w:val="79DD1489"/>
    <w:rsid w:val="79E02426"/>
    <w:rsid w:val="79E04A68"/>
    <w:rsid w:val="79E2066E"/>
    <w:rsid w:val="79E35781"/>
    <w:rsid w:val="79E506CE"/>
    <w:rsid w:val="79E53B28"/>
    <w:rsid w:val="79E613DA"/>
    <w:rsid w:val="79E644D3"/>
    <w:rsid w:val="79E716E9"/>
    <w:rsid w:val="79E765E7"/>
    <w:rsid w:val="79E800A3"/>
    <w:rsid w:val="79E9735F"/>
    <w:rsid w:val="79EC105D"/>
    <w:rsid w:val="79EC3F88"/>
    <w:rsid w:val="79ED0747"/>
    <w:rsid w:val="79ED2915"/>
    <w:rsid w:val="79EE056D"/>
    <w:rsid w:val="79EE0E19"/>
    <w:rsid w:val="79F06863"/>
    <w:rsid w:val="79F23622"/>
    <w:rsid w:val="79F31787"/>
    <w:rsid w:val="79F35E31"/>
    <w:rsid w:val="79F46A41"/>
    <w:rsid w:val="79F60AA7"/>
    <w:rsid w:val="79F62F26"/>
    <w:rsid w:val="79F67586"/>
    <w:rsid w:val="79F71A16"/>
    <w:rsid w:val="79F77CCE"/>
    <w:rsid w:val="79F80E0C"/>
    <w:rsid w:val="79F8124A"/>
    <w:rsid w:val="79F9095E"/>
    <w:rsid w:val="79FA126D"/>
    <w:rsid w:val="79FA6180"/>
    <w:rsid w:val="79FD55D7"/>
    <w:rsid w:val="79FE1646"/>
    <w:rsid w:val="79FE5FA0"/>
    <w:rsid w:val="79FF6C01"/>
    <w:rsid w:val="7A016A4A"/>
    <w:rsid w:val="7A020420"/>
    <w:rsid w:val="7A0207AA"/>
    <w:rsid w:val="7A03317A"/>
    <w:rsid w:val="7A0377FC"/>
    <w:rsid w:val="7A040964"/>
    <w:rsid w:val="7A044CF9"/>
    <w:rsid w:val="7A045369"/>
    <w:rsid w:val="7A0601E0"/>
    <w:rsid w:val="7A067DA1"/>
    <w:rsid w:val="7A077E74"/>
    <w:rsid w:val="7A08323E"/>
    <w:rsid w:val="7A09673C"/>
    <w:rsid w:val="7A0A4C33"/>
    <w:rsid w:val="7A0A5115"/>
    <w:rsid w:val="7A0B3FC6"/>
    <w:rsid w:val="7A0D4C04"/>
    <w:rsid w:val="7A0D6D5D"/>
    <w:rsid w:val="7A0E2C05"/>
    <w:rsid w:val="7A0F1A35"/>
    <w:rsid w:val="7A0F28A7"/>
    <w:rsid w:val="7A0F3C1A"/>
    <w:rsid w:val="7A114FAA"/>
    <w:rsid w:val="7A115E87"/>
    <w:rsid w:val="7A120951"/>
    <w:rsid w:val="7A12130C"/>
    <w:rsid w:val="7A1310ED"/>
    <w:rsid w:val="7A170FDF"/>
    <w:rsid w:val="7A1A3233"/>
    <w:rsid w:val="7A1A42C3"/>
    <w:rsid w:val="7A1A45C8"/>
    <w:rsid w:val="7A1A7EFD"/>
    <w:rsid w:val="7A1C33A5"/>
    <w:rsid w:val="7A1C3AD4"/>
    <w:rsid w:val="7A1D0AD9"/>
    <w:rsid w:val="7A1D50FA"/>
    <w:rsid w:val="7A1E1412"/>
    <w:rsid w:val="7A1E4535"/>
    <w:rsid w:val="7A24336E"/>
    <w:rsid w:val="7A251CE6"/>
    <w:rsid w:val="7A252A39"/>
    <w:rsid w:val="7A253F8B"/>
    <w:rsid w:val="7A257D8F"/>
    <w:rsid w:val="7A267A32"/>
    <w:rsid w:val="7A280787"/>
    <w:rsid w:val="7A281984"/>
    <w:rsid w:val="7A285D01"/>
    <w:rsid w:val="7A287978"/>
    <w:rsid w:val="7A2B2F93"/>
    <w:rsid w:val="7A2C1005"/>
    <w:rsid w:val="7A2E09D3"/>
    <w:rsid w:val="7A2E5C05"/>
    <w:rsid w:val="7A2F4AA7"/>
    <w:rsid w:val="7A3135A3"/>
    <w:rsid w:val="7A31383C"/>
    <w:rsid w:val="7A334968"/>
    <w:rsid w:val="7A334C81"/>
    <w:rsid w:val="7A342A24"/>
    <w:rsid w:val="7A355650"/>
    <w:rsid w:val="7A361710"/>
    <w:rsid w:val="7A361B1A"/>
    <w:rsid w:val="7A363950"/>
    <w:rsid w:val="7A386FBB"/>
    <w:rsid w:val="7A38758E"/>
    <w:rsid w:val="7A3D1A03"/>
    <w:rsid w:val="7A3D3C61"/>
    <w:rsid w:val="7A3D5D58"/>
    <w:rsid w:val="7A3E56A9"/>
    <w:rsid w:val="7A3E672D"/>
    <w:rsid w:val="7A404BCA"/>
    <w:rsid w:val="7A4057DB"/>
    <w:rsid w:val="7A4126AD"/>
    <w:rsid w:val="7A41571C"/>
    <w:rsid w:val="7A43614F"/>
    <w:rsid w:val="7A443F87"/>
    <w:rsid w:val="7A462D53"/>
    <w:rsid w:val="7A463A07"/>
    <w:rsid w:val="7A4665F2"/>
    <w:rsid w:val="7A470BF8"/>
    <w:rsid w:val="7A4756CA"/>
    <w:rsid w:val="7A476A5D"/>
    <w:rsid w:val="7A4804DC"/>
    <w:rsid w:val="7A486C2C"/>
    <w:rsid w:val="7A49619D"/>
    <w:rsid w:val="7A4A24F3"/>
    <w:rsid w:val="7A4A3AED"/>
    <w:rsid w:val="7A4A5953"/>
    <w:rsid w:val="7A4C3560"/>
    <w:rsid w:val="7A4C4CAC"/>
    <w:rsid w:val="7A4C5370"/>
    <w:rsid w:val="7A4C75E8"/>
    <w:rsid w:val="7A4E440D"/>
    <w:rsid w:val="7A4F2DCE"/>
    <w:rsid w:val="7A505860"/>
    <w:rsid w:val="7A506AAE"/>
    <w:rsid w:val="7A51783D"/>
    <w:rsid w:val="7A520E43"/>
    <w:rsid w:val="7A524604"/>
    <w:rsid w:val="7A527747"/>
    <w:rsid w:val="7A547C96"/>
    <w:rsid w:val="7A55444B"/>
    <w:rsid w:val="7A5654BD"/>
    <w:rsid w:val="7A565B93"/>
    <w:rsid w:val="7A575838"/>
    <w:rsid w:val="7A58111A"/>
    <w:rsid w:val="7A585C9B"/>
    <w:rsid w:val="7A595743"/>
    <w:rsid w:val="7A5A3B7E"/>
    <w:rsid w:val="7A5A42AB"/>
    <w:rsid w:val="7A5B1EA2"/>
    <w:rsid w:val="7A5B5320"/>
    <w:rsid w:val="7A5B66DE"/>
    <w:rsid w:val="7A5B6F86"/>
    <w:rsid w:val="7A5C2BED"/>
    <w:rsid w:val="7A5C6719"/>
    <w:rsid w:val="7A5F79FE"/>
    <w:rsid w:val="7A61184A"/>
    <w:rsid w:val="7A621B20"/>
    <w:rsid w:val="7A632824"/>
    <w:rsid w:val="7A653EBE"/>
    <w:rsid w:val="7A663A3C"/>
    <w:rsid w:val="7A665A03"/>
    <w:rsid w:val="7A667B3D"/>
    <w:rsid w:val="7A6724B2"/>
    <w:rsid w:val="7A672B0B"/>
    <w:rsid w:val="7A6743B3"/>
    <w:rsid w:val="7A68547A"/>
    <w:rsid w:val="7A6901BB"/>
    <w:rsid w:val="7A6A0D8F"/>
    <w:rsid w:val="7A6A1644"/>
    <w:rsid w:val="7A6B4D67"/>
    <w:rsid w:val="7A6C1306"/>
    <w:rsid w:val="7A6C6D03"/>
    <w:rsid w:val="7A6D59A5"/>
    <w:rsid w:val="7A6E0ADF"/>
    <w:rsid w:val="7A6E32C3"/>
    <w:rsid w:val="7A7122E1"/>
    <w:rsid w:val="7A7148BF"/>
    <w:rsid w:val="7A7565FD"/>
    <w:rsid w:val="7A7604FD"/>
    <w:rsid w:val="7A777E1B"/>
    <w:rsid w:val="7A780565"/>
    <w:rsid w:val="7A7A5095"/>
    <w:rsid w:val="7A7A681E"/>
    <w:rsid w:val="7A7B7C46"/>
    <w:rsid w:val="7A7C2F18"/>
    <w:rsid w:val="7A7C768C"/>
    <w:rsid w:val="7A7C7B21"/>
    <w:rsid w:val="7A7E6504"/>
    <w:rsid w:val="7A805013"/>
    <w:rsid w:val="7A8205C6"/>
    <w:rsid w:val="7A8343C2"/>
    <w:rsid w:val="7A843D68"/>
    <w:rsid w:val="7A8479FF"/>
    <w:rsid w:val="7A855EB6"/>
    <w:rsid w:val="7A883B04"/>
    <w:rsid w:val="7A88432E"/>
    <w:rsid w:val="7A8A3D8E"/>
    <w:rsid w:val="7A8E5115"/>
    <w:rsid w:val="7A8F0D46"/>
    <w:rsid w:val="7A902A36"/>
    <w:rsid w:val="7A902F4D"/>
    <w:rsid w:val="7A921CAF"/>
    <w:rsid w:val="7A936FE8"/>
    <w:rsid w:val="7A9567FE"/>
    <w:rsid w:val="7A9607B4"/>
    <w:rsid w:val="7A961BCF"/>
    <w:rsid w:val="7A964F20"/>
    <w:rsid w:val="7A972E8B"/>
    <w:rsid w:val="7A9924E2"/>
    <w:rsid w:val="7A993343"/>
    <w:rsid w:val="7A9A581F"/>
    <w:rsid w:val="7A9B75AC"/>
    <w:rsid w:val="7A9D5DCD"/>
    <w:rsid w:val="7A9F5131"/>
    <w:rsid w:val="7AA05E42"/>
    <w:rsid w:val="7AA06A02"/>
    <w:rsid w:val="7AA33786"/>
    <w:rsid w:val="7AA47F87"/>
    <w:rsid w:val="7AA52512"/>
    <w:rsid w:val="7AA73A6E"/>
    <w:rsid w:val="7AA81CD2"/>
    <w:rsid w:val="7AA840AE"/>
    <w:rsid w:val="7AA9154F"/>
    <w:rsid w:val="7AAB7EA4"/>
    <w:rsid w:val="7AAC7C86"/>
    <w:rsid w:val="7AAD65DE"/>
    <w:rsid w:val="7AB01E25"/>
    <w:rsid w:val="7AB21210"/>
    <w:rsid w:val="7AB2290E"/>
    <w:rsid w:val="7AB32E9F"/>
    <w:rsid w:val="7AB41075"/>
    <w:rsid w:val="7AB42CD5"/>
    <w:rsid w:val="7AB64168"/>
    <w:rsid w:val="7AB67C96"/>
    <w:rsid w:val="7AB94C9B"/>
    <w:rsid w:val="7AB94DEB"/>
    <w:rsid w:val="7ABB4A97"/>
    <w:rsid w:val="7ABB4CE1"/>
    <w:rsid w:val="7ABC3483"/>
    <w:rsid w:val="7ABD031A"/>
    <w:rsid w:val="7ABD0719"/>
    <w:rsid w:val="7ABD2F5F"/>
    <w:rsid w:val="7AC13E70"/>
    <w:rsid w:val="7AC21252"/>
    <w:rsid w:val="7AC24C8C"/>
    <w:rsid w:val="7AC311B2"/>
    <w:rsid w:val="7AC34691"/>
    <w:rsid w:val="7AC473A6"/>
    <w:rsid w:val="7AC52F93"/>
    <w:rsid w:val="7AC63717"/>
    <w:rsid w:val="7AC725ED"/>
    <w:rsid w:val="7AC778A8"/>
    <w:rsid w:val="7AC77C1E"/>
    <w:rsid w:val="7ACA371D"/>
    <w:rsid w:val="7ACC44F6"/>
    <w:rsid w:val="7ACC628F"/>
    <w:rsid w:val="7ACE2E75"/>
    <w:rsid w:val="7AD02109"/>
    <w:rsid w:val="7AD10607"/>
    <w:rsid w:val="7AD146B9"/>
    <w:rsid w:val="7AD22D23"/>
    <w:rsid w:val="7AD346BB"/>
    <w:rsid w:val="7AD3647C"/>
    <w:rsid w:val="7AD40748"/>
    <w:rsid w:val="7AD42E52"/>
    <w:rsid w:val="7AD47DE5"/>
    <w:rsid w:val="7AD54C5E"/>
    <w:rsid w:val="7AD57BBA"/>
    <w:rsid w:val="7AD74B8F"/>
    <w:rsid w:val="7AD76E04"/>
    <w:rsid w:val="7AD91E30"/>
    <w:rsid w:val="7ADA2D65"/>
    <w:rsid w:val="7ADC607B"/>
    <w:rsid w:val="7ADD588C"/>
    <w:rsid w:val="7ADE292F"/>
    <w:rsid w:val="7AE35448"/>
    <w:rsid w:val="7AE402CF"/>
    <w:rsid w:val="7AE53FCA"/>
    <w:rsid w:val="7AE56D8F"/>
    <w:rsid w:val="7AE64FA5"/>
    <w:rsid w:val="7AE64FB1"/>
    <w:rsid w:val="7AE83AA3"/>
    <w:rsid w:val="7AEC32A5"/>
    <w:rsid w:val="7AED01D3"/>
    <w:rsid w:val="7AED72D3"/>
    <w:rsid w:val="7AEE331D"/>
    <w:rsid w:val="7AEE6B45"/>
    <w:rsid w:val="7AEE791A"/>
    <w:rsid w:val="7AEF0410"/>
    <w:rsid w:val="7AEF7FFE"/>
    <w:rsid w:val="7AF03394"/>
    <w:rsid w:val="7AF11282"/>
    <w:rsid w:val="7AF274BF"/>
    <w:rsid w:val="7AF52987"/>
    <w:rsid w:val="7AF54A96"/>
    <w:rsid w:val="7AF572ED"/>
    <w:rsid w:val="7AF705EC"/>
    <w:rsid w:val="7AF70C7A"/>
    <w:rsid w:val="7AF84141"/>
    <w:rsid w:val="7AF86F33"/>
    <w:rsid w:val="7AFB7C72"/>
    <w:rsid w:val="7AFD3D31"/>
    <w:rsid w:val="7AFE2BEB"/>
    <w:rsid w:val="7AFE4B20"/>
    <w:rsid w:val="7B011DBE"/>
    <w:rsid w:val="7B012ACF"/>
    <w:rsid w:val="7B0229E3"/>
    <w:rsid w:val="7B02621F"/>
    <w:rsid w:val="7B041D9F"/>
    <w:rsid w:val="7B052964"/>
    <w:rsid w:val="7B06425A"/>
    <w:rsid w:val="7B087220"/>
    <w:rsid w:val="7B093188"/>
    <w:rsid w:val="7B0A590E"/>
    <w:rsid w:val="7B0A7B5D"/>
    <w:rsid w:val="7B0C46B2"/>
    <w:rsid w:val="7B0D1B4C"/>
    <w:rsid w:val="7B0D471E"/>
    <w:rsid w:val="7B0E74AD"/>
    <w:rsid w:val="7B0F445A"/>
    <w:rsid w:val="7B104161"/>
    <w:rsid w:val="7B104A91"/>
    <w:rsid w:val="7B127830"/>
    <w:rsid w:val="7B131A11"/>
    <w:rsid w:val="7B137FBC"/>
    <w:rsid w:val="7B142CD1"/>
    <w:rsid w:val="7B157428"/>
    <w:rsid w:val="7B166F11"/>
    <w:rsid w:val="7B176F55"/>
    <w:rsid w:val="7B1774D6"/>
    <w:rsid w:val="7B185AA3"/>
    <w:rsid w:val="7B191B47"/>
    <w:rsid w:val="7B1A07AE"/>
    <w:rsid w:val="7B1B48DA"/>
    <w:rsid w:val="7B1D0134"/>
    <w:rsid w:val="7B1E24AD"/>
    <w:rsid w:val="7B1E490F"/>
    <w:rsid w:val="7B1F06A2"/>
    <w:rsid w:val="7B1F572E"/>
    <w:rsid w:val="7B203F37"/>
    <w:rsid w:val="7B21314B"/>
    <w:rsid w:val="7B2141EF"/>
    <w:rsid w:val="7B220B4B"/>
    <w:rsid w:val="7B232B5A"/>
    <w:rsid w:val="7B240339"/>
    <w:rsid w:val="7B2443D3"/>
    <w:rsid w:val="7B263B6A"/>
    <w:rsid w:val="7B277314"/>
    <w:rsid w:val="7B286179"/>
    <w:rsid w:val="7B2965AD"/>
    <w:rsid w:val="7B2A3283"/>
    <w:rsid w:val="7B2A3E68"/>
    <w:rsid w:val="7B2A5D51"/>
    <w:rsid w:val="7B2A644D"/>
    <w:rsid w:val="7B2B6206"/>
    <w:rsid w:val="7B2D4975"/>
    <w:rsid w:val="7B2D7EB3"/>
    <w:rsid w:val="7B315957"/>
    <w:rsid w:val="7B323818"/>
    <w:rsid w:val="7B3269DC"/>
    <w:rsid w:val="7B3510AD"/>
    <w:rsid w:val="7B361DC4"/>
    <w:rsid w:val="7B365AED"/>
    <w:rsid w:val="7B374C25"/>
    <w:rsid w:val="7B38064C"/>
    <w:rsid w:val="7B381317"/>
    <w:rsid w:val="7B393988"/>
    <w:rsid w:val="7B396D2B"/>
    <w:rsid w:val="7B3A7970"/>
    <w:rsid w:val="7B3B32DD"/>
    <w:rsid w:val="7B3B32E3"/>
    <w:rsid w:val="7B3B6812"/>
    <w:rsid w:val="7B3B78A1"/>
    <w:rsid w:val="7B3C788B"/>
    <w:rsid w:val="7B3D3CAA"/>
    <w:rsid w:val="7B3D4724"/>
    <w:rsid w:val="7B3F0F53"/>
    <w:rsid w:val="7B401928"/>
    <w:rsid w:val="7B406D08"/>
    <w:rsid w:val="7B414F1D"/>
    <w:rsid w:val="7B426A2C"/>
    <w:rsid w:val="7B426DA1"/>
    <w:rsid w:val="7B447152"/>
    <w:rsid w:val="7B450B00"/>
    <w:rsid w:val="7B4852A1"/>
    <w:rsid w:val="7B485AA0"/>
    <w:rsid w:val="7B496A4C"/>
    <w:rsid w:val="7B4D26F8"/>
    <w:rsid w:val="7B4E7D4E"/>
    <w:rsid w:val="7B510028"/>
    <w:rsid w:val="7B5139CE"/>
    <w:rsid w:val="7B51434F"/>
    <w:rsid w:val="7B524F26"/>
    <w:rsid w:val="7B543766"/>
    <w:rsid w:val="7B550096"/>
    <w:rsid w:val="7B550169"/>
    <w:rsid w:val="7B556791"/>
    <w:rsid w:val="7B557439"/>
    <w:rsid w:val="7B566FEB"/>
    <w:rsid w:val="7B581CA0"/>
    <w:rsid w:val="7B5919EC"/>
    <w:rsid w:val="7B5A4330"/>
    <w:rsid w:val="7B5A58D5"/>
    <w:rsid w:val="7B5D3C0B"/>
    <w:rsid w:val="7B5E2955"/>
    <w:rsid w:val="7B5E34A6"/>
    <w:rsid w:val="7B5F06CB"/>
    <w:rsid w:val="7B5F1396"/>
    <w:rsid w:val="7B5F2D6E"/>
    <w:rsid w:val="7B601F9D"/>
    <w:rsid w:val="7B61151E"/>
    <w:rsid w:val="7B6139B8"/>
    <w:rsid w:val="7B62046D"/>
    <w:rsid w:val="7B627663"/>
    <w:rsid w:val="7B632B6D"/>
    <w:rsid w:val="7B640E78"/>
    <w:rsid w:val="7B6473A9"/>
    <w:rsid w:val="7B66017D"/>
    <w:rsid w:val="7B6622AC"/>
    <w:rsid w:val="7B674606"/>
    <w:rsid w:val="7B676C8A"/>
    <w:rsid w:val="7B6A2006"/>
    <w:rsid w:val="7B6B78A4"/>
    <w:rsid w:val="7B6C133B"/>
    <w:rsid w:val="7B6C7EAF"/>
    <w:rsid w:val="7B6E4477"/>
    <w:rsid w:val="7B703C32"/>
    <w:rsid w:val="7B712709"/>
    <w:rsid w:val="7B716E76"/>
    <w:rsid w:val="7B734F2C"/>
    <w:rsid w:val="7B737276"/>
    <w:rsid w:val="7B7517F2"/>
    <w:rsid w:val="7B77688A"/>
    <w:rsid w:val="7B791888"/>
    <w:rsid w:val="7B7A23D3"/>
    <w:rsid w:val="7B7B5FC7"/>
    <w:rsid w:val="7B7C51C2"/>
    <w:rsid w:val="7B7D01DE"/>
    <w:rsid w:val="7B7F0A8B"/>
    <w:rsid w:val="7B801B6D"/>
    <w:rsid w:val="7B804EFB"/>
    <w:rsid w:val="7B8352A5"/>
    <w:rsid w:val="7B840FDA"/>
    <w:rsid w:val="7B842A3B"/>
    <w:rsid w:val="7B847188"/>
    <w:rsid w:val="7B847BC1"/>
    <w:rsid w:val="7B856095"/>
    <w:rsid w:val="7B870723"/>
    <w:rsid w:val="7B87773F"/>
    <w:rsid w:val="7B8959AC"/>
    <w:rsid w:val="7B89717D"/>
    <w:rsid w:val="7B8B05BE"/>
    <w:rsid w:val="7B8C6CF1"/>
    <w:rsid w:val="7B8D4582"/>
    <w:rsid w:val="7B8F6F44"/>
    <w:rsid w:val="7B920A0E"/>
    <w:rsid w:val="7B940333"/>
    <w:rsid w:val="7B947DCD"/>
    <w:rsid w:val="7B952C18"/>
    <w:rsid w:val="7B96477C"/>
    <w:rsid w:val="7B976BD8"/>
    <w:rsid w:val="7B9874C1"/>
    <w:rsid w:val="7B9907FF"/>
    <w:rsid w:val="7B9A3237"/>
    <w:rsid w:val="7B9B0A23"/>
    <w:rsid w:val="7B9B1228"/>
    <w:rsid w:val="7B9C1BBF"/>
    <w:rsid w:val="7B9D0F99"/>
    <w:rsid w:val="7B9D3331"/>
    <w:rsid w:val="7B9F6BD5"/>
    <w:rsid w:val="7BA24468"/>
    <w:rsid w:val="7BA26E6A"/>
    <w:rsid w:val="7BA43FC0"/>
    <w:rsid w:val="7BA454CC"/>
    <w:rsid w:val="7BA4703B"/>
    <w:rsid w:val="7BA51181"/>
    <w:rsid w:val="7BA75F15"/>
    <w:rsid w:val="7BA77100"/>
    <w:rsid w:val="7BA80E8E"/>
    <w:rsid w:val="7BA876D9"/>
    <w:rsid w:val="7BAB5A6F"/>
    <w:rsid w:val="7BAC59D6"/>
    <w:rsid w:val="7BAC5F5F"/>
    <w:rsid w:val="7BAC6258"/>
    <w:rsid w:val="7BAD2D13"/>
    <w:rsid w:val="7BAD62B3"/>
    <w:rsid w:val="7BAE2C34"/>
    <w:rsid w:val="7BAF0334"/>
    <w:rsid w:val="7BAF330F"/>
    <w:rsid w:val="7BB03668"/>
    <w:rsid w:val="7BB120FE"/>
    <w:rsid w:val="7BB24A6A"/>
    <w:rsid w:val="7BB3231A"/>
    <w:rsid w:val="7BB555C0"/>
    <w:rsid w:val="7BB61353"/>
    <w:rsid w:val="7BB61597"/>
    <w:rsid w:val="7BB67C4A"/>
    <w:rsid w:val="7BB905AA"/>
    <w:rsid w:val="7BB91962"/>
    <w:rsid w:val="7BBA0A60"/>
    <w:rsid w:val="7BBA195A"/>
    <w:rsid w:val="7BBA5006"/>
    <w:rsid w:val="7BBE36C5"/>
    <w:rsid w:val="7BBE5BC7"/>
    <w:rsid w:val="7BC15502"/>
    <w:rsid w:val="7BC24CC4"/>
    <w:rsid w:val="7BC26717"/>
    <w:rsid w:val="7BC47DFE"/>
    <w:rsid w:val="7BC52D90"/>
    <w:rsid w:val="7BC7106F"/>
    <w:rsid w:val="7BC72377"/>
    <w:rsid w:val="7BC77930"/>
    <w:rsid w:val="7BC91AD3"/>
    <w:rsid w:val="7BC93CE8"/>
    <w:rsid w:val="7BCA1FDF"/>
    <w:rsid w:val="7BCB31C0"/>
    <w:rsid w:val="7BCD62F6"/>
    <w:rsid w:val="7BCF5429"/>
    <w:rsid w:val="7BCF7C1D"/>
    <w:rsid w:val="7BCF7DDC"/>
    <w:rsid w:val="7BD02A68"/>
    <w:rsid w:val="7BD047AC"/>
    <w:rsid w:val="7BD25CF2"/>
    <w:rsid w:val="7BD27FEC"/>
    <w:rsid w:val="7BD4594F"/>
    <w:rsid w:val="7BD51241"/>
    <w:rsid w:val="7BD52290"/>
    <w:rsid w:val="7BD52ED1"/>
    <w:rsid w:val="7BD64970"/>
    <w:rsid w:val="7BD67CB0"/>
    <w:rsid w:val="7BD96A58"/>
    <w:rsid w:val="7BDA21BF"/>
    <w:rsid w:val="7BDC1277"/>
    <w:rsid w:val="7BDC1347"/>
    <w:rsid w:val="7BDC53CD"/>
    <w:rsid w:val="7BDD2EF3"/>
    <w:rsid w:val="7BDD7299"/>
    <w:rsid w:val="7BDD7BC7"/>
    <w:rsid w:val="7BE14A9F"/>
    <w:rsid w:val="7BE25237"/>
    <w:rsid w:val="7BE414BB"/>
    <w:rsid w:val="7BE4777C"/>
    <w:rsid w:val="7BE608E8"/>
    <w:rsid w:val="7BE6364C"/>
    <w:rsid w:val="7BE71A0C"/>
    <w:rsid w:val="7BE87FCA"/>
    <w:rsid w:val="7BE94A82"/>
    <w:rsid w:val="7BE94FA8"/>
    <w:rsid w:val="7BEA1A0E"/>
    <w:rsid w:val="7BEA2F83"/>
    <w:rsid w:val="7BEA3855"/>
    <w:rsid w:val="7BEB75CC"/>
    <w:rsid w:val="7BEC15F0"/>
    <w:rsid w:val="7BEC7D37"/>
    <w:rsid w:val="7BED494E"/>
    <w:rsid w:val="7BEE0454"/>
    <w:rsid w:val="7BEE3E10"/>
    <w:rsid w:val="7BEE5A9F"/>
    <w:rsid w:val="7BEF47F2"/>
    <w:rsid w:val="7BEF6465"/>
    <w:rsid w:val="7BEF7AC3"/>
    <w:rsid w:val="7BF04DA8"/>
    <w:rsid w:val="7BF14226"/>
    <w:rsid w:val="7BF14BC8"/>
    <w:rsid w:val="7BF25574"/>
    <w:rsid w:val="7BF37E7A"/>
    <w:rsid w:val="7BF4119A"/>
    <w:rsid w:val="7BF50DA1"/>
    <w:rsid w:val="7BF60DAB"/>
    <w:rsid w:val="7BF83F60"/>
    <w:rsid w:val="7BF94820"/>
    <w:rsid w:val="7BFA1666"/>
    <w:rsid w:val="7BFC781D"/>
    <w:rsid w:val="7BFD6A8B"/>
    <w:rsid w:val="7BFF30C7"/>
    <w:rsid w:val="7BFF76EF"/>
    <w:rsid w:val="7C006E25"/>
    <w:rsid w:val="7C016D91"/>
    <w:rsid w:val="7C04118F"/>
    <w:rsid w:val="7C061B36"/>
    <w:rsid w:val="7C064FF3"/>
    <w:rsid w:val="7C066DD4"/>
    <w:rsid w:val="7C077020"/>
    <w:rsid w:val="7C0915E2"/>
    <w:rsid w:val="7C093BF4"/>
    <w:rsid w:val="7C0A34BD"/>
    <w:rsid w:val="7C0C338E"/>
    <w:rsid w:val="7C0F5034"/>
    <w:rsid w:val="7C0F528B"/>
    <w:rsid w:val="7C0F6048"/>
    <w:rsid w:val="7C0F6337"/>
    <w:rsid w:val="7C0F65FE"/>
    <w:rsid w:val="7C0F7ABA"/>
    <w:rsid w:val="7C107D6D"/>
    <w:rsid w:val="7C110947"/>
    <w:rsid w:val="7C120539"/>
    <w:rsid w:val="7C124C3F"/>
    <w:rsid w:val="7C13587F"/>
    <w:rsid w:val="7C145094"/>
    <w:rsid w:val="7C1466C3"/>
    <w:rsid w:val="7C146E40"/>
    <w:rsid w:val="7C152BA9"/>
    <w:rsid w:val="7C156619"/>
    <w:rsid w:val="7C1856AE"/>
    <w:rsid w:val="7C190E7E"/>
    <w:rsid w:val="7C1C4FE1"/>
    <w:rsid w:val="7C1E3143"/>
    <w:rsid w:val="7C1F23E0"/>
    <w:rsid w:val="7C2017E9"/>
    <w:rsid w:val="7C202CFC"/>
    <w:rsid w:val="7C213915"/>
    <w:rsid w:val="7C217543"/>
    <w:rsid w:val="7C2259E2"/>
    <w:rsid w:val="7C243955"/>
    <w:rsid w:val="7C2470D1"/>
    <w:rsid w:val="7C252403"/>
    <w:rsid w:val="7C2548B7"/>
    <w:rsid w:val="7C2673D2"/>
    <w:rsid w:val="7C281FB5"/>
    <w:rsid w:val="7C2878AD"/>
    <w:rsid w:val="7C29591A"/>
    <w:rsid w:val="7C2A145F"/>
    <w:rsid w:val="7C2A2165"/>
    <w:rsid w:val="7C2C496C"/>
    <w:rsid w:val="7C2C5396"/>
    <w:rsid w:val="7C2C555D"/>
    <w:rsid w:val="7C2C563C"/>
    <w:rsid w:val="7C2D0525"/>
    <w:rsid w:val="7C2E3A57"/>
    <w:rsid w:val="7C2E6CB9"/>
    <w:rsid w:val="7C2F0651"/>
    <w:rsid w:val="7C30043A"/>
    <w:rsid w:val="7C300620"/>
    <w:rsid w:val="7C302183"/>
    <w:rsid w:val="7C3177C6"/>
    <w:rsid w:val="7C32323F"/>
    <w:rsid w:val="7C324A8F"/>
    <w:rsid w:val="7C3376FA"/>
    <w:rsid w:val="7C3518D1"/>
    <w:rsid w:val="7C362A3A"/>
    <w:rsid w:val="7C372212"/>
    <w:rsid w:val="7C372DB5"/>
    <w:rsid w:val="7C377A1C"/>
    <w:rsid w:val="7C386AB2"/>
    <w:rsid w:val="7C3920B2"/>
    <w:rsid w:val="7C393B50"/>
    <w:rsid w:val="7C3A13DA"/>
    <w:rsid w:val="7C3A33D0"/>
    <w:rsid w:val="7C3B1E59"/>
    <w:rsid w:val="7C3B3751"/>
    <w:rsid w:val="7C3D4309"/>
    <w:rsid w:val="7C3E5044"/>
    <w:rsid w:val="7C3E7C49"/>
    <w:rsid w:val="7C40096A"/>
    <w:rsid w:val="7C411462"/>
    <w:rsid w:val="7C413E6E"/>
    <w:rsid w:val="7C4273AF"/>
    <w:rsid w:val="7C440B94"/>
    <w:rsid w:val="7C4621EE"/>
    <w:rsid w:val="7C4656A9"/>
    <w:rsid w:val="7C47260F"/>
    <w:rsid w:val="7C474942"/>
    <w:rsid w:val="7C47754A"/>
    <w:rsid w:val="7C4904EC"/>
    <w:rsid w:val="7C497493"/>
    <w:rsid w:val="7C497495"/>
    <w:rsid w:val="7C4B0AEA"/>
    <w:rsid w:val="7C4B3371"/>
    <w:rsid w:val="7C4B459D"/>
    <w:rsid w:val="7C4B601D"/>
    <w:rsid w:val="7C4B7AD2"/>
    <w:rsid w:val="7C4D509B"/>
    <w:rsid w:val="7C4D55C9"/>
    <w:rsid w:val="7C4D71AA"/>
    <w:rsid w:val="7C4F09DF"/>
    <w:rsid w:val="7C5057F0"/>
    <w:rsid w:val="7C521B2E"/>
    <w:rsid w:val="7C5243D9"/>
    <w:rsid w:val="7C52743D"/>
    <w:rsid w:val="7C527E1E"/>
    <w:rsid w:val="7C5311D1"/>
    <w:rsid w:val="7C544524"/>
    <w:rsid w:val="7C5476F0"/>
    <w:rsid w:val="7C554457"/>
    <w:rsid w:val="7C55786C"/>
    <w:rsid w:val="7C567D3E"/>
    <w:rsid w:val="7C5968CB"/>
    <w:rsid w:val="7C597DD3"/>
    <w:rsid w:val="7C5B46A6"/>
    <w:rsid w:val="7C5B5B1A"/>
    <w:rsid w:val="7C5C1B09"/>
    <w:rsid w:val="7C5D102D"/>
    <w:rsid w:val="7C5E2373"/>
    <w:rsid w:val="7C5E4034"/>
    <w:rsid w:val="7C5E5DAC"/>
    <w:rsid w:val="7C5E7593"/>
    <w:rsid w:val="7C650848"/>
    <w:rsid w:val="7C652D2A"/>
    <w:rsid w:val="7C683045"/>
    <w:rsid w:val="7C691E26"/>
    <w:rsid w:val="7C6935A2"/>
    <w:rsid w:val="7C6A4DFE"/>
    <w:rsid w:val="7C6C0E61"/>
    <w:rsid w:val="7C6C468C"/>
    <w:rsid w:val="7C6D023E"/>
    <w:rsid w:val="7C6E1899"/>
    <w:rsid w:val="7C6E3192"/>
    <w:rsid w:val="7C6F1FD8"/>
    <w:rsid w:val="7C6F3758"/>
    <w:rsid w:val="7C6F7526"/>
    <w:rsid w:val="7C71126A"/>
    <w:rsid w:val="7C715F48"/>
    <w:rsid w:val="7C72201E"/>
    <w:rsid w:val="7C731560"/>
    <w:rsid w:val="7C731C10"/>
    <w:rsid w:val="7C741ACD"/>
    <w:rsid w:val="7C7534A2"/>
    <w:rsid w:val="7C753915"/>
    <w:rsid w:val="7C755584"/>
    <w:rsid w:val="7C775437"/>
    <w:rsid w:val="7C776C38"/>
    <w:rsid w:val="7C7823FE"/>
    <w:rsid w:val="7C7863BA"/>
    <w:rsid w:val="7C7905CD"/>
    <w:rsid w:val="7C7914F1"/>
    <w:rsid w:val="7C7B0738"/>
    <w:rsid w:val="7C7B73DC"/>
    <w:rsid w:val="7C7F1D08"/>
    <w:rsid w:val="7C7F6585"/>
    <w:rsid w:val="7C81001B"/>
    <w:rsid w:val="7C821381"/>
    <w:rsid w:val="7C821B0B"/>
    <w:rsid w:val="7C837A27"/>
    <w:rsid w:val="7C840F9C"/>
    <w:rsid w:val="7C844376"/>
    <w:rsid w:val="7C844EAF"/>
    <w:rsid w:val="7C8511A3"/>
    <w:rsid w:val="7C852E91"/>
    <w:rsid w:val="7C853611"/>
    <w:rsid w:val="7C856742"/>
    <w:rsid w:val="7C872B3F"/>
    <w:rsid w:val="7C87772C"/>
    <w:rsid w:val="7C8806B7"/>
    <w:rsid w:val="7C885E76"/>
    <w:rsid w:val="7C887574"/>
    <w:rsid w:val="7C887838"/>
    <w:rsid w:val="7C887BB6"/>
    <w:rsid w:val="7C89278D"/>
    <w:rsid w:val="7C8A083F"/>
    <w:rsid w:val="7C8C3EEF"/>
    <w:rsid w:val="7C8D66C7"/>
    <w:rsid w:val="7C8E6875"/>
    <w:rsid w:val="7C8E7B90"/>
    <w:rsid w:val="7C8F41C8"/>
    <w:rsid w:val="7C8F6702"/>
    <w:rsid w:val="7C9041DA"/>
    <w:rsid w:val="7C926CD9"/>
    <w:rsid w:val="7C934491"/>
    <w:rsid w:val="7C9378CE"/>
    <w:rsid w:val="7C943D52"/>
    <w:rsid w:val="7C953391"/>
    <w:rsid w:val="7C9A4CB7"/>
    <w:rsid w:val="7C9B0DEF"/>
    <w:rsid w:val="7C9C10CB"/>
    <w:rsid w:val="7C9C448C"/>
    <w:rsid w:val="7C9D26EC"/>
    <w:rsid w:val="7C9D3D07"/>
    <w:rsid w:val="7C9D4961"/>
    <w:rsid w:val="7CA07A38"/>
    <w:rsid w:val="7CA11A18"/>
    <w:rsid w:val="7CA50D01"/>
    <w:rsid w:val="7CA60F27"/>
    <w:rsid w:val="7CA805FD"/>
    <w:rsid w:val="7CA903FC"/>
    <w:rsid w:val="7CA9796C"/>
    <w:rsid w:val="7CAC08B6"/>
    <w:rsid w:val="7CAC1271"/>
    <w:rsid w:val="7CAC1D98"/>
    <w:rsid w:val="7CAC559C"/>
    <w:rsid w:val="7CAC6D51"/>
    <w:rsid w:val="7CAD2B2E"/>
    <w:rsid w:val="7CAD5A47"/>
    <w:rsid w:val="7CAD7F70"/>
    <w:rsid w:val="7CAE1116"/>
    <w:rsid w:val="7CAE27CA"/>
    <w:rsid w:val="7CAE52F9"/>
    <w:rsid w:val="7CAF705F"/>
    <w:rsid w:val="7CB028D6"/>
    <w:rsid w:val="7CB05752"/>
    <w:rsid w:val="7CB05C76"/>
    <w:rsid w:val="7CB076B3"/>
    <w:rsid w:val="7CB16022"/>
    <w:rsid w:val="7CB22017"/>
    <w:rsid w:val="7CB2297E"/>
    <w:rsid w:val="7CB41D11"/>
    <w:rsid w:val="7CB46136"/>
    <w:rsid w:val="7CB507FC"/>
    <w:rsid w:val="7CB55BAB"/>
    <w:rsid w:val="7CB62FBA"/>
    <w:rsid w:val="7CB673EB"/>
    <w:rsid w:val="7CB77BA6"/>
    <w:rsid w:val="7CBA4DCD"/>
    <w:rsid w:val="7CBB6146"/>
    <w:rsid w:val="7CBE4754"/>
    <w:rsid w:val="7CBE7D8F"/>
    <w:rsid w:val="7CC07640"/>
    <w:rsid w:val="7CC16480"/>
    <w:rsid w:val="7CC16ECA"/>
    <w:rsid w:val="7CC257FE"/>
    <w:rsid w:val="7CC51EFF"/>
    <w:rsid w:val="7CC62FD9"/>
    <w:rsid w:val="7CC6556A"/>
    <w:rsid w:val="7CC70A38"/>
    <w:rsid w:val="7CCB3852"/>
    <w:rsid w:val="7CCB7EB6"/>
    <w:rsid w:val="7CCD1773"/>
    <w:rsid w:val="7CCE0BF1"/>
    <w:rsid w:val="7CCE376B"/>
    <w:rsid w:val="7CCE5545"/>
    <w:rsid w:val="7CCF0A8E"/>
    <w:rsid w:val="7CD02F0B"/>
    <w:rsid w:val="7CD20FFD"/>
    <w:rsid w:val="7CD26F58"/>
    <w:rsid w:val="7CD466DC"/>
    <w:rsid w:val="7CD510F3"/>
    <w:rsid w:val="7CD54CE0"/>
    <w:rsid w:val="7CD677B4"/>
    <w:rsid w:val="7CD75B94"/>
    <w:rsid w:val="7CD85A5B"/>
    <w:rsid w:val="7CD86052"/>
    <w:rsid w:val="7CD979D5"/>
    <w:rsid w:val="7CDA0E6F"/>
    <w:rsid w:val="7CDB0934"/>
    <w:rsid w:val="7CDB462E"/>
    <w:rsid w:val="7CDD4DA9"/>
    <w:rsid w:val="7CDE2709"/>
    <w:rsid w:val="7CDE5DB6"/>
    <w:rsid w:val="7CDF01B2"/>
    <w:rsid w:val="7CE01880"/>
    <w:rsid w:val="7CE057B5"/>
    <w:rsid w:val="7CE05ED4"/>
    <w:rsid w:val="7CE13749"/>
    <w:rsid w:val="7CE22A6A"/>
    <w:rsid w:val="7CE23120"/>
    <w:rsid w:val="7CE25694"/>
    <w:rsid w:val="7CE429E9"/>
    <w:rsid w:val="7CE44D92"/>
    <w:rsid w:val="7CE5337F"/>
    <w:rsid w:val="7CE616CF"/>
    <w:rsid w:val="7CE7191F"/>
    <w:rsid w:val="7CE76133"/>
    <w:rsid w:val="7CE90205"/>
    <w:rsid w:val="7CE95E8B"/>
    <w:rsid w:val="7CEB5D5A"/>
    <w:rsid w:val="7CED000E"/>
    <w:rsid w:val="7CEF31DD"/>
    <w:rsid w:val="7CF06625"/>
    <w:rsid w:val="7CF21405"/>
    <w:rsid w:val="7CF431CC"/>
    <w:rsid w:val="7CF50547"/>
    <w:rsid w:val="7CF71181"/>
    <w:rsid w:val="7CF818E1"/>
    <w:rsid w:val="7CF819B8"/>
    <w:rsid w:val="7CF82B32"/>
    <w:rsid w:val="7CF911CA"/>
    <w:rsid w:val="7CF94529"/>
    <w:rsid w:val="7CFB15EC"/>
    <w:rsid w:val="7CFB67AB"/>
    <w:rsid w:val="7CFD6C81"/>
    <w:rsid w:val="7CFE4672"/>
    <w:rsid w:val="7D0037B0"/>
    <w:rsid w:val="7D0155BB"/>
    <w:rsid w:val="7D024E9F"/>
    <w:rsid w:val="7D024FC4"/>
    <w:rsid w:val="7D032865"/>
    <w:rsid w:val="7D04584D"/>
    <w:rsid w:val="7D0537B2"/>
    <w:rsid w:val="7D0731BC"/>
    <w:rsid w:val="7D07638C"/>
    <w:rsid w:val="7D093A49"/>
    <w:rsid w:val="7D09447F"/>
    <w:rsid w:val="7D0A19B9"/>
    <w:rsid w:val="7D0A45E8"/>
    <w:rsid w:val="7D0A73DB"/>
    <w:rsid w:val="7D0B4D98"/>
    <w:rsid w:val="7D0C5BA0"/>
    <w:rsid w:val="7D0D1ED1"/>
    <w:rsid w:val="7D0D73A8"/>
    <w:rsid w:val="7D0F04D1"/>
    <w:rsid w:val="7D0F34E6"/>
    <w:rsid w:val="7D1039D7"/>
    <w:rsid w:val="7D136FD6"/>
    <w:rsid w:val="7D13716C"/>
    <w:rsid w:val="7D1577A5"/>
    <w:rsid w:val="7D1666BD"/>
    <w:rsid w:val="7D167A70"/>
    <w:rsid w:val="7D175D1F"/>
    <w:rsid w:val="7D1775C8"/>
    <w:rsid w:val="7D1904D9"/>
    <w:rsid w:val="7D190C77"/>
    <w:rsid w:val="7D19429B"/>
    <w:rsid w:val="7D19644D"/>
    <w:rsid w:val="7D1B054B"/>
    <w:rsid w:val="7D1B207A"/>
    <w:rsid w:val="7D1C2449"/>
    <w:rsid w:val="7D1C3B34"/>
    <w:rsid w:val="7D2202B6"/>
    <w:rsid w:val="7D2212CD"/>
    <w:rsid w:val="7D223C00"/>
    <w:rsid w:val="7D227DFC"/>
    <w:rsid w:val="7D234D50"/>
    <w:rsid w:val="7D2355B7"/>
    <w:rsid w:val="7D2642B7"/>
    <w:rsid w:val="7D273B32"/>
    <w:rsid w:val="7D287123"/>
    <w:rsid w:val="7D290C3A"/>
    <w:rsid w:val="7D292CF1"/>
    <w:rsid w:val="7D2D4CD0"/>
    <w:rsid w:val="7D2D6AFB"/>
    <w:rsid w:val="7D2E21FE"/>
    <w:rsid w:val="7D2E6644"/>
    <w:rsid w:val="7D2F4487"/>
    <w:rsid w:val="7D2F7814"/>
    <w:rsid w:val="7D3215EE"/>
    <w:rsid w:val="7D332106"/>
    <w:rsid w:val="7D335647"/>
    <w:rsid w:val="7D34136F"/>
    <w:rsid w:val="7D355632"/>
    <w:rsid w:val="7D36558E"/>
    <w:rsid w:val="7D3710F8"/>
    <w:rsid w:val="7D372B55"/>
    <w:rsid w:val="7D387EE8"/>
    <w:rsid w:val="7D39254E"/>
    <w:rsid w:val="7D3931C6"/>
    <w:rsid w:val="7D3A29EB"/>
    <w:rsid w:val="7D3C7066"/>
    <w:rsid w:val="7D3D07D2"/>
    <w:rsid w:val="7D3D43FD"/>
    <w:rsid w:val="7D3E38D6"/>
    <w:rsid w:val="7D3F17A4"/>
    <w:rsid w:val="7D405464"/>
    <w:rsid w:val="7D4125BD"/>
    <w:rsid w:val="7D427625"/>
    <w:rsid w:val="7D446D8C"/>
    <w:rsid w:val="7D455764"/>
    <w:rsid w:val="7D470438"/>
    <w:rsid w:val="7D494CE4"/>
    <w:rsid w:val="7D495B92"/>
    <w:rsid w:val="7D4A0490"/>
    <w:rsid w:val="7D4A42CB"/>
    <w:rsid w:val="7D4C0711"/>
    <w:rsid w:val="7D4D027E"/>
    <w:rsid w:val="7D4D17E0"/>
    <w:rsid w:val="7D4D545D"/>
    <w:rsid w:val="7D4E5C22"/>
    <w:rsid w:val="7D4F1BCF"/>
    <w:rsid w:val="7D4F406B"/>
    <w:rsid w:val="7D4F7867"/>
    <w:rsid w:val="7D501A3E"/>
    <w:rsid w:val="7D505093"/>
    <w:rsid w:val="7D511645"/>
    <w:rsid w:val="7D5151E9"/>
    <w:rsid w:val="7D515D29"/>
    <w:rsid w:val="7D517E32"/>
    <w:rsid w:val="7D53444A"/>
    <w:rsid w:val="7D575C6F"/>
    <w:rsid w:val="7D591471"/>
    <w:rsid w:val="7D5941ED"/>
    <w:rsid w:val="7D5967B6"/>
    <w:rsid w:val="7D5A2E28"/>
    <w:rsid w:val="7D5A30DC"/>
    <w:rsid w:val="7D5A3A32"/>
    <w:rsid w:val="7D5A6493"/>
    <w:rsid w:val="7D5B0151"/>
    <w:rsid w:val="7D5C1119"/>
    <w:rsid w:val="7D5D4511"/>
    <w:rsid w:val="7D5D53CE"/>
    <w:rsid w:val="7D5F5139"/>
    <w:rsid w:val="7D61602F"/>
    <w:rsid w:val="7D624EBB"/>
    <w:rsid w:val="7D6266F9"/>
    <w:rsid w:val="7D64001D"/>
    <w:rsid w:val="7D6478D7"/>
    <w:rsid w:val="7D651240"/>
    <w:rsid w:val="7D6655D6"/>
    <w:rsid w:val="7D667FC7"/>
    <w:rsid w:val="7D692033"/>
    <w:rsid w:val="7D6B0EF8"/>
    <w:rsid w:val="7D6B7DE5"/>
    <w:rsid w:val="7D6C5534"/>
    <w:rsid w:val="7D6C5F55"/>
    <w:rsid w:val="7D6D2408"/>
    <w:rsid w:val="7D6D7273"/>
    <w:rsid w:val="7D6E5883"/>
    <w:rsid w:val="7D71756E"/>
    <w:rsid w:val="7D735CEB"/>
    <w:rsid w:val="7D7646F5"/>
    <w:rsid w:val="7D782ED3"/>
    <w:rsid w:val="7D78711C"/>
    <w:rsid w:val="7D7A30EF"/>
    <w:rsid w:val="7D7A7D9D"/>
    <w:rsid w:val="7D7D0555"/>
    <w:rsid w:val="7D7F4662"/>
    <w:rsid w:val="7D800D08"/>
    <w:rsid w:val="7D806A6C"/>
    <w:rsid w:val="7D8115EA"/>
    <w:rsid w:val="7D81663A"/>
    <w:rsid w:val="7D820B48"/>
    <w:rsid w:val="7D823BA1"/>
    <w:rsid w:val="7D8246AF"/>
    <w:rsid w:val="7D843F72"/>
    <w:rsid w:val="7D867B3C"/>
    <w:rsid w:val="7D8A468E"/>
    <w:rsid w:val="7D8B22EB"/>
    <w:rsid w:val="7D8B3C5D"/>
    <w:rsid w:val="7D8C067A"/>
    <w:rsid w:val="7D8C1A5D"/>
    <w:rsid w:val="7D8C4499"/>
    <w:rsid w:val="7D8D3AFA"/>
    <w:rsid w:val="7D8D4091"/>
    <w:rsid w:val="7D8D6A99"/>
    <w:rsid w:val="7D8D7BFA"/>
    <w:rsid w:val="7D8F280B"/>
    <w:rsid w:val="7D8F5CD7"/>
    <w:rsid w:val="7D9136C9"/>
    <w:rsid w:val="7D932AA4"/>
    <w:rsid w:val="7D93668E"/>
    <w:rsid w:val="7D936B20"/>
    <w:rsid w:val="7D9461F9"/>
    <w:rsid w:val="7D9741EC"/>
    <w:rsid w:val="7D987D80"/>
    <w:rsid w:val="7D990E25"/>
    <w:rsid w:val="7D993549"/>
    <w:rsid w:val="7D993B5F"/>
    <w:rsid w:val="7D9B78B4"/>
    <w:rsid w:val="7D9D00CC"/>
    <w:rsid w:val="7D9E1CB7"/>
    <w:rsid w:val="7D9E284D"/>
    <w:rsid w:val="7DA17356"/>
    <w:rsid w:val="7DA31291"/>
    <w:rsid w:val="7DA37747"/>
    <w:rsid w:val="7DA4650F"/>
    <w:rsid w:val="7DA757A0"/>
    <w:rsid w:val="7DAD0A71"/>
    <w:rsid w:val="7DAF1558"/>
    <w:rsid w:val="7DAF6D41"/>
    <w:rsid w:val="7DAF74C7"/>
    <w:rsid w:val="7DB17896"/>
    <w:rsid w:val="7DB3112E"/>
    <w:rsid w:val="7DB33871"/>
    <w:rsid w:val="7DB46422"/>
    <w:rsid w:val="7DB61F39"/>
    <w:rsid w:val="7DB7571D"/>
    <w:rsid w:val="7DB772EF"/>
    <w:rsid w:val="7DB91B63"/>
    <w:rsid w:val="7DB92F82"/>
    <w:rsid w:val="7DB95D64"/>
    <w:rsid w:val="7DBA5660"/>
    <w:rsid w:val="7DBB1012"/>
    <w:rsid w:val="7DBB1391"/>
    <w:rsid w:val="7DBC50CD"/>
    <w:rsid w:val="7DBC5D77"/>
    <w:rsid w:val="7DBD0816"/>
    <w:rsid w:val="7DBD5D61"/>
    <w:rsid w:val="7DBE4868"/>
    <w:rsid w:val="7DBF3A96"/>
    <w:rsid w:val="7DBF4A32"/>
    <w:rsid w:val="7DC21204"/>
    <w:rsid w:val="7DC22B43"/>
    <w:rsid w:val="7DC240A2"/>
    <w:rsid w:val="7DC62FDB"/>
    <w:rsid w:val="7DC81015"/>
    <w:rsid w:val="7DCB2BE3"/>
    <w:rsid w:val="7DCC12A9"/>
    <w:rsid w:val="7DCD55A3"/>
    <w:rsid w:val="7DCE1ED5"/>
    <w:rsid w:val="7DCE3B80"/>
    <w:rsid w:val="7DD02D7B"/>
    <w:rsid w:val="7DD14E59"/>
    <w:rsid w:val="7DD22AF8"/>
    <w:rsid w:val="7DD23784"/>
    <w:rsid w:val="7DD25B70"/>
    <w:rsid w:val="7DD27998"/>
    <w:rsid w:val="7DD301C9"/>
    <w:rsid w:val="7DD30A52"/>
    <w:rsid w:val="7DD67802"/>
    <w:rsid w:val="7DD74AB5"/>
    <w:rsid w:val="7DD762F8"/>
    <w:rsid w:val="7DD76C55"/>
    <w:rsid w:val="7DD82138"/>
    <w:rsid w:val="7DD9170E"/>
    <w:rsid w:val="7DD97964"/>
    <w:rsid w:val="7DDA1D27"/>
    <w:rsid w:val="7DDA7363"/>
    <w:rsid w:val="7DDB1C63"/>
    <w:rsid w:val="7DDC3C68"/>
    <w:rsid w:val="7DDC5F46"/>
    <w:rsid w:val="7DDE6DE2"/>
    <w:rsid w:val="7DE052D3"/>
    <w:rsid w:val="7DE31D58"/>
    <w:rsid w:val="7DE34A1C"/>
    <w:rsid w:val="7DE43423"/>
    <w:rsid w:val="7DE442B3"/>
    <w:rsid w:val="7DE52C9D"/>
    <w:rsid w:val="7DE657DC"/>
    <w:rsid w:val="7DE703B0"/>
    <w:rsid w:val="7DE712C4"/>
    <w:rsid w:val="7DE96AEA"/>
    <w:rsid w:val="7DEA4CAC"/>
    <w:rsid w:val="7DEB4BB0"/>
    <w:rsid w:val="7DEE3F64"/>
    <w:rsid w:val="7DEE6ABF"/>
    <w:rsid w:val="7DEF0E42"/>
    <w:rsid w:val="7DEF3F0D"/>
    <w:rsid w:val="7DF01033"/>
    <w:rsid w:val="7DF02BA3"/>
    <w:rsid w:val="7DF05A87"/>
    <w:rsid w:val="7DF20BB5"/>
    <w:rsid w:val="7DF243BB"/>
    <w:rsid w:val="7DF27D55"/>
    <w:rsid w:val="7DF34D0B"/>
    <w:rsid w:val="7DF36EDE"/>
    <w:rsid w:val="7DF4796D"/>
    <w:rsid w:val="7DF51EB4"/>
    <w:rsid w:val="7DF6463F"/>
    <w:rsid w:val="7DF74EFA"/>
    <w:rsid w:val="7DF84014"/>
    <w:rsid w:val="7DF93837"/>
    <w:rsid w:val="7DF94426"/>
    <w:rsid w:val="7DF95314"/>
    <w:rsid w:val="7DFA0708"/>
    <w:rsid w:val="7DFA5798"/>
    <w:rsid w:val="7DFA65C8"/>
    <w:rsid w:val="7DFB748D"/>
    <w:rsid w:val="7DFB7AF9"/>
    <w:rsid w:val="7DFC14B1"/>
    <w:rsid w:val="7DFD2183"/>
    <w:rsid w:val="7DFE675B"/>
    <w:rsid w:val="7DFF0058"/>
    <w:rsid w:val="7DFF2CDD"/>
    <w:rsid w:val="7E003E0F"/>
    <w:rsid w:val="7E004E26"/>
    <w:rsid w:val="7E021CC6"/>
    <w:rsid w:val="7E022A4B"/>
    <w:rsid w:val="7E07062F"/>
    <w:rsid w:val="7E0728B1"/>
    <w:rsid w:val="7E0909C9"/>
    <w:rsid w:val="7E090DCD"/>
    <w:rsid w:val="7E0916C0"/>
    <w:rsid w:val="7E092061"/>
    <w:rsid w:val="7E097F24"/>
    <w:rsid w:val="7E0F70EF"/>
    <w:rsid w:val="7E125E1C"/>
    <w:rsid w:val="7E126D35"/>
    <w:rsid w:val="7E1403CB"/>
    <w:rsid w:val="7E1536C4"/>
    <w:rsid w:val="7E154FB1"/>
    <w:rsid w:val="7E156E8B"/>
    <w:rsid w:val="7E15700D"/>
    <w:rsid w:val="7E16489E"/>
    <w:rsid w:val="7E164E67"/>
    <w:rsid w:val="7E166A7B"/>
    <w:rsid w:val="7E1A68FE"/>
    <w:rsid w:val="7E1C163E"/>
    <w:rsid w:val="7E1C191D"/>
    <w:rsid w:val="7E1C3664"/>
    <w:rsid w:val="7E1C6810"/>
    <w:rsid w:val="7E1E1053"/>
    <w:rsid w:val="7E1E38FB"/>
    <w:rsid w:val="7E1E418B"/>
    <w:rsid w:val="7E1F66FB"/>
    <w:rsid w:val="7E2028B9"/>
    <w:rsid w:val="7E2040CB"/>
    <w:rsid w:val="7E214248"/>
    <w:rsid w:val="7E215F06"/>
    <w:rsid w:val="7E220E25"/>
    <w:rsid w:val="7E233653"/>
    <w:rsid w:val="7E25428E"/>
    <w:rsid w:val="7E2778CF"/>
    <w:rsid w:val="7E2845AE"/>
    <w:rsid w:val="7E29080F"/>
    <w:rsid w:val="7E2A5C4F"/>
    <w:rsid w:val="7E2B4614"/>
    <w:rsid w:val="7E2B5414"/>
    <w:rsid w:val="7E2C1BE3"/>
    <w:rsid w:val="7E2E24ED"/>
    <w:rsid w:val="7E2F0B63"/>
    <w:rsid w:val="7E2F23BD"/>
    <w:rsid w:val="7E3042BF"/>
    <w:rsid w:val="7E30579B"/>
    <w:rsid w:val="7E3059E5"/>
    <w:rsid w:val="7E31311C"/>
    <w:rsid w:val="7E313178"/>
    <w:rsid w:val="7E3239CA"/>
    <w:rsid w:val="7E344098"/>
    <w:rsid w:val="7E356E4C"/>
    <w:rsid w:val="7E363D62"/>
    <w:rsid w:val="7E366584"/>
    <w:rsid w:val="7E386A6B"/>
    <w:rsid w:val="7E386B46"/>
    <w:rsid w:val="7E3A5992"/>
    <w:rsid w:val="7E3D049C"/>
    <w:rsid w:val="7E3E513E"/>
    <w:rsid w:val="7E3E7A5D"/>
    <w:rsid w:val="7E4210A1"/>
    <w:rsid w:val="7E42216A"/>
    <w:rsid w:val="7E4241B5"/>
    <w:rsid w:val="7E440DBD"/>
    <w:rsid w:val="7E475392"/>
    <w:rsid w:val="7E482AE9"/>
    <w:rsid w:val="7E4A5EA1"/>
    <w:rsid w:val="7E4C2857"/>
    <w:rsid w:val="7E4D2917"/>
    <w:rsid w:val="7E4D73E3"/>
    <w:rsid w:val="7E4F1730"/>
    <w:rsid w:val="7E4F5E93"/>
    <w:rsid w:val="7E503200"/>
    <w:rsid w:val="7E52076B"/>
    <w:rsid w:val="7E521976"/>
    <w:rsid w:val="7E54089A"/>
    <w:rsid w:val="7E542DD4"/>
    <w:rsid w:val="7E544DA1"/>
    <w:rsid w:val="7E5713ED"/>
    <w:rsid w:val="7E582C16"/>
    <w:rsid w:val="7E5A7FC4"/>
    <w:rsid w:val="7E5B559E"/>
    <w:rsid w:val="7E5B774C"/>
    <w:rsid w:val="7E5C3D93"/>
    <w:rsid w:val="7E5C7EC3"/>
    <w:rsid w:val="7E5E164F"/>
    <w:rsid w:val="7E5E4AA9"/>
    <w:rsid w:val="7E5E4FA9"/>
    <w:rsid w:val="7E6022D5"/>
    <w:rsid w:val="7E612167"/>
    <w:rsid w:val="7E61513B"/>
    <w:rsid w:val="7E615FD9"/>
    <w:rsid w:val="7E63778C"/>
    <w:rsid w:val="7E652584"/>
    <w:rsid w:val="7E653EA7"/>
    <w:rsid w:val="7E671E91"/>
    <w:rsid w:val="7E676042"/>
    <w:rsid w:val="7E681B5F"/>
    <w:rsid w:val="7E6840A6"/>
    <w:rsid w:val="7E6A5595"/>
    <w:rsid w:val="7E6D055E"/>
    <w:rsid w:val="7E6D061A"/>
    <w:rsid w:val="7E6D12F2"/>
    <w:rsid w:val="7E6D2B5E"/>
    <w:rsid w:val="7E6D5B8D"/>
    <w:rsid w:val="7E6F056D"/>
    <w:rsid w:val="7E7066F5"/>
    <w:rsid w:val="7E714BD2"/>
    <w:rsid w:val="7E723F96"/>
    <w:rsid w:val="7E731CFD"/>
    <w:rsid w:val="7E747A04"/>
    <w:rsid w:val="7E7568E9"/>
    <w:rsid w:val="7E7626A3"/>
    <w:rsid w:val="7E775845"/>
    <w:rsid w:val="7E782D4C"/>
    <w:rsid w:val="7E787389"/>
    <w:rsid w:val="7E792A9E"/>
    <w:rsid w:val="7E794ADC"/>
    <w:rsid w:val="7E7A0301"/>
    <w:rsid w:val="7E7A3F70"/>
    <w:rsid w:val="7E7B1EDC"/>
    <w:rsid w:val="7E7C466A"/>
    <w:rsid w:val="7E7D3884"/>
    <w:rsid w:val="7E7E1006"/>
    <w:rsid w:val="7E7F2744"/>
    <w:rsid w:val="7E80778F"/>
    <w:rsid w:val="7E811842"/>
    <w:rsid w:val="7E822E91"/>
    <w:rsid w:val="7E826B20"/>
    <w:rsid w:val="7E827C6B"/>
    <w:rsid w:val="7E8458A8"/>
    <w:rsid w:val="7E8863B0"/>
    <w:rsid w:val="7E8A7362"/>
    <w:rsid w:val="7E8C3DC3"/>
    <w:rsid w:val="7E8D5FC6"/>
    <w:rsid w:val="7E8E708A"/>
    <w:rsid w:val="7E9043E9"/>
    <w:rsid w:val="7E9103BF"/>
    <w:rsid w:val="7E932D34"/>
    <w:rsid w:val="7E936477"/>
    <w:rsid w:val="7E9365BF"/>
    <w:rsid w:val="7E94157E"/>
    <w:rsid w:val="7E94625A"/>
    <w:rsid w:val="7E9573E5"/>
    <w:rsid w:val="7E96634F"/>
    <w:rsid w:val="7E9726E5"/>
    <w:rsid w:val="7E993B69"/>
    <w:rsid w:val="7E9A58B8"/>
    <w:rsid w:val="7E9E0664"/>
    <w:rsid w:val="7E9E7E0A"/>
    <w:rsid w:val="7E9F1065"/>
    <w:rsid w:val="7E9F2682"/>
    <w:rsid w:val="7E9F3B5A"/>
    <w:rsid w:val="7EA20EC0"/>
    <w:rsid w:val="7EA335D4"/>
    <w:rsid w:val="7EA41970"/>
    <w:rsid w:val="7EA45D5B"/>
    <w:rsid w:val="7EA73D86"/>
    <w:rsid w:val="7EA907AD"/>
    <w:rsid w:val="7EA95FBD"/>
    <w:rsid w:val="7EAA267F"/>
    <w:rsid w:val="7EAA2725"/>
    <w:rsid w:val="7EAA3237"/>
    <w:rsid w:val="7EAA529C"/>
    <w:rsid w:val="7EAA61BD"/>
    <w:rsid w:val="7EAB36C8"/>
    <w:rsid w:val="7EAE70F1"/>
    <w:rsid w:val="7EAF225A"/>
    <w:rsid w:val="7EAF4D62"/>
    <w:rsid w:val="7EB03FE2"/>
    <w:rsid w:val="7EB17A54"/>
    <w:rsid w:val="7EB20535"/>
    <w:rsid w:val="7EB20753"/>
    <w:rsid w:val="7EB21146"/>
    <w:rsid w:val="7EB34AB1"/>
    <w:rsid w:val="7EB45A41"/>
    <w:rsid w:val="7EB5129D"/>
    <w:rsid w:val="7EB54003"/>
    <w:rsid w:val="7EB6111C"/>
    <w:rsid w:val="7EB7663B"/>
    <w:rsid w:val="7EB814D0"/>
    <w:rsid w:val="7EB81940"/>
    <w:rsid w:val="7EB9489C"/>
    <w:rsid w:val="7EBB766A"/>
    <w:rsid w:val="7EBC16F7"/>
    <w:rsid w:val="7EBD355F"/>
    <w:rsid w:val="7EBE7E3E"/>
    <w:rsid w:val="7EC016A3"/>
    <w:rsid w:val="7EC266BD"/>
    <w:rsid w:val="7EC30AC6"/>
    <w:rsid w:val="7EC30B8E"/>
    <w:rsid w:val="7EC32849"/>
    <w:rsid w:val="7EC432C0"/>
    <w:rsid w:val="7EC452B9"/>
    <w:rsid w:val="7EC614AE"/>
    <w:rsid w:val="7EC65A01"/>
    <w:rsid w:val="7EC65FE4"/>
    <w:rsid w:val="7EC8674E"/>
    <w:rsid w:val="7EC97607"/>
    <w:rsid w:val="7ECA7B48"/>
    <w:rsid w:val="7ECD00C6"/>
    <w:rsid w:val="7ECD0A31"/>
    <w:rsid w:val="7ECD6ED7"/>
    <w:rsid w:val="7ECF2D41"/>
    <w:rsid w:val="7ED05BEB"/>
    <w:rsid w:val="7ED11C6C"/>
    <w:rsid w:val="7ED14F91"/>
    <w:rsid w:val="7ED264F8"/>
    <w:rsid w:val="7ED4047B"/>
    <w:rsid w:val="7ED432BD"/>
    <w:rsid w:val="7ED56EE8"/>
    <w:rsid w:val="7ED607F9"/>
    <w:rsid w:val="7ED92279"/>
    <w:rsid w:val="7ED952FA"/>
    <w:rsid w:val="7ED97618"/>
    <w:rsid w:val="7EDB6075"/>
    <w:rsid w:val="7EDB7B22"/>
    <w:rsid w:val="7EDE250B"/>
    <w:rsid w:val="7EDE7E7D"/>
    <w:rsid w:val="7EDF78D1"/>
    <w:rsid w:val="7EE02DE8"/>
    <w:rsid w:val="7EE11A98"/>
    <w:rsid w:val="7EE13F09"/>
    <w:rsid w:val="7EE166E6"/>
    <w:rsid w:val="7EE32BA4"/>
    <w:rsid w:val="7EE50DC5"/>
    <w:rsid w:val="7EE515EE"/>
    <w:rsid w:val="7EE52234"/>
    <w:rsid w:val="7EE54ED4"/>
    <w:rsid w:val="7EE71B24"/>
    <w:rsid w:val="7EE869DB"/>
    <w:rsid w:val="7EE90482"/>
    <w:rsid w:val="7EE94CE0"/>
    <w:rsid w:val="7EEB0DA6"/>
    <w:rsid w:val="7EED7356"/>
    <w:rsid w:val="7EEF7548"/>
    <w:rsid w:val="7EF02B6E"/>
    <w:rsid w:val="7EF02D65"/>
    <w:rsid w:val="7EF0344E"/>
    <w:rsid w:val="7EF06CD3"/>
    <w:rsid w:val="7EF100E9"/>
    <w:rsid w:val="7EF1280C"/>
    <w:rsid w:val="7EF207B8"/>
    <w:rsid w:val="7EF24793"/>
    <w:rsid w:val="7EF30EA2"/>
    <w:rsid w:val="7EF53E6F"/>
    <w:rsid w:val="7EF6291D"/>
    <w:rsid w:val="7EF64231"/>
    <w:rsid w:val="7EF64904"/>
    <w:rsid w:val="7EF81840"/>
    <w:rsid w:val="7EF90E46"/>
    <w:rsid w:val="7EF978EF"/>
    <w:rsid w:val="7EFA75A5"/>
    <w:rsid w:val="7EFB24F2"/>
    <w:rsid w:val="7EFC2BEB"/>
    <w:rsid w:val="7EFE1AFE"/>
    <w:rsid w:val="7F000CFC"/>
    <w:rsid w:val="7F000E49"/>
    <w:rsid w:val="7F014CEB"/>
    <w:rsid w:val="7F016668"/>
    <w:rsid w:val="7F022F25"/>
    <w:rsid w:val="7F044B78"/>
    <w:rsid w:val="7F0506D8"/>
    <w:rsid w:val="7F065D37"/>
    <w:rsid w:val="7F077F32"/>
    <w:rsid w:val="7F08472B"/>
    <w:rsid w:val="7F09422F"/>
    <w:rsid w:val="7F095B85"/>
    <w:rsid w:val="7F097626"/>
    <w:rsid w:val="7F0A2952"/>
    <w:rsid w:val="7F0A40EE"/>
    <w:rsid w:val="7F0B195B"/>
    <w:rsid w:val="7F0B2C0D"/>
    <w:rsid w:val="7F0C0CAE"/>
    <w:rsid w:val="7F0C456C"/>
    <w:rsid w:val="7F0C7961"/>
    <w:rsid w:val="7F0D10B3"/>
    <w:rsid w:val="7F0F1E4B"/>
    <w:rsid w:val="7F0F2E39"/>
    <w:rsid w:val="7F0F5E72"/>
    <w:rsid w:val="7F0F6D11"/>
    <w:rsid w:val="7F103255"/>
    <w:rsid w:val="7F104815"/>
    <w:rsid w:val="7F107985"/>
    <w:rsid w:val="7F114FC5"/>
    <w:rsid w:val="7F127813"/>
    <w:rsid w:val="7F147747"/>
    <w:rsid w:val="7F151A08"/>
    <w:rsid w:val="7F161CDC"/>
    <w:rsid w:val="7F164088"/>
    <w:rsid w:val="7F17177F"/>
    <w:rsid w:val="7F174E75"/>
    <w:rsid w:val="7F1912EE"/>
    <w:rsid w:val="7F19535F"/>
    <w:rsid w:val="7F196C79"/>
    <w:rsid w:val="7F1A3D46"/>
    <w:rsid w:val="7F1A49D5"/>
    <w:rsid w:val="7F1B3EA5"/>
    <w:rsid w:val="7F1C351F"/>
    <w:rsid w:val="7F1D345E"/>
    <w:rsid w:val="7F1F422B"/>
    <w:rsid w:val="7F1F7E92"/>
    <w:rsid w:val="7F202824"/>
    <w:rsid w:val="7F2174FA"/>
    <w:rsid w:val="7F2272D0"/>
    <w:rsid w:val="7F240CA0"/>
    <w:rsid w:val="7F263281"/>
    <w:rsid w:val="7F2678D4"/>
    <w:rsid w:val="7F274F96"/>
    <w:rsid w:val="7F2826CE"/>
    <w:rsid w:val="7F2B2393"/>
    <w:rsid w:val="7F2C3DD8"/>
    <w:rsid w:val="7F2C7B3A"/>
    <w:rsid w:val="7F2E573F"/>
    <w:rsid w:val="7F2F1F70"/>
    <w:rsid w:val="7F2F3903"/>
    <w:rsid w:val="7F2F717F"/>
    <w:rsid w:val="7F30043C"/>
    <w:rsid w:val="7F3123AE"/>
    <w:rsid w:val="7F3238A1"/>
    <w:rsid w:val="7F33301B"/>
    <w:rsid w:val="7F335A2F"/>
    <w:rsid w:val="7F336E54"/>
    <w:rsid w:val="7F3633AC"/>
    <w:rsid w:val="7F363BE7"/>
    <w:rsid w:val="7F365FDE"/>
    <w:rsid w:val="7F392B36"/>
    <w:rsid w:val="7F3940A9"/>
    <w:rsid w:val="7F3A36C7"/>
    <w:rsid w:val="7F3B0495"/>
    <w:rsid w:val="7F3B34BB"/>
    <w:rsid w:val="7F3B39E0"/>
    <w:rsid w:val="7F3B67D0"/>
    <w:rsid w:val="7F3B7196"/>
    <w:rsid w:val="7F3C4DF8"/>
    <w:rsid w:val="7F3C7221"/>
    <w:rsid w:val="7F3D0D2F"/>
    <w:rsid w:val="7F3D39EF"/>
    <w:rsid w:val="7F3D5A7B"/>
    <w:rsid w:val="7F3F3296"/>
    <w:rsid w:val="7F3F407B"/>
    <w:rsid w:val="7F3F54A9"/>
    <w:rsid w:val="7F40013F"/>
    <w:rsid w:val="7F426E26"/>
    <w:rsid w:val="7F431555"/>
    <w:rsid w:val="7F431B93"/>
    <w:rsid w:val="7F441C76"/>
    <w:rsid w:val="7F4522B2"/>
    <w:rsid w:val="7F455D6D"/>
    <w:rsid w:val="7F463BC1"/>
    <w:rsid w:val="7F475A92"/>
    <w:rsid w:val="7F47757F"/>
    <w:rsid w:val="7F484B27"/>
    <w:rsid w:val="7F49294F"/>
    <w:rsid w:val="7F4955BE"/>
    <w:rsid w:val="7F4A0CC8"/>
    <w:rsid w:val="7F4A6BE8"/>
    <w:rsid w:val="7F4B0EDD"/>
    <w:rsid w:val="7F4C0843"/>
    <w:rsid w:val="7F4C4960"/>
    <w:rsid w:val="7F5056A1"/>
    <w:rsid w:val="7F505858"/>
    <w:rsid w:val="7F5069DD"/>
    <w:rsid w:val="7F510BD9"/>
    <w:rsid w:val="7F514D7B"/>
    <w:rsid w:val="7F537FF3"/>
    <w:rsid w:val="7F551C07"/>
    <w:rsid w:val="7F55628F"/>
    <w:rsid w:val="7F56365B"/>
    <w:rsid w:val="7F563F40"/>
    <w:rsid w:val="7F581B8A"/>
    <w:rsid w:val="7F596D35"/>
    <w:rsid w:val="7F5A44ED"/>
    <w:rsid w:val="7F5A7C93"/>
    <w:rsid w:val="7F5B345A"/>
    <w:rsid w:val="7F5F3379"/>
    <w:rsid w:val="7F604317"/>
    <w:rsid w:val="7F6069AE"/>
    <w:rsid w:val="7F607B23"/>
    <w:rsid w:val="7F62133D"/>
    <w:rsid w:val="7F635390"/>
    <w:rsid w:val="7F643C81"/>
    <w:rsid w:val="7F645EE1"/>
    <w:rsid w:val="7F6804A4"/>
    <w:rsid w:val="7F685C35"/>
    <w:rsid w:val="7F6A0ED4"/>
    <w:rsid w:val="7F6A14CE"/>
    <w:rsid w:val="7F6A2CF0"/>
    <w:rsid w:val="7F6A37FE"/>
    <w:rsid w:val="7F6A5D2C"/>
    <w:rsid w:val="7F6C4FFF"/>
    <w:rsid w:val="7F6C5FBB"/>
    <w:rsid w:val="7F6C62E0"/>
    <w:rsid w:val="7F6D558B"/>
    <w:rsid w:val="7F6D7C41"/>
    <w:rsid w:val="7F702840"/>
    <w:rsid w:val="7F702A93"/>
    <w:rsid w:val="7F720E25"/>
    <w:rsid w:val="7F720FDE"/>
    <w:rsid w:val="7F7226D0"/>
    <w:rsid w:val="7F733FC4"/>
    <w:rsid w:val="7F743881"/>
    <w:rsid w:val="7F7443B5"/>
    <w:rsid w:val="7F750995"/>
    <w:rsid w:val="7F755A9A"/>
    <w:rsid w:val="7F762A93"/>
    <w:rsid w:val="7F774D17"/>
    <w:rsid w:val="7F786C22"/>
    <w:rsid w:val="7F792F33"/>
    <w:rsid w:val="7F7A5CAC"/>
    <w:rsid w:val="7F7C79BB"/>
    <w:rsid w:val="7F7F6846"/>
    <w:rsid w:val="7F860230"/>
    <w:rsid w:val="7F862427"/>
    <w:rsid w:val="7F880446"/>
    <w:rsid w:val="7F881179"/>
    <w:rsid w:val="7F892494"/>
    <w:rsid w:val="7F8A0814"/>
    <w:rsid w:val="7F8B540C"/>
    <w:rsid w:val="7F8B6032"/>
    <w:rsid w:val="7F8C578A"/>
    <w:rsid w:val="7F8C769C"/>
    <w:rsid w:val="7F8F378E"/>
    <w:rsid w:val="7F900ECF"/>
    <w:rsid w:val="7F912323"/>
    <w:rsid w:val="7F91297C"/>
    <w:rsid w:val="7F9264AA"/>
    <w:rsid w:val="7F927DF0"/>
    <w:rsid w:val="7F94294F"/>
    <w:rsid w:val="7F947A89"/>
    <w:rsid w:val="7F9502F0"/>
    <w:rsid w:val="7F955574"/>
    <w:rsid w:val="7F955D69"/>
    <w:rsid w:val="7F9672EF"/>
    <w:rsid w:val="7F99764B"/>
    <w:rsid w:val="7F9A5750"/>
    <w:rsid w:val="7F9B4D8B"/>
    <w:rsid w:val="7F9B72DC"/>
    <w:rsid w:val="7F9B734D"/>
    <w:rsid w:val="7F9B753F"/>
    <w:rsid w:val="7F9C58DE"/>
    <w:rsid w:val="7F9D482D"/>
    <w:rsid w:val="7F9F3BF7"/>
    <w:rsid w:val="7FA0508C"/>
    <w:rsid w:val="7FA15042"/>
    <w:rsid w:val="7FA15C86"/>
    <w:rsid w:val="7FA31545"/>
    <w:rsid w:val="7FA4128D"/>
    <w:rsid w:val="7FA53900"/>
    <w:rsid w:val="7FA65BED"/>
    <w:rsid w:val="7FA67A95"/>
    <w:rsid w:val="7FA7346B"/>
    <w:rsid w:val="7FA85D55"/>
    <w:rsid w:val="7FAA03F7"/>
    <w:rsid w:val="7FAA4283"/>
    <w:rsid w:val="7FAC6796"/>
    <w:rsid w:val="7FAD5E38"/>
    <w:rsid w:val="7FAE4F8B"/>
    <w:rsid w:val="7FAF0BAC"/>
    <w:rsid w:val="7FAF5EBC"/>
    <w:rsid w:val="7FB06606"/>
    <w:rsid w:val="7FB11143"/>
    <w:rsid w:val="7FB21796"/>
    <w:rsid w:val="7FB23C64"/>
    <w:rsid w:val="7FB23C8A"/>
    <w:rsid w:val="7FB32508"/>
    <w:rsid w:val="7FB40592"/>
    <w:rsid w:val="7FB8265D"/>
    <w:rsid w:val="7FB87C6E"/>
    <w:rsid w:val="7FB9135D"/>
    <w:rsid w:val="7FBA3FDF"/>
    <w:rsid w:val="7FBB3014"/>
    <w:rsid w:val="7FBF1C44"/>
    <w:rsid w:val="7FC0422F"/>
    <w:rsid w:val="7FC34949"/>
    <w:rsid w:val="7FC37CE1"/>
    <w:rsid w:val="7FC410C8"/>
    <w:rsid w:val="7FC52C8E"/>
    <w:rsid w:val="7FC67813"/>
    <w:rsid w:val="7FC67963"/>
    <w:rsid w:val="7FC75C9F"/>
    <w:rsid w:val="7FCB78DE"/>
    <w:rsid w:val="7FCC7507"/>
    <w:rsid w:val="7FCD1FFD"/>
    <w:rsid w:val="7FCE230D"/>
    <w:rsid w:val="7FCF4FED"/>
    <w:rsid w:val="7FD01FB2"/>
    <w:rsid w:val="7FD1766C"/>
    <w:rsid w:val="7FD2086E"/>
    <w:rsid w:val="7FD2345E"/>
    <w:rsid w:val="7FD27981"/>
    <w:rsid w:val="7FD331BF"/>
    <w:rsid w:val="7FD37074"/>
    <w:rsid w:val="7FD41E59"/>
    <w:rsid w:val="7FD449F4"/>
    <w:rsid w:val="7FD472AF"/>
    <w:rsid w:val="7FD709A1"/>
    <w:rsid w:val="7FD85DE8"/>
    <w:rsid w:val="7FDD7562"/>
    <w:rsid w:val="7FDF3F1B"/>
    <w:rsid w:val="7FDF548C"/>
    <w:rsid w:val="7FE20075"/>
    <w:rsid w:val="7FE235A5"/>
    <w:rsid w:val="7FE30570"/>
    <w:rsid w:val="7FE54144"/>
    <w:rsid w:val="7FE64DA0"/>
    <w:rsid w:val="7FE77457"/>
    <w:rsid w:val="7FE80B8C"/>
    <w:rsid w:val="7FE94D40"/>
    <w:rsid w:val="7FE95DB4"/>
    <w:rsid w:val="7FEA6AC8"/>
    <w:rsid w:val="7FEB1EB7"/>
    <w:rsid w:val="7FEB608D"/>
    <w:rsid w:val="7FEC49B1"/>
    <w:rsid w:val="7FEC7BA9"/>
    <w:rsid w:val="7FED0FD8"/>
    <w:rsid w:val="7FED6B30"/>
    <w:rsid w:val="7FEE231D"/>
    <w:rsid w:val="7FEE5FF5"/>
    <w:rsid w:val="7FEF72D0"/>
    <w:rsid w:val="7FEF7DCA"/>
    <w:rsid w:val="7FF13D25"/>
    <w:rsid w:val="7FF22EDA"/>
    <w:rsid w:val="7FF25458"/>
    <w:rsid w:val="7FF27D53"/>
    <w:rsid w:val="7FF56EF9"/>
    <w:rsid w:val="7FF62E41"/>
    <w:rsid w:val="7FF64F35"/>
    <w:rsid w:val="7FF724DD"/>
    <w:rsid w:val="7FF813C3"/>
    <w:rsid w:val="7FF8444C"/>
    <w:rsid w:val="7FF860C3"/>
    <w:rsid w:val="7FF96438"/>
    <w:rsid w:val="7FFA1393"/>
    <w:rsid w:val="7FFA1E60"/>
    <w:rsid w:val="7FFA2B37"/>
    <w:rsid w:val="7FFB09C2"/>
    <w:rsid w:val="7FFB65C8"/>
    <w:rsid w:val="7FFC5D75"/>
    <w:rsid w:val="7FFC7BB6"/>
    <w:rsid w:val="7FFF0AFB"/>
    <w:rsid w:val="7FFF31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iPriority="0" w:semiHidden="0" w:name="annotation text"/>
    <w:lsdException w:qFormat="1" w:uiPriority="0"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iPriority="99" w:semiHidden="0"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qFormat="1" w:unhideWhenUsed="0" w:uiPriority="0" w:semiHidden="0" w:name="HTML Acronym"/>
    <w:lsdException w:uiPriority="99"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99" w:semiHidden="0" w:name="HTML Preformatted"/>
    <w:lsdException w:qFormat="1" w:unhideWhenUsed="0" w:uiPriority="0" w:semiHidden="0" w:name="HTML Sample"/>
    <w:lsdException w:uiPriority="99"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adjustRightInd w:val="0"/>
      <w:snapToGrid w:val="0"/>
      <w:spacing w:line="500" w:lineRule="exact"/>
      <w:ind w:firstLine="480" w:firstLineChars="200"/>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83"/>
    <w:autoRedefine/>
    <w:qFormat/>
    <w:uiPriority w:val="0"/>
    <w:pPr>
      <w:spacing w:line="500" w:lineRule="exact"/>
      <w:ind w:firstLine="0" w:firstLineChars="0"/>
      <w:jc w:val="left"/>
      <w:outlineLvl w:val="0"/>
    </w:pPr>
    <w:rPr>
      <w:rFonts w:eastAsia="黑体"/>
      <w:sz w:val="32"/>
    </w:rPr>
  </w:style>
  <w:style w:type="paragraph" w:styleId="3">
    <w:name w:val="heading 2"/>
    <w:basedOn w:val="1"/>
    <w:next w:val="1"/>
    <w:link w:val="70"/>
    <w:autoRedefine/>
    <w:unhideWhenUsed/>
    <w:qFormat/>
    <w:uiPriority w:val="0"/>
    <w:pPr>
      <w:keepNext/>
      <w:keepLines/>
      <w:spacing w:before="50" w:beforeLines="50" w:after="50" w:afterLines="50" w:line="500" w:lineRule="exact"/>
      <w:ind w:firstLine="0" w:firstLineChars="0"/>
      <w:jc w:val="left"/>
      <w:outlineLvl w:val="1"/>
    </w:pPr>
    <w:rPr>
      <w:rFonts w:eastAsia="黑体" w:cstheme="majorBidi"/>
      <w:bCs/>
      <w:sz w:val="28"/>
      <w:szCs w:val="32"/>
    </w:rPr>
  </w:style>
  <w:style w:type="paragraph" w:styleId="4">
    <w:name w:val="heading 3"/>
    <w:basedOn w:val="1"/>
    <w:next w:val="1"/>
    <w:link w:val="71"/>
    <w:autoRedefine/>
    <w:unhideWhenUsed/>
    <w:qFormat/>
    <w:uiPriority w:val="0"/>
    <w:pPr>
      <w:keepNext/>
      <w:keepLines/>
      <w:spacing w:after="50" w:afterLines="50" w:line="500" w:lineRule="exact"/>
      <w:ind w:firstLine="0" w:firstLineChars="0"/>
      <w:jc w:val="left"/>
      <w:outlineLvl w:val="2"/>
    </w:pPr>
    <w:rPr>
      <w:rFonts w:eastAsia="黑体"/>
      <w:bCs/>
      <w:szCs w:val="32"/>
    </w:rPr>
  </w:style>
  <w:style w:type="paragraph" w:styleId="5">
    <w:name w:val="heading 4"/>
    <w:basedOn w:val="1"/>
    <w:next w:val="1"/>
    <w:link w:val="72"/>
    <w:autoRedefine/>
    <w:qFormat/>
    <w:uiPriority w:val="0"/>
    <w:pPr>
      <w:keepNext/>
      <w:keepLines/>
      <w:spacing w:line="500" w:lineRule="exact"/>
      <w:ind w:firstLine="0" w:firstLineChars="0"/>
      <w:outlineLvl w:val="3"/>
    </w:pPr>
    <w:rPr>
      <w:rFonts w:cs="Times New Roman"/>
      <w:b/>
      <w:szCs w:val="20"/>
      <w:lang w:val="zh-CN"/>
    </w:rPr>
  </w:style>
  <w:style w:type="paragraph" w:styleId="6">
    <w:name w:val="heading 5"/>
    <w:basedOn w:val="1"/>
    <w:next w:val="7"/>
    <w:link w:val="85"/>
    <w:autoRedefine/>
    <w:qFormat/>
    <w:uiPriority w:val="0"/>
    <w:pPr>
      <w:keepNext/>
      <w:keepLines/>
      <w:adjustRightInd/>
      <w:snapToGrid/>
      <w:spacing w:before="280" w:after="290" w:line="372" w:lineRule="auto"/>
      <w:ind w:firstLine="0" w:firstLineChars="0"/>
      <w:outlineLvl w:val="4"/>
    </w:pPr>
    <w:rPr>
      <w:rFonts w:cs="Times New Roman"/>
      <w:b/>
      <w:sz w:val="28"/>
      <w:szCs w:val="20"/>
      <w:lang w:val="zh-CN"/>
    </w:rPr>
  </w:style>
  <w:style w:type="paragraph" w:styleId="8">
    <w:name w:val="heading 6"/>
    <w:basedOn w:val="1"/>
    <w:next w:val="7"/>
    <w:link w:val="86"/>
    <w:autoRedefine/>
    <w:qFormat/>
    <w:uiPriority w:val="0"/>
    <w:pPr>
      <w:keepNext/>
      <w:keepLines/>
      <w:adjustRightInd/>
      <w:snapToGrid/>
      <w:spacing w:before="240" w:after="64" w:line="317" w:lineRule="auto"/>
      <w:ind w:firstLine="0" w:firstLineChars="0"/>
      <w:outlineLvl w:val="5"/>
    </w:pPr>
    <w:rPr>
      <w:rFonts w:ascii="Arial" w:hAnsi="Arial" w:eastAsia="黑体" w:cs="Times New Roman"/>
      <w:b/>
      <w:szCs w:val="20"/>
      <w:lang w:val="zh-CN"/>
    </w:rPr>
  </w:style>
  <w:style w:type="paragraph" w:styleId="9">
    <w:name w:val="heading 7"/>
    <w:basedOn w:val="1"/>
    <w:next w:val="7"/>
    <w:link w:val="87"/>
    <w:autoRedefine/>
    <w:qFormat/>
    <w:uiPriority w:val="0"/>
    <w:pPr>
      <w:keepNext/>
      <w:keepLines/>
      <w:adjustRightInd/>
      <w:snapToGrid/>
      <w:spacing w:before="240" w:after="64" w:line="317" w:lineRule="auto"/>
      <w:ind w:firstLine="0" w:firstLineChars="0"/>
      <w:outlineLvl w:val="6"/>
    </w:pPr>
    <w:rPr>
      <w:rFonts w:cs="Times New Roman"/>
      <w:b/>
      <w:szCs w:val="20"/>
      <w:lang w:val="zh-CN"/>
    </w:rPr>
  </w:style>
  <w:style w:type="paragraph" w:styleId="10">
    <w:name w:val="heading 8"/>
    <w:basedOn w:val="1"/>
    <w:next w:val="7"/>
    <w:link w:val="88"/>
    <w:autoRedefine/>
    <w:qFormat/>
    <w:uiPriority w:val="0"/>
    <w:pPr>
      <w:keepNext/>
      <w:keepLines/>
      <w:adjustRightInd/>
      <w:snapToGrid/>
      <w:spacing w:before="240" w:after="64" w:line="317" w:lineRule="auto"/>
      <w:ind w:firstLine="0" w:firstLineChars="0"/>
      <w:outlineLvl w:val="7"/>
    </w:pPr>
    <w:rPr>
      <w:rFonts w:ascii="Arial" w:hAnsi="Arial" w:eastAsia="黑体" w:cs="Times New Roman"/>
      <w:szCs w:val="20"/>
      <w:lang w:val="zh-CN"/>
    </w:rPr>
  </w:style>
  <w:style w:type="paragraph" w:styleId="11">
    <w:name w:val="heading 9"/>
    <w:basedOn w:val="1"/>
    <w:next w:val="7"/>
    <w:link w:val="89"/>
    <w:autoRedefine/>
    <w:qFormat/>
    <w:uiPriority w:val="0"/>
    <w:pPr>
      <w:keepNext/>
      <w:keepLines/>
      <w:adjustRightInd/>
      <w:snapToGrid/>
      <w:spacing w:before="240" w:after="64" w:line="317" w:lineRule="auto"/>
      <w:ind w:firstLine="0" w:firstLineChars="0"/>
      <w:outlineLvl w:val="8"/>
    </w:pPr>
    <w:rPr>
      <w:rFonts w:ascii="Arial" w:hAnsi="Arial" w:eastAsia="黑体" w:cs="Times New Roman"/>
      <w:sz w:val="21"/>
      <w:szCs w:val="20"/>
      <w:lang w:val="zh-CN"/>
    </w:rPr>
  </w:style>
  <w:style w:type="character" w:default="1" w:styleId="49">
    <w:name w:val="Default Paragraph Font"/>
    <w:autoRedefine/>
    <w:semiHidden/>
    <w:unhideWhenUsed/>
    <w:qFormat/>
    <w:uiPriority w:val="1"/>
  </w:style>
  <w:style w:type="table" w:default="1" w:styleId="47">
    <w:name w:val="Normal Table"/>
    <w:autoRedefine/>
    <w:semiHidden/>
    <w:unhideWhenUsed/>
    <w:qFormat/>
    <w:uiPriority w:val="99"/>
    <w:tblPr>
      <w:tblCellMar>
        <w:top w:w="0" w:type="dxa"/>
        <w:left w:w="108" w:type="dxa"/>
        <w:bottom w:w="0" w:type="dxa"/>
        <w:right w:w="108" w:type="dxa"/>
      </w:tblCellMar>
    </w:tblPr>
  </w:style>
  <w:style w:type="paragraph" w:styleId="7">
    <w:name w:val="Normal Indent"/>
    <w:basedOn w:val="1"/>
    <w:link w:val="84"/>
    <w:autoRedefine/>
    <w:qFormat/>
    <w:uiPriority w:val="0"/>
    <w:pPr>
      <w:adjustRightInd/>
      <w:snapToGrid/>
      <w:spacing w:line="240" w:lineRule="auto"/>
      <w:ind w:firstLine="420"/>
    </w:pPr>
    <w:rPr>
      <w:rFonts w:eastAsiaTheme="minorEastAsia"/>
      <w:sz w:val="21"/>
    </w:rPr>
  </w:style>
  <w:style w:type="paragraph" w:styleId="12">
    <w:name w:val="toc 7"/>
    <w:basedOn w:val="1"/>
    <w:next w:val="1"/>
    <w:autoRedefine/>
    <w:qFormat/>
    <w:uiPriority w:val="39"/>
    <w:pPr>
      <w:adjustRightInd/>
      <w:snapToGrid/>
      <w:spacing w:line="240" w:lineRule="auto"/>
      <w:ind w:left="1260" w:firstLine="0" w:firstLineChars="0"/>
      <w:jc w:val="left"/>
    </w:pPr>
    <w:rPr>
      <w:rFonts w:cs="Times New Roman"/>
      <w:kern w:val="0"/>
      <w:sz w:val="18"/>
      <w:szCs w:val="20"/>
    </w:rPr>
  </w:style>
  <w:style w:type="paragraph" w:styleId="13">
    <w:name w:val="table of authorities"/>
    <w:basedOn w:val="1"/>
    <w:next w:val="1"/>
    <w:autoRedefine/>
    <w:qFormat/>
    <w:uiPriority w:val="0"/>
    <w:pPr>
      <w:ind w:left="420" w:leftChars="200" w:firstLine="640"/>
    </w:pPr>
    <w:rPr>
      <w:szCs w:val="24"/>
    </w:rPr>
  </w:style>
  <w:style w:type="paragraph" w:styleId="14">
    <w:name w:val="caption"/>
    <w:basedOn w:val="1"/>
    <w:next w:val="1"/>
    <w:link w:val="94"/>
    <w:autoRedefine/>
    <w:unhideWhenUsed/>
    <w:qFormat/>
    <w:uiPriority w:val="0"/>
    <w:rPr>
      <w:rFonts w:eastAsia="黑体" w:asciiTheme="majorHAnsi" w:hAnsiTheme="majorHAnsi" w:cstheme="majorBidi"/>
      <w:sz w:val="20"/>
      <w:szCs w:val="20"/>
    </w:rPr>
  </w:style>
  <w:style w:type="paragraph" w:styleId="15">
    <w:name w:val="Document Map"/>
    <w:basedOn w:val="1"/>
    <w:link w:val="95"/>
    <w:autoRedefine/>
    <w:qFormat/>
    <w:uiPriority w:val="0"/>
    <w:pPr>
      <w:shd w:val="clear" w:color="auto" w:fill="000080"/>
      <w:adjustRightInd/>
      <w:snapToGrid/>
      <w:spacing w:line="240" w:lineRule="auto"/>
      <w:ind w:firstLine="0" w:firstLineChars="0"/>
    </w:pPr>
    <w:rPr>
      <w:rFonts w:eastAsiaTheme="minorEastAsia"/>
      <w:sz w:val="21"/>
      <w:shd w:val="clear" w:color="auto" w:fill="000080"/>
    </w:rPr>
  </w:style>
  <w:style w:type="paragraph" w:styleId="16">
    <w:name w:val="annotation text"/>
    <w:basedOn w:val="1"/>
    <w:link w:val="90"/>
    <w:autoRedefine/>
    <w:unhideWhenUsed/>
    <w:qFormat/>
    <w:uiPriority w:val="0"/>
    <w:pPr>
      <w:jc w:val="left"/>
    </w:pPr>
  </w:style>
  <w:style w:type="paragraph" w:styleId="17">
    <w:name w:val="Body Text 3"/>
    <w:basedOn w:val="1"/>
    <w:link w:val="96"/>
    <w:autoRedefine/>
    <w:qFormat/>
    <w:uiPriority w:val="0"/>
    <w:pPr>
      <w:adjustRightInd/>
      <w:snapToGrid/>
      <w:spacing w:after="120" w:line="240" w:lineRule="auto"/>
      <w:ind w:firstLine="0" w:firstLineChars="0"/>
    </w:pPr>
    <w:rPr>
      <w:rFonts w:eastAsiaTheme="minorEastAsia"/>
      <w:sz w:val="16"/>
    </w:rPr>
  </w:style>
  <w:style w:type="paragraph" w:styleId="18">
    <w:name w:val="Body Text"/>
    <w:basedOn w:val="1"/>
    <w:link w:val="92"/>
    <w:autoRedefine/>
    <w:unhideWhenUsed/>
    <w:qFormat/>
    <w:uiPriority w:val="0"/>
    <w:pPr>
      <w:spacing w:after="120"/>
    </w:pPr>
  </w:style>
  <w:style w:type="paragraph" w:styleId="19">
    <w:name w:val="Body Text Indent"/>
    <w:basedOn w:val="1"/>
    <w:next w:val="1"/>
    <w:link w:val="97"/>
    <w:autoRedefine/>
    <w:qFormat/>
    <w:uiPriority w:val="0"/>
    <w:pPr>
      <w:adjustRightInd/>
      <w:snapToGrid/>
      <w:spacing w:line="500" w:lineRule="exact"/>
      <w:ind w:firstLine="570" w:firstLineChars="0"/>
    </w:pPr>
    <w:rPr>
      <w:rFonts w:ascii="宋体" w:hAnsi="宋体" w:eastAsiaTheme="minorEastAsia"/>
      <w:sz w:val="28"/>
    </w:rPr>
  </w:style>
  <w:style w:type="paragraph" w:styleId="20">
    <w:name w:val="List 2"/>
    <w:basedOn w:val="1"/>
    <w:autoRedefine/>
    <w:qFormat/>
    <w:uiPriority w:val="0"/>
    <w:pPr>
      <w:ind w:left="100" w:leftChars="200" w:hanging="200" w:hangingChars="200"/>
    </w:pPr>
    <w:rPr>
      <w:rFonts w:ascii="宋体"/>
      <w:kern w:val="0"/>
    </w:rPr>
  </w:style>
  <w:style w:type="paragraph" w:styleId="21">
    <w:name w:val="toc 5"/>
    <w:basedOn w:val="1"/>
    <w:next w:val="1"/>
    <w:autoRedefine/>
    <w:qFormat/>
    <w:uiPriority w:val="39"/>
    <w:pPr>
      <w:adjustRightInd/>
      <w:snapToGrid/>
      <w:spacing w:line="240" w:lineRule="auto"/>
      <w:ind w:left="840" w:firstLine="0" w:firstLineChars="0"/>
      <w:jc w:val="left"/>
    </w:pPr>
    <w:rPr>
      <w:rFonts w:cs="Times New Roman"/>
      <w:kern w:val="0"/>
      <w:sz w:val="18"/>
      <w:szCs w:val="20"/>
    </w:rPr>
  </w:style>
  <w:style w:type="paragraph" w:styleId="22">
    <w:name w:val="toc 3"/>
    <w:basedOn w:val="1"/>
    <w:next w:val="1"/>
    <w:autoRedefine/>
    <w:qFormat/>
    <w:uiPriority w:val="39"/>
    <w:pPr>
      <w:adjustRightInd/>
      <w:snapToGrid/>
      <w:spacing w:line="240" w:lineRule="auto"/>
      <w:ind w:left="420" w:firstLine="0" w:firstLineChars="0"/>
      <w:jc w:val="left"/>
    </w:pPr>
    <w:rPr>
      <w:rFonts w:cs="Times New Roman"/>
      <w:i/>
      <w:kern w:val="0"/>
      <w:sz w:val="20"/>
      <w:szCs w:val="20"/>
    </w:rPr>
  </w:style>
  <w:style w:type="paragraph" w:styleId="23">
    <w:name w:val="Plain Text"/>
    <w:basedOn w:val="1"/>
    <w:link w:val="98"/>
    <w:autoRedefine/>
    <w:qFormat/>
    <w:uiPriority w:val="0"/>
    <w:pPr>
      <w:adjustRightInd/>
      <w:snapToGrid/>
      <w:spacing w:line="240" w:lineRule="auto"/>
      <w:ind w:firstLine="0" w:firstLineChars="0"/>
    </w:pPr>
    <w:rPr>
      <w:rFonts w:ascii="宋体" w:hAnsi="Courier New" w:eastAsiaTheme="minorEastAsia"/>
      <w:sz w:val="21"/>
    </w:rPr>
  </w:style>
  <w:style w:type="paragraph" w:styleId="24">
    <w:name w:val="List Bullet 5"/>
    <w:basedOn w:val="1"/>
    <w:autoRedefine/>
    <w:semiHidden/>
    <w:unhideWhenUsed/>
    <w:qFormat/>
    <w:uiPriority w:val="99"/>
    <w:pPr>
      <w:numPr>
        <w:ilvl w:val="0"/>
        <w:numId w:val="1"/>
      </w:numPr>
    </w:pPr>
  </w:style>
  <w:style w:type="paragraph" w:styleId="25">
    <w:name w:val="toc 8"/>
    <w:basedOn w:val="1"/>
    <w:next w:val="1"/>
    <w:autoRedefine/>
    <w:qFormat/>
    <w:uiPriority w:val="39"/>
    <w:pPr>
      <w:adjustRightInd/>
      <w:snapToGrid/>
      <w:spacing w:line="240" w:lineRule="auto"/>
      <w:ind w:left="1470" w:firstLine="0" w:firstLineChars="0"/>
      <w:jc w:val="left"/>
    </w:pPr>
    <w:rPr>
      <w:rFonts w:cs="Times New Roman"/>
      <w:kern w:val="0"/>
      <w:sz w:val="18"/>
      <w:szCs w:val="20"/>
    </w:rPr>
  </w:style>
  <w:style w:type="paragraph" w:styleId="26">
    <w:name w:val="Date"/>
    <w:basedOn w:val="1"/>
    <w:next w:val="1"/>
    <w:link w:val="99"/>
    <w:autoRedefine/>
    <w:qFormat/>
    <w:uiPriority w:val="0"/>
    <w:pPr>
      <w:adjustRightInd/>
      <w:snapToGrid/>
      <w:spacing w:line="240" w:lineRule="auto"/>
      <w:ind w:left="100" w:leftChars="2500" w:firstLine="0" w:firstLineChars="0"/>
    </w:pPr>
    <w:rPr>
      <w:rFonts w:eastAsiaTheme="minorEastAsia"/>
      <w:sz w:val="28"/>
    </w:rPr>
  </w:style>
  <w:style w:type="paragraph" w:styleId="27">
    <w:name w:val="Body Text Indent 2"/>
    <w:basedOn w:val="1"/>
    <w:link w:val="100"/>
    <w:autoRedefine/>
    <w:qFormat/>
    <w:uiPriority w:val="0"/>
    <w:pPr>
      <w:spacing w:line="520" w:lineRule="atLeast"/>
      <w:ind w:firstLine="470" w:firstLineChars="196"/>
    </w:pPr>
    <w:rPr>
      <w:rFonts w:eastAsiaTheme="minorEastAsia"/>
    </w:rPr>
  </w:style>
  <w:style w:type="paragraph" w:styleId="28">
    <w:name w:val="Balloon Text"/>
    <w:basedOn w:val="1"/>
    <w:link w:val="101"/>
    <w:autoRedefine/>
    <w:qFormat/>
    <w:uiPriority w:val="0"/>
    <w:pPr>
      <w:adjustRightInd/>
      <w:snapToGrid/>
      <w:spacing w:line="240" w:lineRule="auto"/>
      <w:ind w:firstLine="0" w:firstLineChars="0"/>
    </w:pPr>
    <w:rPr>
      <w:rFonts w:eastAsiaTheme="minorEastAsia"/>
      <w:sz w:val="18"/>
    </w:rPr>
  </w:style>
  <w:style w:type="paragraph" w:styleId="29">
    <w:name w:val="footer"/>
    <w:basedOn w:val="1"/>
    <w:next w:val="1"/>
    <w:link w:val="102"/>
    <w:autoRedefine/>
    <w:unhideWhenUsed/>
    <w:qFormat/>
    <w:uiPriority w:val="99"/>
    <w:pPr>
      <w:tabs>
        <w:tab w:val="center" w:pos="4153"/>
        <w:tab w:val="right" w:pos="8306"/>
      </w:tabs>
      <w:spacing w:line="240" w:lineRule="auto"/>
      <w:jc w:val="left"/>
    </w:pPr>
    <w:rPr>
      <w:sz w:val="18"/>
      <w:szCs w:val="18"/>
    </w:rPr>
  </w:style>
  <w:style w:type="paragraph" w:styleId="30">
    <w:name w:val="header"/>
    <w:basedOn w:val="1"/>
    <w:link w:val="105"/>
    <w:autoRedefine/>
    <w:unhideWhenUsed/>
    <w:qFormat/>
    <w:uiPriority w:val="0"/>
    <w:pPr>
      <w:pBdr>
        <w:bottom w:val="single" w:color="auto" w:sz="6" w:space="1"/>
      </w:pBdr>
      <w:tabs>
        <w:tab w:val="center" w:pos="4153"/>
        <w:tab w:val="right" w:pos="8306"/>
      </w:tabs>
      <w:spacing w:line="240" w:lineRule="auto"/>
      <w:jc w:val="center"/>
    </w:pPr>
    <w:rPr>
      <w:sz w:val="18"/>
      <w:szCs w:val="18"/>
    </w:rPr>
  </w:style>
  <w:style w:type="paragraph" w:styleId="31">
    <w:name w:val="toc 1"/>
    <w:basedOn w:val="1"/>
    <w:next w:val="1"/>
    <w:autoRedefine/>
    <w:qFormat/>
    <w:uiPriority w:val="39"/>
    <w:pPr>
      <w:adjustRightInd/>
      <w:snapToGrid/>
      <w:spacing w:before="120" w:after="120" w:line="240" w:lineRule="auto"/>
      <w:ind w:firstLine="0" w:firstLineChars="0"/>
      <w:jc w:val="left"/>
    </w:pPr>
    <w:rPr>
      <w:rFonts w:cs="Times New Roman"/>
      <w:b/>
      <w:caps/>
      <w:kern w:val="0"/>
      <w:sz w:val="20"/>
      <w:szCs w:val="20"/>
    </w:rPr>
  </w:style>
  <w:style w:type="paragraph" w:styleId="32">
    <w:name w:val="toc 4"/>
    <w:basedOn w:val="1"/>
    <w:next w:val="1"/>
    <w:autoRedefine/>
    <w:qFormat/>
    <w:uiPriority w:val="39"/>
    <w:pPr>
      <w:adjustRightInd/>
      <w:snapToGrid/>
      <w:spacing w:line="240" w:lineRule="auto"/>
      <w:ind w:left="630" w:firstLine="0" w:firstLineChars="0"/>
      <w:jc w:val="left"/>
    </w:pPr>
    <w:rPr>
      <w:rFonts w:cs="Times New Roman"/>
      <w:kern w:val="0"/>
      <w:sz w:val="18"/>
      <w:szCs w:val="20"/>
    </w:rPr>
  </w:style>
  <w:style w:type="paragraph" w:styleId="33">
    <w:name w:val="List"/>
    <w:basedOn w:val="1"/>
    <w:autoRedefine/>
    <w:qFormat/>
    <w:uiPriority w:val="0"/>
    <w:pPr>
      <w:adjustRightInd/>
      <w:snapToGrid/>
      <w:spacing w:line="240" w:lineRule="auto"/>
      <w:ind w:left="200" w:hanging="200" w:hangingChars="200"/>
    </w:pPr>
    <w:rPr>
      <w:rFonts w:cs="Times New Roman"/>
      <w:kern w:val="0"/>
      <w:szCs w:val="20"/>
    </w:rPr>
  </w:style>
  <w:style w:type="paragraph" w:styleId="34">
    <w:name w:val="toc 6"/>
    <w:basedOn w:val="1"/>
    <w:next w:val="1"/>
    <w:autoRedefine/>
    <w:qFormat/>
    <w:uiPriority w:val="39"/>
    <w:pPr>
      <w:adjustRightInd/>
      <w:snapToGrid/>
      <w:spacing w:line="240" w:lineRule="auto"/>
      <w:ind w:left="1050" w:firstLine="0" w:firstLineChars="0"/>
      <w:jc w:val="left"/>
    </w:pPr>
    <w:rPr>
      <w:rFonts w:cs="Times New Roman"/>
      <w:kern w:val="0"/>
      <w:sz w:val="18"/>
      <w:szCs w:val="20"/>
    </w:rPr>
  </w:style>
  <w:style w:type="paragraph" w:styleId="35">
    <w:name w:val="Body Text Indent 3"/>
    <w:basedOn w:val="1"/>
    <w:link w:val="106"/>
    <w:autoRedefine/>
    <w:qFormat/>
    <w:uiPriority w:val="0"/>
    <w:pPr>
      <w:spacing w:line="520" w:lineRule="atLeast"/>
      <w:ind w:firstLine="0" w:firstLineChars="0"/>
    </w:pPr>
    <w:rPr>
      <w:rFonts w:ascii="宋体" w:hAnsi="宋体" w:eastAsiaTheme="minorEastAsia"/>
    </w:rPr>
  </w:style>
  <w:style w:type="paragraph" w:styleId="36">
    <w:name w:val="toc 2"/>
    <w:basedOn w:val="1"/>
    <w:next w:val="1"/>
    <w:autoRedefine/>
    <w:qFormat/>
    <w:uiPriority w:val="39"/>
    <w:pPr>
      <w:adjustRightInd/>
      <w:snapToGrid/>
      <w:spacing w:line="240" w:lineRule="auto"/>
      <w:ind w:left="210" w:firstLine="0" w:firstLineChars="0"/>
      <w:jc w:val="left"/>
    </w:pPr>
    <w:rPr>
      <w:rFonts w:cs="Times New Roman"/>
      <w:smallCaps/>
      <w:kern w:val="0"/>
      <w:sz w:val="20"/>
      <w:szCs w:val="20"/>
    </w:rPr>
  </w:style>
  <w:style w:type="paragraph" w:styleId="37">
    <w:name w:val="toc 9"/>
    <w:basedOn w:val="1"/>
    <w:next w:val="1"/>
    <w:autoRedefine/>
    <w:qFormat/>
    <w:uiPriority w:val="39"/>
    <w:pPr>
      <w:adjustRightInd/>
      <w:snapToGrid/>
      <w:spacing w:line="240" w:lineRule="auto"/>
      <w:ind w:left="1680" w:firstLine="0" w:firstLineChars="0"/>
      <w:jc w:val="left"/>
    </w:pPr>
    <w:rPr>
      <w:rFonts w:cs="Times New Roman"/>
      <w:kern w:val="0"/>
      <w:sz w:val="18"/>
      <w:szCs w:val="20"/>
    </w:rPr>
  </w:style>
  <w:style w:type="paragraph" w:styleId="38">
    <w:name w:val="Body Text 2"/>
    <w:basedOn w:val="1"/>
    <w:link w:val="107"/>
    <w:autoRedefine/>
    <w:qFormat/>
    <w:uiPriority w:val="0"/>
    <w:pPr>
      <w:spacing w:line="520" w:lineRule="atLeast"/>
      <w:ind w:firstLine="0" w:firstLineChars="0"/>
    </w:pPr>
    <w:rPr>
      <w:rFonts w:ascii="宋体" w:hAnsi="宋体" w:eastAsiaTheme="minorEastAsia"/>
      <w:sz w:val="28"/>
    </w:rPr>
  </w:style>
  <w:style w:type="paragraph" w:styleId="39">
    <w:name w:val="Message Header"/>
    <w:basedOn w:val="1"/>
    <w:autoRedefine/>
    <w:unhideWhenUsed/>
    <w:qFormat/>
    <w:uiPriority w:val="99"/>
    <w:pPr>
      <w:pBdr>
        <w:top w:val="single" w:color="auto" w:sz="6" w:space="1"/>
        <w:left w:val="single" w:color="auto" w:sz="6" w:space="1"/>
        <w:bottom w:val="single" w:color="auto" w:sz="6" w:space="1"/>
        <w:right w:val="single" w:color="auto" w:sz="6" w:space="1"/>
      </w:pBdr>
      <w:shd w:val="pct20" w:color="auto" w:fill="auto"/>
      <w:adjustRightInd/>
      <w:snapToGrid/>
      <w:spacing w:line="240" w:lineRule="auto"/>
      <w:ind w:left="1080" w:leftChars="500" w:hanging="1080" w:hangingChars="500"/>
    </w:pPr>
    <w:rPr>
      <w:rFonts w:ascii="Cambria" w:hAnsi="Cambria"/>
      <w:szCs w:val="24"/>
    </w:rPr>
  </w:style>
  <w:style w:type="paragraph" w:styleId="40">
    <w:name w:val="HTML Preformatted"/>
    <w:basedOn w:val="1"/>
    <w:link w:val="108"/>
    <w:autoRedefine/>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line="240" w:lineRule="auto"/>
      <w:ind w:firstLine="0" w:firstLineChars="0"/>
      <w:jc w:val="left"/>
    </w:pPr>
    <w:rPr>
      <w:rFonts w:ascii="宋体" w:hAnsi="宋体" w:eastAsiaTheme="minorEastAsia"/>
    </w:rPr>
  </w:style>
  <w:style w:type="paragraph" w:styleId="41">
    <w:name w:val="Normal (Web)"/>
    <w:basedOn w:val="1"/>
    <w:autoRedefine/>
    <w:qFormat/>
    <w:uiPriority w:val="99"/>
    <w:pPr>
      <w:widowControl/>
      <w:adjustRightInd/>
      <w:snapToGrid/>
      <w:spacing w:before="100" w:beforeAutospacing="1" w:after="100" w:afterAutospacing="1" w:line="240" w:lineRule="auto"/>
      <w:ind w:firstLine="0" w:firstLineChars="0"/>
      <w:jc w:val="left"/>
    </w:pPr>
    <w:rPr>
      <w:rFonts w:ascii="宋体" w:hAnsi="宋体" w:cs="宋体"/>
      <w:kern w:val="0"/>
      <w:szCs w:val="24"/>
    </w:rPr>
  </w:style>
  <w:style w:type="paragraph" w:styleId="42">
    <w:name w:val="index 1"/>
    <w:basedOn w:val="1"/>
    <w:next w:val="1"/>
    <w:autoRedefine/>
    <w:qFormat/>
    <w:uiPriority w:val="0"/>
    <w:pPr>
      <w:adjustRightInd/>
      <w:snapToGrid/>
      <w:spacing w:line="240" w:lineRule="auto"/>
      <w:ind w:firstLine="0" w:firstLineChars="0"/>
      <w:jc w:val="center"/>
    </w:pPr>
    <w:rPr>
      <w:rFonts w:cs="Times New Roman"/>
      <w:kern w:val="0"/>
      <w:szCs w:val="20"/>
    </w:rPr>
  </w:style>
  <w:style w:type="paragraph" w:styleId="43">
    <w:name w:val="Title"/>
    <w:basedOn w:val="1"/>
    <w:next w:val="1"/>
    <w:link w:val="109"/>
    <w:autoRedefine/>
    <w:qFormat/>
    <w:uiPriority w:val="0"/>
    <w:pPr>
      <w:spacing w:before="50" w:beforeLines="50" w:after="50" w:afterLines="50"/>
      <w:ind w:firstLine="0" w:firstLineChars="0"/>
      <w:jc w:val="left"/>
      <w:outlineLvl w:val="2"/>
    </w:pPr>
    <w:rPr>
      <w:rFonts w:eastAsia="黑体" w:cstheme="majorBidi"/>
      <w:bCs/>
      <w:szCs w:val="32"/>
    </w:rPr>
  </w:style>
  <w:style w:type="paragraph" w:styleId="44">
    <w:name w:val="annotation subject"/>
    <w:basedOn w:val="16"/>
    <w:next w:val="16"/>
    <w:link w:val="91"/>
    <w:autoRedefine/>
    <w:qFormat/>
    <w:uiPriority w:val="0"/>
    <w:pPr>
      <w:widowControl/>
      <w:adjustRightInd/>
      <w:snapToGrid/>
      <w:spacing w:line="240" w:lineRule="auto"/>
      <w:ind w:firstLine="0" w:firstLineChars="0"/>
    </w:pPr>
    <w:rPr>
      <w:rFonts w:ascii="宋体" w:cs="Times New Roman"/>
      <w:b/>
      <w:bCs/>
      <w:kern w:val="0"/>
      <w:sz w:val="20"/>
      <w:szCs w:val="20"/>
    </w:rPr>
  </w:style>
  <w:style w:type="paragraph" w:styleId="45">
    <w:name w:val="Body Text First Indent"/>
    <w:basedOn w:val="18"/>
    <w:link w:val="93"/>
    <w:autoRedefine/>
    <w:qFormat/>
    <w:uiPriority w:val="0"/>
    <w:pPr>
      <w:adjustRightInd/>
      <w:snapToGrid/>
      <w:spacing w:before="78" w:beforeLines="25" w:after="78" w:afterLines="25" w:line="240" w:lineRule="auto"/>
      <w:ind w:firstLine="420" w:firstLineChars="100"/>
    </w:pPr>
    <w:rPr>
      <w:rFonts w:eastAsiaTheme="minorEastAsia"/>
      <w:sz w:val="21"/>
    </w:rPr>
  </w:style>
  <w:style w:type="paragraph" w:styleId="46">
    <w:name w:val="Body Text First Indent 2"/>
    <w:basedOn w:val="1"/>
    <w:next w:val="45"/>
    <w:link w:val="103"/>
    <w:autoRedefine/>
    <w:semiHidden/>
    <w:unhideWhenUsed/>
    <w:qFormat/>
    <w:uiPriority w:val="99"/>
    <w:pPr>
      <w:adjustRightInd w:val="0"/>
      <w:snapToGrid w:val="0"/>
      <w:spacing w:after="120" w:line="360" w:lineRule="auto"/>
      <w:ind w:left="420" w:leftChars="200" w:firstLine="420" w:firstLineChars="200"/>
    </w:pPr>
    <w:rPr>
      <w:rFonts w:ascii="Times New Roman" w:hAnsi="Times New Roman" w:eastAsia="宋体"/>
      <w:sz w:val="24"/>
    </w:rPr>
  </w:style>
  <w:style w:type="table" w:styleId="48">
    <w:name w:val="Table Grid"/>
    <w:basedOn w:val="47"/>
    <w:autoRedefine/>
    <w:qFormat/>
    <w:uiPriority w:val="59"/>
    <w:pPr>
      <w:adjustRightInd w:val="0"/>
      <w:snapToGrid w:val="0"/>
      <w:jc w:val="center"/>
    </w:pPr>
    <w:tblPr>
      <w:jc w:val="center"/>
      <w:tblBorders>
        <w:top w:val="single" w:color="auto" w:sz="4" w:space="0"/>
        <w:bottom w:val="single" w:color="auto" w:sz="4" w:space="0"/>
        <w:insideH w:val="single" w:color="auto" w:sz="4" w:space="0"/>
        <w:insideV w:val="single" w:color="auto" w:sz="4" w:space="0"/>
      </w:tblBorders>
    </w:tblPr>
    <w:trPr>
      <w:jc w:val="center"/>
    </w:trPr>
    <w:tcPr>
      <w:vAlign w:val="center"/>
    </w:tcPr>
  </w:style>
  <w:style w:type="character" w:styleId="50">
    <w:name w:val="Strong"/>
    <w:autoRedefine/>
    <w:qFormat/>
    <w:uiPriority w:val="0"/>
    <w:rPr>
      <w:rFonts w:ascii="Times New Roman" w:hAnsi="Times New Roman"/>
      <w:b/>
      <w:szCs w:val="20"/>
    </w:rPr>
  </w:style>
  <w:style w:type="character" w:styleId="51">
    <w:name w:val="page number"/>
    <w:basedOn w:val="49"/>
    <w:autoRedefine/>
    <w:qFormat/>
    <w:uiPriority w:val="0"/>
    <w:rPr>
      <w:rFonts w:ascii="方正美黑简体" w:hAnsi="宋体" w:eastAsia="方正美黑简体"/>
      <w:sz w:val="18"/>
      <w:szCs w:val="20"/>
    </w:rPr>
  </w:style>
  <w:style w:type="character" w:styleId="52">
    <w:name w:val="FollowedHyperlink"/>
    <w:autoRedefine/>
    <w:qFormat/>
    <w:uiPriority w:val="0"/>
    <w:rPr>
      <w:rFonts w:ascii="Times New Roman" w:hAnsi="Times New Roman"/>
      <w:color w:val="000000"/>
      <w:szCs w:val="20"/>
      <w:u w:val="none"/>
    </w:rPr>
  </w:style>
  <w:style w:type="character" w:styleId="53">
    <w:name w:val="Emphasis"/>
    <w:autoRedefine/>
    <w:qFormat/>
    <w:uiPriority w:val="0"/>
    <w:rPr>
      <w:color w:val="CC0033"/>
    </w:rPr>
  </w:style>
  <w:style w:type="character" w:styleId="54">
    <w:name w:val="HTML Definition"/>
    <w:autoRedefine/>
    <w:qFormat/>
    <w:uiPriority w:val="0"/>
    <w:rPr>
      <w:rFonts w:ascii="Times New Roman" w:hAnsi="Times New Roman"/>
      <w:szCs w:val="20"/>
    </w:rPr>
  </w:style>
  <w:style w:type="character" w:styleId="55">
    <w:name w:val="HTML Acronym"/>
    <w:autoRedefine/>
    <w:qFormat/>
    <w:uiPriority w:val="0"/>
    <w:rPr>
      <w:rFonts w:ascii="Times New Roman" w:hAnsi="Times New Roman"/>
      <w:szCs w:val="20"/>
    </w:rPr>
  </w:style>
  <w:style w:type="character" w:styleId="56">
    <w:name w:val="HTML Variable"/>
    <w:autoRedefine/>
    <w:qFormat/>
    <w:uiPriority w:val="0"/>
    <w:rPr>
      <w:rFonts w:ascii="Times New Roman" w:hAnsi="Times New Roman"/>
      <w:szCs w:val="20"/>
    </w:rPr>
  </w:style>
  <w:style w:type="character" w:styleId="57">
    <w:name w:val="Hyperlink"/>
    <w:autoRedefine/>
    <w:qFormat/>
    <w:uiPriority w:val="99"/>
    <w:rPr>
      <w:rFonts w:ascii="Times New Roman" w:hAnsi="Times New Roman"/>
      <w:color w:val="000000"/>
      <w:szCs w:val="20"/>
      <w:u w:val="none"/>
    </w:rPr>
  </w:style>
  <w:style w:type="character" w:styleId="58">
    <w:name w:val="HTML Code"/>
    <w:autoRedefine/>
    <w:qFormat/>
    <w:uiPriority w:val="0"/>
    <w:rPr>
      <w:rFonts w:ascii="Courier New" w:hAnsi="Courier New" w:eastAsia="Courier New" w:cs="Courier New"/>
      <w:sz w:val="20"/>
      <w:szCs w:val="20"/>
    </w:rPr>
  </w:style>
  <w:style w:type="character" w:styleId="59">
    <w:name w:val="annotation reference"/>
    <w:autoRedefine/>
    <w:qFormat/>
    <w:uiPriority w:val="0"/>
    <w:rPr>
      <w:rFonts w:ascii="Times New Roman" w:hAnsi="Times New Roman"/>
      <w:sz w:val="21"/>
      <w:szCs w:val="21"/>
    </w:rPr>
  </w:style>
  <w:style w:type="character" w:styleId="60">
    <w:name w:val="HTML Cite"/>
    <w:autoRedefine/>
    <w:qFormat/>
    <w:uiPriority w:val="0"/>
    <w:rPr>
      <w:rFonts w:ascii="Times New Roman" w:hAnsi="Times New Roman"/>
      <w:szCs w:val="20"/>
    </w:rPr>
  </w:style>
  <w:style w:type="character" w:styleId="61">
    <w:name w:val="HTML Keyboard"/>
    <w:autoRedefine/>
    <w:qFormat/>
    <w:uiPriority w:val="0"/>
    <w:rPr>
      <w:rFonts w:ascii="Courier New" w:hAnsi="Courier New" w:eastAsia="Courier New" w:cs="Courier New"/>
      <w:sz w:val="20"/>
      <w:szCs w:val="20"/>
    </w:rPr>
  </w:style>
  <w:style w:type="character" w:styleId="62">
    <w:name w:val="HTML Sample"/>
    <w:autoRedefine/>
    <w:qFormat/>
    <w:uiPriority w:val="0"/>
    <w:rPr>
      <w:rFonts w:ascii="Courier New" w:hAnsi="Courier New" w:eastAsia="Courier New" w:cs="Courier New"/>
      <w:szCs w:val="20"/>
    </w:rPr>
  </w:style>
  <w:style w:type="paragraph" w:customStyle="1" w:styleId="63">
    <w:name w:val="Default"/>
    <w:basedOn w:val="64"/>
    <w:next w:val="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4">
    <w:name w:val="纯文本1"/>
    <w:basedOn w:val="1"/>
    <w:autoRedefine/>
    <w:qFormat/>
    <w:uiPriority w:val="0"/>
    <w:pPr>
      <w:adjustRightInd/>
      <w:snapToGrid/>
      <w:spacing w:line="240" w:lineRule="auto"/>
      <w:ind w:firstLine="0" w:firstLineChars="0"/>
    </w:pPr>
    <w:rPr>
      <w:rFonts w:ascii="宋体" w:hAnsi="Courier New" w:cs="Courier New"/>
      <w:kern w:val="0"/>
      <w:szCs w:val="21"/>
    </w:rPr>
  </w:style>
  <w:style w:type="paragraph" w:customStyle="1" w:styleId="65">
    <w:name w:val="[无段落样式]"/>
    <w:autoRedefine/>
    <w:unhideWhenUsed/>
    <w:qFormat/>
    <w:uiPriority w:val="0"/>
    <w:pPr>
      <w:widowControl w:val="0"/>
      <w:autoSpaceDE w:val="0"/>
      <w:autoSpaceDN w:val="0"/>
      <w:adjustRightInd w:val="0"/>
      <w:spacing w:line="288" w:lineRule="auto"/>
      <w:jc w:val="both"/>
      <w:textAlignment w:val="center"/>
    </w:pPr>
    <w:rPr>
      <w:rFonts w:hint="eastAsia" w:ascii="Adobe 宋体 Std L" w:hAnsi="Adobe 宋体 Std L" w:eastAsia="Adobe 宋体 Std L" w:cs="Times New Roman"/>
      <w:color w:val="000000"/>
      <w:sz w:val="24"/>
      <w:szCs w:val="22"/>
      <w:lang w:val="zh-CN" w:eastAsia="zh-CN" w:bidi="ar-SA"/>
    </w:rPr>
  </w:style>
  <w:style w:type="paragraph" w:customStyle="1" w:styleId="66">
    <w:name w:val="【表头】"/>
    <w:basedOn w:val="1"/>
    <w:link w:val="67"/>
    <w:autoRedefine/>
    <w:qFormat/>
    <w:uiPriority w:val="0"/>
    <w:pPr>
      <w:spacing w:line="500" w:lineRule="exact"/>
      <w:ind w:firstLine="0" w:firstLineChars="0"/>
      <w:jc w:val="center"/>
    </w:pPr>
    <w:rPr>
      <w:rFonts w:eastAsia="黑体"/>
      <w:lang w:val="zh-CN"/>
    </w:rPr>
  </w:style>
  <w:style w:type="character" w:customStyle="1" w:styleId="67">
    <w:name w:val="【表头】 Char"/>
    <w:link w:val="66"/>
    <w:autoRedefine/>
    <w:qFormat/>
    <w:uiPriority w:val="0"/>
    <w:rPr>
      <w:rFonts w:ascii="Times New Roman" w:hAnsi="Times New Roman" w:eastAsia="黑体"/>
      <w:sz w:val="24"/>
      <w:lang w:val="zh-CN" w:eastAsia="zh-CN"/>
    </w:rPr>
  </w:style>
  <w:style w:type="paragraph" w:customStyle="1" w:styleId="68">
    <w:name w:val="1【表中文字】"/>
    <w:basedOn w:val="1"/>
    <w:autoRedefine/>
    <w:qFormat/>
    <w:uiPriority w:val="0"/>
    <w:pPr>
      <w:spacing w:line="400" w:lineRule="exact"/>
      <w:jc w:val="center"/>
    </w:pPr>
    <w:rPr>
      <w:rFonts w:cs="Times New Roman"/>
      <w:kern w:val="0"/>
      <w:sz w:val="21"/>
      <w:szCs w:val="21"/>
    </w:rPr>
  </w:style>
  <w:style w:type="character" w:customStyle="1" w:styleId="69">
    <w:name w:val="【表中文字】 Char Char"/>
    <w:autoRedefine/>
    <w:qFormat/>
    <w:uiPriority w:val="0"/>
    <w:rPr>
      <w:kern w:val="2"/>
      <w:sz w:val="21"/>
    </w:rPr>
  </w:style>
  <w:style w:type="character" w:customStyle="1" w:styleId="70">
    <w:name w:val="标题 2 字符"/>
    <w:basedOn w:val="49"/>
    <w:link w:val="3"/>
    <w:autoRedefine/>
    <w:qFormat/>
    <w:uiPriority w:val="0"/>
    <w:rPr>
      <w:rFonts w:ascii="Times New Roman" w:hAnsi="Times New Roman" w:eastAsia="黑体" w:cstheme="majorBidi"/>
      <w:bCs/>
      <w:sz w:val="28"/>
      <w:szCs w:val="32"/>
    </w:rPr>
  </w:style>
  <w:style w:type="character" w:customStyle="1" w:styleId="71">
    <w:name w:val="标题 3 字符"/>
    <w:basedOn w:val="49"/>
    <w:link w:val="4"/>
    <w:autoRedefine/>
    <w:qFormat/>
    <w:uiPriority w:val="0"/>
    <w:rPr>
      <w:rFonts w:ascii="Times New Roman" w:hAnsi="Times New Roman" w:eastAsia="黑体"/>
      <w:bCs/>
      <w:sz w:val="24"/>
      <w:szCs w:val="32"/>
    </w:rPr>
  </w:style>
  <w:style w:type="character" w:customStyle="1" w:styleId="72">
    <w:name w:val="标题 4 字符"/>
    <w:basedOn w:val="49"/>
    <w:link w:val="5"/>
    <w:autoRedefine/>
    <w:qFormat/>
    <w:uiPriority w:val="0"/>
    <w:rPr>
      <w:rFonts w:ascii="Times New Roman" w:hAnsi="Times New Roman" w:eastAsia="宋体" w:cs="Times New Roman"/>
      <w:b/>
      <w:sz w:val="24"/>
      <w:szCs w:val="20"/>
      <w:lang w:val="zh-CN" w:eastAsia="zh-CN"/>
    </w:rPr>
  </w:style>
  <w:style w:type="paragraph" w:customStyle="1" w:styleId="73">
    <w:name w:val="【表中文字】"/>
    <w:basedOn w:val="1"/>
    <w:link w:val="74"/>
    <w:autoRedefine/>
    <w:qFormat/>
    <w:uiPriority w:val="0"/>
    <w:pPr>
      <w:adjustRightInd/>
      <w:snapToGrid/>
      <w:spacing w:line="360" w:lineRule="exact"/>
      <w:ind w:firstLine="0" w:firstLineChars="0"/>
      <w:jc w:val="center"/>
    </w:pPr>
    <w:rPr>
      <w:sz w:val="21"/>
      <w:lang w:val="zh-CN"/>
    </w:rPr>
  </w:style>
  <w:style w:type="character" w:customStyle="1" w:styleId="74">
    <w:name w:val="【表中文字】 Char"/>
    <w:link w:val="73"/>
    <w:autoRedefine/>
    <w:qFormat/>
    <w:uiPriority w:val="0"/>
    <w:rPr>
      <w:rFonts w:ascii="Times New Roman" w:hAnsi="Times New Roman" w:eastAsia="宋体"/>
      <w:lang w:val="zh-CN" w:eastAsia="zh-CN"/>
    </w:rPr>
  </w:style>
  <w:style w:type="paragraph" w:customStyle="1" w:styleId="75">
    <w:name w:val="表格11"/>
    <w:basedOn w:val="76"/>
    <w:next w:val="76"/>
    <w:autoRedefine/>
    <w:qFormat/>
    <w:uiPriority w:val="0"/>
    <w:pPr>
      <w:tabs>
        <w:tab w:val="center" w:pos="0"/>
        <w:tab w:val="left" w:pos="146"/>
      </w:tabs>
      <w:snapToGrid w:val="0"/>
      <w:spacing w:line="360" w:lineRule="exact"/>
      <w:jc w:val="center"/>
    </w:pPr>
    <w:rPr>
      <w:snapToGrid w:val="0"/>
      <w:spacing w:val="6"/>
      <w:kern w:val="0"/>
      <w:sz w:val="21"/>
      <w:szCs w:val="21"/>
    </w:rPr>
  </w:style>
  <w:style w:type="paragraph" w:customStyle="1" w:styleId="76">
    <w:name w:val="自由格式"/>
    <w:next w:val="1"/>
    <w:autoRedefine/>
    <w:qFormat/>
    <w:uiPriority w:val="0"/>
    <w:pPr>
      <w:adjustRightInd w:val="0"/>
      <w:spacing w:before="25" w:after="25" w:line="500" w:lineRule="atLeast"/>
    </w:pPr>
    <w:rPr>
      <w:rFonts w:ascii="Times New Roman" w:hAnsi="Times New Roman" w:eastAsia="宋体" w:cs="Times New Roman"/>
      <w:kern w:val="2"/>
      <w:sz w:val="24"/>
      <w:lang w:val="en-US" w:eastAsia="zh-CN" w:bidi="ar-SA"/>
    </w:rPr>
  </w:style>
  <w:style w:type="paragraph" w:customStyle="1" w:styleId="77">
    <w:name w:val="Normal (Web)1"/>
    <w:basedOn w:val="1"/>
    <w:next w:val="78"/>
    <w:autoRedefine/>
    <w:qFormat/>
    <w:uiPriority w:val="0"/>
    <w:pPr>
      <w:widowControl/>
      <w:jc w:val="left"/>
    </w:pPr>
    <w:rPr>
      <w:rFonts w:ascii="宋体" w:cs="Times New Roman"/>
      <w:kern w:val="0"/>
      <w:szCs w:val="21"/>
    </w:rPr>
  </w:style>
  <w:style w:type="paragraph" w:customStyle="1" w:styleId="78">
    <w:name w:val="Date1"/>
    <w:basedOn w:val="1"/>
    <w:next w:val="1"/>
    <w:autoRedefine/>
    <w:qFormat/>
    <w:uiPriority w:val="0"/>
    <w:pPr>
      <w:ind w:left="2500" w:leftChars="2500"/>
    </w:pPr>
  </w:style>
  <w:style w:type="paragraph" w:customStyle="1" w:styleId="79">
    <w:name w:val="报告书正文"/>
    <w:basedOn w:val="45"/>
    <w:autoRedefine/>
    <w:qFormat/>
    <w:uiPriority w:val="0"/>
    <w:pPr>
      <w:spacing w:line="400" w:lineRule="atLeast"/>
      <w:ind w:firstLine="200"/>
    </w:pPr>
    <w:rPr>
      <w:rFonts w:cs="Times New Roman"/>
      <w:kern w:val="0"/>
      <w:szCs w:val="20"/>
    </w:rPr>
  </w:style>
  <w:style w:type="paragraph" w:customStyle="1" w:styleId="80">
    <w:name w:val="列出段落1"/>
    <w:basedOn w:val="1"/>
    <w:autoRedefine/>
    <w:qFormat/>
    <w:uiPriority w:val="0"/>
    <w:pPr>
      <w:adjustRightInd/>
      <w:snapToGrid/>
      <w:spacing w:line="240" w:lineRule="auto"/>
      <w:ind w:firstLine="420"/>
    </w:pPr>
    <w:rPr>
      <w:rFonts w:ascii="宋体" w:cs="Times New Roman"/>
      <w:kern w:val="0"/>
      <w:szCs w:val="20"/>
    </w:rPr>
  </w:style>
  <w:style w:type="paragraph" w:customStyle="1" w:styleId="81">
    <w:name w:val="样式 正文首行缩进 + 首行缩进:  2 字符1"/>
    <w:basedOn w:val="1"/>
    <w:next w:val="31"/>
    <w:autoRedefine/>
    <w:qFormat/>
    <w:uiPriority w:val="0"/>
  </w:style>
  <w:style w:type="paragraph" w:customStyle="1" w:styleId="82">
    <w:name w:val="_Style 4"/>
    <w:basedOn w:val="1"/>
    <w:next w:val="1"/>
    <w:autoRedefine/>
    <w:qFormat/>
    <w:uiPriority w:val="0"/>
    <w:pPr>
      <w:tabs>
        <w:tab w:val="left" w:pos="4665"/>
        <w:tab w:val="left" w:pos="8970"/>
      </w:tabs>
      <w:ind w:firstLine="400"/>
    </w:pPr>
    <w:rPr>
      <w:rFonts w:ascii="宋体" w:hAnsi="宋体"/>
      <w:sz w:val="30"/>
      <w:szCs w:val="30"/>
    </w:rPr>
  </w:style>
  <w:style w:type="character" w:customStyle="1" w:styleId="83">
    <w:name w:val="标题 1 字符"/>
    <w:basedOn w:val="49"/>
    <w:link w:val="2"/>
    <w:autoRedefine/>
    <w:qFormat/>
    <w:uiPriority w:val="0"/>
    <w:rPr>
      <w:rFonts w:ascii="Times New Roman" w:hAnsi="Times New Roman" w:eastAsia="黑体"/>
      <w:sz w:val="32"/>
    </w:rPr>
  </w:style>
  <w:style w:type="character" w:customStyle="1" w:styleId="84">
    <w:name w:val="正文缩进 字符"/>
    <w:link w:val="7"/>
    <w:autoRedefine/>
    <w:qFormat/>
    <w:uiPriority w:val="0"/>
    <w:rPr>
      <w:rFonts w:ascii="Times New Roman" w:hAnsi="Times New Roman"/>
    </w:rPr>
  </w:style>
  <w:style w:type="character" w:customStyle="1" w:styleId="85">
    <w:name w:val="标题 5 字符"/>
    <w:basedOn w:val="49"/>
    <w:link w:val="6"/>
    <w:autoRedefine/>
    <w:qFormat/>
    <w:uiPriority w:val="0"/>
    <w:rPr>
      <w:rFonts w:ascii="Times New Roman" w:hAnsi="Times New Roman" w:eastAsia="宋体" w:cs="Times New Roman"/>
      <w:b/>
      <w:sz w:val="28"/>
      <w:szCs w:val="20"/>
      <w:lang w:val="zh-CN" w:eastAsia="zh-CN"/>
    </w:rPr>
  </w:style>
  <w:style w:type="character" w:customStyle="1" w:styleId="86">
    <w:name w:val="标题 6 字符"/>
    <w:basedOn w:val="49"/>
    <w:link w:val="8"/>
    <w:autoRedefine/>
    <w:qFormat/>
    <w:uiPriority w:val="0"/>
    <w:rPr>
      <w:rFonts w:ascii="Arial" w:hAnsi="Arial" w:eastAsia="黑体" w:cs="Times New Roman"/>
      <w:b/>
      <w:sz w:val="24"/>
      <w:szCs w:val="20"/>
      <w:lang w:val="zh-CN" w:eastAsia="zh-CN"/>
    </w:rPr>
  </w:style>
  <w:style w:type="character" w:customStyle="1" w:styleId="87">
    <w:name w:val="标题 7 字符"/>
    <w:basedOn w:val="49"/>
    <w:link w:val="9"/>
    <w:autoRedefine/>
    <w:qFormat/>
    <w:uiPriority w:val="0"/>
    <w:rPr>
      <w:rFonts w:ascii="Times New Roman" w:hAnsi="Times New Roman" w:eastAsia="宋体" w:cs="Times New Roman"/>
      <w:b/>
      <w:sz w:val="24"/>
      <w:szCs w:val="20"/>
      <w:lang w:val="zh-CN" w:eastAsia="zh-CN"/>
    </w:rPr>
  </w:style>
  <w:style w:type="character" w:customStyle="1" w:styleId="88">
    <w:name w:val="标题 8 字符"/>
    <w:basedOn w:val="49"/>
    <w:link w:val="10"/>
    <w:autoRedefine/>
    <w:qFormat/>
    <w:uiPriority w:val="0"/>
    <w:rPr>
      <w:rFonts w:ascii="Arial" w:hAnsi="Arial" w:eastAsia="黑体" w:cs="Times New Roman"/>
      <w:sz w:val="24"/>
      <w:szCs w:val="20"/>
      <w:lang w:val="zh-CN" w:eastAsia="zh-CN"/>
    </w:rPr>
  </w:style>
  <w:style w:type="character" w:customStyle="1" w:styleId="89">
    <w:name w:val="标题 9 字符"/>
    <w:basedOn w:val="49"/>
    <w:link w:val="11"/>
    <w:autoRedefine/>
    <w:qFormat/>
    <w:uiPriority w:val="0"/>
    <w:rPr>
      <w:rFonts w:ascii="Arial" w:hAnsi="Arial" w:eastAsia="黑体" w:cs="Times New Roman"/>
      <w:szCs w:val="20"/>
      <w:lang w:val="zh-CN" w:eastAsia="zh-CN"/>
    </w:rPr>
  </w:style>
  <w:style w:type="character" w:customStyle="1" w:styleId="90">
    <w:name w:val="批注文字 字符"/>
    <w:basedOn w:val="49"/>
    <w:link w:val="16"/>
    <w:autoRedefine/>
    <w:qFormat/>
    <w:uiPriority w:val="0"/>
    <w:rPr>
      <w:rFonts w:ascii="Times New Roman" w:hAnsi="Times New Roman" w:eastAsia="宋体"/>
      <w:sz w:val="24"/>
    </w:rPr>
  </w:style>
  <w:style w:type="character" w:customStyle="1" w:styleId="91">
    <w:name w:val="批注主题 字符"/>
    <w:basedOn w:val="90"/>
    <w:link w:val="44"/>
    <w:autoRedefine/>
    <w:qFormat/>
    <w:uiPriority w:val="0"/>
    <w:rPr>
      <w:rFonts w:ascii="宋体" w:hAnsi="Times New Roman" w:eastAsia="宋体" w:cs="Times New Roman"/>
      <w:b/>
      <w:bCs/>
      <w:kern w:val="0"/>
      <w:sz w:val="20"/>
      <w:szCs w:val="20"/>
    </w:rPr>
  </w:style>
  <w:style w:type="character" w:customStyle="1" w:styleId="92">
    <w:name w:val="正文文本 字符1"/>
    <w:basedOn w:val="49"/>
    <w:link w:val="18"/>
    <w:autoRedefine/>
    <w:qFormat/>
    <w:uiPriority w:val="99"/>
    <w:rPr>
      <w:rFonts w:ascii="Times New Roman" w:hAnsi="Times New Roman" w:eastAsia="宋体"/>
      <w:sz w:val="24"/>
    </w:rPr>
  </w:style>
  <w:style w:type="character" w:customStyle="1" w:styleId="93">
    <w:name w:val="正文文本首行缩进 字符"/>
    <w:link w:val="45"/>
    <w:autoRedefine/>
    <w:qFormat/>
    <w:uiPriority w:val="0"/>
    <w:rPr>
      <w:rFonts w:ascii="Times New Roman" w:hAnsi="Times New Roman"/>
    </w:rPr>
  </w:style>
  <w:style w:type="character" w:customStyle="1" w:styleId="94">
    <w:name w:val="题注 字符"/>
    <w:link w:val="14"/>
    <w:autoRedefine/>
    <w:qFormat/>
    <w:uiPriority w:val="0"/>
    <w:rPr>
      <w:rFonts w:eastAsia="黑体" w:asciiTheme="majorHAnsi" w:hAnsiTheme="majorHAnsi" w:cstheme="majorBidi"/>
      <w:sz w:val="20"/>
      <w:szCs w:val="20"/>
    </w:rPr>
  </w:style>
  <w:style w:type="character" w:customStyle="1" w:styleId="95">
    <w:name w:val="文档结构图 字符"/>
    <w:link w:val="15"/>
    <w:autoRedefine/>
    <w:qFormat/>
    <w:uiPriority w:val="0"/>
    <w:rPr>
      <w:rFonts w:ascii="Times New Roman" w:hAnsi="Times New Roman"/>
      <w:shd w:val="clear" w:color="auto" w:fill="000080"/>
    </w:rPr>
  </w:style>
  <w:style w:type="character" w:customStyle="1" w:styleId="96">
    <w:name w:val="正文文本 3 字符"/>
    <w:link w:val="17"/>
    <w:autoRedefine/>
    <w:qFormat/>
    <w:uiPriority w:val="0"/>
    <w:rPr>
      <w:rFonts w:ascii="Times New Roman" w:hAnsi="Times New Roman"/>
      <w:sz w:val="16"/>
    </w:rPr>
  </w:style>
  <w:style w:type="character" w:customStyle="1" w:styleId="97">
    <w:name w:val="正文文本缩进 字符"/>
    <w:link w:val="19"/>
    <w:autoRedefine/>
    <w:qFormat/>
    <w:uiPriority w:val="99"/>
    <w:rPr>
      <w:rFonts w:ascii="宋体" w:hAnsi="宋体"/>
      <w:sz w:val="28"/>
    </w:rPr>
  </w:style>
  <w:style w:type="character" w:customStyle="1" w:styleId="98">
    <w:name w:val="纯文本 字符"/>
    <w:link w:val="23"/>
    <w:autoRedefine/>
    <w:qFormat/>
    <w:uiPriority w:val="0"/>
    <w:rPr>
      <w:rFonts w:ascii="宋体" w:hAnsi="Courier New"/>
    </w:rPr>
  </w:style>
  <w:style w:type="character" w:customStyle="1" w:styleId="99">
    <w:name w:val="日期 字符"/>
    <w:link w:val="26"/>
    <w:autoRedefine/>
    <w:qFormat/>
    <w:uiPriority w:val="0"/>
    <w:rPr>
      <w:rFonts w:ascii="Times New Roman" w:hAnsi="Times New Roman"/>
      <w:sz w:val="28"/>
    </w:rPr>
  </w:style>
  <w:style w:type="character" w:customStyle="1" w:styleId="100">
    <w:name w:val="正文文本缩进 2 字符"/>
    <w:link w:val="27"/>
    <w:autoRedefine/>
    <w:qFormat/>
    <w:uiPriority w:val="0"/>
    <w:rPr>
      <w:rFonts w:ascii="Times New Roman" w:hAnsi="Times New Roman"/>
      <w:sz w:val="24"/>
    </w:rPr>
  </w:style>
  <w:style w:type="character" w:customStyle="1" w:styleId="101">
    <w:name w:val="批注框文本 字符"/>
    <w:link w:val="28"/>
    <w:autoRedefine/>
    <w:qFormat/>
    <w:uiPriority w:val="0"/>
    <w:rPr>
      <w:rFonts w:ascii="Times New Roman" w:hAnsi="Times New Roman"/>
      <w:sz w:val="18"/>
    </w:rPr>
  </w:style>
  <w:style w:type="character" w:customStyle="1" w:styleId="102">
    <w:name w:val="页脚 字符"/>
    <w:basedOn w:val="49"/>
    <w:link w:val="29"/>
    <w:autoRedefine/>
    <w:qFormat/>
    <w:uiPriority w:val="99"/>
    <w:rPr>
      <w:rFonts w:ascii="Times New Roman" w:hAnsi="Times New Roman" w:eastAsia="宋体"/>
      <w:sz w:val="18"/>
      <w:szCs w:val="18"/>
    </w:rPr>
  </w:style>
  <w:style w:type="character" w:customStyle="1" w:styleId="103">
    <w:name w:val="正文文本首行缩进 2 字符"/>
    <w:basedOn w:val="104"/>
    <w:link w:val="46"/>
    <w:autoRedefine/>
    <w:semiHidden/>
    <w:qFormat/>
    <w:uiPriority w:val="99"/>
    <w:rPr>
      <w:rFonts w:ascii="Times New Roman" w:hAnsi="Times New Roman" w:eastAsia="宋体"/>
      <w:sz w:val="24"/>
    </w:rPr>
  </w:style>
  <w:style w:type="character" w:customStyle="1" w:styleId="104">
    <w:name w:val="正文文本缩进 字符1"/>
    <w:basedOn w:val="49"/>
    <w:autoRedefine/>
    <w:semiHidden/>
    <w:qFormat/>
    <w:uiPriority w:val="99"/>
    <w:rPr>
      <w:rFonts w:ascii="Times New Roman" w:hAnsi="Times New Roman" w:eastAsia="宋体"/>
      <w:sz w:val="24"/>
    </w:rPr>
  </w:style>
  <w:style w:type="character" w:customStyle="1" w:styleId="105">
    <w:name w:val="页眉 字符"/>
    <w:basedOn w:val="49"/>
    <w:link w:val="30"/>
    <w:autoRedefine/>
    <w:qFormat/>
    <w:uiPriority w:val="0"/>
    <w:rPr>
      <w:rFonts w:ascii="Times New Roman" w:hAnsi="Times New Roman" w:eastAsia="宋体"/>
      <w:sz w:val="18"/>
      <w:szCs w:val="18"/>
    </w:rPr>
  </w:style>
  <w:style w:type="character" w:customStyle="1" w:styleId="106">
    <w:name w:val="正文文本缩进 3 字符"/>
    <w:link w:val="35"/>
    <w:autoRedefine/>
    <w:qFormat/>
    <w:uiPriority w:val="0"/>
    <w:rPr>
      <w:rFonts w:ascii="宋体" w:hAnsi="宋体"/>
      <w:sz w:val="24"/>
    </w:rPr>
  </w:style>
  <w:style w:type="character" w:customStyle="1" w:styleId="107">
    <w:name w:val="正文文本 2 字符"/>
    <w:link w:val="38"/>
    <w:autoRedefine/>
    <w:qFormat/>
    <w:uiPriority w:val="0"/>
    <w:rPr>
      <w:rFonts w:ascii="宋体" w:hAnsi="宋体"/>
      <w:sz w:val="28"/>
    </w:rPr>
  </w:style>
  <w:style w:type="character" w:customStyle="1" w:styleId="108">
    <w:name w:val="HTML 预设格式 字符"/>
    <w:link w:val="40"/>
    <w:autoRedefine/>
    <w:qFormat/>
    <w:uiPriority w:val="99"/>
    <w:rPr>
      <w:rFonts w:ascii="宋体" w:hAnsi="宋体"/>
      <w:sz w:val="24"/>
    </w:rPr>
  </w:style>
  <w:style w:type="character" w:customStyle="1" w:styleId="109">
    <w:name w:val="标题 字符"/>
    <w:basedOn w:val="49"/>
    <w:link w:val="43"/>
    <w:autoRedefine/>
    <w:qFormat/>
    <w:uiPriority w:val="10"/>
    <w:rPr>
      <w:rFonts w:ascii="Times New Roman" w:hAnsi="Times New Roman" w:eastAsia="黑体" w:cstheme="majorBidi"/>
      <w:bCs/>
      <w:sz w:val="24"/>
      <w:szCs w:val="32"/>
    </w:rPr>
  </w:style>
  <w:style w:type="paragraph" w:customStyle="1" w:styleId="110">
    <w:name w:val="表头"/>
    <w:basedOn w:val="1"/>
    <w:next w:val="1"/>
    <w:link w:val="111"/>
    <w:autoRedefine/>
    <w:qFormat/>
    <w:uiPriority w:val="0"/>
    <w:pPr>
      <w:ind w:firstLine="0" w:firstLineChars="0"/>
      <w:jc w:val="center"/>
    </w:pPr>
    <w:rPr>
      <w:rFonts w:eastAsia="黑体"/>
    </w:rPr>
  </w:style>
  <w:style w:type="character" w:customStyle="1" w:styleId="111">
    <w:name w:val="表头 字符"/>
    <w:basedOn w:val="49"/>
    <w:link w:val="110"/>
    <w:autoRedefine/>
    <w:qFormat/>
    <w:uiPriority w:val="0"/>
    <w:rPr>
      <w:rFonts w:ascii="Times New Roman" w:hAnsi="Times New Roman" w:eastAsia="黑体"/>
      <w:sz w:val="24"/>
    </w:rPr>
  </w:style>
  <w:style w:type="paragraph" w:customStyle="1" w:styleId="112">
    <w:name w:val="表中文字"/>
    <w:basedOn w:val="110"/>
    <w:link w:val="113"/>
    <w:autoRedefine/>
    <w:qFormat/>
    <w:uiPriority w:val="0"/>
    <w:pPr>
      <w:spacing w:line="240" w:lineRule="auto"/>
    </w:pPr>
    <w:rPr>
      <w:rFonts w:eastAsia="宋体"/>
      <w:sz w:val="21"/>
    </w:rPr>
  </w:style>
  <w:style w:type="character" w:customStyle="1" w:styleId="113">
    <w:name w:val="表中文字 字符"/>
    <w:basedOn w:val="111"/>
    <w:link w:val="112"/>
    <w:autoRedefine/>
    <w:qFormat/>
    <w:uiPriority w:val="0"/>
    <w:rPr>
      <w:rFonts w:ascii="Times New Roman" w:hAnsi="Times New Roman" w:eastAsia="宋体"/>
      <w:sz w:val="24"/>
    </w:rPr>
  </w:style>
  <w:style w:type="table" w:customStyle="1" w:styleId="114">
    <w:name w:val="样式1"/>
    <w:basedOn w:val="47"/>
    <w:autoRedefine/>
    <w:qFormat/>
    <w:uiPriority w:val="99"/>
    <w:tblPr>
      <w:tblBorders>
        <w:top w:val="single" w:color="auto" w:sz="4" w:space="0"/>
        <w:bottom w:val="single" w:color="auto" w:sz="4" w:space="0"/>
        <w:insideH w:val="single" w:color="auto" w:sz="4" w:space="0"/>
        <w:insideV w:val="single" w:color="auto" w:sz="4" w:space="0"/>
      </w:tblBorders>
    </w:tblPr>
  </w:style>
  <w:style w:type="character" w:customStyle="1" w:styleId="115">
    <w:name w:val="正文文本最新 Char Char Char Char Char Char Char"/>
    <w:autoRedefine/>
    <w:qFormat/>
    <w:uiPriority w:val="0"/>
    <w:rPr>
      <w:rFonts w:eastAsia="宋体"/>
      <w:kern w:val="2"/>
      <w:sz w:val="28"/>
      <w:lang w:val="en-US" w:eastAsia="zh-CN"/>
    </w:rPr>
  </w:style>
  <w:style w:type="character" w:customStyle="1" w:styleId="116">
    <w:name w:val="【正文】 Char"/>
    <w:link w:val="117"/>
    <w:autoRedefine/>
    <w:qFormat/>
    <w:uiPriority w:val="0"/>
    <w:rPr>
      <w:rFonts w:ascii="Times New Roman" w:hAnsi="Times New Roman" w:eastAsia="宋体"/>
      <w:sz w:val="24"/>
    </w:rPr>
  </w:style>
  <w:style w:type="paragraph" w:customStyle="1" w:styleId="117">
    <w:name w:val="【正文】"/>
    <w:basedOn w:val="1"/>
    <w:next w:val="39"/>
    <w:link w:val="116"/>
    <w:autoRedefine/>
    <w:qFormat/>
    <w:uiPriority w:val="0"/>
    <w:pPr>
      <w:adjustRightInd/>
      <w:snapToGrid/>
      <w:spacing w:line="500" w:lineRule="exact"/>
    </w:pPr>
  </w:style>
  <w:style w:type="character" w:customStyle="1" w:styleId="118">
    <w:name w:val="表格标题 Char Char"/>
    <w:link w:val="119"/>
    <w:autoRedefine/>
    <w:qFormat/>
    <w:uiPriority w:val="0"/>
    <w:rPr>
      <w:rFonts w:ascii="宋体" w:hAnsi="宋体"/>
      <w:sz w:val="24"/>
    </w:rPr>
  </w:style>
  <w:style w:type="paragraph" w:customStyle="1" w:styleId="119">
    <w:name w:val="表格标题"/>
    <w:basedOn w:val="1"/>
    <w:link w:val="118"/>
    <w:autoRedefine/>
    <w:qFormat/>
    <w:uiPriority w:val="0"/>
    <w:pPr>
      <w:adjustRightInd/>
      <w:snapToGrid/>
    </w:pPr>
    <w:rPr>
      <w:rFonts w:ascii="宋体" w:hAnsi="宋体" w:eastAsiaTheme="minorEastAsia"/>
    </w:rPr>
  </w:style>
  <w:style w:type="character" w:customStyle="1" w:styleId="120">
    <w:name w:val="标题 1 Char Char Char"/>
    <w:autoRedefine/>
    <w:qFormat/>
    <w:uiPriority w:val="0"/>
    <w:rPr>
      <w:rFonts w:ascii="Times New Roman" w:hAnsi="Times New Roman"/>
      <w:b/>
      <w:kern w:val="44"/>
      <w:sz w:val="44"/>
    </w:rPr>
  </w:style>
  <w:style w:type="character" w:customStyle="1" w:styleId="121">
    <w:name w:val="hover73"/>
    <w:autoRedefine/>
    <w:qFormat/>
    <w:uiPriority w:val="0"/>
    <w:rPr>
      <w:rFonts w:ascii="Times New Roman" w:hAnsi="Times New Roman"/>
      <w:color w:val="BA0000"/>
      <w:szCs w:val="20"/>
    </w:rPr>
  </w:style>
  <w:style w:type="character" w:customStyle="1" w:styleId="122">
    <w:name w:val="表文字居中 Char Char"/>
    <w:link w:val="123"/>
    <w:autoRedefine/>
    <w:qFormat/>
    <w:uiPriority w:val="0"/>
    <w:rPr>
      <w:rFonts w:ascii="Arial" w:hAnsi="Arial"/>
    </w:rPr>
  </w:style>
  <w:style w:type="paragraph" w:customStyle="1" w:styleId="123">
    <w:name w:val="表文字居中"/>
    <w:link w:val="122"/>
    <w:autoRedefine/>
    <w:qFormat/>
    <w:uiPriority w:val="0"/>
    <w:pPr>
      <w:adjustRightInd w:val="0"/>
      <w:spacing w:line="360" w:lineRule="auto"/>
      <w:jc w:val="center"/>
    </w:pPr>
    <w:rPr>
      <w:rFonts w:ascii="Arial" w:hAnsi="Arial" w:eastAsiaTheme="minorEastAsia" w:cstheme="minorBidi"/>
      <w:kern w:val="2"/>
      <w:sz w:val="21"/>
      <w:szCs w:val="22"/>
      <w:lang w:val="en-US" w:eastAsia="zh-CN" w:bidi="ar-SA"/>
    </w:rPr>
  </w:style>
  <w:style w:type="character" w:customStyle="1" w:styleId="124">
    <w:name w:val="标题 6 Char1"/>
    <w:autoRedefine/>
    <w:qFormat/>
    <w:uiPriority w:val="0"/>
    <w:rPr>
      <w:rFonts w:ascii="Cambria" w:hAnsi="Cambria" w:eastAsia="宋体" w:cs="Times New Roman"/>
      <w:b/>
      <w:bCs/>
      <w:kern w:val="2"/>
      <w:sz w:val="24"/>
      <w:szCs w:val="24"/>
    </w:rPr>
  </w:style>
  <w:style w:type="character" w:customStyle="1" w:styleId="125">
    <w:name w:val="font41"/>
    <w:basedOn w:val="49"/>
    <w:autoRedefine/>
    <w:qFormat/>
    <w:uiPriority w:val="0"/>
    <w:rPr>
      <w:rFonts w:hint="eastAsia" w:ascii="宋体" w:hAnsi="宋体" w:eastAsia="宋体" w:cs="宋体"/>
      <w:b/>
      <w:color w:val="000000"/>
      <w:sz w:val="20"/>
      <w:szCs w:val="20"/>
      <w:u w:val="none"/>
    </w:rPr>
  </w:style>
  <w:style w:type="character" w:customStyle="1" w:styleId="126">
    <w:name w:val="正文文本缩进 2 Char1"/>
    <w:autoRedefine/>
    <w:qFormat/>
    <w:uiPriority w:val="0"/>
    <w:rPr>
      <w:kern w:val="2"/>
      <w:sz w:val="21"/>
    </w:rPr>
  </w:style>
  <w:style w:type="character" w:customStyle="1" w:styleId="127">
    <w:name w:val="标题 2 Char Char"/>
    <w:autoRedefine/>
    <w:qFormat/>
    <w:uiPriority w:val="0"/>
    <w:rPr>
      <w:rFonts w:ascii="Cambria" w:hAnsi="Cambria" w:eastAsia="宋体" w:cs="Times New Roman"/>
      <w:b/>
      <w:bCs/>
      <w:kern w:val="2"/>
      <w:sz w:val="32"/>
      <w:szCs w:val="32"/>
    </w:rPr>
  </w:style>
  <w:style w:type="character" w:customStyle="1" w:styleId="128">
    <w:name w:val="highlight1"/>
    <w:autoRedefine/>
    <w:qFormat/>
    <w:uiPriority w:val="0"/>
    <w:rPr>
      <w:sz w:val="19"/>
    </w:rPr>
  </w:style>
  <w:style w:type="character" w:customStyle="1" w:styleId="129">
    <w:name w:val="正文文本缩进 3 Char1"/>
    <w:autoRedefine/>
    <w:qFormat/>
    <w:uiPriority w:val="0"/>
    <w:rPr>
      <w:kern w:val="2"/>
      <w:sz w:val="16"/>
      <w:szCs w:val="16"/>
    </w:rPr>
  </w:style>
  <w:style w:type="character" w:customStyle="1" w:styleId="130">
    <w:name w:val="ourfont2"/>
    <w:autoRedefine/>
    <w:qFormat/>
    <w:uiPriority w:val="0"/>
  </w:style>
  <w:style w:type="character" w:customStyle="1" w:styleId="131">
    <w:name w:val="页脚 Char1"/>
    <w:autoRedefine/>
    <w:qFormat/>
    <w:uiPriority w:val="0"/>
    <w:rPr>
      <w:kern w:val="2"/>
      <w:sz w:val="18"/>
      <w:szCs w:val="18"/>
    </w:rPr>
  </w:style>
  <w:style w:type="character" w:customStyle="1" w:styleId="132">
    <w:name w:val="l181"/>
    <w:autoRedefine/>
    <w:qFormat/>
    <w:uiPriority w:val="0"/>
  </w:style>
  <w:style w:type="character" w:customStyle="1" w:styleId="133">
    <w:name w:val="正文首行缩进 Char Char Char"/>
    <w:link w:val="134"/>
    <w:autoRedefine/>
    <w:qFormat/>
    <w:uiPriority w:val="0"/>
    <w:rPr>
      <w:rFonts w:ascii="Calibri" w:hAnsi="Calibri" w:eastAsia="宋体"/>
    </w:rPr>
  </w:style>
  <w:style w:type="paragraph" w:customStyle="1" w:styleId="134">
    <w:name w:val="正文首行缩进1"/>
    <w:basedOn w:val="18"/>
    <w:link w:val="133"/>
    <w:autoRedefine/>
    <w:qFormat/>
    <w:uiPriority w:val="0"/>
    <w:pPr>
      <w:adjustRightInd/>
      <w:snapToGrid/>
      <w:spacing w:before="78" w:beforeLines="25" w:after="78" w:afterLines="25"/>
      <w:ind w:firstLine="420" w:firstLineChars="100"/>
    </w:pPr>
    <w:rPr>
      <w:rFonts w:ascii="Calibri" w:hAnsi="Calibri"/>
      <w:sz w:val="21"/>
    </w:rPr>
  </w:style>
  <w:style w:type="character" w:customStyle="1" w:styleId="135">
    <w:name w:val="样式 正文缩进首行缩进两字identication表正文正文非缩进 + 段前: 0.25 行 段后: 0.25 行 Char Char Char Char Char"/>
    <w:link w:val="136"/>
    <w:autoRedefine/>
    <w:qFormat/>
    <w:uiPriority w:val="0"/>
    <w:rPr>
      <w:rFonts w:ascii="宋体" w:hAnsi="Courier New" w:cs="宋体"/>
      <w:spacing w:val="-2"/>
      <w:kern w:val="10"/>
      <w:sz w:val="24"/>
    </w:rPr>
  </w:style>
  <w:style w:type="paragraph" w:customStyle="1" w:styleId="136">
    <w:name w:val="样式 正文缩进首行缩进两字identication表正文正文非缩进 + 段前: 0.25 行 段后: 0.25 行"/>
    <w:basedOn w:val="7"/>
    <w:link w:val="135"/>
    <w:autoRedefine/>
    <w:qFormat/>
    <w:uiPriority w:val="0"/>
    <w:pPr>
      <w:overflowPunct w:val="0"/>
      <w:autoSpaceDN w:val="0"/>
      <w:adjustRightInd w:val="0"/>
      <w:snapToGrid w:val="0"/>
      <w:spacing w:before="78" w:beforeLines="25" w:after="78" w:afterLines="25" w:line="360" w:lineRule="auto"/>
      <w:ind w:firstLine="482" w:firstLineChars="0"/>
      <w:jc w:val="left"/>
    </w:pPr>
    <w:rPr>
      <w:rFonts w:ascii="宋体" w:hAnsi="Courier New" w:cs="宋体"/>
      <w:spacing w:val="-2"/>
      <w:kern w:val="10"/>
      <w:sz w:val="24"/>
    </w:rPr>
  </w:style>
  <w:style w:type="character" w:customStyle="1" w:styleId="137">
    <w:name w:val="p141"/>
    <w:autoRedefine/>
    <w:qFormat/>
    <w:uiPriority w:val="0"/>
    <w:rPr>
      <w:color w:val="333333"/>
      <w:sz w:val="20"/>
    </w:rPr>
  </w:style>
  <w:style w:type="character" w:customStyle="1" w:styleId="138">
    <w:name w:val="表体 Char Char"/>
    <w:autoRedefine/>
    <w:qFormat/>
    <w:uiPriority w:val="0"/>
    <w:rPr>
      <w:rFonts w:eastAsia="仿宋_GB2312"/>
      <w:sz w:val="24"/>
      <w:lang w:val="en-US" w:eastAsia="zh-CN"/>
    </w:rPr>
  </w:style>
  <w:style w:type="character" w:customStyle="1" w:styleId="139">
    <w:name w:val="章节标题 Char1"/>
    <w:autoRedefine/>
    <w:qFormat/>
    <w:uiPriority w:val="0"/>
    <w:rPr>
      <w:b/>
      <w:bCs/>
      <w:kern w:val="44"/>
      <w:sz w:val="44"/>
      <w:szCs w:val="44"/>
    </w:rPr>
  </w:style>
  <w:style w:type="character" w:customStyle="1" w:styleId="140">
    <w:name w:val="道路正文 Char"/>
    <w:link w:val="141"/>
    <w:autoRedefine/>
    <w:qFormat/>
    <w:uiPriority w:val="0"/>
    <w:rPr>
      <w:rFonts w:ascii="Times New Roman" w:hAnsi="Times New Roman"/>
      <w:sz w:val="24"/>
      <w:szCs w:val="20"/>
    </w:rPr>
  </w:style>
  <w:style w:type="paragraph" w:customStyle="1" w:styleId="141">
    <w:name w:val="道路正文"/>
    <w:basedOn w:val="1"/>
    <w:link w:val="140"/>
    <w:autoRedefine/>
    <w:qFormat/>
    <w:uiPriority w:val="0"/>
    <w:pPr>
      <w:spacing w:line="500" w:lineRule="exact"/>
    </w:pPr>
    <w:rPr>
      <w:rFonts w:eastAsiaTheme="minorEastAsia"/>
      <w:szCs w:val="20"/>
    </w:rPr>
  </w:style>
  <w:style w:type="character" w:customStyle="1" w:styleId="142">
    <w:name w:val="日期 Char1"/>
    <w:autoRedefine/>
    <w:qFormat/>
    <w:uiPriority w:val="0"/>
    <w:rPr>
      <w:kern w:val="2"/>
      <w:sz w:val="21"/>
    </w:rPr>
  </w:style>
  <w:style w:type="character" w:customStyle="1" w:styleId="143">
    <w:name w:val="font11"/>
    <w:basedOn w:val="49"/>
    <w:autoRedefine/>
    <w:qFormat/>
    <w:uiPriority w:val="0"/>
    <w:rPr>
      <w:rFonts w:hint="eastAsia" w:ascii="宋体" w:hAnsi="宋体" w:eastAsia="宋体" w:cs="宋体"/>
      <w:b/>
      <w:color w:val="000000"/>
      <w:sz w:val="20"/>
      <w:szCs w:val="20"/>
      <w:u w:val="none"/>
    </w:rPr>
  </w:style>
  <w:style w:type="character" w:customStyle="1" w:styleId="144">
    <w:name w:val="正文(首行缩进) Char Char"/>
    <w:link w:val="145"/>
    <w:autoRedefine/>
    <w:qFormat/>
    <w:uiPriority w:val="0"/>
    <w:rPr>
      <w:sz w:val="24"/>
      <w:szCs w:val="24"/>
    </w:rPr>
  </w:style>
  <w:style w:type="paragraph" w:customStyle="1" w:styleId="145">
    <w:name w:val="正文(首行缩进)"/>
    <w:basedOn w:val="1"/>
    <w:link w:val="144"/>
    <w:autoRedefine/>
    <w:qFormat/>
    <w:uiPriority w:val="99"/>
    <w:pPr>
      <w:ind w:firstLine="200"/>
    </w:pPr>
    <w:rPr>
      <w:rFonts w:asciiTheme="minorHAnsi" w:hAnsiTheme="minorHAnsi" w:eastAsiaTheme="minorEastAsia"/>
      <w:szCs w:val="24"/>
    </w:rPr>
  </w:style>
  <w:style w:type="character" w:customStyle="1" w:styleId="146">
    <w:name w:val="正文文本 Char Char Char"/>
    <w:autoRedefine/>
    <w:qFormat/>
    <w:uiPriority w:val="0"/>
    <w:rPr>
      <w:rFonts w:ascii="Calibri" w:hAnsi="Calibri" w:eastAsia="宋体"/>
      <w:kern w:val="2"/>
      <w:sz w:val="21"/>
      <w:szCs w:val="22"/>
      <w:lang w:val="en-US" w:eastAsia="zh-CN" w:bidi="ar-SA"/>
    </w:rPr>
  </w:style>
  <w:style w:type="character" w:customStyle="1" w:styleId="147">
    <w:name w:val="纯文本 Char Char"/>
    <w:autoRedefine/>
    <w:qFormat/>
    <w:uiPriority w:val="0"/>
    <w:rPr>
      <w:rFonts w:ascii="宋体" w:hAnsi="Courier New" w:cs="Courier New"/>
      <w:kern w:val="2"/>
      <w:sz w:val="21"/>
      <w:szCs w:val="21"/>
    </w:rPr>
  </w:style>
  <w:style w:type="character" w:customStyle="1" w:styleId="148">
    <w:name w:val="页眉 Char1"/>
    <w:autoRedefine/>
    <w:qFormat/>
    <w:uiPriority w:val="0"/>
    <w:rPr>
      <w:kern w:val="2"/>
      <w:sz w:val="18"/>
      <w:szCs w:val="18"/>
    </w:rPr>
  </w:style>
  <w:style w:type="character" w:customStyle="1" w:styleId="149">
    <w:name w:val="Char Char1"/>
    <w:autoRedefine/>
    <w:qFormat/>
    <w:uiPriority w:val="0"/>
    <w:rPr>
      <w:rFonts w:hint="eastAsia" w:ascii="宋体" w:hAnsi="宋体" w:eastAsia="宋体"/>
      <w:kern w:val="2"/>
      <w:sz w:val="28"/>
      <w:lang w:val="en-US" w:eastAsia="zh-CN"/>
    </w:rPr>
  </w:style>
  <w:style w:type="character" w:customStyle="1" w:styleId="150">
    <w:name w:val="纯文本 Char Char Char"/>
    <w:autoRedefine/>
    <w:qFormat/>
    <w:uiPriority w:val="0"/>
    <w:rPr>
      <w:rFonts w:ascii="宋体" w:hAnsi="Courier New"/>
      <w:kern w:val="2"/>
      <w:sz w:val="21"/>
    </w:rPr>
  </w:style>
  <w:style w:type="character" w:customStyle="1" w:styleId="151">
    <w:name w:val="标题 6 Char Char"/>
    <w:autoRedefine/>
    <w:qFormat/>
    <w:uiPriority w:val="0"/>
    <w:rPr>
      <w:rFonts w:ascii="Arial" w:hAnsi="Arial" w:eastAsia="黑体"/>
      <w:b/>
      <w:kern w:val="2"/>
      <w:sz w:val="24"/>
    </w:rPr>
  </w:style>
  <w:style w:type="character" w:customStyle="1" w:styleId="152">
    <w:name w:val="Section Char"/>
    <w:autoRedefine/>
    <w:qFormat/>
    <w:uiPriority w:val="0"/>
    <w:rPr>
      <w:rFonts w:eastAsia="黑体"/>
      <w:b/>
      <w:kern w:val="2"/>
      <w:sz w:val="28"/>
      <w:lang w:val="en-US" w:eastAsia="zh-CN"/>
    </w:rPr>
  </w:style>
  <w:style w:type="character" w:customStyle="1" w:styleId="153">
    <w:name w:val="报告书正文 Char Char"/>
    <w:autoRedefine/>
    <w:qFormat/>
    <w:uiPriority w:val="0"/>
    <w:rPr>
      <w:rFonts w:eastAsia="宋体"/>
      <w:kern w:val="2"/>
      <w:sz w:val="24"/>
      <w:lang w:val="en-US" w:eastAsia="zh-CN"/>
    </w:rPr>
  </w:style>
  <w:style w:type="character" w:customStyle="1" w:styleId="154">
    <w:name w:val="正文道路 Char"/>
    <w:link w:val="155"/>
    <w:autoRedefine/>
    <w:qFormat/>
    <w:uiPriority w:val="0"/>
    <w:rPr>
      <w:rFonts w:ascii="宋体" w:hAnsi="Times New Roman"/>
      <w:color w:val="000000"/>
      <w:sz w:val="24"/>
      <w:szCs w:val="20"/>
    </w:rPr>
  </w:style>
  <w:style w:type="paragraph" w:customStyle="1" w:styleId="155">
    <w:name w:val="正文道路"/>
    <w:basedOn w:val="1"/>
    <w:link w:val="154"/>
    <w:autoRedefine/>
    <w:qFormat/>
    <w:uiPriority w:val="0"/>
    <w:pPr>
      <w:spacing w:line="500" w:lineRule="exact"/>
      <w:ind w:right="-25" w:firstLine="0" w:firstLineChars="0"/>
    </w:pPr>
    <w:rPr>
      <w:rFonts w:ascii="宋体" w:eastAsiaTheme="minorEastAsia"/>
      <w:color w:val="000000"/>
      <w:szCs w:val="20"/>
    </w:rPr>
  </w:style>
  <w:style w:type="character" w:customStyle="1" w:styleId="156">
    <w:name w:val="页眉 Char Char Char"/>
    <w:autoRedefine/>
    <w:qFormat/>
    <w:uiPriority w:val="0"/>
    <w:rPr>
      <w:rFonts w:ascii="Calibri" w:hAnsi="Calibri"/>
      <w:sz w:val="18"/>
      <w:szCs w:val="18"/>
    </w:rPr>
  </w:style>
  <w:style w:type="character" w:customStyle="1" w:styleId="157">
    <w:name w:val="标题 9 Char Char"/>
    <w:autoRedefine/>
    <w:qFormat/>
    <w:uiPriority w:val="0"/>
    <w:rPr>
      <w:rFonts w:ascii="Arial" w:hAnsi="Arial" w:eastAsia="黑体"/>
      <w:kern w:val="2"/>
      <w:sz w:val="21"/>
    </w:rPr>
  </w:style>
  <w:style w:type="character" w:customStyle="1" w:styleId="158">
    <w:name w:val="text_edit editable-title"/>
    <w:autoRedefine/>
    <w:qFormat/>
    <w:uiPriority w:val="0"/>
  </w:style>
  <w:style w:type="character" w:customStyle="1" w:styleId="159">
    <w:name w:val="正文文本 2 Char1"/>
    <w:autoRedefine/>
    <w:qFormat/>
    <w:uiPriority w:val="0"/>
    <w:rPr>
      <w:kern w:val="2"/>
      <w:sz w:val="21"/>
    </w:rPr>
  </w:style>
  <w:style w:type="character" w:customStyle="1" w:styleId="160">
    <w:name w:val="样式 正文缩进首行缩进两字identication表正文正文非缩进 + 段前: 0.25 行 段后: 0.25 行 Char Char Char Char"/>
    <w:link w:val="161"/>
    <w:autoRedefine/>
    <w:qFormat/>
    <w:uiPriority w:val="0"/>
    <w:rPr>
      <w:rFonts w:ascii="宋体" w:hAnsi="Courier New" w:cs="宋体"/>
      <w:spacing w:val="-2"/>
      <w:kern w:val="10"/>
      <w:sz w:val="24"/>
    </w:rPr>
  </w:style>
  <w:style w:type="paragraph" w:customStyle="1" w:styleId="161">
    <w:name w:val="样式 正文缩进首行缩进两字identication表正文正文非缩进 + 段前: 0.25 行 段后: 0.25 行 Char Char"/>
    <w:basedOn w:val="7"/>
    <w:link w:val="160"/>
    <w:autoRedefine/>
    <w:qFormat/>
    <w:uiPriority w:val="0"/>
    <w:pPr>
      <w:overflowPunct w:val="0"/>
      <w:autoSpaceDN w:val="0"/>
      <w:adjustRightInd w:val="0"/>
      <w:snapToGrid w:val="0"/>
      <w:spacing w:before="78" w:beforeLines="25" w:after="78" w:afterLines="25" w:line="360" w:lineRule="auto"/>
      <w:ind w:firstLine="482" w:firstLineChars="0"/>
      <w:jc w:val="left"/>
    </w:pPr>
    <w:rPr>
      <w:rFonts w:ascii="宋体" w:hAnsi="Courier New" w:cs="宋体"/>
      <w:spacing w:val="-2"/>
      <w:kern w:val="10"/>
      <w:sz w:val="24"/>
    </w:rPr>
  </w:style>
  <w:style w:type="character" w:customStyle="1" w:styleId="162">
    <w:name w:val="标题 7 Char1"/>
    <w:autoRedefine/>
    <w:qFormat/>
    <w:uiPriority w:val="0"/>
    <w:rPr>
      <w:b/>
      <w:bCs/>
      <w:kern w:val="2"/>
      <w:sz w:val="24"/>
      <w:szCs w:val="24"/>
    </w:rPr>
  </w:style>
  <w:style w:type="character" w:customStyle="1" w:styleId="163">
    <w:name w:val="表格标题采用 Char Char Char"/>
    <w:link w:val="164"/>
    <w:autoRedefine/>
    <w:qFormat/>
    <w:uiPriority w:val="0"/>
    <w:rPr>
      <w:rFonts w:ascii="黑体" w:hAnsi="Times New Roman" w:eastAsia="黑体"/>
      <w:szCs w:val="20"/>
    </w:rPr>
  </w:style>
  <w:style w:type="paragraph" w:customStyle="1" w:styleId="164">
    <w:name w:val="表格标题采用"/>
    <w:basedOn w:val="18"/>
    <w:link w:val="163"/>
    <w:autoRedefine/>
    <w:qFormat/>
    <w:uiPriority w:val="0"/>
    <w:pPr>
      <w:adjustRightInd/>
      <w:snapToGrid/>
      <w:spacing w:before="78" w:beforeLines="25" w:after="0" w:line="460" w:lineRule="exact"/>
      <w:ind w:firstLine="200"/>
      <w:jc w:val="center"/>
    </w:pPr>
    <w:rPr>
      <w:rFonts w:ascii="黑体" w:eastAsia="黑体"/>
      <w:sz w:val="21"/>
      <w:szCs w:val="20"/>
    </w:rPr>
  </w:style>
  <w:style w:type="character" w:customStyle="1" w:styleId="165">
    <w:name w:val="标题 1 Char Char"/>
    <w:autoRedefine/>
    <w:qFormat/>
    <w:uiPriority w:val="0"/>
    <w:rPr>
      <w:b/>
      <w:bCs/>
      <w:kern w:val="44"/>
      <w:sz w:val="44"/>
      <w:szCs w:val="44"/>
    </w:rPr>
  </w:style>
  <w:style w:type="character" w:customStyle="1" w:styleId="166">
    <w:name w:val="text11"/>
    <w:autoRedefine/>
    <w:qFormat/>
    <w:uiPriority w:val="0"/>
    <w:rPr>
      <w:sz w:val="20"/>
    </w:rPr>
  </w:style>
  <w:style w:type="character" w:customStyle="1" w:styleId="167">
    <w:name w:val="标题 7 Char Char"/>
    <w:autoRedefine/>
    <w:qFormat/>
    <w:uiPriority w:val="0"/>
    <w:rPr>
      <w:rFonts w:ascii="Times New Roman" w:hAnsi="Times New Roman"/>
      <w:b/>
      <w:kern w:val="2"/>
      <w:sz w:val="24"/>
    </w:rPr>
  </w:style>
  <w:style w:type="character" w:customStyle="1" w:styleId="168">
    <w:name w:val="四级标题 Char"/>
    <w:link w:val="169"/>
    <w:autoRedefine/>
    <w:qFormat/>
    <w:uiPriority w:val="0"/>
    <w:rPr>
      <w:rFonts w:ascii="Times New Roman" w:hAnsi="Times New Roman"/>
      <w:sz w:val="24"/>
      <w:szCs w:val="20"/>
    </w:rPr>
  </w:style>
  <w:style w:type="paragraph" w:customStyle="1" w:styleId="169">
    <w:name w:val="四级标题"/>
    <w:basedOn w:val="1"/>
    <w:link w:val="168"/>
    <w:autoRedefine/>
    <w:qFormat/>
    <w:uiPriority w:val="0"/>
    <w:pPr>
      <w:adjustRightInd/>
      <w:snapToGrid/>
      <w:spacing w:line="500" w:lineRule="exact"/>
      <w:ind w:firstLine="0" w:firstLineChars="0"/>
    </w:pPr>
    <w:rPr>
      <w:rFonts w:eastAsiaTheme="minorEastAsia"/>
      <w:szCs w:val="20"/>
    </w:rPr>
  </w:style>
  <w:style w:type="character" w:customStyle="1" w:styleId="170">
    <w:name w:val="页码1"/>
    <w:autoRedefine/>
    <w:qFormat/>
    <w:uiPriority w:val="0"/>
    <w:rPr>
      <w:rFonts w:ascii="Times New Roman" w:hAnsi="Times New Roman"/>
      <w:szCs w:val="20"/>
    </w:rPr>
  </w:style>
  <w:style w:type="character" w:customStyle="1" w:styleId="171">
    <w:name w:val="正文111 Char Char"/>
    <w:link w:val="172"/>
    <w:autoRedefine/>
    <w:qFormat/>
    <w:uiPriority w:val="0"/>
    <w:rPr>
      <w:rFonts w:ascii="Times New Roman" w:hAnsi="Times New Roman" w:eastAsia="黑体"/>
      <w:spacing w:val="6"/>
      <w:sz w:val="24"/>
      <w:szCs w:val="24"/>
    </w:rPr>
  </w:style>
  <w:style w:type="paragraph" w:customStyle="1" w:styleId="172">
    <w:name w:val="正文111"/>
    <w:basedOn w:val="1"/>
    <w:link w:val="171"/>
    <w:autoRedefine/>
    <w:qFormat/>
    <w:uiPriority w:val="0"/>
    <w:pPr>
      <w:adjustRightInd/>
      <w:snapToGrid/>
      <w:spacing w:line="500" w:lineRule="exact"/>
      <w:ind w:firstLine="0" w:firstLineChars="0"/>
      <w:jc w:val="center"/>
    </w:pPr>
    <w:rPr>
      <w:rFonts w:eastAsia="黑体"/>
      <w:spacing w:val="6"/>
      <w:szCs w:val="24"/>
    </w:rPr>
  </w:style>
  <w:style w:type="character" w:customStyle="1" w:styleId="173">
    <w:name w:val="标题 5 Char1"/>
    <w:autoRedefine/>
    <w:qFormat/>
    <w:uiPriority w:val="0"/>
    <w:rPr>
      <w:b/>
      <w:bCs/>
      <w:kern w:val="2"/>
      <w:sz w:val="28"/>
      <w:szCs w:val="28"/>
    </w:rPr>
  </w:style>
  <w:style w:type="character" w:customStyle="1" w:styleId="174">
    <w:name w:val="标题 8 Char1"/>
    <w:autoRedefine/>
    <w:qFormat/>
    <w:uiPriority w:val="0"/>
    <w:rPr>
      <w:rFonts w:ascii="Cambria" w:hAnsi="Cambria" w:eastAsia="宋体" w:cs="Times New Roman"/>
      <w:kern w:val="2"/>
      <w:sz w:val="24"/>
      <w:szCs w:val="24"/>
    </w:rPr>
  </w:style>
  <w:style w:type="character" w:customStyle="1" w:styleId="175">
    <w:name w:val="表 Char Char"/>
    <w:autoRedefine/>
    <w:qFormat/>
    <w:uiPriority w:val="0"/>
    <w:rPr>
      <w:rFonts w:eastAsia="宋体"/>
      <w:kern w:val="2"/>
      <w:sz w:val="21"/>
      <w:lang w:val="en-US" w:eastAsia="zh-CN"/>
    </w:rPr>
  </w:style>
  <w:style w:type="character" w:customStyle="1" w:styleId="176">
    <w:name w:val="标题 4 Char Char"/>
    <w:autoRedefine/>
    <w:qFormat/>
    <w:uiPriority w:val="0"/>
    <w:rPr>
      <w:rFonts w:ascii="Cambria" w:hAnsi="Cambria" w:eastAsia="宋体" w:cs="Times New Roman"/>
      <w:b/>
      <w:bCs/>
      <w:kern w:val="2"/>
      <w:sz w:val="28"/>
      <w:szCs w:val="28"/>
    </w:rPr>
  </w:style>
  <w:style w:type="character" w:customStyle="1" w:styleId="177">
    <w:name w:val="正文文本 字符"/>
    <w:autoRedefine/>
    <w:qFormat/>
    <w:uiPriority w:val="0"/>
    <w:rPr>
      <w:kern w:val="2"/>
      <w:sz w:val="21"/>
      <w:szCs w:val="22"/>
    </w:rPr>
  </w:style>
  <w:style w:type="character" w:customStyle="1" w:styleId="178">
    <w:name w:val="页脚 字符1"/>
    <w:autoRedefine/>
    <w:qFormat/>
    <w:uiPriority w:val="99"/>
    <w:rPr>
      <w:sz w:val="18"/>
      <w:szCs w:val="18"/>
    </w:rPr>
  </w:style>
  <w:style w:type="character" w:customStyle="1" w:styleId="179">
    <w:name w:val="正文缩进 Char Char"/>
    <w:autoRedefine/>
    <w:qFormat/>
    <w:uiPriority w:val="0"/>
    <w:rPr>
      <w:rFonts w:ascii="Times New Roman" w:hAnsi="Times New Roman"/>
      <w:kern w:val="2"/>
      <w:sz w:val="21"/>
    </w:rPr>
  </w:style>
  <w:style w:type="character" w:customStyle="1" w:styleId="180">
    <w:name w:val="不明显强调1"/>
    <w:autoRedefine/>
    <w:qFormat/>
    <w:uiPriority w:val="19"/>
    <w:rPr>
      <w:rFonts w:ascii="Times New Roman" w:hAnsi="Times New Roman"/>
      <w:i/>
      <w:iCs/>
      <w:color w:val="808080"/>
      <w:szCs w:val="20"/>
    </w:rPr>
  </w:style>
  <w:style w:type="character" w:customStyle="1" w:styleId="181">
    <w:name w:val="标题 5 Char Char"/>
    <w:autoRedefine/>
    <w:qFormat/>
    <w:uiPriority w:val="0"/>
    <w:rPr>
      <w:rFonts w:ascii="Times New Roman" w:hAnsi="Times New Roman"/>
      <w:b/>
      <w:kern w:val="2"/>
      <w:sz w:val="28"/>
    </w:rPr>
  </w:style>
  <w:style w:type="character" w:customStyle="1" w:styleId="182">
    <w:name w:val="常用标题 4 Char1"/>
    <w:autoRedefine/>
    <w:qFormat/>
    <w:uiPriority w:val="0"/>
    <w:rPr>
      <w:rFonts w:ascii="Cambria" w:hAnsi="Cambria" w:eastAsia="宋体" w:cs="Times New Roman"/>
      <w:b/>
      <w:bCs/>
      <w:kern w:val="2"/>
      <w:sz w:val="28"/>
      <w:szCs w:val="28"/>
    </w:rPr>
  </w:style>
  <w:style w:type="character" w:customStyle="1" w:styleId="183">
    <w:name w:val="正文文本 Char1"/>
    <w:autoRedefine/>
    <w:qFormat/>
    <w:uiPriority w:val="0"/>
    <w:rPr>
      <w:kern w:val="2"/>
      <w:sz w:val="21"/>
    </w:rPr>
  </w:style>
  <w:style w:type="character" w:customStyle="1" w:styleId="184">
    <w:name w:val="Char Char3"/>
    <w:autoRedefine/>
    <w:qFormat/>
    <w:uiPriority w:val="0"/>
    <w:rPr>
      <w:rFonts w:hint="default" w:ascii="Arial" w:hAnsi="Arial" w:eastAsia="黑体" w:cs="Arial"/>
      <w:b/>
      <w:kern w:val="2"/>
      <w:sz w:val="32"/>
      <w:lang w:val="en-US" w:eastAsia="zh-CN"/>
    </w:rPr>
  </w:style>
  <w:style w:type="character" w:customStyle="1" w:styleId="185">
    <w:name w:val="Char Char2"/>
    <w:autoRedefine/>
    <w:qFormat/>
    <w:uiPriority w:val="0"/>
    <w:rPr>
      <w:rFonts w:hint="eastAsia" w:ascii="宋体" w:hAnsi="宋体" w:eastAsia="宋体"/>
      <w:b/>
      <w:kern w:val="2"/>
      <w:sz w:val="32"/>
      <w:lang w:val="en-US" w:eastAsia="zh-CN"/>
    </w:rPr>
  </w:style>
  <w:style w:type="character" w:customStyle="1" w:styleId="186">
    <w:name w:val="三级标题道路 Char"/>
    <w:link w:val="187"/>
    <w:autoRedefine/>
    <w:qFormat/>
    <w:uiPriority w:val="0"/>
    <w:rPr>
      <w:rFonts w:ascii="黑体" w:hAnsi="黑体" w:eastAsia="黑体" w:cs="黑体"/>
      <w:color w:val="000000"/>
      <w:sz w:val="24"/>
    </w:rPr>
  </w:style>
  <w:style w:type="paragraph" w:customStyle="1" w:styleId="187">
    <w:name w:val="三级标题道路"/>
    <w:basedOn w:val="4"/>
    <w:link w:val="186"/>
    <w:autoRedefine/>
    <w:qFormat/>
    <w:uiPriority w:val="0"/>
    <w:pPr>
      <w:keepNext w:val="0"/>
      <w:keepLines w:val="0"/>
      <w:tabs>
        <w:tab w:val="left" w:pos="547"/>
      </w:tabs>
      <w:adjustRightInd/>
      <w:snapToGrid/>
      <w:jc w:val="both"/>
    </w:pPr>
    <w:rPr>
      <w:rFonts w:ascii="黑体" w:hAnsi="黑体" w:cs="黑体"/>
      <w:b/>
      <w:bCs w:val="0"/>
      <w:color w:val="000000"/>
      <w:szCs w:val="22"/>
    </w:rPr>
  </w:style>
  <w:style w:type="character" w:customStyle="1" w:styleId="188">
    <w:name w:val="表格内容 Char Char"/>
    <w:autoRedefine/>
    <w:qFormat/>
    <w:uiPriority w:val="0"/>
    <w:rPr>
      <w:rFonts w:ascii="黑体" w:hAnsi="宋体" w:eastAsia="黑体"/>
      <w:w w:val="90"/>
      <w:sz w:val="24"/>
      <w:lang w:val="en-US" w:eastAsia="zh-CN"/>
    </w:rPr>
  </w:style>
  <w:style w:type="character" w:customStyle="1" w:styleId="189">
    <w:name w:val="三级标题 Char"/>
    <w:link w:val="190"/>
    <w:autoRedefine/>
    <w:qFormat/>
    <w:uiPriority w:val="0"/>
    <w:rPr>
      <w:rFonts w:eastAsia="黑体" w:cs="黑体"/>
      <w:iCs/>
      <w:color w:val="000000"/>
      <w:sz w:val="24"/>
    </w:rPr>
  </w:style>
  <w:style w:type="paragraph" w:customStyle="1" w:styleId="190">
    <w:name w:val="三级标题"/>
    <w:basedOn w:val="4"/>
    <w:next w:val="1"/>
    <w:link w:val="189"/>
    <w:autoRedefine/>
    <w:qFormat/>
    <w:uiPriority w:val="0"/>
    <w:pPr>
      <w:keepNext w:val="0"/>
      <w:keepLines w:val="0"/>
      <w:tabs>
        <w:tab w:val="left" w:pos="547"/>
      </w:tabs>
      <w:adjustRightInd/>
      <w:snapToGrid/>
      <w:jc w:val="both"/>
    </w:pPr>
    <w:rPr>
      <w:rFonts w:cs="黑体" w:asciiTheme="minorHAnsi" w:hAnsiTheme="minorHAnsi"/>
      <w:b/>
      <w:bCs w:val="0"/>
      <w:iCs/>
      <w:color w:val="000000"/>
      <w:szCs w:val="22"/>
    </w:rPr>
  </w:style>
  <w:style w:type="character" w:customStyle="1" w:styleId="191">
    <w:name w:val="节标题 1.1 Char1"/>
    <w:autoRedefine/>
    <w:qFormat/>
    <w:uiPriority w:val="0"/>
    <w:rPr>
      <w:rFonts w:ascii="Cambria" w:hAnsi="Cambria" w:eastAsia="宋体" w:cs="Times New Roman"/>
      <w:b/>
      <w:bCs/>
      <w:kern w:val="2"/>
      <w:sz w:val="32"/>
      <w:szCs w:val="32"/>
    </w:rPr>
  </w:style>
  <w:style w:type="character" w:customStyle="1" w:styleId="192">
    <w:name w:val="正文文本 3 Char1"/>
    <w:autoRedefine/>
    <w:qFormat/>
    <w:uiPriority w:val="0"/>
    <w:rPr>
      <w:kern w:val="2"/>
      <w:sz w:val="16"/>
      <w:szCs w:val="16"/>
    </w:rPr>
  </w:style>
  <w:style w:type="character" w:customStyle="1" w:styleId="193">
    <w:name w:val="表头1 Char Char"/>
    <w:link w:val="194"/>
    <w:autoRedefine/>
    <w:qFormat/>
    <w:uiPriority w:val="0"/>
    <w:rPr>
      <w:rFonts w:ascii="Times New Roman" w:hAnsi="Times New Roman" w:eastAsia="黑体"/>
      <w:szCs w:val="28"/>
    </w:rPr>
  </w:style>
  <w:style w:type="paragraph" w:customStyle="1" w:styleId="194">
    <w:name w:val="表头1"/>
    <w:basedOn w:val="1"/>
    <w:link w:val="193"/>
    <w:autoRedefine/>
    <w:qFormat/>
    <w:uiPriority w:val="0"/>
    <w:pPr>
      <w:tabs>
        <w:tab w:val="left" w:pos="605"/>
      </w:tabs>
      <w:spacing w:line="240" w:lineRule="auto"/>
      <w:ind w:firstLine="0" w:firstLineChars="0"/>
      <w:jc w:val="center"/>
    </w:pPr>
    <w:rPr>
      <w:rFonts w:eastAsia="黑体"/>
      <w:sz w:val="21"/>
      <w:szCs w:val="28"/>
    </w:rPr>
  </w:style>
  <w:style w:type="character" w:customStyle="1" w:styleId="195">
    <w:name w:val="纯文本 Char Char Char1"/>
    <w:autoRedefine/>
    <w:qFormat/>
    <w:uiPriority w:val="0"/>
    <w:rPr>
      <w:rFonts w:ascii="宋体" w:hAnsi="Courier New" w:eastAsia="宋体"/>
      <w:kern w:val="2"/>
      <w:sz w:val="21"/>
      <w:lang w:val="en-US" w:eastAsia="zh-CN"/>
    </w:rPr>
  </w:style>
  <w:style w:type="character" w:customStyle="1" w:styleId="196">
    <w:name w:val="标题 3 Char Char Char1"/>
    <w:autoRedefine/>
    <w:qFormat/>
    <w:uiPriority w:val="0"/>
    <w:rPr>
      <w:rFonts w:eastAsia="宋体"/>
      <w:b/>
      <w:sz w:val="28"/>
      <w:lang w:val="en-US" w:eastAsia="zh-CN"/>
    </w:rPr>
  </w:style>
  <w:style w:type="character" w:customStyle="1" w:styleId="197">
    <w:name w:val="表文字 Char Char"/>
    <w:link w:val="198"/>
    <w:autoRedefine/>
    <w:qFormat/>
    <w:uiPriority w:val="0"/>
    <w:rPr>
      <w:rFonts w:ascii="Times New Roman" w:hAnsi="Times New Roman"/>
      <w:sz w:val="24"/>
    </w:rPr>
  </w:style>
  <w:style w:type="paragraph" w:customStyle="1" w:styleId="198">
    <w:name w:val="表文字"/>
    <w:basedOn w:val="1"/>
    <w:link w:val="197"/>
    <w:autoRedefine/>
    <w:qFormat/>
    <w:uiPriority w:val="0"/>
    <w:pPr>
      <w:overflowPunct w:val="0"/>
      <w:autoSpaceDE w:val="0"/>
      <w:autoSpaceDN w:val="0"/>
      <w:snapToGrid/>
      <w:spacing w:line="240" w:lineRule="atLeast"/>
      <w:ind w:firstLine="0" w:firstLineChars="0"/>
      <w:jc w:val="center"/>
      <w:textAlignment w:val="baseline"/>
    </w:pPr>
    <w:rPr>
      <w:rFonts w:eastAsiaTheme="minorEastAsia"/>
    </w:rPr>
  </w:style>
  <w:style w:type="character" w:customStyle="1" w:styleId="199">
    <w:name w:val="标题 3 Char Char"/>
    <w:autoRedefine/>
    <w:qFormat/>
    <w:uiPriority w:val="0"/>
    <w:rPr>
      <w:b/>
      <w:bCs/>
      <w:kern w:val="2"/>
      <w:sz w:val="32"/>
      <w:szCs w:val="32"/>
    </w:rPr>
  </w:style>
  <w:style w:type="character" w:customStyle="1" w:styleId="200">
    <w:name w:val="表头 道路 Char"/>
    <w:link w:val="201"/>
    <w:autoRedefine/>
    <w:qFormat/>
    <w:uiPriority w:val="0"/>
    <w:rPr>
      <w:rFonts w:ascii="黑体" w:hAnsi="黑体" w:eastAsia="黑体" w:cs="黑体"/>
      <w:color w:val="000000"/>
      <w:sz w:val="24"/>
      <w:szCs w:val="20"/>
    </w:rPr>
  </w:style>
  <w:style w:type="paragraph" w:customStyle="1" w:styleId="201">
    <w:name w:val="表头 道路"/>
    <w:basedOn w:val="1"/>
    <w:link w:val="200"/>
    <w:autoRedefine/>
    <w:qFormat/>
    <w:uiPriority w:val="0"/>
    <w:pPr>
      <w:adjustRightInd/>
      <w:snapToGrid/>
      <w:spacing w:line="500" w:lineRule="exact"/>
      <w:jc w:val="center"/>
    </w:pPr>
    <w:rPr>
      <w:rFonts w:ascii="黑体" w:hAnsi="黑体" w:eastAsia="黑体" w:cs="黑体"/>
      <w:color w:val="000000"/>
      <w:szCs w:val="20"/>
    </w:rPr>
  </w:style>
  <w:style w:type="character" w:customStyle="1" w:styleId="202">
    <w:name w:val="正文首行缩进 Char1"/>
    <w:autoRedefine/>
    <w:qFormat/>
    <w:uiPriority w:val="0"/>
  </w:style>
  <w:style w:type="character" w:customStyle="1" w:styleId="203">
    <w:name w:val="二级标题 Char"/>
    <w:link w:val="204"/>
    <w:autoRedefine/>
    <w:qFormat/>
    <w:uiPriority w:val="0"/>
    <w:rPr>
      <w:rFonts w:ascii="Arial" w:hAnsi="Arial" w:eastAsia="黑体" w:cs="黑体"/>
      <w:color w:val="000000"/>
      <w:sz w:val="28"/>
    </w:rPr>
  </w:style>
  <w:style w:type="paragraph" w:customStyle="1" w:styleId="204">
    <w:name w:val="二级标题"/>
    <w:basedOn w:val="3"/>
    <w:next w:val="1"/>
    <w:link w:val="203"/>
    <w:autoRedefine/>
    <w:qFormat/>
    <w:uiPriority w:val="0"/>
    <w:pPr>
      <w:adjustRightInd/>
      <w:snapToGrid/>
      <w:spacing w:before="120" w:after="120"/>
      <w:jc w:val="both"/>
    </w:pPr>
    <w:rPr>
      <w:rFonts w:ascii="Arial" w:hAnsi="Arial" w:cs="黑体"/>
      <w:bCs w:val="0"/>
      <w:color w:val="000000"/>
      <w:szCs w:val="22"/>
    </w:rPr>
  </w:style>
  <w:style w:type="character" w:customStyle="1" w:styleId="205">
    <w:name w:val="普通文字 Char Char Char Char"/>
    <w:autoRedefine/>
    <w:qFormat/>
    <w:uiPriority w:val="0"/>
    <w:rPr>
      <w:rFonts w:ascii="宋体" w:hAnsi="Courier New" w:eastAsia="宋体"/>
      <w:kern w:val="2"/>
      <w:sz w:val="21"/>
      <w:lang w:val="en-US" w:eastAsia="zh-CN"/>
    </w:rPr>
  </w:style>
  <w:style w:type="character" w:customStyle="1" w:styleId="206">
    <w:name w:val="批注框文本 Char1"/>
    <w:autoRedefine/>
    <w:qFormat/>
    <w:uiPriority w:val="0"/>
    <w:rPr>
      <w:kern w:val="2"/>
      <w:sz w:val="18"/>
      <w:szCs w:val="18"/>
    </w:rPr>
  </w:style>
  <w:style w:type="character" w:customStyle="1" w:styleId="207">
    <w:name w:val="标题 9 Char1"/>
    <w:autoRedefine/>
    <w:qFormat/>
    <w:uiPriority w:val="0"/>
    <w:rPr>
      <w:rFonts w:ascii="Cambria" w:hAnsi="Cambria" w:eastAsia="宋体" w:cs="Times New Roman"/>
      <w:kern w:val="2"/>
      <w:sz w:val="21"/>
      <w:szCs w:val="21"/>
    </w:rPr>
  </w:style>
  <w:style w:type="character" w:customStyle="1" w:styleId="208">
    <w:name w:val="表格标题采用 Char Char"/>
    <w:autoRedefine/>
    <w:qFormat/>
    <w:uiPriority w:val="0"/>
    <w:rPr>
      <w:rFonts w:ascii="黑体" w:hAnsi="宋体" w:eastAsia="黑体"/>
      <w:kern w:val="2"/>
      <w:sz w:val="24"/>
      <w:lang w:val="en-US" w:eastAsia="zh-CN"/>
    </w:rPr>
  </w:style>
  <w:style w:type="character" w:customStyle="1" w:styleId="209">
    <w:name w:val="表头 Char Char Char"/>
    <w:link w:val="210"/>
    <w:autoRedefine/>
    <w:qFormat/>
    <w:uiPriority w:val="0"/>
    <w:rPr>
      <w:rFonts w:eastAsia="宋体"/>
      <w:sz w:val="28"/>
    </w:rPr>
  </w:style>
  <w:style w:type="paragraph" w:customStyle="1" w:styleId="210">
    <w:name w:val="表头2"/>
    <w:basedOn w:val="1"/>
    <w:link w:val="209"/>
    <w:autoRedefine/>
    <w:qFormat/>
    <w:uiPriority w:val="0"/>
    <w:pPr>
      <w:adjustRightInd/>
      <w:snapToGrid/>
      <w:spacing w:before="120" w:line="300" w:lineRule="auto"/>
      <w:ind w:firstLine="540" w:firstLineChars="0"/>
      <w:jc w:val="center"/>
    </w:pPr>
    <w:rPr>
      <w:rFonts w:asciiTheme="minorHAnsi" w:hAnsiTheme="minorHAnsi"/>
      <w:sz w:val="28"/>
    </w:rPr>
  </w:style>
  <w:style w:type="character" w:customStyle="1" w:styleId="211">
    <w:name w:val="正文文本缩进 2 Char Char"/>
    <w:autoRedefine/>
    <w:qFormat/>
    <w:uiPriority w:val="0"/>
    <w:rPr>
      <w:rFonts w:ascii="Times New Roman" w:hAnsi="Times New Roman"/>
      <w:kern w:val="2"/>
      <w:sz w:val="24"/>
    </w:rPr>
  </w:style>
  <w:style w:type="character" w:customStyle="1" w:styleId="212">
    <w:name w:val="标题 8 Char Char"/>
    <w:autoRedefine/>
    <w:qFormat/>
    <w:uiPriority w:val="0"/>
    <w:rPr>
      <w:rFonts w:ascii="Arial" w:hAnsi="Arial" w:eastAsia="黑体"/>
      <w:kern w:val="2"/>
      <w:sz w:val="24"/>
    </w:rPr>
  </w:style>
  <w:style w:type="character" w:customStyle="1" w:styleId="213">
    <w:name w:val="正文（首行缩进两字） Char2"/>
    <w:autoRedefine/>
    <w:qFormat/>
    <w:uiPriority w:val="0"/>
    <w:rPr>
      <w:rFonts w:eastAsia="宋体"/>
      <w:kern w:val="2"/>
      <w:sz w:val="28"/>
    </w:rPr>
  </w:style>
  <w:style w:type="character" w:customStyle="1" w:styleId="214">
    <w:name w:val="图名 Char Char"/>
    <w:autoRedefine/>
    <w:qFormat/>
    <w:uiPriority w:val="0"/>
    <w:rPr>
      <w:rFonts w:eastAsia="黑体"/>
      <w:b/>
      <w:snapToGrid w:val="0"/>
      <w:spacing w:val="12"/>
      <w:sz w:val="24"/>
      <w:lang w:val="en-US" w:eastAsia="zh-CN"/>
    </w:rPr>
  </w:style>
  <w:style w:type="character" w:customStyle="1" w:styleId="215">
    <w:name w:val="font01"/>
    <w:autoRedefine/>
    <w:qFormat/>
    <w:uiPriority w:val="0"/>
    <w:rPr>
      <w:rFonts w:hint="eastAsia" w:ascii="宋体" w:hAnsi="宋体" w:eastAsia="宋体" w:cs="宋体"/>
      <w:b/>
      <w:color w:val="000000"/>
      <w:sz w:val="20"/>
      <w:szCs w:val="20"/>
      <w:u w:val="none"/>
      <w:vertAlign w:val="superscript"/>
    </w:rPr>
  </w:style>
  <w:style w:type="character" w:customStyle="1" w:styleId="216">
    <w:name w:val="正文道路1 Char"/>
    <w:link w:val="217"/>
    <w:autoRedefine/>
    <w:qFormat/>
    <w:uiPriority w:val="0"/>
    <w:rPr>
      <w:rFonts w:ascii="宋体" w:hAnsi="Times New Roman"/>
      <w:color w:val="000000"/>
      <w:sz w:val="24"/>
      <w:szCs w:val="20"/>
    </w:rPr>
  </w:style>
  <w:style w:type="paragraph" w:customStyle="1" w:styleId="217">
    <w:name w:val="正文道路1"/>
    <w:basedOn w:val="1"/>
    <w:link w:val="216"/>
    <w:autoRedefine/>
    <w:qFormat/>
    <w:uiPriority w:val="0"/>
    <w:pPr>
      <w:spacing w:line="500" w:lineRule="exact"/>
    </w:pPr>
    <w:rPr>
      <w:rFonts w:ascii="宋体" w:eastAsiaTheme="minorEastAsia"/>
      <w:color w:val="000000"/>
      <w:szCs w:val="20"/>
    </w:rPr>
  </w:style>
  <w:style w:type="character" w:customStyle="1" w:styleId="218">
    <w:name w:val="headline-content2"/>
    <w:autoRedefine/>
    <w:qFormat/>
    <w:uiPriority w:val="0"/>
  </w:style>
  <w:style w:type="character" w:customStyle="1" w:styleId="219">
    <w:name w:val="文档结构图 Char1"/>
    <w:autoRedefine/>
    <w:qFormat/>
    <w:uiPriority w:val="0"/>
    <w:rPr>
      <w:rFonts w:ascii="宋体"/>
      <w:kern w:val="2"/>
      <w:sz w:val="18"/>
      <w:szCs w:val="18"/>
    </w:rPr>
  </w:style>
  <w:style w:type="character" w:customStyle="1" w:styleId="220">
    <w:name w:val="正文文本缩进 Char1"/>
    <w:autoRedefine/>
    <w:qFormat/>
    <w:uiPriority w:val="0"/>
    <w:rPr>
      <w:kern w:val="2"/>
      <w:sz w:val="21"/>
    </w:rPr>
  </w:style>
  <w:style w:type="character" w:customStyle="1" w:styleId="221">
    <w:name w:val="正文zoe Char Char"/>
    <w:autoRedefine/>
    <w:qFormat/>
    <w:uiPriority w:val="0"/>
    <w:rPr>
      <w:rFonts w:ascii="宋体" w:hAnsi="宋体" w:eastAsia="宋体"/>
      <w:sz w:val="24"/>
      <w:lang w:val="en-US" w:eastAsia="zh-CN"/>
    </w:rPr>
  </w:style>
  <w:style w:type="character" w:customStyle="1" w:styleId="222">
    <w:name w:val="font21"/>
    <w:basedOn w:val="49"/>
    <w:autoRedefine/>
    <w:qFormat/>
    <w:uiPriority w:val="0"/>
    <w:rPr>
      <w:rFonts w:hint="eastAsia" w:ascii="宋体" w:hAnsi="宋体" w:eastAsia="宋体" w:cs="宋体"/>
      <w:b/>
      <w:color w:val="000000"/>
      <w:sz w:val="20"/>
      <w:szCs w:val="20"/>
      <w:u w:val="none"/>
    </w:rPr>
  </w:style>
  <w:style w:type="character" w:customStyle="1" w:styleId="223">
    <w:name w:val="正文文本缩进 2 字符1"/>
    <w:basedOn w:val="49"/>
    <w:autoRedefine/>
    <w:semiHidden/>
    <w:qFormat/>
    <w:uiPriority w:val="99"/>
    <w:rPr>
      <w:rFonts w:ascii="Times New Roman" w:hAnsi="Times New Roman" w:eastAsia="宋体"/>
      <w:sz w:val="24"/>
    </w:rPr>
  </w:style>
  <w:style w:type="character" w:customStyle="1" w:styleId="224">
    <w:name w:val="纯文本 字符1"/>
    <w:basedOn w:val="49"/>
    <w:autoRedefine/>
    <w:semiHidden/>
    <w:qFormat/>
    <w:uiPriority w:val="0"/>
    <w:rPr>
      <w:rFonts w:hAnsi="Courier New" w:cs="Courier New" w:asciiTheme="minorEastAsia"/>
      <w:sz w:val="24"/>
    </w:rPr>
  </w:style>
  <w:style w:type="character" w:customStyle="1" w:styleId="225">
    <w:name w:val="文档结构图 字符1"/>
    <w:basedOn w:val="49"/>
    <w:autoRedefine/>
    <w:semiHidden/>
    <w:qFormat/>
    <w:uiPriority w:val="99"/>
    <w:rPr>
      <w:rFonts w:ascii="Microsoft YaHei UI" w:hAnsi="Times New Roman" w:eastAsia="Microsoft YaHei UI"/>
      <w:sz w:val="18"/>
      <w:szCs w:val="18"/>
    </w:rPr>
  </w:style>
  <w:style w:type="character" w:customStyle="1" w:styleId="226">
    <w:name w:val="HTML 预设格式 字符1"/>
    <w:basedOn w:val="49"/>
    <w:autoRedefine/>
    <w:semiHidden/>
    <w:qFormat/>
    <w:uiPriority w:val="99"/>
    <w:rPr>
      <w:rFonts w:ascii="Courier New" w:hAnsi="Courier New" w:eastAsia="宋体" w:cs="Courier New"/>
      <w:sz w:val="20"/>
      <w:szCs w:val="20"/>
    </w:rPr>
  </w:style>
  <w:style w:type="character" w:customStyle="1" w:styleId="227">
    <w:name w:val="正文文本 2 字符1"/>
    <w:basedOn w:val="49"/>
    <w:autoRedefine/>
    <w:semiHidden/>
    <w:qFormat/>
    <w:uiPriority w:val="99"/>
    <w:rPr>
      <w:rFonts w:ascii="Times New Roman" w:hAnsi="Times New Roman" w:eastAsia="宋体"/>
      <w:sz w:val="24"/>
    </w:rPr>
  </w:style>
  <w:style w:type="character" w:customStyle="1" w:styleId="228">
    <w:name w:val="正文首行缩进 字符1"/>
    <w:basedOn w:val="92"/>
    <w:autoRedefine/>
    <w:semiHidden/>
    <w:qFormat/>
    <w:uiPriority w:val="99"/>
    <w:rPr>
      <w:rFonts w:ascii="Times New Roman" w:hAnsi="Times New Roman" w:eastAsia="宋体"/>
      <w:sz w:val="24"/>
    </w:rPr>
  </w:style>
  <w:style w:type="character" w:customStyle="1" w:styleId="229">
    <w:name w:val="正文文本缩进 3 字符1"/>
    <w:basedOn w:val="49"/>
    <w:autoRedefine/>
    <w:semiHidden/>
    <w:qFormat/>
    <w:uiPriority w:val="99"/>
    <w:rPr>
      <w:rFonts w:ascii="Times New Roman" w:hAnsi="Times New Roman" w:eastAsia="宋体"/>
      <w:sz w:val="16"/>
      <w:szCs w:val="16"/>
    </w:rPr>
  </w:style>
  <w:style w:type="character" w:customStyle="1" w:styleId="230">
    <w:name w:val="正文文本 3 字符1"/>
    <w:basedOn w:val="49"/>
    <w:autoRedefine/>
    <w:semiHidden/>
    <w:qFormat/>
    <w:uiPriority w:val="99"/>
    <w:rPr>
      <w:rFonts w:ascii="Times New Roman" w:hAnsi="Times New Roman" w:eastAsia="宋体"/>
      <w:sz w:val="16"/>
      <w:szCs w:val="16"/>
    </w:rPr>
  </w:style>
  <w:style w:type="character" w:customStyle="1" w:styleId="231">
    <w:name w:val="批注框文本 字符1"/>
    <w:basedOn w:val="49"/>
    <w:autoRedefine/>
    <w:semiHidden/>
    <w:qFormat/>
    <w:uiPriority w:val="99"/>
    <w:rPr>
      <w:rFonts w:ascii="Times New Roman" w:hAnsi="Times New Roman" w:eastAsia="宋体"/>
      <w:sz w:val="18"/>
      <w:szCs w:val="18"/>
    </w:rPr>
  </w:style>
  <w:style w:type="character" w:customStyle="1" w:styleId="232">
    <w:name w:val="日期 字符1"/>
    <w:basedOn w:val="49"/>
    <w:autoRedefine/>
    <w:semiHidden/>
    <w:qFormat/>
    <w:uiPriority w:val="99"/>
    <w:rPr>
      <w:rFonts w:ascii="Times New Roman" w:hAnsi="Times New Roman" w:eastAsia="宋体"/>
      <w:sz w:val="24"/>
    </w:rPr>
  </w:style>
  <w:style w:type="paragraph" w:customStyle="1" w:styleId="233">
    <w:name w:val="Char Char Char Char Char Char Char Char Char Char"/>
    <w:basedOn w:val="1"/>
    <w:autoRedefine/>
    <w:qFormat/>
    <w:uiPriority w:val="0"/>
    <w:pPr>
      <w:adjustRightInd/>
      <w:snapToGrid/>
      <w:spacing w:line="240" w:lineRule="auto"/>
      <w:ind w:firstLine="0" w:firstLineChars="0"/>
    </w:pPr>
    <w:rPr>
      <w:rFonts w:cs="Times New Roman"/>
      <w:kern w:val="0"/>
      <w:szCs w:val="20"/>
    </w:rPr>
  </w:style>
  <w:style w:type="paragraph" w:customStyle="1" w:styleId="234">
    <w:name w:val="表头文字"/>
    <w:basedOn w:val="1"/>
    <w:autoRedefine/>
    <w:qFormat/>
    <w:uiPriority w:val="0"/>
    <w:pPr>
      <w:snapToGrid/>
      <w:ind w:firstLine="0" w:firstLineChars="0"/>
      <w:jc w:val="center"/>
    </w:pPr>
    <w:rPr>
      <w:rFonts w:cs="Times New Roman"/>
      <w:kern w:val="0"/>
      <w:sz w:val="28"/>
      <w:szCs w:val="20"/>
    </w:rPr>
  </w:style>
  <w:style w:type="paragraph" w:customStyle="1" w:styleId="235">
    <w:name w:val="表格内容左"/>
    <w:basedOn w:val="236"/>
    <w:autoRedefine/>
    <w:qFormat/>
    <w:uiPriority w:val="0"/>
    <w:pPr>
      <w:jc w:val="right"/>
      <w:outlineLvl w:val="9"/>
    </w:pPr>
    <w:rPr>
      <w:w w:val="100"/>
      <w:sz w:val="18"/>
    </w:rPr>
  </w:style>
  <w:style w:type="paragraph" w:customStyle="1" w:styleId="236">
    <w:name w:val="表格内容"/>
    <w:basedOn w:val="237"/>
    <w:next w:val="1"/>
    <w:autoRedefine/>
    <w:qFormat/>
    <w:uiPriority w:val="0"/>
    <w:pPr>
      <w:adjustRightInd/>
      <w:snapToGrid/>
      <w:ind w:firstLine="0" w:firstLineChars="0"/>
      <w:outlineLvl w:val="0"/>
    </w:pPr>
    <w:rPr>
      <w:rFonts w:ascii="黑体" w:hAnsi="宋体" w:cs="Times New Roman"/>
      <w:w w:val="90"/>
      <w:kern w:val="0"/>
      <w:szCs w:val="20"/>
    </w:rPr>
  </w:style>
  <w:style w:type="paragraph" w:customStyle="1" w:styleId="237">
    <w:name w:val="封皮-证书编号"/>
    <w:basedOn w:val="1"/>
    <w:autoRedefine/>
    <w:qFormat/>
    <w:uiPriority w:val="0"/>
    <w:pPr>
      <w:jc w:val="center"/>
    </w:pPr>
    <w:rPr>
      <w:rFonts w:eastAsia="黑体"/>
      <w:sz w:val="28"/>
    </w:rPr>
  </w:style>
  <w:style w:type="paragraph" w:customStyle="1" w:styleId="238">
    <w:name w:val="报告节标题"/>
    <w:basedOn w:val="3"/>
    <w:next w:val="1"/>
    <w:autoRedefine/>
    <w:qFormat/>
    <w:uiPriority w:val="0"/>
    <w:pPr>
      <w:numPr>
        <w:ilvl w:val="1"/>
        <w:numId w:val="2"/>
      </w:numPr>
      <w:snapToGrid/>
      <w:spacing w:before="240" w:after="240" w:line="400" w:lineRule="exact"/>
      <w:jc w:val="center"/>
    </w:pPr>
    <w:rPr>
      <w:rFonts w:cs="Times New Roman"/>
      <w:b/>
      <w:bCs w:val="0"/>
      <w:sz w:val="30"/>
      <w:szCs w:val="20"/>
      <w:lang w:val="zh-CN"/>
    </w:rPr>
  </w:style>
  <w:style w:type="paragraph" w:customStyle="1" w:styleId="239">
    <w:name w:val="刘昕正文"/>
    <w:basedOn w:val="1"/>
    <w:autoRedefine/>
    <w:qFormat/>
    <w:uiPriority w:val="0"/>
    <w:pPr>
      <w:adjustRightInd/>
      <w:snapToGrid/>
      <w:spacing w:line="500" w:lineRule="exact"/>
      <w:ind w:firstLine="200"/>
    </w:pPr>
    <w:rPr>
      <w:rFonts w:cs="Times New Roman"/>
      <w:kern w:val="0"/>
      <w:szCs w:val="20"/>
    </w:rPr>
  </w:style>
  <w:style w:type="paragraph" w:customStyle="1" w:styleId="240">
    <w:name w:val="表苡"/>
    <w:basedOn w:val="1"/>
    <w:autoRedefine/>
    <w:qFormat/>
    <w:uiPriority w:val="0"/>
    <w:pPr>
      <w:wordWrap w:val="0"/>
      <w:adjustRightInd/>
      <w:snapToGrid/>
      <w:spacing w:line="240" w:lineRule="exact"/>
      <w:ind w:firstLine="0" w:firstLineChars="0"/>
      <w:jc w:val="center"/>
    </w:pPr>
    <w:rPr>
      <w:rFonts w:ascii="宋体" w:hAnsi="宋体" w:cs="Times New Roman"/>
      <w:kern w:val="0"/>
      <w:sz w:val="18"/>
      <w:szCs w:val="21"/>
    </w:rPr>
  </w:style>
  <w:style w:type="paragraph" w:customStyle="1" w:styleId="241">
    <w:name w:val="样式 样式 样式 样式 正文首行缩进 2 Char + 首行缩进:  2 字符 段后: 0.5 行 + 首行缩进:  2 字符 ..."/>
    <w:basedOn w:val="1"/>
    <w:autoRedefine/>
    <w:qFormat/>
    <w:uiPriority w:val="0"/>
    <w:pPr>
      <w:widowControl/>
      <w:adjustRightInd/>
      <w:snapToGrid/>
      <w:spacing w:afterLines="50" w:line="440" w:lineRule="exact"/>
      <w:ind w:firstLine="0" w:firstLineChars="0"/>
    </w:pPr>
    <w:rPr>
      <w:rFonts w:ascii="宋体" w:hAnsi="宋体" w:cs="宋体"/>
      <w:kern w:val="0"/>
      <w:szCs w:val="20"/>
    </w:rPr>
  </w:style>
  <w:style w:type="paragraph" w:customStyle="1" w:styleId="242">
    <w:name w:val="文本条款"/>
    <w:basedOn w:val="1"/>
    <w:next w:val="1"/>
    <w:autoRedefine/>
    <w:qFormat/>
    <w:uiPriority w:val="0"/>
    <w:pPr>
      <w:adjustRightInd/>
      <w:snapToGrid/>
      <w:spacing w:line="480" w:lineRule="exact"/>
      <w:ind w:firstLine="560" w:firstLineChars="0"/>
    </w:pPr>
    <w:rPr>
      <w:rFonts w:ascii="宋体" w:cs="Times New Roman"/>
      <w:kern w:val="0"/>
      <w:sz w:val="28"/>
      <w:szCs w:val="20"/>
    </w:rPr>
  </w:style>
  <w:style w:type="paragraph" w:customStyle="1" w:styleId="243">
    <w:name w:val="图表文字"/>
    <w:autoRedefine/>
    <w:qFormat/>
    <w:uiPriority w:val="0"/>
    <w:pPr>
      <w:jc w:val="center"/>
    </w:pPr>
    <w:rPr>
      <w:rFonts w:ascii="Times New Roman" w:hAnsi="Times New Roman" w:eastAsia="仿宋_GB2312" w:cs="Times New Roman"/>
      <w:kern w:val="2"/>
      <w:sz w:val="21"/>
      <w:lang w:val="en-US" w:eastAsia="zh-CN" w:bidi="ar-SA"/>
    </w:rPr>
  </w:style>
  <w:style w:type="paragraph" w:customStyle="1" w:styleId="244">
    <w:name w:val="Char Char1 Char"/>
    <w:basedOn w:val="1"/>
    <w:next w:val="1"/>
    <w:autoRedefine/>
    <w:qFormat/>
    <w:uiPriority w:val="0"/>
    <w:pPr>
      <w:adjustRightInd/>
      <w:snapToGrid/>
      <w:ind w:firstLine="200"/>
    </w:pPr>
    <w:rPr>
      <w:rFonts w:ascii="宋体" w:hAnsi="宋体" w:cs="Times New Roman"/>
      <w:kern w:val="0"/>
      <w:szCs w:val="20"/>
    </w:rPr>
  </w:style>
  <w:style w:type="paragraph" w:customStyle="1" w:styleId="245">
    <w:name w:val="样式 正文文字 2 + Times New Roman 自动设置 左 行距: 最小值 25 磅"/>
    <w:basedOn w:val="1"/>
    <w:autoRedefine/>
    <w:qFormat/>
    <w:uiPriority w:val="0"/>
    <w:pPr>
      <w:adjustRightInd/>
      <w:snapToGrid/>
      <w:spacing w:line="500" w:lineRule="exact"/>
      <w:ind w:firstLine="200"/>
      <w:jc w:val="left"/>
    </w:pPr>
    <w:rPr>
      <w:rFonts w:cs="Times New Roman"/>
      <w:kern w:val="0"/>
      <w:sz w:val="28"/>
      <w:szCs w:val="20"/>
    </w:rPr>
  </w:style>
  <w:style w:type="paragraph" w:customStyle="1" w:styleId="246">
    <w:name w:val="报告章标题"/>
    <w:basedOn w:val="2"/>
    <w:next w:val="1"/>
    <w:autoRedefine/>
    <w:qFormat/>
    <w:uiPriority w:val="0"/>
    <w:pPr>
      <w:keepNext/>
      <w:keepLines/>
      <w:numPr>
        <w:ilvl w:val="0"/>
        <w:numId w:val="2"/>
      </w:numPr>
      <w:snapToGrid/>
      <w:spacing w:before="360" w:after="360" w:line="400" w:lineRule="exact"/>
      <w:jc w:val="center"/>
    </w:pPr>
    <w:rPr>
      <w:rFonts w:cs="Times New Roman"/>
      <w:b/>
      <w:kern w:val="44"/>
      <w:szCs w:val="20"/>
      <w:lang w:val="zh-CN"/>
    </w:rPr>
  </w:style>
  <w:style w:type="paragraph" w:customStyle="1" w:styleId="247">
    <w:name w:val="表格1"/>
    <w:basedOn w:val="1"/>
    <w:autoRedefine/>
    <w:qFormat/>
    <w:uiPriority w:val="0"/>
    <w:pPr>
      <w:snapToGrid/>
      <w:spacing w:line="20" w:lineRule="atLeast"/>
      <w:ind w:firstLine="0" w:firstLineChars="0"/>
      <w:jc w:val="center"/>
      <w:textAlignment w:val="center"/>
    </w:pPr>
    <w:rPr>
      <w:rFonts w:ascii="宋体" w:cs="Times New Roman"/>
      <w:kern w:val="0"/>
      <w:szCs w:val="20"/>
    </w:rPr>
  </w:style>
  <w:style w:type="paragraph" w:customStyle="1" w:styleId="248">
    <w:name w:val="样式 首行缩进:  2 字符"/>
    <w:basedOn w:val="1"/>
    <w:autoRedefine/>
    <w:qFormat/>
    <w:uiPriority w:val="0"/>
    <w:pPr>
      <w:widowControl/>
      <w:topLinePunct/>
      <w:autoSpaceDE w:val="0"/>
      <w:autoSpaceDN w:val="0"/>
      <w:snapToGrid/>
      <w:jc w:val="left"/>
    </w:pPr>
    <w:rPr>
      <w:rFonts w:ascii="宋体" w:cs="宋体"/>
      <w:snapToGrid w:val="0"/>
      <w:kern w:val="0"/>
      <w:szCs w:val="20"/>
      <w:lang w:eastAsia="en-US" w:bidi="en-US"/>
    </w:rPr>
  </w:style>
  <w:style w:type="paragraph" w:customStyle="1" w:styleId="249">
    <w:name w:val="Char Char Char Char Char Char Char Char Char Char Char Char"/>
    <w:basedOn w:val="1"/>
    <w:autoRedefine/>
    <w:qFormat/>
    <w:uiPriority w:val="0"/>
    <w:pPr>
      <w:adjustRightInd/>
      <w:snapToGrid/>
      <w:spacing w:line="240" w:lineRule="auto"/>
      <w:ind w:firstLine="0" w:firstLineChars="0"/>
    </w:pPr>
    <w:rPr>
      <w:rFonts w:cs="Times New Roman"/>
      <w:kern w:val="0"/>
      <w:szCs w:val="20"/>
    </w:rPr>
  </w:style>
  <w:style w:type="paragraph" w:customStyle="1" w:styleId="250">
    <w:name w:val="xl34"/>
    <w:basedOn w:val="1"/>
    <w:autoRedefine/>
    <w:qFormat/>
    <w:uiPriority w:val="0"/>
    <w:pPr>
      <w:widowControl/>
      <w:pBdr>
        <w:top w:val="single" w:color="auto" w:sz="4" w:space="0"/>
        <w:left w:val="single" w:color="auto" w:sz="4" w:space="0"/>
      </w:pBdr>
      <w:adjustRightInd/>
      <w:snapToGrid/>
      <w:spacing w:before="100" w:beforeAutospacing="1" w:after="100" w:afterAutospacing="1" w:line="240" w:lineRule="auto"/>
      <w:ind w:firstLine="0" w:firstLineChars="0"/>
      <w:jc w:val="center"/>
    </w:pPr>
    <w:rPr>
      <w:rFonts w:ascii="宋体" w:hAnsi="宋体" w:cs="Times New Roman"/>
      <w:kern w:val="0"/>
      <w:szCs w:val="20"/>
    </w:rPr>
  </w:style>
  <w:style w:type="paragraph" w:customStyle="1" w:styleId="251">
    <w:name w:val="Char1 Char Char Char Char Char Char"/>
    <w:basedOn w:val="1"/>
    <w:autoRedefine/>
    <w:qFormat/>
    <w:uiPriority w:val="0"/>
    <w:pPr>
      <w:adjustRightInd/>
      <w:ind w:firstLine="200"/>
    </w:pPr>
    <w:rPr>
      <w:rFonts w:eastAsia="仿宋_GB2312" w:cs="Times New Roman"/>
      <w:kern w:val="0"/>
      <w:szCs w:val="20"/>
    </w:rPr>
  </w:style>
  <w:style w:type="paragraph" w:customStyle="1" w:styleId="252">
    <w:name w:val="偶数页脚"/>
    <w:basedOn w:val="29"/>
    <w:autoRedefine/>
    <w:qFormat/>
    <w:uiPriority w:val="0"/>
    <w:pPr>
      <w:adjustRightInd/>
      <w:ind w:firstLine="0" w:firstLineChars="0"/>
      <w:jc w:val="both"/>
    </w:pPr>
    <w:rPr>
      <w:rFonts w:cs="Times New Roman"/>
      <w:kern w:val="0"/>
      <w:lang w:val="zh-CN"/>
    </w:rPr>
  </w:style>
  <w:style w:type="paragraph" w:customStyle="1" w:styleId="253">
    <w:name w:val="报告正文"/>
    <w:basedOn w:val="1"/>
    <w:next w:val="1"/>
    <w:link w:val="254"/>
    <w:autoRedefine/>
    <w:qFormat/>
    <w:uiPriority w:val="0"/>
    <w:pPr>
      <w:adjustRightInd/>
      <w:snapToGrid/>
      <w:spacing w:before="50"/>
      <w:ind w:firstLine="540" w:firstLineChars="0"/>
    </w:pPr>
    <w:rPr>
      <w:rFonts w:cs="Times New Roman"/>
      <w:kern w:val="0"/>
      <w:szCs w:val="20"/>
    </w:rPr>
  </w:style>
  <w:style w:type="character" w:customStyle="1" w:styleId="254">
    <w:name w:val="报告正文 Char"/>
    <w:link w:val="253"/>
    <w:autoRedefine/>
    <w:qFormat/>
    <w:uiPriority w:val="0"/>
    <w:rPr>
      <w:rFonts w:ascii="Times New Roman" w:hAnsi="Times New Roman" w:eastAsia="宋体" w:cs="Times New Roman"/>
      <w:kern w:val="0"/>
      <w:sz w:val="24"/>
      <w:szCs w:val="20"/>
    </w:rPr>
  </w:style>
  <w:style w:type="paragraph" w:customStyle="1" w:styleId="255">
    <w:name w:val="表格内容小"/>
    <w:basedOn w:val="236"/>
    <w:autoRedefine/>
    <w:qFormat/>
    <w:uiPriority w:val="0"/>
    <w:pPr>
      <w:outlineLvl w:val="9"/>
    </w:pPr>
    <w:rPr>
      <w:w w:val="100"/>
      <w:sz w:val="18"/>
    </w:rPr>
  </w:style>
  <w:style w:type="paragraph" w:customStyle="1" w:styleId="256">
    <w:name w:val="页脚1"/>
    <w:basedOn w:val="1"/>
    <w:autoRedefine/>
    <w:qFormat/>
    <w:uiPriority w:val="99"/>
    <w:pPr>
      <w:pBdr>
        <w:top w:val="single" w:color="auto" w:sz="4" w:space="1"/>
      </w:pBdr>
      <w:tabs>
        <w:tab w:val="center" w:pos="4153"/>
        <w:tab w:val="right" w:pos="8306"/>
      </w:tabs>
      <w:adjustRightInd/>
      <w:spacing w:line="240" w:lineRule="atLeast"/>
      <w:ind w:firstLine="0" w:firstLineChars="0"/>
    </w:pPr>
    <w:rPr>
      <w:rFonts w:ascii="Calibri" w:hAnsi="Calibri" w:cs="Times New Roman"/>
      <w:kern w:val="0"/>
      <w:sz w:val="18"/>
      <w:szCs w:val="20"/>
    </w:rPr>
  </w:style>
  <w:style w:type="paragraph" w:customStyle="1" w:styleId="257">
    <w:name w:val="公式"/>
    <w:basedOn w:val="1"/>
    <w:autoRedefine/>
    <w:qFormat/>
    <w:uiPriority w:val="0"/>
    <w:pPr>
      <w:snapToGrid/>
      <w:spacing w:before="60" w:line="394" w:lineRule="atLeast"/>
      <w:ind w:firstLine="0" w:firstLineChars="0"/>
      <w:jc w:val="center"/>
      <w:textAlignment w:val="baseline"/>
    </w:pPr>
    <w:rPr>
      <w:rFonts w:ascii="宋体" w:cs="Times New Roman"/>
      <w:kern w:val="0"/>
      <w:szCs w:val="20"/>
    </w:rPr>
  </w:style>
  <w:style w:type="paragraph" w:customStyle="1" w:styleId="258">
    <w:name w:val="样式3"/>
    <w:basedOn w:val="3"/>
    <w:autoRedefine/>
    <w:qFormat/>
    <w:uiPriority w:val="0"/>
    <w:pPr>
      <w:adjustRightInd/>
      <w:snapToGrid/>
      <w:spacing w:before="156" w:after="156"/>
      <w:jc w:val="both"/>
      <w:outlineLvl w:val="0"/>
    </w:pPr>
    <w:rPr>
      <w:rFonts w:ascii="黑体" w:hAnsi="宋体" w:cs="Times New Roman"/>
      <w:szCs w:val="28"/>
      <w:lang w:val="zh-CN"/>
    </w:rPr>
  </w:style>
  <w:style w:type="paragraph" w:customStyle="1" w:styleId="259">
    <w:name w:val="表尾"/>
    <w:basedOn w:val="236"/>
    <w:autoRedefine/>
    <w:qFormat/>
    <w:uiPriority w:val="0"/>
    <w:rPr>
      <w:rFonts w:hAnsi="Times New Roman" w:cs="宋体"/>
      <w:color w:val="000000"/>
      <w:szCs w:val="21"/>
    </w:rPr>
  </w:style>
  <w:style w:type="paragraph" w:customStyle="1" w:styleId="260">
    <w:name w:val="_Style 6"/>
    <w:basedOn w:val="1"/>
    <w:autoRedefine/>
    <w:qFormat/>
    <w:uiPriority w:val="0"/>
    <w:pPr>
      <w:adjustRightInd/>
      <w:snapToGrid/>
      <w:spacing w:line="240" w:lineRule="auto"/>
      <w:ind w:firstLine="420"/>
    </w:pPr>
    <w:rPr>
      <w:rFonts w:ascii="宋体" w:cs="Times New Roman"/>
      <w:kern w:val="0"/>
      <w:szCs w:val="20"/>
    </w:rPr>
  </w:style>
  <w:style w:type="paragraph" w:customStyle="1" w:styleId="261">
    <w:name w:val="默认段落字体 Para Char"/>
    <w:basedOn w:val="1"/>
    <w:autoRedefine/>
    <w:qFormat/>
    <w:uiPriority w:val="0"/>
    <w:pPr>
      <w:adjustRightInd/>
      <w:snapToGrid/>
      <w:spacing w:line="240" w:lineRule="auto"/>
      <w:ind w:firstLine="0" w:firstLineChars="0"/>
    </w:pPr>
    <w:rPr>
      <w:rFonts w:cs="Times New Roman"/>
      <w:kern w:val="0"/>
      <w:szCs w:val="20"/>
    </w:rPr>
  </w:style>
  <w:style w:type="paragraph" w:customStyle="1" w:styleId="262">
    <w:name w:val="报告小节标题"/>
    <w:basedOn w:val="4"/>
    <w:next w:val="1"/>
    <w:autoRedefine/>
    <w:qFormat/>
    <w:uiPriority w:val="0"/>
    <w:pPr>
      <w:numPr>
        <w:ilvl w:val="2"/>
        <w:numId w:val="2"/>
      </w:numPr>
      <w:tabs>
        <w:tab w:val="left" w:pos="645"/>
        <w:tab w:val="clear" w:pos="1680"/>
      </w:tabs>
      <w:adjustRightInd/>
      <w:snapToGrid/>
      <w:spacing w:before="240" w:after="120" w:line="400" w:lineRule="exact"/>
      <w:jc w:val="both"/>
    </w:pPr>
    <w:rPr>
      <w:rFonts w:cs="Times New Roman"/>
      <w:b/>
      <w:bCs w:val="0"/>
      <w:szCs w:val="20"/>
      <w:lang w:val="zh-CN"/>
    </w:rPr>
  </w:style>
  <w:style w:type="paragraph" w:customStyle="1" w:styleId="263">
    <w:name w:val="Char Char Char Char Char"/>
    <w:basedOn w:val="1"/>
    <w:autoRedefine/>
    <w:qFormat/>
    <w:uiPriority w:val="0"/>
    <w:pPr>
      <w:tabs>
        <w:tab w:val="left" w:pos="170"/>
      </w:tabs>
      <w:adjustRightInd/>
      <w:snapToGrid/>
      <w:spacing w:line="240" w:lineRule="auto"/>
      <w:ind w:left="170" w:hanging="170" w:firstLineChars="0"/>
    </w:pPr>
    <w:rPr>
      <w:rFonts w:cs="Times New Roman"/>
      <w:kern w:val="0"/>
      <w:szCs w:val="20"/>
    </w:rPr>
  </w:style>
  <w:style w:type="paragraph" w:customStyle="1" w:styleId="264">
    <w:name w:val="图名A"/>
    <w:basedOn w:val="1"/>
    <w:autoRedefine/>
    <w:qFormat/>
    <w:uiPriority w:val="0"/>
    <w:pPr>
      <w:widowControl/>
      <w:tabs>
        <w:tab w:val="left" w:pos="0"/>
      </w:tabs>
      <w:spacing w:before="62" w:after="249" w:line="240" w:lineRule="auto"/>
      <w:ind w:firstLine="0" w:firstLineChars="0"/>
      <w:jc w:val="center"/>
    </w:pPr>
    <w:rPr>
      <w:rFonts w:cs="Times New Roman"/>
      <w:b/>
      <w:snapToGrid w:val="0"/>
      <w:kern w:val="0"/>
      <w:szCs w:val="20"/>
    </w:rPr>
  </w:style>
  <w:style w:type="paragraph" w:customStyle="1" w:styleId="265">
    <w:name w:val="表格"/>
    <w:basedOn w:val="1"/>
    <w:autoRedefine/>
    <w:qFormat/>
    <w:uiPriority w:val="0"/>
    <w:pPr>
      <w:adjustRightInd/>
      <w:snapToGrid/>
      <w:spacing w:line="480" w:lineRule="exact"/>
      <w:ind w:firstLine="0" w:firstLineChars="0"/>
      <w:jc w:val="center"/>
    </w:pPr>
    <w:rPr>
      <w:rFonts w:ascii="宋体" w:cs="Times New Roman"/>
      <w:snapToGrid w:val="0"/>
      <w:kern w:val="0"/>
      <w:szCs w:val="20"/>
    </w:rPr>
  </w:style>
  <w:style w:type="paragraph" w:customStyle="1" w:styleId="266">
    <w:name w:val="表格 32"/>
    <w:basedOn w:val="1"/>
    <w:autoRedefine/>
    <w:qFormat/>
    <w:uiPriority w:val="0"/>
    <w:pPr>
      <w:autoSpaceDE w:val="0"/>
      <w:autoSpaceDN w:val="0"/>
      <w:spacing w:line="240" w:lineRule="auto"/>
      <w:ind w:firstLine="0" w:firstLineChars="0"/>
      <w:jc w:val="center"/>
      <w:textAlignment w:val="baseline"/>
    </w:pPr>
    <w:rPr>
      <w:rFonts w:cs="Times New Roman"/>
      <w:kern w:val="0"/>
      <w:szCs w:val="20"/>
    </w:rPr>
  </w:style>
  <w:style w:type="paragraph" w:customStyle="1" w:styleId="267">
    <w:name w:val="表文C"/>
    <w:basedOn w:val="1"/>
    <w:autoRedefine/>
    <w:qFormat/>
    <w:uiPriority w:val="0"/>
    <w:pPr>
      <w:widowControl/>
      <w:tabs>
        <w:tab w:val="left" w:pos="0"/>
      </w:tabs>
      <w:spacing w:line="240" w:lineRule="auto"/>
      <w:ind w:firstLine="0" w:firstLineChars="0"/>
      <w:jc w:val="center"/>
    </w:pPr>
    <w:rPr>
      <w:rFonts w:cs="Times New Roman"/>
      <w:snapToGrid w:val="0"/>
      <w:kern w:val="0"/>
      <w:szCs w:val="20"/>
    </w:rPr>
  </w:style>
  <w:style w:type="paragraph" w:customStyle="1" w:styleId="268">
    <w:name w:val="p0"/>
    <w:basedOn w:val="1"/>
    <w:autoRedefine/>
    <w:qFormat/>
    <w:uiPriority w:val="0"/>
    <w:pPr>
      <w:widowControl/>
      <w:adjustRightInd/>
      <w:snapToGrid/>
      <w:spacing w:line="240" w:lineRule="auto"/>
      <w:ind w:firstLine="0" w:firstLineChars="0"/>
    </w:pPr>
    <w:rPr>
      <w:rFonts w:cs="Times New Roman"/>
      <w:kern w:val="0"/>
      <w:sz w:val="21"/>
      <w:szCs w:val="21"/>
    </w:rPr>
  </w:style>
  <w:style w:type="paragraph" w:customStyle="1" w:styleId="269">
    <w:name w:val="xl31"/>
    <w:basedOn w:val="1"/>
    <w:autoRedefine/>
    <w:qFormat/>
    <w:uiPriority w:val="0"/>
    <w:pPr>
      <w:widowControl/>
      <w:adjustRightInd/>
      <w:snapToGrid/>
      <w:spacing w:before="100" w:beforeAutospacing="1" w:after="100" w:afterAutospacing="1" w:line="240" w:lineRule="auto"/>
      <w:ind w:firstLine="0" w:firstLineChars="0"/>
      <w:jc w:val="center"/>
    </w:pPr>
    <w:rPr>
      <w:rFonts w:ascii="Arial Unicode MS" w:hAnsi="Arial Unicode MS" w:eastAsia="Arial Unicode MS" w:cs="Times New Roman"/>
      <w:kern w:val="0"/>
      <w:szCs w:val="20"/>
    </w:rPr>
  </w:style>
  <w:style w:type="paragraph" w:customStyle="1" w:styleId="270">
    <w:name w:val="正文1"/>
    <w:link w:val="271"/>
    <w:autoRedefine/>
    <w:qFormat/>
    <w:uiPriority w:val="99"/>
    <w:pPr>
      <w:widowControl w:val="0"/>
      <w:adjustRightInd w:val="0"/>
      <w:spacing w:line="360" w:lineRule="atLeast"/>
      <w:textAlignment w:val="baseline"/>
    </w:pPr>
    <w:rPr>
      <w:rFonts w:ascii="宋体" w:hAnsi="Times New Roman" w:eastAsia="宋体" w:cs="Times New Roman"/>
      <w:sz w:val="24"/>
      <w:lang w:val="en-US" w:eastAsia="zh-CN" w:bidi="ar-SA"/>
    </w:rPr>
  </w:style>
  <w:style w:type="character" w:customStyle="1" w:styleId="271">
    <w:name w:val="Normal Char"/>
    <w:link w:val="270"/>
    <w:autoRedefine/>
    <w:qFormat/>
    <w:uiPriority w:val="99"/>
    <w:rPr>
      <w:rFonts w:ascii="宋体" w:hAnsi="Times New Roman" w:eastAsia="宋体" w:cs="Times New Roman"/>
      <w:kern w:val="0"/>
      <w:sz w:val="24"/>
      <w:szCs w:val="20"/>
    </w:rPr>
  </w:style>
  <w:style w:type="paragraph" w:customStyle="1" w:styleId="272">
    <w:name w:val="正文居中"/>
    <w:autoRedefine/>
    <w:qFormat/>
    <w:uiPriority w:val="0"/>
    <w:pPr>
      <w:keepNext/>
      <w:spacing w:before="80" w:after="80" w:line="240" w:lineRule="exact"/>
      <w:jc w:val="center"/>
    </w:pPr>
    <w:rPr>
      <w:rFonts w:ascii="宋体" w:hAnsi="宋体" w:eastAsia="宋体" w:cs="Times New Roman"/>
      <w:sz w:val="21"/>
      <w:szCs w:val="21"/>
      <w:lang w:val="en-US" w:eastAsia="zh-CN" w:bidi="ar-SA"/>
    </w:rPr>
  </w:style>
  <w:style w:type="paragraph" w:customStyle="1" w:styleId="273">
    <w:name w:val="正文zoe"/>
    <w:basedOn w:val="19"/>
    <w:autoRedefine/>
    <w:qFormat/>
    <w:uiPriority w:val="0"/>
    <w:pPr>
      <w:adjustRightInd w:val="0"/>
      <w:spacing w:line="360" w:lineRule="auto"/>
      <w:ind w:firstLine="480" w:firstLineChars="200"/>
      <w:textAlignment w:val="baseline"/>
    </w:pPr>
    <w:rPr>
      <w:kern w:val="0"/>
      <w:sz w:val="24"/>
    </w:rPr>
  </w:style>
  <w:style w:type="paragraph" w:customStyle="1" w:styleId="274">
    <w:name w:val="宋体首行缩进:  2 字符"/>
    <w:basedOn w:val="1"/>
    <w:autoRedefine/>
    <w:qFormat/>
    <w:uiPriority w:val="0"/>
    <w:pPr>
      <w:adjustRightInd/>
      <w:snapToGrid/>
      <w:ind w:firstLine="200"/>
    </w:pPr>
    <w:rPr>
      <w:rFonts w:cs="Times New Roman"/>
      <w:kern w:val="0"/>
      <w:szCs w:val="20"/>
    </w:rPr>
  </w:style>
  <w:style w:type="paragraph" w:customStyle="1" w:styleId="275">
    <w:name w:val="xl26"/>
    <w:basedOn w:val="1"/>
    <w:autoRedefine/>
    <w:qFormat/>
    <w:uiPriority w:val="0"/>
    <w:pPr>
      <w:widowControl/>
      <w:adjustRightInd/>
      <w:snapToGrid/>
      <w:spacing w:before="100" w:beforeAutospacing="1" w:after="100" w:afterAutospacing="1" w:line="240" w:lineRule="auto"/>
      <w:ind w:firstLine="0" w:firstLineChars="0"/>
      <w:textAlignment w:val="center"/>
    </w:pPr>
    <w:rPr>
      <w:rFonts w:ascii="宋体" w:hAnsi="宋体" w:cs="Times New Roman"/>
      <w:kern w:val="0"/>
      <w:szCs w:val="20"/>
    </w:rPr>
  </w:style>
  <w:style w:type="paragraph" w:customStyle="1" w:styleId="276">
    <w:name w:val="xl24"/>
    <w:basedOn w:val="1"/>
    <w:autoRedefine/>
    <w:qFormat/>
    <w:uiPriority w:val="0"/>
    <w:pPr>
      <w:widowControl/>
      <w:adjustRightInd/>
      <w:snapToGrid/>
      <w:spacing w:before="100" w:beforeAutospacing="1" w:after="100" w:afterAutospacing="1" w:line="240" w:lineRule="auto"/>
      <w:ind w:firstLine="0" w:firstLineChars="0"/>
      <w:jc w:val="center"/>
    </w:pPr>
    <w:rPr>
      <w:rFonts w:ascii="宋体" w:hAnsi="宋体" w:cs="Times New Roman"/>
      <w:kern w:val="0"/>
      <w:szCs w:val="20"/>
    </w:rPr>
  </w:style>
  <w:style w:type="paragraph" w:customStyle="1" w:styleId="277">
    <w:name w:val="样式7"/>
    <w:basedOn w:val="1"/>
    <w:autoRedefine/>
    <w:qFormat/>
    <w:uiPriority w:val="0"/>
    <w:pPr>
      <w:adjustRightInd/>
      <w:snapToGrid/>
      <w:ind w:firstLine="0" w:firstLineChars="0"/>
    </w:pPr>
    <w:rPr>
      <w:rFonts w:cs="Times New Roman"/>
      <w:kern w:val="0"/>
      <w:szCs w:val="20"/>
    </w:rPr>
  </w:style>
  <w:style w:type="paragraph" w:customStyle="1" w:styleId="278">
    <w:name w:val="样式 标题 1 + 自动设置"/>
    <w:basedOn w:val="2"/>
    <w:autoRedefine/>
    <w:qFormat/>
    <w:uiPriority w:val="0"/>
    <w:pPr>
      <w:keepNext/>
      <w:keepLines/>
      <w:tabs>
        <w:tab w:val="left" w:pos="700"/>
      </w:tabs>
      <w:autoSpaceDE w:val="0"/>
      <w:autoSpaceDN w:val="0"/>
      <w:snapToGrid/>
      <w:spacing w:before="120" w:after="60" w:line="240" w:lineRule="auto"/>
    </w:pPr>
    <w:rPr>
      <w:rFonts w:cs="Times New Roman"/>
      <w:kern w:val="44"/>
      <w:sz w:val="28"/>
      <w:szCs w:val="20"/>
      <w:lang w:val="zh-CN"/>
    </w:rPr>
  </w:style>
  <w:style w:type="paragraph" w:customStyle="1" w:styleId="279">
    <w:name w:val="正文（首行缩进两字） Char"/>
    <w:basedOn w:val="1"/>
    <w:autoRedefine/>
    <w:qFormat/>
    <w:uiPriority w:val="0"/>
    <w:pPr>
      <w:widowControl/>
      <w:adjustRightInd/>
      <w:snapToGrid/>
      <w:spacing w:line="500" w:lineRule="exact"/>
      <w:ind w:firstLine="420" w:firstLineChars="0"/>
      <w:jc w:val="left"/>
    </w:pPr>
    <w:rPr>
      <w:rFonts w:cs="Times New Roman"/>
      <w:kern w:val="0"/>
      <w:sz w:val="28"/>
      <w:szCs w:val="20"/>
    </w:rPr>
  </w:style>
  <w:style w:type="paragraph" w:customStyle="1" w:styleId="280">
    <w:name w:val="z-窗体顶端1"/>
    <w:basedOn w:val="1"/>
    <w:next w:val="1"/>
    <w:link w:val="281"/>
    <w:autoRedefine/>
    <w:qFormat/>
    <w:uiPriority w:val="0"/>
    <w:pPr>
      <w:pBdr>
        <w:bottom w:val="single" w:color="auto" w:sz="6" w:space="1"/>
      </w:pBdr>
      <w:adjustRightInd/>
      <w:snapToGrid/>
      <w:spacing w:line="240" w:lineRule="auto"/>
      <w:ind w:firstLine="0" w:firstLineChars="0"/>
      <w:jc w:val="center"/>
    </w:pPr>
    <w:rPr>
      <w:rFonts w:ascii="Arial" w:cs="Times New Roman"/>
      <w:vanish/>
      <w:kern w:val="0"/>
      <w:sz w:val="16"/>
      <w:szCs w:val="20"/>
    </w:rPr>
  </w:style>
  <w:style w:type="character" w:customStyle="1" w:styleId="281">
    <w:name w:val="z-窗体顶端 字符"/>
    <w:basedOn w:val="49"/>
    <w:link w:val="280"/>
    <w:autoRedefine/>
    <w:qFormat/>
    <w:uiPriority w:val="0"/>
    <w:rPr>
      <w:rFonts w:ascii="Arial" w:hAnsi="Times New Roman" w:eastAsia="宋体" w:cs="Times New Roman"/>
      <w:vanish/>
      <w:kern w:val="0"/>
      <w:sz w:val="16"/>
      <w:szCs w:val="20"/>
    </w:rPr>
  </w:style>
  <w:style w:type="paragraph" w:customStyle="1" w:styleId="282">
    <w:name w:val="样式 标题 1 + 紧缩量  1 磅"/>
    <w:basedOn w:val="2"/>
    <w:autoRedefine/>
    <w:qFormat/>
    <w:uiPriority w:val="0"/>
    <w:pPr>
      <w:keepNext/>
      <w:keepLines/>
      <w:adjustRightInd/>
      <w:snapToGrid/>
      <w:spacing w:line="578" w:lineRule="auto"/>
      <w:jc w:val="both"/>
    </w:pPr>
    <w:rPr>
      <w:rFonts w:hint="eastAsia" w:ascii="Calibri" w:hAnsi="Calibri" w:cs="Times New Roman"/>
      <w:bCs/>
      <w:iCs/>
      <w:kern w:val="44"/>
      <w:sz w:val="36"/>
      <w:szCs w:val="36"/>
      <w:lang w:val="zh-CN"/>
    </w:rPr>
  </w:style>
  <w:style w:type="paragraph" w:customStyle="1" w:styleId="283">
    <w:name w:val="xl46"/>
    <w:basedOn w:val="1"/>
    <w:autoRedefine/>
    <w:qFormat/>
    <w:uiPriority w:val="0"/>
    <w:pPr>
      <w:widowControl/>
      <w:pBdr>
        <w:right w:val="single" w:color="auto" w:sz="8" w:space="0"/>
      </w:pBdr>
      <w:adjustRightInd/>
      <w:snapToGrid/>
      <w:spacing w:before="100" w:beforeAutospacing="1" w:after="100" w:afterAutospacing="1" w:line="240" w:lineRule="auto"/>
      <w:ind w:firstLine="0" w:firstLineChars="0"/>
      <w:jc w:val="center"/>
    </w:pPr>
    <w:rPr>
      <w:rFonts w:cs="Times New Roman"/>
      <w:kern w:val="0"/>
      <w:szCs w:val="20"/>
    </w:rPr>
  </w:style>
  <w:style w:type="paragraph" w:customStyle="1" w:styleId="284">
    <w:name w:val="简单回函地址"/>
    <w:basedOn w:val="1"/>
    <w:autoRedefine/>
    <w:qFormat/>
    <w:uiPriority w:val="0"/>
    <w:pPr>
      <w:adjustRightInd/>
      <w:snapToGrid/>
      <w:spacing w:line="240" w:lineRule="auto"/>
      <w:ind w:firstLine="0" w:firstLineChars="0"/>
    </w:pPr>
    <w:rPr>
      <w:rFonts w:ascii="宋体" w:hAnsi="宋体" w:cs="Times New Roman"/>
      <w:kern w:val="0"/>
      <w:szCs w:val="20"/>
    </w:rPr>
  </w:style>
  <w:style w:type="paragraph" w:customStyle="1" w:styleId="285">
    <w:name w:val="图名"/>
    <w:basedOn w:val="1"/>
    <w:autoRedefine/>
    <w:qFormat/>
    <w:uiPriority w:val="0"/>
    <w:pPr>
      <w:ind w:left="-22" w:leftChars="-9" w:firstLine="0" w:firstLineChars="0"/>
      <w:jc w:val="center"/>
      <w:textAlignment w:val="baseline"/>
    </w:pPr>
    <w:rPr>
      <w:rFonts w:eastAsia="黑体" w:cs="Times New Roman"/>
      <w:b/>
      <w:snapToGrid w:val="0"/>
      <w:spacing w:val="12"/>
      <w:kern w:val="0"/>
      <w:szCs w:val="20"/>
    </w:rPr>
  </w:style>
  <w:style w:type="paragraph" w:customStyle="1" w:styleId="286">
    <w:name w:val="Char Char Char Char Char Char Char Char Char Char1 Char Char Char Char Char Char Char Char Char Char Char Char Char"/>
    <w:basedOn w:val="1"/>
    <w:autoRedefine/>
    <w:qFormat/>
    <w:uiPriority w:val="0"/>
    <w:pPr>
      <w:adjustRightInd/>
      <w:snapToGrid/>
      <w:spacing w:line="240" w:lineRule="auto"/>
      <w:ind w:firstLine="0" w:firstLineChars="0"/>
    </w:pPr>
    <w:rPr>
      <w:rFonts w:cs="Times New Roman"/>
      <w:kern w:val="0"/>
      <w:szCs w:val="20"/>
    </w:rPr>
  </w:style>
  <w:style w:type="paragraph" w:customStyle="1" w:styleId="287">
    <w:name w:val="密级编号"/>
    <w:basedOn w:val="1"/>
    <w:autoRedefine/>
    <w:qFormat/>
    <w:uiPriority w:val="0"/>
    <w:pPr>
      <w:snapToGrid/>
      <w:spacing w:line="240" w:lineRule="auto"/>
      <w:ind w:firstLine="0" w:firstLineChars="0"/>
      <w:jc w:val="center"/>
      <w:textAlignment w:val="baseline"/>
    </w:pPr>
    <w:rPr>
      <w:rFonts w:ascii="仿宋_GB2312" w:eastAsia="仿宋_GB2312" w:cs="Times New Roman"/>
      <w:kern w:val="0"/>
      <w:szCs w:val="20"/>
    </w:rPr>
  </w:style>
  <w:style w:type="paragraph" w:customStyle="1" w:styleId="288">
    <w:name w:val="【黑体表头】"/>
    <w:basedOn w:val="1"/>
    <w:autoRedefine/>
    <w:qFormat/>
    <w:uiPriority w:val="0"/>
    <w:pPr>
      <w:tabs>
        <w:tab w:val="left" w:leader="middleDot" w:pos="7371"/>
      </w:tabs>
      <w:ind w:firstLine="200"/>
      <w:jc w:val="center"/>
    </w:pPr>
    <w:rPr>
      <w:rFonts w:ascii="黑体" w:hAnsi="黑体" w:eastAsia="黑体" w:cs="Times New Roman"/>
      <w:kern w:val="0"/>
      <w:szCs w:val="20"/>
    </w:rPr>
  </w:style>
  <w:style w:type="paragraph" w:customStyle="1" w:styleId="289">
    <w:name w:val="表体"/>
    <w:basedOn w:val="1"/>
    <w:autoRedefine/>
    <w:qFormat/>
    <w:uiPriority w:val="0"/>
    <w:pPr>
      <w:widowControl/>
      <w:spacing w:line="240" w:lineRule="atLeast"/>
      <w:ind w:firstLine="0" w:firstLineChars="0"/>
      <w:jc w:val="center"/>
    </w:pPr>
    <w:rPr>
      <w:rFonts w:eastAsia="仿宋_GB2312" w:cs="Times New Roman"/>
      <w:kern w:val="0"/>
      <w:szCs w:val="20"/>
    </w:rPr>
  </w:style>
  <w:style w:type="paragraph" w:customStyle="1" w:styleId="290">
    <w:name w:val="Char1"/>
    <w:basedOn w:val="1"/>
    <w:autoRedefine/>
    <w:qFormat/>
    <w:uiPriority w:val="0"/>
    <w:pPr>
      <w:adjustRightInd/>
      <w:snapToGrid/>
      <w:ind w:firstLine="200"/>
    </w:pPr>
    <w:rPr>
      <w:rFonts w:ascii="宋体" w:hAnsi="宋体" w:cs="Times New Roman"/>
      <w:kern w:val="0"/>
      <w:szCs w:val="20"/>
    </w:rPr>
  </w:style>
  <w:style w:type="paragraph" w:customStyle="1" w:styleId="291">
    <w:name w:val="正文非缩进 Char"/>
    <w:basedOn w:val="1"/>
    <w:autoRedefine/>
    <w:qFormat/>
    <w:uiPriority w:val="0"/>
    <w:pPr>
      <w:widowControl/>
      <w:adjustRightInd/>
      <w:snapToGrid/>
      <w:spacing w:line="500" w:lineRule="exact"/>
      <w:ind w:firstLine="420" w:firstLineChars="0"/>
      <w:jc w:val="left"/>
    </w:pPr>
    <w:rPr>
      <w:rFonts w:cs="Times New Roman"/>
      <w:kern w:val="0"/>
      <w:sz w:val="28"/>
      <w:szCs w:val="20"/>
    </w:rPr>
  </w:style>
  <w:style w:type="paragraph" w:customStyle="1" w:styleId="292">
    <w:name w:val="图说表名"/>
    <w:next w:val="1"/>
    <w:autoRedefine/>
    <w:qFormat/>
    <w:uiPriority w:val="0"/>
    <w:pPr>
      <w:adjustRightInd w:val="0"/>
      <w:spacing w:before="25" w:after="25"/>
      <w:jc w:val="center"/>
    </w:pPr>
    <w:rPr>
      <w:rFonts w:ascii="Arial" w:hAnsi="Arial" w:eastAsia="黑体" w:cs="Times New Roman"/>
      <w:kern w:val="2"/>
      <w:sz w:val="24"/>
      <w:lang w:val="en-US" w:eastAsia="zh-CN" w:bidi="ar-SA"/>
    </w:rPr>
  </w:style>
  <w:style w:type="paragraph" w:customStyle="1" w:styleId="293">
    <w:name w:val="正文01"/>
    <w:basedOn w:val="1"/>
    <w:autoRedefine/>
    <w:qFormat/>
    <w:uiPriority w:val="0"/>
    <w:pPr>
      <w:adjustRightInd/>
      <w:snapToGrid/>
      <w:spacing w:before="60" w:line="460" w:lineRule="exact"/>
      <w:ind w:firstLine="200"/>
    </w:pPr>
    <w:rPr>
      <w:rFonts w:cs="Times New Roman"/>
      <w:kern w:val="0"/>
      <w:szCs w:val="20"/>
    </w:rPr>
  </w:style>
  <w:style w:type="paragraph" w:customStyle="1" w:styleId="294">
    <w:name w:val="【标题2】"/>
    <w:basedOn w:val="3"/>
    <w:autoRedefine/>
    <w:qFormat/>
    <w:uiPriority w:val="0"/>
    <w:pPr>
      <w:keepNext w:val="0"/>
      <w:adjustRightInd/>
      <w:snapToGrid/>
      <w:spacing w:line="700" w:lineRule="exact"/>
    </w:pPr>
    <w:rPr>
      <w:rFonts w:ascii="Calibri" w:hAnsi="Calibri" w:cs="Times New Roman"/>
      <w:bCs w:val="0"/>
      <w:szCs w:val="22"/>
      <w:lang w:val="zh-CN" w:eastAsia="en-US"/>
    </w:rPr>
  </w:style>
  <w:style w:type="paragraph" w:customStyle="1" w:styleId="295">
    <w:name w:val="主标题"/>
    <w:basedOn w:val="1"/>
    <w:autoRedefine/>
    <w:qFormat/>
    <w:uiPriority w:val="0"/>
    <w:pPr>
      <w:adjustRightInd/>
      <w:spacing w:before="60" w:after="60"/>
      <w:ind w:firstLine="0" w:firstLineChars="0"/>
      <w:jc w:val="center"/>
      <w:outlineLvl w:val="0"/>
    </w:pPr>
    <w:rPr>
      <w:rFonts w:ascii="黑体" w:eastAsia="黑体" w:cs="Times New Roman"/>
      <w:b/>
      <w:color w:val="000000"/>
      <w:kern w:val="0"/>
      <w:sz w:val="32"/>
      <w:szCs w:val="20"/>
    </w:rPr>
  </w:style>
  <w:style w:type="paragraph" w:customStyle="1" w:styleId="296">
    <w:name w:val="表正文 Char1 Char Char C"/>
    <w:basedOn w:val="1"/>
    <w:autoRedefine/>
    <w:qFormat/>
    <w:uiPriority w:val="0"/>
    <w:pPr>
      <w:widowControl/>
      <w:snapToGrid/>
      <w:spacing w:line="500" w:lineRule="exact"/>
      <w:ind w:firstLine="420" w:firstLineChars="0"/>
      <w:jc w:val="left"/>
      <w:textAlignment w:val="baseline"/>
    </w:pPr>
    <w:rPr>
      <w:rFonts w:cs="Times New Roman"/>
      <w:kern w:val="0"/>
      <w:sz w:val="28"/>
      <w:szCs w:val="20"/>
    </w:rPr>
  </w:style>
  <w:style w:type="paragraph" w:customStyle="1" w:styleId="297">
    <w:name w:val="正文7"/>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298">
    <w:name w:val="表号"/>
    <w:basedOn w:val="1"/>
    <w:autoRedefine/>
    <w:qFormat/>
    <w:uiPriority w:val="0"/>
    <w:pPr>
      <w:adjustRightInd/>
      <w:snapToGrid/>
      <w:spacing w:line="240" w:lineRule="auto"/>
      <w:ind w:firstLine="0" w:firstLineChars="0"/>
      <w:jc w:val="right"/>
    </w:pPr>
    <w:rPr>
      <w:rFonts w:ascii="宋体" w:hAnsi="宋体" w:cs="Times New Roman"/>
      <w:kern w:val="0"/>
      <w:szCs w:val="20"/>
    </w:rPr>
  </w:style>
  <w:style w:type="paragraph" w:customStyle="1" w:styleId="299">
    <w:name w:val="样式 标题 3标题 33 + 段前: 0.5 行"/>
    <w:basedOn w:val="4"/>
    <w:autoRedefine/>
    <w:qFormat/>
    <w:uiPriority w:val="0"/>
    <w:pPr>
      <w:adjustRightInd/>
      <w:snapToGrid/>
      <w:ind w:firstLine="480" w:firstLineChars="200"/>
      <w:jc w:val="both"/>
    </w:pPr>
    <w:rPr>
      <w:rFonts w:ascii="黑体" w:hAnsi="宋体" w:cs="Times New Roman"/>
      <w:b/>
      <w:bCs w:val="0"/>
      <w:snapToGrid w:val="0"/>
      <w:color w:val="000000"/>
      <w:kern w:val="0"/>
      <w:szCs w:val="20"/>
      <w:lang w:val="zh-CN"/>
    </w:rPr>
  </w:style>
  <w:style w:type="paragraph" w:customStyle="1" w:styleId="300">
    <w:name w:val="Char Char Char"/>
    <w:basedOn w:val="1"/>
    <w:autoRedefine/>
    <w:qFormat/>
    <w:uiPriority w:val="0"/>
    <w:pPr>
      <w:tabs>
        <w:tab w:val="left" w:pos="170"/>
      </w:tabs>
      <w:adjustRightInd/>
      <w:snapToGrid/>
      <w:spacing w:line="240" w:lineRule="auto"/>
      <w:ind w:left="170" w:hanging="170" w:firstLineChars="0"/>
    </w:pPr>
    <w:rPr>
      <w:rFonts w:cs="Times New Roman"/>
      <w:kern w:val="0"/>
      <w:szCs w:val="20"/>
    </w:rPr>
  </w:style>
  <w:style w:type="paragraph" w:customStyle="1" w:styleId="301">
    <w:name w:val="正文文本缩进 21"/>
    <w:basedOn w:val="1"/>
    <w:autoRedefine/>
    <w:qFormat/>
    <w:uiPriority w:val="0"/>
    <w:pPr>
      <w:snapToGrid/>
      <w:ind w:firstLine="510" w:firstLineChars="0"/>
      <w:textAlignment w:val="baseline"/>
    </w:pPr>
    <w:rPr>
      <w:rFonts w:ascii="宋体" w:hAnsi="宋体" w:cs="Times New Roman"/>
      <w:kern w:val="0"/>
      <w:sz w:val="28"/>
      <w:szCs w:val="20"/>
    </w:rPr>
  </w:style>
  <w:style w:type="paragraph" w:customStyle="1" w:styleId="302">
    <w:name w:val="正文格式"/>
    <w:basedOn w:val="1"/>
    <w:autoRedefine/>
    <w:qFormat/>
    <w:uiPriority w:val="0"/>
    <w:pPr>
      <w:adjustRightInd/>
      <w:snapToGrid/>
      <w:ind w:firstLine="544"/>
    </w:pPr>
    <w:rPr>
      <w:rFonts w:cs="Times New Roman"/>
      <w:kern w:val="0"/>
      <w:szCs w:val="20"/>
    </w:rPr>
  </w:style>
  <w:style w:type="paragraph" w:customStyle="1" w:styleId="303">
    <w:name w:val="表格正文"/>
    <w:basedOn w:val="1"/>
    <w:next w:val="304"/>
    <w:autoRedefine/>
    <w:qFormat/>
    <w:uiPriority w:val="0"/>
    <w:pPr>
      <w:adjustRightInd/>
      <w:snapToGrid/>
      <w:spacing w:line="360" w:lineRule="exact"/>
      <w:ind w:firstLine="0" w:firstLineChars="0"/>
      <w:jc w:val="center"/>
    </w:pPr>
    <w:rPr>
      <w:rFonts w:cs="Times New Roman"/>
      <w:kern w:val="0"/>
      <w:szCs w:val="20"/>
    </w:rPr>
  </w:style>
  <w:style w:type="paragraph" w:customStyle="1" w:styleId="304">
    <w:name w:val="正"/>
    <w:basedOn w:val="1"/>
    <w:link w:val="400"/>
    <w:autoRedefine/>
    <w:qFormat/>
    <w:uiPriority w:val="0"/>
    <w:pPr>
      <w:adjustRightInd/>
      <w:snapToGrid/>
      <w:spacing w:before="78" w:beforeLines="25" w:after="78" w:afterLines="25" w:line="440" w:lineRule="exact"/>
      <w:ind w:firstLine="200"/>
    </w:pPr>
    <w:rPr>
      <w:rFonts w:cs="宋体" w:asciiTheme="minorHAnsi" w:hAnsiTheme="minorHAnsi" w:eastAsiaTheme="minorEastAsia"/>
    </w:rPr>
  </w:style>
  <w:style w:type="paragraph" w:customStyle="1" w:styleId="305">
    <w:name w:val="标题B"/>
    <w:autoRedefine/>
    <w:qFormat/>
    <w:uiPriority w:val="0"/>
    <w:pPr>
      <w:adjustRightInd w:val="0"/>
      <w:snapToGrid w:val="0"/>
      <w:spacing w:before="400"/>
      <w:outlineLvl w:val="1"/>
    </w:pPr>
    <w:rPr>
      <w:rFonts w:ascii="Times New Roman" w:hAnsi="Times New Roman" w:eastAsia="宋体" w:cs="Times New Roman"/>
      <w:b/>
      <w:sz w:val="30"/>
      <w:lang w:val="en-US" w:eastAsia="zh-CN" w:bidi="ar-SA"/>
    </w:rPr>
  </w:style>
  <w:style w:type="paragraph" w:customStyle="1" w:styleId="306">
    <w:name w:val="Char Char Char Char Char Char Char"/>
    <w:basedOn w:val="1"/>
    <w:autoRedefine/>
    <w:qFormat/>
    <w:uiPriority w:val="0"/>
    <w:pPr>
      <w:adjustRightInd/>
      <w:snapToGrid/>
      <w:spacing w:line="240" w:lineRule="auto"/>
      <w:ind w:firstLine="0" w:firstLineChars="0"/>
    </w:pPr>
    <w:rPr>
      <w:rFonts w:cs="Times New Roman"/>
      <w:kern w:val="0"/>
      <w:szCs w:val="24"/>
    </w:rPr>
  </w:style>
  <w:style w:type="paragraph" w:customStyle="1" w:styleId="307">
    <w:name w:val="Char"/>
    <w:basedOn w:val="4"/>
    <w:autoRedefine/>
    <w:qFormat/>
    <w:uiPriority w:val="0"/>
    <w:pPr>
      <w:tabs>
        <w:tab w:val="left" w:pos="360"/>
        <w:tab w:val="left" w:pos="900"/>
      </w:tabs>
      <w:adjustRightInd/>
      <w:snapToGrid/>
      <w:spacing w:before="120" w:after="120"/>
      <w:ind w:left="542" w:leftChars="-12" w:firstLine="200" w:firstLineChars="200"/>
    </w:pPr>
    <w:rPr>
      <w:rFonts w:cs="Times New Roman"/>
      <w:b/>
      <w:bCs w:val="0"/>
      <w:snapToGrid w:val="0"/>
      <w:szCs w:val="20"/>
      <w:lang w:val="zh-CN"/>
    </w:rPr>
  </w:style>
  <w:style w:type="paragraph" w:customStyle="1" w:styleId="308">
    <w:name w:val="正缩1 Char"/>
    <w:basedOn w:val="1"/>
    <w:autoRedefine/>
    <w:qFormat/>
    <w:uiPriority w:val="0"/>
    <w:pPr>
      <w:spacing w:line="500" w:lineRule="exact"/>
      <w:ind w:firstLine="567" w:firstLineChars="0"/>
    </w:pPr>
    <w:rPr>
      <w:rFonts w:eastAsia="仿宋_GB2312" w:cs="Times New Roman"/>
      <w:snapToGrid w:val="0"/>
      <w:color w:val="000000"/>
      <w:kern w:val="0"/>
      <w:sz w:val="28"/>
      <w:szCs w:val="20"/>
    </w:rPr>
  </w:style>
  <w:style w:type="paragraph" w:customStyle="1" w:styleId="309">
    <w:name w:val="9"/>
    <w:basedOn w:val="1"/>
    <w:autoRedefine/>
    <w:qFormat/>
    <w:uiPriority w:val="0"/>
    <w:pPr>
      <w:adjustRightInd/>
      <w:snapToGrid/>
      <w:ind w:firstLine="200"/>
    </w:pPr>
    <w:rPr>
      <w:rFonts w:ascii="宋体" w:hAnsi="宋体" w:eastAsia="Times New Roman" w:cs="Times New Roman"/>
      <w:kern w:val="0"/>
      <w:szCs w:val="20"/>
    </w:rPr>
  </w:style>
  <w:style w:type="paragraph" w:customStyle="1" w:styleId="310">
    <w:name w:val="XCHG论文正文"/>
    <w:basedOn w:val="1"/>
    <w:autoRedefine/>
    <w:qFormat/>
    <w:uiPriority w:val="0"/>
    <w:pPr>
      <w:adjustRightInd/>
      <w:snapToGrid/>
      <w:spacing w:line="300" w:lineRule="auto"/>
    </w:pPr>
    <w:rPr>
      <w:rFonts w:cs="Times New Roman"/>
      <w:color w:val="000000"/>
      <w:kern w:val="0"/>
      <w:szCs w:val="20"/>
    </w:rPr>
  </w:style>
  <w:style w:type="paragraph" w:customStyle="1" w:styleId="311">
    <w:name w:val="流程图"/>
    <w:basedOn w:val="1"/>
    <w:autoRedefine/>
    <w:qFormat/>
    <w:uiPriority w:val="0"/>
    <w:pPr>
      <w:tabs>
        <w:tab w:val="left" w:pos="0"/>
      </w:tabs>
      <w:autoSpaceDE w:val="0"/>
      <w:autoSpaceDN w:val="0"/>
      <w:snapToGrid/>
      <w:spacing w:line="240" w:lineRule="atLeast"/>
      <w:ind w:firstLine="0" w:firstLineChars="0"/>
      <w:jc w:val="center"/>
      <w:textAlignment w:val="bottom"/>
    </w:pPr>
    <w:rPr>
      <w:rFonts w:ascii="宋体" w:cs="Times New Roman"/>
      <w:kern w:val="0"/>
      <w:szCs w:val="20"/>
    </w:rPr>
  </w:style>
  <w:style w:type="paragraph" w:customStyle="1" w:styleId="312">
    <w:name w:val="样式2"/>
    <w:basedOn w:val="3"/>
    <w:autoRedefine/>
    <w:qFormat/>
    <w:uiPriority w:val="0"/>
    <w:pPr>
      <w:adjustRightInd/>
      <w:snapToGrid/>
      <w:spacing w:line="800" w:lineRule="exact"/>
      <w:outlineLvl w:val="0"/>
    </w:pPr>
    <w:rPr>
      <w:rFonts w:ascii="黑体" w:hAnsi="宋体" w:cs="Times New Roman"/>
      <w:b/>
      <w:lang w:val="zh-CN"/>
    </w:rPr>
  </w:style>
  <w:style w:type="paragraph" w:customStyle="1" w:styleId="313">
    <w:name w:val="标题C"/>
    <w:autoRedefine/>
    <w:qFormat/>
    <w:uiPriority w:val="0"/>
    <w:pPr>
      <w:tabs>
        <w:tab w:val="left" w:pos="0"/>
      </w:tabs>
      <w:adjustRightInd w:val="0"/>
      <w:snapToGrid w:val="0"/>
      <w:spacing w:before="300"/>
      <w:outlineLvl w:val="2"/>
    </w:pPr>
    <w:rPr>
      <w:rFonts w:ascii="Times New Roman" w:hAnsi="Times New Roman" w:eastAsia="宋体" w:cs="Times New Roman"/>
      <w:b/>
      <w:snapToGrid w:val="0"/>
      <w:sz w:val="28"/>
      <w:lang w:val="en-US" w:eastAsia="zh-CN" w:bidi="ar-SA"/>
    </w:rPr>
  </w:style>
  <w:style w:type="paragraph" w:customStyle="1" w:styleId="314">
    <w:name w:val="样式 (中文) 黑体 加粗 行距: 固定值 25 磅"/>
    <w:basedOn w:val="1"/>
    <w:autoRedefine/>
    <w:qFormat/>
    <w:uiPriority w:val="0"/>
    <w:pPr>
      <w:snapToGrid/>
      <w:spacing w:line="500" w:lineRule="exact"/>
      <w:ind w:firstLine="424" w:firstLineChars="201"/>
      <w:textAlignment w:val="baseline"/>
    </w:pPr>
    <w:rPr>
      <w:rFonts w:cs="Times New Roman"/>
      <w:b/>
      <w:kern w:val="0"/>
      <w:sz w:val="28"/>
      <w:szCs w:val="20"/>
    </w:rPr>
  </w:style>
  <w:style w:type="paragraph" w:customStyle="1" w:styleId="315">
    <w:name w:val="中文"/>
    <w:basedOn w:val="23"/>
    <w:autoRedefine/>
    <w:qFormat/>
    <w:uiPriority w:val="0"/>
    <w:pPr>
      <w:ind w:firstLine="567"/>
    </w:pPr>
    <w:rPr>
      <w:rFonts w:eastAsia="方正美黑简体"/>
      <w:sz w:val="28"/>
      <w:szCs w:val="28"/>
    </w:rPr>
  </w:style>
  <w:style w:type="paragraph" w:customStyle="1" w:styleId="316">
    <w:name w:val="表格内容小左"/>
    <w:basedOn w:val="235"/>
    <w:autoRedefine/>
    <w:qFormat/>
    <w:uiPriority w:val="0"/>
    <w:pPr>
      <w:spacing w:line="240" w:lineRule="auto"/>
      <w:jc w:val="left"/>
    </w:pPr>
    <w:rPr>
      <w:snapToGrid w:val="0"/>
    </w:rPr>
  </w:style>
  <w:style w:type="paragraph" w:customStyle="1" w:styleId="317">
    <w:name w:val="正文文本最新 Char Char Char Char Char"/>
    <w:basedOn w:val="1"/>
    <w:autoRedefine/>
    <w:qFormat/>
    <w:uiPriority w:val="0"/>
    <w:pPr>
      <w:adjustRightInd/>
      <w:snapToGrid/>
      <w:ind w:firstLine="200"/>
    </w:pPr>
    <w:rPr>
      <w:rFonts w:cs="Times New Roman"/>
      <w:kern w:val="0"/>
      <w:sz w:val="28"/>
      <w:szCs w:val="20"/>
    </w:rPr>
  </w:style>
  <w:style w:type="paragraph" w:customStyle="1" w:styleId="318">
    <w:name w:val="_Style 1"/>
    <w:basedOn w:val="1"/>
    <w:autoRedefine/>
    <w:qFormat/>
    <w:uiPriority w:val="34"/>
    <w:pPr>
      <w:adjustRightInd/>
      <w:snapToGrid/>
      <w:spacing w:line="240" w:lineRule="auto"/>
      <w:ind w:firstLine="420" w:firstLineChars="0"/>
    </w:pPr>
    <w:rPr>
      <w:rFonts w:ascii="Calibri" w:hAnsi="Calibri" w:cs="Times New Roman"/>
      <w:kern w:val="0"/>
      <w:sz w:val="21"/>
    </w:rPr>
  </w:style>
  <w:style w:type="paragraph" w:customStyle="1" w:styleId="319">
    <w:name w:val="Char Char Char1 Char"/>
    <w:basedOn w:val="1"/>
    <w:autoRedefine/>
    <w:qFormat/>
    <w:uiPriority w:val="0"/>
    <w:pPr>
      <w:adjustRightInd/>
      <w:snapToGrid/>
      <w:spacing w:line="240" w:lineRule="auto"/>
      <w:ind w:firstLine="0" w:firstLineChars="0"/>
    </w:pPr>
    <w:rPr>
      <w:rFonts w:cs="Times New Roman"/>
      <w:kern w:val="0"/>
      <w:szCs w:val="20"/>
    </w:rPr>
  </w:style>
  <w:style w:type="paragraph" w:customStyle="1" w:styleId="320">
    <w:name w:val="3级标题"/>
    <w:basedOn w:val="1"/>
    <w:autoRedefine/>
    <w:qFormat/>
    <w:uiPriority w:val="0"/>
    <w:pPr>
      <w:adjustRightInd/>
      <w:snapToGrid/>
      <w:spacing w:before="300" w:line="460" w:lineRule="exact"/>
      <w:ind w:firstLine="0" w:firstLineChars="0"/>
      <w:outlineLvl w:val="2"/>
    </w:pPr>
    <w:rPr>
      <w:rFonts w:cs="Times New Roman"/>
      <w:b/>
      <w:kern w:val="0"/>
      <w:szCs w:val="20"/>
    </w:rPr>
  </w:style>
  <w:style w:type="paragraph" w:customStyle="1" w:styleId="321">
    <w:name w:val="z-窗体底端1"/>
    <w:basedOn w:val="1"/>
    <w:next w:val="1"/>
    <w:link w:val="322"/>
    <w:autoRedefine/>
    <w:qFormat/>
    <w:uiPriority w:val="0"/>
    <w:pPr>
      <w:pBdr>
        <w:top w:val="single" w:color="auto" w:sz="6" w:space="1"/>
      </w:pBdr>
      <w:adjustRightInd/>
      <w:snapToGrid/>
      <w:spacing w:line="240" w:lineRule="auto"/>
      <w:ind w:firstLine="0" w:firstLineChars="0"/>
      <w:jc w:val="center"/>
    </w:pPr>
    <w:rPr>
      <w:rFonts w:ascii="Arial" w:cs="Times New Roman"/>
      <w:vanish/>
      <w:kern w:val="0"/>
      <w:sz w:val="16"/>
      <w:szCs w:val="20"/>
    </w:rPr>
  </w:style>
  <w:style w:type="character" w:customStyle="1" w:styleId="322">
    <w:name w:val="z-窗体底端 字符"/>
    <w:basedOn w:val="49"/>
    <w:link w:val="321"/>
    <w:autoRedefine/>
    <w:qFormat/>
    <w:uiPriority w:val="0"/>
    <w:rPr>
      <w:rFonts w:ascii="Arial" w:hAnsi="Times New Roman" w:eastAsia="宋体" w:cs="Times New Roman"/>
      <w:vanish/>
      <w:kern w:val="0"/>
      <w:sz w:val="16"/>
      <w:szCs w:val="20"/>
    </w:rPr>
  </w:style>
  <w:style w:type="paragraph" w:customStyle="1" w:styleId="323">
    <w:name w:val="表标题"/>
    <w:basedOn w:val="1"/>
    <w:autoRedefine/>
    <w:qFormat/>
    <w:uiPriority w:val="0"/>
    <w:pPr>
      <w:autoSpaceDE w:val="0"/>
      <w:autoSpaceDN w:val="0"/>
      <w:spacing w:before="156" w:line="500" w:lineRule="exact"/>
      <w:ind w:firstLine="370" w:firstLineChars="147"/>
      <w:outlineLvl w:val="0"/>
    </w:pPr>
    <w:rPr>
      <w:rFonts w:ascii="宋体" w:hAnsi="宋体" w:cs="Times New Roman"/>
      <w:spacing w:val="6"/>
      <w:kern w:val="0"/>
      <w:szCs w:val="20"/>
    </w:rPr>
  </w:style>
  <w:style w:type="paragraph" w:customStyle="1" w:styleId="324">
    <w:name w:val="样式 标题 51 + 左"/>
    <w:basedOn w:val="6"/>
    <w:autoRedefine/>
    <w:qFormat/>
    <w:uiPriority w:val="0"/>
    <w:pPr>
      <w:keepNext w:val="0"/>
      <w:keepLines w:val="0"/>
      <w:adjustRightInd w:val="0"/>
      <w:spacing w:before="0" w:after="0" w:line="360" w:lineRule="auto"/>
      <w:ind w:left="-420" w:firstLine="284"/>
      <w:jc w:val="left"/>
      <w:textAlignment w:val="baseline"/>
    </w:pPr>
    <w:rPr>
      <w:rFonts w:ascii="楷体_GB2312" w:hAnsi="Arial" w:cs="宋体"/>
      <w:b w:val="0"/>
      <w:kern w:val="0"/>
    </w:rPr>
  </w:style>
  <w:style w:type="paragraph" w:customStyle="1" w:styleId="325">
    <w:name w:val="正文文字 2"/>
    <w:basedOn w:val="1"/>
    <w:autoRedefine/>
    <w:qFormat/>
    <w:uiPriority w:val="0"/>
    <w:pPr>
      <w:adjustRightInd/>
      <w:snapToGrid/>
      <w:spacing w:line="240" w:lineRule="auto"/>
      <w:ind w:firstLine="0" w:firstLineChars="0"/>
    </w:pPr>
    <w:rPr>
      <w:rFonts w:ascii="宋体" w:cs="Times New Roman"/>
      <w:color w:val="000000"/>
      <w:kern w:val="0"/>
      <w:sz w:val="28"/>
      <w:szCs w:val="20"/>
    </w:rPr>
  </w:style>
  <w:style w:type="paragraph" w:customStyle="1" w:styleId="326">
    <w:name w:val="一"/>
    <w:basedOn w:val="45"/>
    <w:autoRedefine/>
    <w:qFormat/>
    <w:uiPriority w:val="0"/>
    <w:pPr>
      <w:spacing w:after="0" w:afterLines="0" w:line="360" w:lineRule="auto"/>
      <w:ind w:firstLine="200" w:firstLineChars="200"/>
    </w:pPr>
    <w:rPr>
      <w:rFonts w:eastAsia="仿宋_GB2312"/>
      <w:sz w:val="28"/>
    </w:rPr>
  </w:style>
  <w:style w:type="paragraph" w:customStyle="1" w:styleId="327">
    <w:name w:val="表格内容紧"/>
    <w:basedOn w:val="1"/>
    <w:autoRedefine/>
    <w:qFormat/>
    <w:uiPriority w:val="0"/>
    <w:pPr>
      <w:adjustRightInd/>
      <w:snapToGrid/>
      <w:spacing w:line="240" w:lineRule="auto"/>
      <w:ind w:left="-105" w:leftChars="-50" w:right="-105" w:rightChars="-50" w:firstLine="0" w:firstLineChars="0"/>
      <w:jc w:val="center"/>
    </w:pPr>
    <w:rPr>
      <w:rFonts w:ascii="宋体" w:hAnsi="宋体" w:cs="Arial"/>
      <w:kern w:val="0"/>
      <w:sz w:val="18"/>
      <w:szCs w:val="18"/>
    </w:rPr>
  </w:style>
  <w:style w:type="paragraph" w:customStyle="1" w:styleId="328">
    <w:name w:val="样式 标题3"/>
    <w:basedOn w:val="4"/>
    <w:autoRedefine/>
    <w:qFormat/>
    <w:uiPriority w:val="0"/>
    <w:pPr>
      <w:adjustRightInd/>
      <w:snapToGrid/>
      <w:spacing w:before="156" w:after="156"/>
      <w:ind w:firstLine="200"/>
    </w:pPr>
    <w:rPr>
      <w:rFonts w:ascii="宋体" w:hAnsi="宋体" w:cs="Times New Roman"/>
      <w:bCs w:val="0"/>
      <w:szCs w:val="20"/>
      <w:lang w:val="zh-CN"/>
    </w:rPr>
  </w:style>
  <w:style w:type="paragraph" w:customStyle="1" w:styleId="329">
    <w:name w:val="1"/>
    <w:basedOn w:val="1"/>
    <w:next w:val="35"/>
    <w:autoRedefine/>
    <w:qFormat/>
    <w:uiPriority w:val="0"/>
    <w:pPr>
      <w:adjustRightInd/>
      <w:snapToGrid/>
      <w:spacing w:after="120" w:line="240" w:lineRule="auto"/>
      <w:ind w:left="420" w:leftChars="200" w:firstLine="0" w:firstLineChars="0"/>
    </w:pPr>
    <w:rPr>
      <w:rFonts w:cs="Times New Roman"/>
      <w:kern w:val="0"/>
      <w:sz w:val="16"/>
      <w:szCs w:val="20"/>
    </w:rPr>
  </w:style>
  <w:style w:type="paragraph" w:customStyle="1" w:styleId="330">
    <w:name w:val="表格内容右"/>
    <w:basedOn w:val="236"/>
    <w:autoRedefine/>
    <w:qFormat/>
    <w:uiPriority w:val="0"/>
    <w:pPr>
      <w:outlineLvl w:val="9"/>
    </w:pPr>
    <w:rPr>
      <w:w w:val="100"/>
      <w:sz w:val="21"/>
    </w:rPr>
  </w:style>
  <w:style w:type="paragraph" w:customStyle="1" w:styleId="331">
    <w:name w:val="Char Char Char Char Char Char Char Char"/>
    <w:basedOn w:val="1"/>
    <w:autoRedefine/>
    <w:qFormat/>
    <w:uiPriority w:val="0"/>
    <w:pPr>
      <w:adjustRightInd/>
      <w:snapToGrid/>
      <w:spacing w:line="240" w:lineRule="auto"/>
      <w:ind w:firstLine="0" w:firstLineChars="0"/>
    </w:pPr>
    <w:rPr>
      <w:rFonts w:cs="Times New Roman"/>
      <w:kern w:val="0"/>
      <w:szCs w:val="20"/>
    </w:rPr>
  </w:style>
  <w:style w:type="paragraph" w:customStyle="1" w:styleId="332">
    <w:name w:val="2级标题"/>
    <w:basedOn w:val="1"/>
    <w:autoRedefine/>
    <w:qFormat/>
    <w:uiPriority w:val="0"/>
    <w:pPr>
      <w:adjustRightInd/>
      <w:snapToGrid/>
      <w:spacing w:before="60" w:line="460" w:lineRule="exact"/>
      <w:ind w:firstLine="0" w:firstLineChars="0"/>
      <w:outlineLvl w:val="1"/>
    </w:pPr>
    <w:rPr>
      <w:rFonts w:cs="Times New Roman"/>
      <w:b/>
      <w:kern w:val="0"/>
      <w:sz w:val="28"/>
      <w:szCs w:val="20"/>
    </w:rPr>
  </w:style>
  <w:style w:type="paragraph" w:customStyle="1" w:styleId="333">
    <w:name w:val="样式 样式 标题 3标题 33 + 段前: 0.5 行 + 段前: 0.5 行"/>
    <w:basedOn w:val="299"/>
    <w:autoRedefine/>
    <w:qFormat/>
    <w:uiPriority w:val="0"/>
  </w:style>
  <w:style w:type="paragraph" w:customStyle="1" w:styleId="334">
    <w:name w:val="表内文字"/>
    <w:basedOn w:val="1"/>
    <w:next w:val="38"/>
    <w:autoRedefine/>
    <w:qFormat/>
    <w:uiPriority w:val="0"/>
    <w:pPr>
      <w:adjustRightInd/>
      <w:snapToGrid/>
      <w:spacing w:after="120" w:line="480" w:lineRule="auto"/>
      <w:ind w:firstLine="0" w:firstLineChars="0"/>
    </w:pPr>
    <w:rPr>
      <w:rFonts w:cs="Times New Roman"/>
      <w:kern w:val="0"/>
      <w:szCs w:val="20"/>
    </w:rPr>
  </w:style>
  <w:style w:type="paragraph" w:customStyle="1" w:styleId="335">
    <w:name w:val="正文文本缩进1"/>
    <w:basedOn w:val="1"/>
    <w:autoRedefine/>
    <w:qFormat/>
    <w:uiPriority w:val="0"/>
    <w:pPr>
      <w:adjustRightInd/>
      <w:snapToGrid/>
      <w:spacing w:after="120" w:line="240" w:lineRule="auto"/>
      <w:ind w:left="420" w:leftChars="200" w:firstLine="0" w:firstLineChars="0"/>
    </w:pPr>
    <w:rPr>
      <w:rFonts w:hint="eastAsia" w:cs="Times New Roman"/>
      <w:kern w:val="0"/>
      <w:szCs w:val="20"/>
    </w:rPr>
  </w:style>
  <w:style w:type="paragraph" w:customStyle="1" w:styleId="336">
    <w:name w:val="表芯"/>
    <w:basedOn w:val="1"/>
    <w:next w:val="1"/>
    <w:autoRedefine/>
    <w:qFormat/>
    <w:uiPriority w:val="0"/>
    <w:pPr>
      <w:keepNext/>
      <w:snapToGrid/>
      <w:spacing w:before="20" w:line="0" w:lineRule="atLeast"/>
      <w:ind w:firstLine="0" w:firstLineChars="0"/>
      <w:jc w:val="center"/>
      <w:textAlignment w:val="baseline"/>
    </w:pPr>
    <w:rPr>
      <w:rFonts w:cs="Times New Roman"/>
      <w:kern w:val="21"/>
      <w:szCs w:val="20"/>
    </w:rPr>
  </w:style>
  <w:style w:type="paragraph" w:customStyle="1" w:styleId="337">
    <w:name w:val="样式 标题2　自动设置"/>
    <w:basedOn w:val="3"/>
    <w:autoRedefine/>
    <w:qFormat/>
    <w:uiPriority w:val="0"/>
    <w:pPr>
      <w:adjustRightInd/>
      <w:snapToGrid/>
      <w:spacing w:before="120" w:after="60"/>
      <w:jc w:val="both"/>
    </w:pPr>
    <w:rPr>
      <w:rFonts w:ascii="宋体" w:hAnsi="宋体" w:eastAsia="宋体" w:cs="Times New Roman"/>
      <w:bCs w:val="0"/>
      <w:kern w:val="0"/>
      <w:szCs w:val="20"/>
      <w:lang w:val="zh-CN"/>
    </w:rPr>
  </w:style>
  <w:style w:type="paragraph" w:customStyle="1" w:styleId="338">
    <w:name w:val="序列样式1"/>
    <w:basedOn w:val="1"/>
    <w:autoRedefine/>
    <w:qFormat/>
    <w:uiPriority w:val="0"/>
    <w:pPr>
      <w:tabs>
        <w:tab w:val="left" w:pos="840"/>
      </w:tabs>
      <w:adjustRightInd/>
      <w:snapToGrid/>
      <w:spacing w:after="62" w:line="400" w:lineRule="exact"/>
      <w:ind w:firstLine="397" w:firstLineChars="0"/>
    </w:pPr>
    <w:rPr>
      <w:rFonts w:cs="Times New Roman"/>
      <w:kern w:val="0"/>
      <w:szCs w:val="20"/>
    </w:rPr>
  </w:style>
  <w:style w:type="paragraph" w:customStyle="1" w:styleId="339">
    <w:name w:val="正文文字一"/>
    <w:basedOn w:val="1"/>
    <w:autoRedefine/>
    <w:qFormat/>
    <w:uiPriority w:val="0"/>
    <w:pPr>
      <w:adjustRightInd/>
      <w:snapToGrid/>
      <w:spacing w:line="520" w:lineRule="exact"/>
      <w:ind w:firstLine="567" w:firstLineChars="0"/>
    </w:pPr>
    <w:rPr>
      <w:rFonts w:cs="Times New Roman"/>
      <w:kern w:val="0"/>
      <w:sz w:val="28"/>
      <w:szCs w:val="20"/>
    </w:rPr>
  </w:style>
  <w:style w:type="paragraph" w:customStyle="1" w:styleId="340">
    <w:name w:val="表文A"/>
    <w:autoRedefine/>
    <w:qFormat/>
    <w:uiPriority w:val="0"/>
    <w:pPr>
      <w:tabs>
        <w:tab w:val="left" w:pos="0"/>
      </w:tabs>
      <w:adjustRightInd w:val="0"/>
      <w:snapToGrid w:val="0"/>
      <w:spacing w:line="264" w:lineRule="auto"/>
      <w:jc w:val="center"/>
    </w:pPr>
    <w:rPr>
      <w:rFonts w:ascii="Times New Roman" w:hAnsi="Times New Roman" w:eastAsia="宋体" w:cs="Times New Roman"/>
      <w:snapToGrid w:val="0"/>
      <w:sz w:val="18"/>
      <w:lang w:val="en-US" w:eastAsia="zh-CN" w:bidi="ar-SA"/>
    </w:rPr>
  </w:style>
  <w:style w:type="paragraph" w:styleId="341">
    <w:name w:val="List Paragraph"/>
    <w:basedOn w:val="1"/>
    <w:autoRedefine/>
    <w:qFormat/>
    <w:uiPriority w:val="0"/>
    <w:pPr>
      <w:adjustRightInd/>
      <w:snapToGrid/>
      <w:spacing w:line="240" w:lineRule="auto"/>
      <w:ind w:firstLine="420"/>
    </w:pPr>
    <w:rPr>
      <w:rFonts w:ascii="宋体" w:cs="Times New Roman"/>
      <w:kern w:val="0"/>
      <w:szCs w:val="20"/>
    </w:rPr>
  </w:style>
  <w:style w:type="paragraph" w:customStyle="1" w:styleId="342">
    <w:name w:val="xyb自建表格名称"/>
    <w:basedOn w:val="1"/>
    <w:autoRedefine/>
    <w:qFormat/>
    <w:uiPriority w:val="0"/>
    <w:pPr>
      <w:adjustRightInd/>
      <w:snapToGrid/>
      <w:ind w:firstLine="0" w:firstLineChars="0"/>
      <w:jc w:val="center"/>
    </w:pPr>
    <w:rPr>
      <w:rFonts w:ascii="宋体" w:hAnsi="宋体" w:cs="Times New Roman"/>
      <w:kern w:val="0"/>
      <w:szCs w:val="20"/>
    </w:rPr>
  </w:style>
  <w:style w:type="paragraph" w:customStyle="1" w:styleId="343">
    <w:name w:val="普通文字 Char"/>
    <w:basedOn w:val="1"/>
    <w:next w:val="23"/>
    <w:autoRedefine/>
    <w:qFormat/>
    <w:uiPriority w:val="0"/>
    <w:pPr>
      <w:tabs>
        <w:tab w:val="left" w:pos="3800"/>
        <w:tab w:val="left" w:pos="5200"/>
      </w:tabs>
      <w:autoSpaceDE w:val="0"/>
      <w:autoSpaceDN w:val="0"/>
      <w:snapToGrid/>
      <w:spacing w:line="560" w:lineRule="exact"/>
      <w:ind w:firstLine="0" w:firstLineChars="0"/>
      <w:jc w:val="left"/>
    </w:pPr>
    <w:rPr>
      <w:rFonts w:hAnsi="Courier New" w:cs="Times New Roman"/>
      <w:color w:val="000000"/>
      <w:kern w:val="0"/>
      <w:szCs w:val="20"/>
    </w:rPr>
  </w:style>
  <w:style w:type="paragraph" w:customStyle="1" w:styleId="344">
    <w:name w:val="表格内容小紧"/>
    <w:basedOn w:val="255"/>
    <w:autoRedefine/>
    <w:qFormat/>
    <w:uiPriority w:val="0"/>
    <w:pPr>
      <w:ind w:left="-105" w:leftChars="-50" w:right="-50" w:rightChars="-50"/>
    </w:pPr>
  </w:style>
  <w:style w:type="paragraph" w:customStyle="1" w:styleId="345">
    <w:name w:val="样式 样式 样式 首行缩进:  2 字符 段后: 7.8 磅 Char + 首行缩进:  2 字符 + 左侧:  2 字符 首..."/>
    <w:basedOn w:val="1"/>
    <w:autoRedefine/>
    <w:qFormat/>
    <w:uiPriority w:val="0"/>
    <w:pPr>
      <w:widowControl/>
      <w:adjustRightInd/>
      <w:snapToGrid/>
      <w:ind w:left="200" w:leftChars="200" w:firstLine="200"/>
      <w:jc w:val="left"/>
    </w:pPr>
    <w:rPr>
      <w:rFonts w:ascii="宋体" w:hAnsi="宋体" w:cs="宋体"/>
      <w:color w:val="000000"/>
      <w:kern w:val="0"/>
      <w:szCs w:val="20"/>
    </w:rPr>
  </w:style>
  <w:style w:type="paragraph" w:customStyle="1" w:styleId="346">
    <w:name w:val="纯文本 Char Char Char Char"/>
    <w:basedOn w:val="1"/>
    <w:next w:val="23"/>
    <w:autoRedefine/>
    <w:qFormat/>
    <w:uiPriority w:val="0"/>
    <w:pPr>
      <w:adjustRightInd/>
      <w:snapToGrid/>
      <w:spacing w:line="240" w:lineRule="auto"/>
      <w:ind w:firstLine="0" w:firstLineChars="0"/>
    </w:pPr>
    <w:rPr>
      <w:rFonts w:ascii="宋体" w:hAnsi="Courier New" w:cs="Times New Roman"/>
      <w:kern w:val="0"/>
      <w:szCs w:val="20"/>
    </w:rPr>
  </w:style>
  <w:style w:type="paragraph" w:customStyle="1" w:styleId="347">
    <w:name w:val="纯文本 Char Char Char Char2"/>
    <w:basedOn w:val="1"/>
    <w:next w:val="23"/>
    <w:autoRedefine/>
    <w:qFormat/>
    <w:uiPriority w:val="0"/>
    <w:pPr>
      <w:adjustRightInd/>
      <w:snapToGrid/>
      <w:spacing w:line="240" w:lineRule="auto"/>
      <w:ind w:firstLine="0" w:firstLineChars="0"/>
    </w:pPr>
    <w:rPr>
      <w:rFonts w:ascii="宋体" w:hAnsi="Courier New" w:cs="Times New Roman"/>
      <w:kern w:val="0"/>
      <w:szCs w:val="20"/>
    </w:rPr>
  </w:style>
  <w:style w:type="paragraph" w:customStyle="1" w:styleId="348">
    <w:name w:val="xl58"/>
    <w:basedOn w:val="1"/>
    <w:autoRedefine/>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cs="Times New Roman"/>
      <w:color w:val="000000"/>
      <w:kern w:val="0"/>
      <w:szCs w:val="20"/>
    </w:rPr>
  </w:style>
  <w:style w:type="paragraph" w:customStyle="1" w:styleId="349">
    <w:name w:val="中文报告书样式"/>
    <w:basedOn w:val="1"/>
    <w:autoRedefine/>
    <w:qFormat/>
    <w:uiPriority w:val="0"/>
    <w:pPr>
      <w:spacing w:line="500" w:lineRule="atLeast"/>
      <w:ind w:firstLine="0" w:firstLineChars="0"/>
      <w:textAlignment w:val="baseline"/>
    </w:pPr>
    <w:rPr>
      <w:rFonts w:eastAsia="汉仪仿宋简" w:cs="Times New Roman"/>
      <w:kern w:val="28"/>
      <w:szCs w:val="20"/>
    </w:rPr>
  </w:style>
  <w:style w:type="paragraph" w:customStyle="1" w:styleId="350">
    <w:name w:val="普通(网站)1"/>
    <w:basedOn w:val="1"/>
    <w:autoRedefine/>
    <w:qFormat/>
    <w:uiPriority w:val="0"/>
    <w:pPr>
      <w:widowControl/>
      <w:adjustRightInd/>
      <w:snapToGrid/>
      <w:spacing w:line="240" w:lineRule="auto"/>
      <w:ind w:firstLine="0" w:firstLineChars="0"/>
      <w:jc w:val="left"/>
    </w:pPr>
    <w:rPr>
      <w:rFonts w:ascii="宋体" w:hAnsi="宋体" w:cs="宋体"/>
      <w:kern w:val="0"/>
      <w:szCs w:val="24"/>
    </w:rPr>
  </w:style>
  <w:style w:type="paragraph" w:customStyle="1" w:styleId="351">
    <w:name w:val="样式 正文首行缩进 + 宋体"/>
    <w:basedOn w:val="134"/>
    <w:autoRedefine/>
    <w:qFormat/>
    <w:uiPriority w:val="0"/>
    <w:pPr>
      <w:spacing w:after="0" w:afterLines="0"/>
      <w:ind w:firstLine="498" w:firstLineChars="200"/>
    </w:pPr>
    <w:rPr>
      <w:szCs w:val="20"/>
    </w:rPr>
  </w:style>
  <w:style w:type="paragraph" w:customStyle="1" w:styleId="352">
    <w:name w:val="正文4"/>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353">
    <w:name w:val="标题四"/>
    <w:basedOn w:val="1"/>
    <w:autoRedefine/>
    <w:qFormat/>
    <w:uiPriority w:val="0"/>
    <w:pPr>
      <w:adjustRightInd/>
      <w:snapToGrid/>
      <w:spacing w:before="156" w:after="156"/>
    </w:pPr>
    <w:rPr>
      <w:rFonts w:ascii="宋体" w:hAnsi="宋体" w:cs="Times New Roman"/>
      <w:b/>
      <w:kern w:val="0"/>
      <w:szCs w:val="20"/>
    </w:rPr>
  </w:style>
  <w:style w:type="paragraph" w:customStyle="1" w:styleId="354">
    <w:name w:val="TOC 标题1"/>
    <w:basedOn w:val="2"/>
    <w:next w:val="1"/>
    <w:autoRedefine/>
    <w:qFormat/>
    <w:uiPriority w:val="39"/>
    <w:pPr>
      <w:keepNext/>
      <w:keepLines/>
      <w:widowControl/>
      <w:adjustRightInd/>
      <w:snapToGrid/>
      <w:spacing w:before="480" w:line="276" w:lineRule="auto"/>
      <w:outlineLvl w:val="9"/>
    </w:pPr>
    <w:rPr>
      <w:rFonts w:ascii="Cambria" w:hAnsi="Cambria" w:eastAsia="宋体" w:cs="Times New Roman"/>
      <w:b/>
      <w:bCs/>
      <w:color w:val="365F91"/>
      <w:kern w:val="0"/>
      <w:sz w:val="28"/>
      <w:szCs w:val="28"/>
      <w:lang w:val="zh-CN"/>
    </w:rPr>
  </w:style>
  <w:style w:type="paragraph" w:customStyle="1" w:styleId="355">
    <w:name w:val="_Style 5"/>
    <w:basedOn w:val="1"/>
    <w:next w:val="1"/>
    <w:autoRedefine/>
    <w:qFormat/>
    <w:uiPriority w:val="0"/>
    <w:pPr>
      <w:pBdr>
        <w:top w:val="single" w:color="auto" w:sz="6" w:space="1"/>
      </w:pBdr>
      <w:adjustRightInd/>
      <w:snapToGrid/>
      <w:spacing w:line="240" w:lineRule="auto"/>
      <w:ind w:firstLine="0" w:firstLineChars="0"/>
      <w:jc w:val="center"/>
    </w:pPr>
    <w:rPr>
      <w:rFonts w:ascii="Arial" w:cs="Times New Roman"/>
      <w:vanish/>
      <w:kern w:val="0"/>
      <w:sz w:val="16"/>
      <w:szCs w:val="20"/>
    </w:rPr>
  </w:style>
  <w:style w:type="paragraph" w:customStyle="1" w:styleId="356">
    <w:name w:val="标题D"/>
    <w:autoRedefine/>
    <w:qFormat/>
    <w:uiPriority w:val="0"/>
    <w:pPr>
      <w:adjustRightInd w:val="0"/>
      <w:snapToGrid w:val="0"/>
      <w:spacing w:before="240" w:line="360" w:lineRule="auto"/>
      <w:outlineLvl w:val="3"/>
    </w:pPr>
    <w:rPr>
      <w:rFonts w:ascii="Times New Roman" w:hAnsi="Times New Roman" w:eastAsia="宋体" w:cs="Times New Roman"/>
      <w:b/>
      <w:sz w:val="24"/>
      <w:lang w:val="en-US" w:eastAsia="zh-CN" w:bidi="ar-SA"/>
    </w:rPr>
  </w:style>
  <w:style w:type="paragraph" w:customStyle="1" w:styleId="357">
    <w:name w:val="表格内容 Char Char Char"/>
    <w:basedOn w:val="1"/>
    <w:autoRedefine/>
    <w:qFormat/>
    <w:uiPriority w:val="0"/>
    <w:pPr>
      <w:tabs>
        <w:tab w:val="left" w:pos="1535"/>
        <w:tab w:val="left" w:pos="3105"/>
        <w:tab w:val="left" w:pos="4676"/>
        <w:tab w:val="left" w:pos="6247"/>
        <w:tab w:val="left" w:pos="7740"/>
        <w:tab w:val="left" w:pos="9288"/>
      </w:tabs>
      <w:adjustRightInd/>
      <w:spacing w:line="240" w:lineRule="auto"/>
      <w:ind w:firstLine="67" w:firstLineChars="0"/>
      <w:jc w:val="center"/>
      <w:textAlignment w:val="baseline"/>
    </w:pPr>
    <w:rPr>
      <w:rFonts w:cs="Times New Roman"/>
      <w:kern w:val="0"/>
      <w:szCs w:val="20"/>
    </w:rPr>
  </w:style>
  <w:style w:type="paragraph" w:customStyle="1" w:styleId="358">
    <w:name w:val="正文001"/>
    <w:basedOn w:val="1"/>
    <w:autoRedefine/>
    <w:qFormat/>
    <w:uiPriority w:val="0"/>
    <w:pPr>
      <w:adjustRightInd/>
      <w:snapToGrid/>
      <w:spacing w:before="60" w:line="460" w:lineRule="exact"/>
      <w:ind w:firstLine="200"/>
    </w:pPr>
    <w:rPr>
      <w:rFonts w:cs="Times New Roman"/>
      <w:kern w:val="0"/>
      <w:szCs w:val="20"/>
    </w:rPr>
  </w:style>
  <w:style w:type="paragraph" w:customStyle="1" w:styleId="359">
    <w:name w:val="xl25"/>
    <w:basedOn w:val="1"/>
    <w:autoRedefine/>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kern w:val="0"/>
      <w:szCs w:val="20"/>
    </w:rPr>
  </w:style>
  <w:style w:type="paragraph" w:customStyle="1" w:styleId="360">
    <w:name w:val="表名A"/>
    <w:basedOn w:val="1"/>
    <w:autoRedefine/>
    <w:qFormat/>
    <w:uiPriority w:val="0"/>
    <w:pPr>
      <w:widowControl/>
      <w:tabs>
        <w:tab w:val="left" w:pos="0"/>
      </w:tabs>
      <w:spacing w:before="249" w:after="62" w:line="240" w:lineRule="auto"/>
      <w:ind w:firstLine="0" w:firstLineChars="0"/>
      <w:jc w:val="center"/>
    </w:pPr>
    <w:rPr>
      <w:rFonts w:cs="Times New Roman"/>
      <w:b/>
      <w:snapToGrid w:val="0"/>
      <w:kern w:val="0"/>
      <w:szCs w:val="20"/>
    </w:rPr>
  </w:style>
  <w:style w:type="paragraph" w:customStyle="1" w:styleId="361">
    <w:name w:val="样式 样式 样式 标题 3标题 33 + 段前: 0.5 行 + 段前: 0.5 行 + 段前: 6 磅 段后: 0.5 行"/>
    <w:basedOn w:val="333"/>
    <w:autoRedefine/>
    <w:qFormat/>
    <w:uiPriority w:val="0"/>
  </w:style>
  <w:style w:type="paragraph" w:customStyle="1" w:styleId="362">
    <w:name w:val="样式4"/>
    <w:basedOn w:val="5"/>
    <w:next w:val="7"/>
    <w:autoRedefine/>
    <w:qFormat/>
    <w:uiPriority w:val="0"/>
    <w:pPr>
      <w:tabs>
        <w:tab w:val="left" w:pos="720"/>
      </w:tabs>
      <w:spacing w:before="120" w:after="156" w:line="240" w:lineRule="auto"/>
      <w:jc w:val="center"/>
    </w:pPr>
    <w:rPr>
      <w:rFonts w:ascii="黑体" w:hAnsi="宋体"/>
    </w:rPr>
  </w:style>
  <w:style w:type="paragraph" w:customStyle="1" w:styleId="363">
    <w:name w:val="表格名称"/>
    <w:basedOn w:val="23"/>
    <w:autoRedefine/>
    <w:qFormat/>
    <w:uiPriority w:val="0"/>
    <w:pPr>
      <w:tabs>
        <w:tab w:val="left" w:pos="3800"/>
        <w:tab w:val="left" w:pos="5200"/>
      </w:tabs>
      <w:autoSpaceDE w:val="0"/>
      <w:autoSpaceDN w:val="0"/>
      <w:adjustRightInd w:val="0"/>
      <w:spacing w:line="500" w:lineRule="exact"/>
      <w:jc w:val="center"/>
    </w:pPr>
    <w:rPr>
      <w:rFonts w:ascii="黑体" w:hAnsi="宋体" w:eastAsia="黑体"/>
      <w:snapToGrid w:val="0"/>
      <w:color w:val="000000"/>
      <w:kern w:val="28"/>
      <w:sz w:val="24"/>
    </w:rPr>
  </w:style>
  <w:style w:type="paragraph" w:customStyle="1" w:styleId="364">
    <w:name w:val="样式5"/>
    <w:basedOn w:val="10"/>
    <w:autoRedefine/>
    <w:qFormat/>
    <w:uiPriority w:val="0"/>
  </w:style>
  <w:style w:type="paragraph" w:customStyle="1" w:styleId="365">
    <w:name w:val="表文"/>
    <w:basedOn w:val="1"/>
    <w:link w:val="366"/>
    <w:autoRedefine/>
    <w:qFormat/>
    <w:uiPriority w:val="0"/>
    <w:pPr>
      <w:adjustRightInd/>
      <w:snapToGrid/>
      <w:spacing w:line="240" w:lineRule="auto"/>
      <w:ind w:firstLine="0" w:firstLineChars="0"/>
      <w:jc w:val="center"/>
      <w:textAlignment w:val="center"/>
    </w:pPr>
    <w:rPr>
      <w:rFonts w:ascii="宋体" w:hAnsi="宋体" w:cs="宋体"/>
      <w:bCs/>
      <w:iCs/>
      <w:kern w:val="0"/>
      <w:szCs w:val="21"/>
    </w:rPr>
  </w:style>
  <w:style w:type="character" w:customStyle="1" w:styleId="366">
    <w:name w:val="表文 Char"/>
    <w:link w:val="365"/>
    <w:autoRedefine/>
    <w:qFormat/>
    <w:uiPriority w:val="0"/>
    <w:rPr>
      <w:rFonts w:ascii="宋体" w:hAnsi="宋体" w:eastAsia="宋体" w:cs="宋体"/>
      <w:bCs/>
      <w:iCs/>
      <w:kern w:val="0"/>
      <w:sz w:val="24"/>
      <w:szCs w:val="21"/>
    </w:rPr>
  </w:style>
  <w:style w:type="paragraph" w:customStyle="1" w:styleId="367">
    <w:name w:val="表"/>
    <w:basedOn w:val="1"/>
    <w:autoRedefine/>
    <w:qFormat/>
    <w:uiPriority w:val="0"/>
    <w:pPr>
      <w:adjustRightInd/>
      <w:snapToGrid/>
      <w:spacing w:line="240" w:lineRule="auto"/>
      <w:ind w:firstLine="0" w:firstLineChars="0"/>
      <w:jc w:val="center"/>
    </w:pPr>
    <w:rPr>
      <w:rFonts w:cs="Times New Roman"/>
      <w:kern w:val="0"/>
      <w:szCs w:val="20"/>
    </w:rPr>
  </w:style>
  <w:style w:type="paragraph" w:customStyle="1" w:styleId="368">
    <w:name w:val="默认段落字体 Para Char Char Char Char"/>
    <w:basedOn w:val="1"/>
    <w:autoRedefine/>
    <w:qFormat/>
    <w:uiPriority w:val="0"/>
    <w:pPr>
      <w:adjustRightInd/>
      <w:snapToGrid/>
      <w:spacing w:line="240" w:lineRule="auto"/>
      <w:ind w:firstLine="0" w:firstLineChars="0"/>
    </w:pPr>
    <w:rPr>
      <w:rFonts w:cs="Times New Roman"/>
      <w:kern w:val="0"/>
      <w:szCs w:val="24"/>
    </w:rPr>
  </w:style>
  <w:style w:type="paragraph" w:customStyle="1" w:styleId="369">
    <w:name w:val="正文21"/>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370">
    <w:name w:val="表格文字"/>
    <w:basedOn w:val="7"/>
    <w:link w:val="371"/>
    <w:autoRedefine/>
    <w:qFormat/>
    <w:uiPriority w:val="0"/>
    <w:pPr>
      <w:tabs>
        <w:tab w:val="left" w:pos="146"/>
      </w:tabs>
      <w:spacing w:line="240" w:lineRule="exact"/>
      <w:ind w:right="-55" w:rightChars="-55" w:firstLine="0" w:firstLineChars="0"/>
      <w:jc w:val="center"/>
    </w:pPr>
    <w:rPr>
      <w:rFonts w:ascii="宋体" w:hAnsi="宋体" w:cs="Times New Roman"/>
      <w:snapToGrid w:val="0"/>
      <w:spacing w:val="6"/>
      <w:kern w:val="0"/>
      <w:szCs w:val="20"/>
    </w:rPr>
  </w:style>
  <w:style w:type="character" w:customStyle="1" w:styleId="371">
    <w:name w:val="表格文字 Char"/>
    <w:link w:val="370"/>
    <w:autoRedefine/>
    <w:qFormat/>
    <w:uiPriority w:val="0"/>
    <w:rPr>
      <w:rFonts w:ascii="宋体" w:hAnsi="宋体" w:eastAsia="宋体" w:cs="Times New Roman"/>
      <w:snapToGrid w:val="0"/>
      <w:spacing w:val="6"/>
      <w:kern w:val="0"/>
      <w:sz w:val="24"/>
      <w:szCs w:val="20"/>
    </w:rPr>
  </w:style>
  <w:style w:type="paragraph" w:customStyle="1" w:styleId="372">
    <w:name w:val="表格内容1"/>
    <w:basedOn w:val="1"/>
    <w:autoRedefine/>
    <w:qFormat/>
    <w:uiPriority w:val="0"/>
    <w:pPr>
      <w:tabs>
        <w:tab w:val="left" w:pos="1535"/>
        <w:tab w:val="left" w:pos="3105"/>
        <w:tab w:val="left" w:pos="4676"/>
        <w:tab w:val="left" w:pos="6247"/>
        <w:tab w:val="left" w:pos="7740"/>
        <w:tab w:val="left" w:pos="9288"/>
      </w:tabs>
      <w:spacing w:line="300" w:lineRule="atLeast"/>
      <w:ind w:firstLine="0" w:firstLineChars="0"/>
      <w:jc w:val="center"/>
      <w:textAlignment w:val="baseline"/>
    </w:pPr>
    <w:rPr>
      <w:rFonts w:ascii="宋体" w:hAnsi="宋体" w:cs="Times New Roman"/>
      <w:kern w:val="0"/>
      <w:szCs w:val="20"/>
    </w:rPr>
  </w:style>
  <w:style w:type="paragraph" w:customStyle="1" w:styleId="373">
    <w:name w:val="样式 样式 (中文) 黑体 加粗 + 首行缩进:  1.98 字符"/>
    <w:basedOn w:val="1"/>
    <w:autoRedefine/>
    <w:qFormat/>
    <w:uiPriority w:val="0"/>
    <w:pPr>
      <w:snapToGrid/>
      <w:spacing w:line="500" w:lineRule="exact"/>
      <w:ind w:firstLine="557" w:firstLineChars="198"/>
      <w:textAlignment w:val="baseline"/>
    </w:pPr>
    <w:rPr>
      <w:rFonts w:eastAsia="新宋体" w:cs="Times New Roman"/>
      <w:b/>
      <w:kern w:val="0"/>
      <w:sz w:val="28"/>
      <w:szCs w:val="20"/>
    </w:rPr>
  </w:style>
  <w:style w:type="paragraph" w:customStyle="1" w:styleId="374">
    <w:name w:val="表格内容 Char"/>
    <w:basedOn w:val="1"/>
    <w:autoRedefine/>
    <w:qFormat/>
    <w:uiPriority w:val="0"/>
    <w:pPr>
      <w:adjustRightInd/>
      <w:snapToGrid/>
      <w:spacing w:line="240" w:lineRule="auto"/>
      <w:ind w:firstLine="0" w:firstLineChars="0"/>
      <w:jc w:val="center"/>
    </w:pPr>
    <w:rPr>
      <w:rFonts w:ascii="宋体" w:hAnsi="Arial" w:cs="Times New Roman"/>
      <w:bCs/>
      <w:kern w:val="0"/>
      <w:szCs w:val="21"/>
    </w:rPr>
  </w:style>
  <w:style w:type="paragraph" w:customStyle="1" w:styleId="375">
    <w:name w:val="正文A"/>
    <w:autoRedefine/>
    <w:qFormat/>
    <w:uiPriority w:val="0"/>
    <w:pPr>
      <w:tabs>
        <w:tab w:val="left" w:pos="0"/>
      </w:tabs>
      <w:adjustRightInd w:val="0"/>
      <w:spacing w:before="120" w:line="360" w:lineRule="auto"/>
      <w:ind w:firstLine="480"/>
      <w:jc w:val="both"/>
    </w:pPr>
    <w:rPr>
      <w:rFonts w:ascii="Times New Roman" w:hAnsi="Times New Roman" w:eastAsia="宋体" w:cs="Times New Roman"/>
      <w:snapToGrid w:val="0"/>
      <w:sz w:val="24"/>
      <w:lang w:val="en-US" w:eastAsia="zh-CN" w:bidi="ar-SA"/>
    </w:rPr>
  </w:style>
  <w:style w:type="paragraph" w:customStyle="1" w:styleId="376">
    <w:name w:val="标题1"/>
    <w:basedOn w:val="1"/>
    <w:autoRedefine/>
    <w:qFormat/>
    <w:uiPriority w:val="0"/>
    <w:pPr>
      <w:numPr>
        <w:ilvl w:val="0"/>
        <w:numId w:val="3"/>
      </w:numPr>
      <w:adjustRightInd/>
      <w:snapToGrid/>
      <w:spacing w:line="240" w:lineRule="auto"/>
      <w:ind w:firstLine="0" w:firstLineChars="0"/>
    </w:pPr>
    <w:rPr>
      <w:rFonts w:cs="Times New Roman"/>
      <w:kern w:val="0"/>
      <w:szCs w:val="20"/>
    </w:rPr>
  </w:style>
  <w:style w:type="paragraph" w:customStyle="1" w:styleId="377">
    <w:name w:val="3"/>
    <w:basedOn w:val="1"/>
    <w:next w:val="41"/>
    <w:autoRedefine/>
    <w:qFormat/>
    <w:uiPriority w:val="0"/>
    <w:pPr>
      <w:widowControl/>
      <w:adjustRightInd/>
      <w:snapToGrid/>
      <w:spacing w:before="100" w:beforeAutospacing="1" w:after="100" w:afterAutospacing="1" w:line="240" w:lineRule="auto"/>
      <w:ind w:firstLine="0" w:firstLineChars="0"/>
      <w:jc w:val="left"/>
    </w:pPr>
    <w:rPr>
      <w:rFonts w:ascii="宋体" w:hAnsi="宋体" w:cs="Times New Roman"/>
      <w:kern w:val="0"/>
      <w:szCs w:val="20"/>
    </w:rPr>
  </w:style>
  <w:style w:type="paragraph" w:customStyle="1" w:styleId="378">
    <w:name w:val="注"/>
    <w:basedOn w:val="1"/>
    <w:autoRedefine/>
    <w:qFormat/>
    <w:uiPriority w:val="0"/>
    <w:pPr>
      <w:adjustRightInd/>
      <w:snapToGrid/>
      <w:spacing w:line="240" w:lineRule="auto"/>
      <w:ind w:firstLine="0" w:firstLineChars="0"/>
    </w:pPr>
    <w:rPr>
      <w:rFonts w:ascii="宋体" w:hAnsi="宋体" w:cs="Times New Roman"/>
      <w:kern w:val="0"/>
      <w:szCs w:val="20"/>
    </w:rPr>
  </w:style>
  <w:style w:type="paragraph" w:customStyle="1" w:styleId="379">
    <w:name w:val="表格内容右小"/>
    <w:basedOn w:val="330"/>
    <w:autoRedefine/>
    <w:qFormat/>
    <w:uiPriority w:val="0"/>
    <w:rPr>
      <w:sz w:val="18"/>
    </w:rPr>
  </w:style>
  <w:style w:type="paragraph" w:customStyle="1" w:styleId="380">
    <w:name w:val="样式 标题 3样式　标题 3　自动设置标题 3 Char章 + Times New 表题3"/>
    <w:basedOn w:val="4"/>
    <w:autoRedefine/>
    <w:qFormat/>
    <w:uiPriority w:val="0"/>
    <w:pPr>
      <w:tabs>
        <w:tab w:val="left" w:pos="3800"/>
        <w:tab w:val="left" w:pos="5200"/>
      </w:tabs>
      <w:autoSpaceDE w:val="0"/>
      <w:autoSpaceDN w:val="0"/>
      <w:adjustRightInd/>
      <w:snapToGrid/>
      <w:spacing w:before="120" w:after="120" w:line="240" w:lineRule="auto"/>
      <w:jc w:val="both"/>
    </w:pPr>
    <w:rPr>
      <w:rFonts w:cs="Times New Roman"/>
      <w:bCs w:val="0"/>
      <w:szCs w:val="20"/>
      <w:lang w:val="zh-CN"/>
    </w:rPr>
  </w:style>
  <w:style w:type="paragraph" w:customStyle="1" w:styleId="381">
    <w:name w:val="post_content_p"/>
    <w:basedOn w:val="1"/>
    <w:autoRedefine/>
    <w:qFormat/>
    <w:uiPriority w:val="0"/>
    <w:pPr>
      <w:widowControl/>
      <w:wordWrap w:val="0"/>
      <w:adjustRightInd/>
      <w:snapToGrid/>
      <w:spacing w:before="100" w:beforeAutospacing="1" w:after="100" w:afterAutospacing="1" w:line="240" w:lineRule="auto"/>
      <w:ind w:firstLine="0" w:firstLineChars="0"/>
      <w:jc w:val="left"/>
    </w:pPr>
    <w:rPr>
      <w:rFonts w:ascii="宋体" w:hAnsi="宋体" w:cs="宋体"/>
      <w:b/>
      <w:kern w:val="0"/>
      <w:szCs w:val="24"/>
    </w:rPr>
  </w:style>
  <w:style w:type="paragraph" w:customStyle="1" w:styleId="382">
    <w:name w:val="样式 样式 标题 2节广2mystyle2style2H2(C+F2)(F3)Title22nd levelh2... + 段前..."/>
    <w:basedOn w:val="1"/>
    <w:autoRedefine/>
    <w:qFormat/>
    <w:uiPriority w:val="0"/>
    <w:pPr>
      <w:numPr>
        <w:ilvl w:val="1"/>
        <w:numId w:val="4"/>
      </w:numPr>
      <w:snapToGrid/>
      <w:spacing w:before="140"/>
      <w:ind w:firstLine="0" w:firstLineChars="0"/>
      <w:jc w:val="center"/>
      <w:outlineLvl w:val="1"/>
    </w:pPr>
    <w:rPr>
      <w:rFonts w:ascii="宋体" w:hAnsi="宋体" w:eastAsia="黑体" w:cs="宋体"/>
      <w:b/>
      <w:bCs/>
      <w:color w:val="000000"/>
      <w:kern w:val="0"/>
      <w:sz w:val="28"/>
      <w:szCs w:val="20"/>
    </w:rPr>
  </w:style>
  <w:style w:type="table" w:customStyle="1" w:styleId="383">
    <w:name w:val="网格型3"/>
    <w:basedOn w:val="47"/>
    <w:autoRedefine/>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84">
    <w:name w:val="表头 Char"/>
    <w:autoRedefine/>
    <w:qFormat/>
    <w:uiPriority w:val="0"/>
    <w:rPr>
      <w:rFonts w:ascii="Times New Roman" w:hAnsi="Times New Roman" w:eastAsia="宋体" w:cs="宋体"/>
      <w:b/>
      <w:bCs/>
      <w:color w:val="000000"/>
      <w:sz w:val="24"/>
      <w:szCs w:val="24"/>
    </w:rPr>
  </w:style>
  <w:style w:type="paragraph" w:customStyle="1" w:styleId="385">
    <w:name w:val="样式 表格标题 + 首行缩进:  0.61 字符"/>
    <w:basedOn w:val="1"/>
    <w:autoRedefine/>
    <w:qFormat/>
    <w:uiPriority w:val="0"/>
    <w:pPr>
      <w:wordWrap w:val="0"/>
      <w:spacing w:line="400" w:lineRule="exact"/>
      <w:ind w:left="-143" w:leftChars="-68" w:firstLine="128" w:firstLineChars="61"/>
      <w:jc w:val="center"/>
    </w:pPr>
    <w:rPr>
      <w:rFonts w:eastAsia="Times New Roman" w:cs="宋体"/>
      <w:sz w:val="21"/>
      <w:szCs w:val="20"/>
    </w:rPr>
  </w:style>
  <w:style w:type="character" w:customStyle="1" w:styleId="386">
    <w:name w:val="页眉 Char"/>
    <w:autoRedefine/>
    <w:qFormat/>
    <w:uiPriority w:val="0"/>
    <w:rPr>
      <w:sz w:val="18"/>
      <w:szCs w:val="18"/>
    </w:rPr>
  </w:style>
  <w:style w:type="paragraph" w:customStyle="1" w:styleId="387">
    <w:name w:val="正文00"/>
    <w:basedOn w:val="1"/>
    <w:link w:val="388"/>
    <w:autoRedefine/>
    <w:qFormat/>
    <w:uiPriority w:val="0"/>
    <w:pPr>
      <w:adjustRightInd/>
      <w:snapToGrid/>
    </w:pPr>
    <w:rPr>
      <w:rFonts w:cs="Times New Roman"/>
      <w:szCs w:val="24"/>
      <w:lang w:val="zh-CN"/>
    </w:rPr>
  </w:style>
  <w:style w:type="character" w:customStyle="1" w:styleId="388">
    <w:name w:val="正文00 Char"/>
    <w:link w:val="387"/>
    <w:autoRedefine/>
    <w:qFormat/>
    <w:uiPriority w:val="0"/>
    <w:rPr>
      <w:rFonts w:ascii="Times New Roman" w:hAnsi="Times New Roman" w:eastAsia="宋体" w:cs="Times New Roman"/>
      <w:sz w:val="24"/>
      <w:szCs w:val="24"/>
      <w:lang w:val="zh-CN" w:eastAsia="zh-CN"/>
    </w:rPr>
  </w:style>
  <w:style w:type="character" w:customStyle="1" w:styleId="389">
    <w:name w:val="正文(首行缩进) Char"/>
    <w:autoRedefine/>
    <w:qFormat/>
    <w:uiPriority w:val="99"/>
    <w:rPr>
      <w:rFonts w:ascii="Times New Roman" w:hAnsi="Times New Roman"/>
      <w:color w:val="000000"/>
      <w:sz w:val="24"/>
    </w:rPr>
  </w:style>
  <w:style w:type="character" w:customStyle="1" w:styleId="390">
    <w:name w:val="表头 Char1"/>
    <w:autoRedefine/>
    <w:qFormat/>
    <w:uiPriority w:val="0"/>
    <w:rPr>
      <w:rFonts w:ascii="Times New Roman" w:hAnsi="宋体" w:eastAsia="仿宋_GB2312" w:cs="Times New Roman"/>
      <w:b/>
      <w:kern w:val="0"/>
      <w:sz w:val="28"/>
      <w:szCs w:val="28"/>
    </w:rPr>
  </w:style>
  <w:style w:type="character" w:customStyle="1" w:styleId="391">
    <w:name w:val="正文缩进 Char"/>
    <w:autoRedefine/>
    <w:qFormat/>
    <w:uiPriority w:val="0"/>
    <w:rPr>
      <w:rFonts w:ascii="Times New Roman" w:hAnsi="Times New Roman" w:eastAsia="宋体" w:cs="Times New Roman"/>
      <w:szCs w:val="20"/>
    </w:rPr>
  </w:style>
  <w:style w:type="paragraph" w:customStyle="1" w:styleId="392">
    <w:name w:val="正文2"/>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character" w:customStyle="1" w:styleId="393">
    <w:name w:val="批注文字 Char"/>
    <w:autoRedefine/>
    <w:qFormat/>
    <w:uiPriority w:val="99"/>
    <w:rPr>
      <w:rFonts w:ascii="Times New Roman" w:hAnsi="Times New Roman" w:eastAsia="宋体" w:cs="Times New Roman"/>
      <w:szCs w:val="24"/>
    </w:rPr>
  </w:style>
  <w:style w:type="character" w:customStyle="1" w:styleId="394">
    <w:name w:val="纯文本 Char"/>
    <w:autoRedefine/>
    <w:qFormat/>
    <w:uiPriority w:val="0"/>
    <w:rPr>
      <w:rFonts w:ascii="宋体" w:hAnsi="Courier New" w:eastAsia="宋体" w:cs="Times New Roman"/>
      <w:szCs w:val="21"/>
    </w:rPr>
  </w:style>
  <w:style w:type="paragraph" w:customStyle="1" w:styleId="395">
    <w:name w:val="样式 正文文字-1 + 首行缩进:  2.1 字符1"/>
    <w:basedOn w:val="1"/>
    <w:autoRedefine/>
    <w:qFormat/>
    <w:uiPriority w:val="0"/>
    <w:pPr>
      <w:adjustRightInd/>
      <w:snapToGrid/>
      <w:spacing w:before="120" w:after="120" w:line="440" w:lineRule="exact"/>
      <w:ind w:firstLine="210" w:firstLineChars="210"/>
    </w:pPr>
    <w:rPr>
      <w:rFonts w:cs="宋体"/>
      <w:szCs w:val="20"/>
    </w:rPr>
  </w:style>
  <w:style w:type="paragraph" w:customStyle="1" w:styleId="396">
    <w:name w:val="纯文本4"/>
    <w:basedOn w:val="1"/>
    <w:autoRedefine/>
    <w:qFormat/>
    <w:uiPriority w:val="0"/>
    <w:pPr>
      <w:widowControl/>
      <w:adjustRightInd/>
      <w:snapToGrid/>
      <w:ind w:firstLine="0" w:firstLineChars="0"/>
      <w:jc w:val="left"/>
    </w:pPr>
    <w:rPr>
      <w:rFonts w:ascii="宋体" w:hAnsi="Courier New" w:eastAsia="Times New Roman" w:cs="Times New Roman"/>
      <w:kern w:val="0"/>
      <w:sz w:val="20"/>
      <w:szCs w:val="21"/>
    </w:rPr>
  </w:style>
  <w:style w:type="paragraph" w:customStyle="1" w:styleId="397">
    <w:name w:val="样式 样式 正文文字-1 + 首行缩进:  2.1 字符1 + 首行缩进:  2.1 字符"/>
    <w:basedOn w:val="1"/>
    <w:autoRedefine/>
    <w:qFormat/>
    <w:uiPriority w:val="0"/>
    <w:pPr>
      <w:adjustRightInd/>
      <w:snapToGrid/>
      <w:spacing w:before="120" w:after="120" w:line="400" w:lineRule="exact"/>
      <w:ind w:firstLine="210" w:firstLineChars="210"/>
    </w:pPr>
    <w:rPr>
      <w:rFonts w:cs="宋体"/>
      <w:szCs w:val="20"/>
    </w:rPr>
  </w:style>
  <w:style w:type="table" w:customStyle="1" w:styleId="398">
    <w:name w:val="[表格样式]"/>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399">
    <w:name w:val="reader-word-layer reader-word-s1-7"/>
    <w:basedOn w:val="1"/>
    <w:autoRedefine/>
    <w:qFormat/>
    <w:uiPriority w:val="0"/>
    <w:pPr>
      <w:widowControl/>
      <w:adjustRightInd/>
      <w:snapToGrid/>
      <w:spacing w:before="100" w:beforeAutospacing="1" w:after="100" w:afterAutospacing="1"/>
      <w:ind w:firstLine="0" w:firstLineChars="0"/>
      <w:jc w:val="left"/>
    </w:pPr>
    <w:rPr>
      <w:rFonts w:ascii="宋体" w:hAnsi="宋体" w:eastAsia="Times New Roman" w:cs="宋体"/>
      <w:kern w:val="0"/>
      <w:szCs w:val="24"/>
    </w:rPr>
  </w:style>
  <w:style w:type="character" w:customStyle="1" w:styleId="400">
    <w:name w:val="正 Char1"/>
    <w:link w:val="304"/>
    <w:autoRedefine/>
    <w:qFormat/>
    <w:uiPriority w:val="0"/>
    <w:rPr>
      <w:rFonts w:cs="宋体"/>
      <w:sz w:val="24"/>
    </w:rPr>
  </w:style>
  <w:style w:type="paragraph" w:customStyle="1" w:styleId="401">
    <w:name w:val="正文3"/>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402">
    <w:name w:val="正文5"/>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403">
    <w:name w:val="Char Char Char Char Char Char Char1"/>
    <w:basedOn w:val="1"/>
    <w:autoRedefine/>
    <w:qFormat/>
    <w:uiPriority w:val="0"/>
    <w:pPr>
      <w:adjustRightInd/>
      <w:snapToGrid/>
      <w:ind w:firstLine="200"/>
    </w:pPr>
    <w:rPr>
      <w:rFonts w:ascii="宋体" w:hAnsi="宋体" w:cs="宋体"/>
      <w:szCs w:val="21"/>
    </w:rPr>
  </w:style>
  <w:style w:type="paragraph" w:customStyle="1" w:styleId="404">
    <w:name w:val="正文文字-1"/>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character" w:customStyle="1" w:styleId="405">
    <w:name w:val="表格内正文 Char"/>
    <w:link w:val="406"/>
    <w:autoRedefine/>
    <w:qFormat/>
    <w:uiPriority w:val="0"/>
    <w:rPr>
      <w:rFonts w:eastAsia="宋体"/>
      <w:szCs w:val="24"/>
    </w:rPr>
  </w:style>
  <w:style w:type="paragraph" w:customStyle="1" w:styleId="406">
    <w:name w:val="表格内正文"/>
    <w:basedOn w:val="1"/>
    <w:link w:val="405"/>
    <w:autoRedefine/>
    <w:qFormat/>
    <w:uiPriority w:val="0"/>
    <w:pPr>
      <w:adjustRightInd/>
      <w:snapToGrid/>
      <w:ind w:firstLine="0" w:firstLineChars="0"/>
      <w:jc w:val="center"/>
    </w:pPr>
    <w:rPr>
      <w:rFonts w:asciiTheme="minorHAnsi" w:hAnsiTheme="minorHAnsi"/>
      <w:sz w:val="21"/>
      <w:szCs w:val="24"/>
    </w:rPr>
  </w:style>
  <w:style w:type="paragraph" w:customStyle="1" w:styleId="407">
    <w:name w:val="正文文字-1 Char"/>
    <w:link w:val="408"/>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character" w:customStyle="1" w:styleId="408">
    <w:name w:val="正文文字-1 Char Char"/>
    <w:link w:val="407"/>
    <w:autoRedefine/>
    <w:qFormat/>
    <w:uiPriority w:val="0"/>
    <w:rPr>
      <w:rFonts w:ascii="Times New Roman" w:hAnsi="Times New Roman" w:eastAsia="宋体" w:cs="Times New Roman"/>
      <w:sz w:val="24"/>
      <w:szCs w:val="24"/>
    </w:rPr>
  </w:style>
  <w:style w:type="character" w:customStyle="1" w:styleId="409">
    <w:name w:val="正文首行缩进 2 Char"/>
    <w:autoRedefine/>
    <w:qFormat/>
    <w:uiPriority w:val="0"/>
    <w:rPr>
      <w:kern w:val="2"/>
      <w:sz w:val="21"/>
      <w:szCs w:val="21"/>
    </w:rPr>
  </w:style>
  <w:style w:type="paragraph" w:customStyle="1" w:styleId="410">
    <w:name w:val="CM16"/>
    <w:basedOn w:val="1"/>
    <w:next w:val="1"/>
    <w:autoRedefine/>
    <w:qFormat/>
    <w:uiPriority w:val="99"/>
    <w:pPr>
      <w:autoSpaceDE w:val="0"/>
      <w:autoSpaceDN w:val="0"/>
      <w:snapToGrid/>
      <w:spacing w:line="468" w:lineRule="atLeast"/>
      <w:ind w:firstLine="0" w:firstLineChars="0"/>
    </w:pPr>
    <w:rPr>
      <w:rFonts w:ascii="宋体" w:hAnsi="Calibri" w:cs="宋体"/>
      <w:kern w:val="0"/>
      <w:szCs w:val="24"/>
    </w:rPr>
  </w:style>
  <w:style w:type="paragraph" w:customStyle="1" w:styleId="411">
    <w:name w:val="_Style 2"/>
    <w:basedOn w:val="1"/>
    <w:autoRedefine/>
    <w:qFormat/>
    <w:uiPriority w:val="0"/>
    <w:pPr>
      <w:adjustRightInd/>
      <w:snapToGrid/>
      <w:spacing w:line="240" w:lineRule="auto"/>
      <w:ind w:firstLine="420"/>
    </w:pPr>
    <w:rPr>
      <w:rFonts w:ascii="Verdana" w:hAnsi="Verdana" w:cs="宋体"/>
      <w:sz w:val="21"/>
      <w:szCs w:val="24"/>
    </w:rPr>
  </w:style>
  <w:style w:type="paragraph" w:customStyle="1" w:styleId="412">
    <w:name w:val="lily 正文"/>
    <w:basedOn w:val="1"/>
    <w:autoRedefine/>
    <w:qFormat/>
    <w:uiPriority w:val="0"/>
    <w:pPr>
      <w:adjustRightInd/>
      <w:snapToGrid/>
      <w:spacing w:line="440" w:lineRule="atLeast"/>
    </w:pPr>
    <w:rPr>
      <w:rFonts w:cs="Times New Roman"/>
      <w:szCs w:val="20"/>
    </w:rPr>
  </w:style>
  <w:style w:type="paragraph" w:customStyle="1" w:styleId="413">
    <w:name w:val="Table Paragraph"/>
    <w:basedOn w:val="1"/>
    <w:autoRedefine/>
    <w:qFormat/>
    <w:uiPriority w:val="1"/>
    <w:pPr>
      <w:adjustRightInd/>
      <w:snapToGrid/>
      <w:spacing w:line="240" w:lineRule="auto"/>
      <w:ind w:firstLine="0" w:firstLineChars="0"/>
      <w:jc w:val="left"/>
    </w:pPr>
    <w:rPr>
      <w:rFonts w:ascii="Calibri" w:hAnsi="Calibri" w:cs="Times New Roman"/>
      <w:kern w:val="0"/>
      <w:sz w:val="22"/>
      <w:lang w:eastAsia="en-US"/>
    </w:rPr>
  </w:style>
  <w:style w:type="paragraph" w:customStyle="1" w:styleId="414">
    <w:name w:val="正文6"/>
    <w:link w:val="415"/>
    <w:autoRedefine/>
    <w:qFormat/>
    <w:uiPriority w:val="0"/>
    <w:pPr>
      <w:jc w:val="both"/>
    </w:pPr>
    <w:rPr>
      <w:rFonts w:ascii="Times New Roman" w:hAnsi="Times New Roman" w:eastAsia="宋体" w:cs="Times New Roman"/>
      <w:kern w:val="2"/>
      <w:sz w:val="21"/>
      <w:szCs w:val="21"/>
      <w:lang w:val="en-US" w:eastAsia="zh-CN" w:bidi="ar-SA"/>
    </w:rPr>
  </w:style>
  <w:style w:type="character" w:customStyle="1" w:styleId="415">
    <w:name w:val="Normal Char Char"/>
    <w:link w:val="414"/>
    <w:autoRedefine/>
    <w:qFormat/>
    <w:uiPriority w:val="0"/>
    <w:rPr>
      <w:rFonts w:ascii="Times New Roman" w:hAnsi="Times New Roman" w:eastAsia="宋体" w:cs="Times New Roman"/>
      <w:szCs w:val="21"/>
    </w:rPr>
  </w:style>
  <w:style w:type="paragraph" w:customStyle="1" w:styleId="416">
    <w:name w:val="样式"/>
    <w:autoRedefine/>
    <w:qFormat/>
    <w:uiPriority w:val="0"/>
    <w:pPr>
      <w:widowControl w:val="0"/>
      <w:autoSpaceDE w:val="0"/>
      <w:autoSpaceDN w:val="0"/>
      <w:adjustRightInd w:val="0"/>
    </w:pPr>
    <w:rPr>
      <w:rFonts w:ascii="宋体" w:hAnsi="宋体" w:eastAsia="宋体" w:cs="Times New Roman"/>
      <w:sz w:val="24"/>
      <w:szCs w:val="24"/>
      <w:lang w:val="en-US" w:eastAsia="zh-CN" w:bidi="ar-SA"/>
    </w:rPr>
  </w:style>
  <w:style w:type="character" w:customStyle="1" w:styleId="417">
    <w:name w:val="标题 Char1"/>
    <w:autoRedefine/>
    <w:qFormat/>
    <w:uiPriority w:val="0"/>
    <w:rPr>
      <w:rFonts w:eastAsia="黑体"/>
      <w:kern w:val="2"/>
      <w:sz w:val="36"/>
      <w:szCs w:val="36"/>
    </w:rPr>
  </w:style>
  <w:style w:type="paragraph" w:customStyle="1" w:styleId="418">
    <w:name w:val="样式 正文文字-1 + 首行缩进:  2.1 字符"/>
    <w:basedOn w:val="1"/>
    <w:autoRedefine/>
    <w:qFormat/>
    <w:uiPriority w:val="0"/>
    <w:pPr>
      <w:adjustRightInd/>
      <w:snapToGrid/>
      <w:spacing w:before="60" w:after="60" w:line="440" w:lineRule="exact"/>
      <w:ind w:firstLine="210" w:firstLineChars="210"/>
    </w:pPr>
    <w:rPr>
      <w:rFonts w:cs="宋体"/>
      <w:szCs w:val="20"/>
    </w:rPr>
  </w:style>
  <w:style w:type="character" w:customStyle="1" w:styleId="419">
    <w:name w:val="样式 样式 四号 蓝色 + 自动设置"/>
    <w:autoRedefine/>
    <w:qFormat/>
    <w:uiPriority w:val="0"/>
    <w:rPr>
      <w:color w:val="auto"/>
      <w:sz w:val="24"/>
    </w:rPr>
  </w:style>
  <w:style w:type="character" w:customStyle="1" w:styleId="420">
    <w:name w:val="正文文本 Char"/>
    <w:autoRedefine/>
    <w:qFormat/>
    <w:uiPriority w:val="0"/>
    <w:rPr>
      <w:rFonts w:ascii="Times New Roman" w:hAnsi="Times New Roman" w:eastAsia="宋体" w:cs="Times New Roman"/>
      <w:szCs w:val="24"/>
    </w:rPr>
  </w:style>
  <w:style w:type="paragraph" w:customStyle="1" w:styleId="421">
    <w:name w:val="Char1 Char Char Char"/>
    <w:basedOn w:val="1"/>
    <w:autoRedefine/>
    <w:qFormat/>
    <w:uiPriority w:val="0"/>
    <w:pPr>
      <w:adjustRightInd/>
      <w:snapToGrid/>
      <w:spacing w:line="240" w:lineRule="auto"/>
    </w:pPr>
    <w:rPr>
      <w:rFonts w:ascii="宋体" w:cs="Times New Roman"/>
      <w:sz w:val="28"/>
      <w:szCs w:val="24"/>
    </w:rPr>
  </w:style>
  <w:style w:type="table" w:customStyle="1" w:styleId="422">
    <w:name w:val="网格型1"/>
    <w:basedOn w:val="47"/>
    <w:autoRedefine/>
    <w:qFormat/>
    <w:uiPriority w:val="59"/>
    <w:pPr>
      <w:adjustRightInd w:val="0"/>
      <w:snapToGrid w:val="0"/>
      <w:jc w:val="center"/>
    </w:pPr>
    <w:tblPr>
      <w:jc w:val="center"/>
      <w:tblBorders>
        <w:top w:val="single" w:color="auto" w:sz="4" w:space="0"/>
        <w:bottom w:val="single" w:color="auto" w:sz="4" w:space="0"/>
        <w:insideH w:val="single" w:color="auto" w:sz="4" w:space="0"/>
        <w:insideV w:val="single" w:color="auto" w:sz="4" w:space="0"/>
      </w:tblBorders>
    </w:tblPr>
    <w:trPr>
      <w:jc w:val="center"/>
    </w:trPr>
    <w:tcPr>
      <w:vAlign w:val="center"/>
    </w:tcPr>
  </w:style>
  <w:style w:type="table" w:customStyle="1" w:styleId="423">
    <w:name w:val="网格型31"/>
    <w:basedOn w:val="47"/>
    <w:autoRedefine/>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4">
    <w:name w:val="[表格样式]1"/>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5">
    <w:name w:val="[表格样式]2"/>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6">
    <w:name w:val="[表格样式]3"/>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7">
    <w:name w:val="[表格样式]4"/>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8">
    <w:name w:val="[表格样式]5"/>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429">
    <w:name w:val="未处理的提及1"/>
    <w:basedOn w:val="49"/>
    <w:autoRedefine/>
    <w:semiHidden/>
    <w:unhideWhenUsed/>
    <w:qFormat/>
    <w:uiPriority w:val="99"/>
    <w:rPr>
      <w:color w:val="605E5C"/>
      <w:shd w:val="clear" w:color="auto" w:fill="E1DFDD"/>
    </w:rPr>
  </w:style>
  <w:style w:type="character" w:customStyle="1" w:styleId="430">
    <w:name w:val="页脚 Char"/>
    <w:basedOn w:val="49"/>
    <w:autoRedefine/>
    <w:qFormat/>
    <w:uiPriority w:val="99"/>
    <w:rPr>
      <w:kern w:val="2"/>
      <w:sz w:val="18"/>
      <w:szCs w:val="18"/>
    </w:rPr>
  </w:style>
  <w:style w:type="character" w:customStyle="1" w:styleId="431">
    <w:name w:val="font31"/>
    <w:basedOn w:val="49"/>
    <w:qFormat/>
    <w:uiPriority w:val="0"/>
    <w:rPr>
      <w:rFonts w:hint="eastAsia" w:ascii="宋体" w:hAnsi="宋体" w:eastAsia="宋体" w:cs="宋体"/>
      <w:color w:val="000000"/>
      <w:sz w:val="16"/>
      <w:szCs w:val="16"/>
      <w:u w:val="none"/>
    </w:rPr>
  </w:style>
  <w:style w:type="character" w:customStyle="1" w:styleId="432">
    <w:name w:val="批注框文本 Char"/>
    <w:autoRedefine/>
    <w:qFormat/>
    <w:uiPriority w:val="0"/>
    <w:rPr>
      <w:kern w:val="2"/>
      <w:sz w:val="18"/>
      <w:szCs w:val="18"/>
    </w:rPr>
  </w:style>
  <w:style w:type="character" w:customStyle="1" w:styleId="433">
    <w:name w:val="批注主题 Char"/>
    <w:basedOn w:val="393"/>
    <w:autoRedefine/>
    <w:qFormat/>
    <w:uiPriority w:val="0"/>
    <w:rPr>
      <w:rFonts w:ascii="Times New Roman" w:hAnsi="Times New Roman" w:eastAsia="宋体" w:cs="Times New Roman"/>
      <w:kern w:val="2"/>
      <w:sz w:val="21"/>
      <w:szCs w:val="24"/>
    </w:rPr>
  </w:style>
  <w:style w:type="character" w:customStyle="1" w:styleId="434">
    <w:name w:val="sub_title2"/>
    <w:autoRedefine/>
    <w:qFormat/>
    <w:uiPriority w:val="0"/>
    <w:rPr>
      <w:rFonts w:hint="default" w:ascii="Verdana" w:hAnsi="Verdana"/>
      <w:b/>
      <w:bCs/>
      <w:sz w:val="21"/>
      <w:szCs w:val="21"/>
    </w:rPr>
  </w:style>
  <w:style w:type="paragraph" w:customStyle="1" w:styleId="435">
    <w:name w:val="Char Char Char Char"/>
    <w:basedOn w:val="1"/>
    <w:autoRedefine/>
    <w:qFormat/>
    <w:uiPriority w:val="0"/>
    <w:pPr>
      <w:adjustRightInd/>
      <w:snapToGrid/>
      <w:spacing w:line="240" w:lineRule="auto"/>
      <w:ind w:firstLine="0" w:firstLineChars="0"/>
    </w:pPr>
    <w:rPr>
      <w:rFonts w:ascii="Calibri" w:hAnsi="Calibri" w:cs="Times New Roman"/>
      <w:sz w:val="21"/>
      <w:szCs w:val="24"/>
    </w:rPr>
  </w:style>
  <w:style w:type="paragraph" w:customStyle="1" w:styleId="436">
    <w:name w:val="Char Char Char Char1"/>
    <w:basedOn w:val="1"/>
    <w:autoRedefine/>
    <w:semiHidden/>
    <w:qFormat/>
    <w:uiPriority w:val="0"/>
    <w:pPr>
      <w:widowControl/>
      <w:adjustRightInd/>
      <w:snapToGrid/>
      <w:spacing w:after="160" w:line="240" w:lineRule="exact"/>
      <w:ind w:firstLine="0" w:firstLineChars="0"/>
      <w:jc w:val="left"/>
    </w:pPr>
    <w:rPr>
      <w:rFonts w:ascii="Verdana" w:hAnsi="Verdana" w:cs="Verdana"/>
      <w:kern w:val="0"/>
      <w:sz w:val="20"/>
      <w:szCs w:val="20"/>
      <w:lang w:eastAsia="en-US"/>
    </w:rPr>
  </w:style>
  <w:style w:type="character" w:customStyle="1" w:styleId="437">
    <w:name w:val="未处理的提及2"/>
    <w:basedOn w:val="49"/>
    <w:autoRedefine/>
    <w:semiHidden/>
    <w:unhideWhenUsed/>
    <w:qFormat/>
    <w:uiPriority w:val="99"/>
    <w:rPr>
      <w:color w:val="605E5C"/>
      <w:shd w:val="clear" w:color="auto" w:fill="E1DFDD"/>
    </w:rPr>
  </w:style>
  <w:style w:type="character" w:customStyle="1" w:styleId="438">
    <w:name w:val="不明显强调2"/>
    <w:autoRedefine/>
    <w:qFormat/>
    <w:uiPriority w:val="19"/>
    <w:rPr>
      <w:rFonts w:ascii="Times New Roman" w:hAnsi="Times New Roman"/>
      <w:i/>
      <w:iCs/>
      <w:color w:val="808080"/>
      <w:szCs w:val="20"/>
    </w:rPr>
  </w:style>
  <w:style w:type="character" w:customStyle="1" w:styleId="439">
    <w:name w:val="正文首行缩进 字符"/>
    <w:qFormat/>
    <w:uiPriority w:val="0"/>
    <w:rPr>
      <w:rFonts w:ascii="Times New Roman" w:hAnsi="Times New Roman"/>
    </w:rPr>
  </w:style>
  <w:style w:type="paragraph" w:customStyle="1" w:styleId="440">
    <w:name w:val="_Style 427"/>
    <w:basedOn w:val="19"/>
    <w:next w:val="46"/>
    <w:link w:val="441"/>
    <w:autoRedefine/>
    <w:unhideWhenUsed/>
    <w:qFormat/>
    <w:uiPriority w:val="99"/>
    <w:pPr>
      <w:adjustRightInd w:val="0"/>
      <w:snapToGrid w:val="0"/>
      <w:spacing w:after="120" w:line="360" w:lineRule="auto"/>
      <w:ind w:left="420" w:leftChars="200" w:firstLine="420" w:firstLineChars="200"/>
    </w:pPr>
    <w:rPr>
      <w:rFonts w:ascii="Times New Roman" w:hAnsi="Times New Roman" w:eastAsia="宋体"/>
      <w:kern w:val="0"/>
      <w:sz w:val="24"/>
      <w:szCs w:val="20"/>
    </w:rPr>
  </w:style>
  <w:style w:type="character" w:customStyle="1" w:styleId="441">
    <w:name w:val="正文首行缩进 2 字符"/>
    <w:link w:val="440"/>
    <w:autoRedefine/>
    <w:qFormat/>
    <w:uiPriority w:val="99"/>
    <w:rPr>
      <w:rFonts w:ascii="Times New Roman" w:hAnsi="Times New Roman" w:eastAsia="宋体"/>
      <w:sz w:val="24"/>
    </w:rPr>
  </w:style>
  <w:style w:type="paragraph" w:customStyle="1" w:styleId="442">
    <w:name w:val="z-窗体顶端2"/>
    <w:basedOn w:val="1"/>
    <w:next w:val="1"/>
    <w:autoRedefine/>
    <w:qFormat/>
    <w:uiPriority w:val="0"/>
    <w:pPr>
      <w:pBdr>
        <w:bottom w:val="single" w:color="auto" w:sz="6" w:space="1"/>
      </w:pBdr>
      <w:adjustRightInd/>
      <w:snapToGrid/>
      <w:spacing w:line="240" w:lineRule="auto"/>
      <w:ind w:firstLine="0" w:firstLineChars="0"/>
      <w:jc w:val="center"/>
    </w:pPr>
    <w:rPr>
      <w:rFonts w:ascii="Arial" w:cs="Times New Roman"/>
      <w:vanish/>
      <w:kern w:val="0"/>
      <w:sz w:val="16"/>
      <w:szCs w:val="20"/>
    </w:rPr>
  </w:style>
  <w:style w:type="character" w:customStyle="1" w:styleId="443">
    <w:name w:val="z-窗体顶端 字符1"/>
    <w:basedOn w:val="49"/>
    <w:autoRedefine/>
    <w:semiHidden/>
    <w:qFormat/>
    <w:uiPriority w:val="99"/>
    <w:rPr>
      <w:rFonts w:ascii="Arial" w:hAnsi="Arial" w:eastAsia="宋体" w:cs="Arial"/>
      <w:vanish/>
      <w:kern w:val="2"/>
      <w:sz w:val="16"/>
      <w:szCs w:val="16"/>
    </w:rPr>
  </w:style>
  <w:style w:type="paragraph" w:customStyle="1" w:styleId="444">
    <w:name w:val="z-窗体底端2"/>
    <w:basedOn w:val="1"/>
    <w:next w:val="1"/>
    <w:autoRedefine/>
    <w:qFormat/>
    <w:uiPriority w:val="0"/>
    <w:pPr>
      <w:pBdr>
        <w:top w:val="single" w:color="auto" w:sz="6" w:space="1"/>
      </w:pBdr>
      <w:adjustRightInd/>
      <w:snapToGrid/>
      <w:spacing w:line="240" w:lineRule="auto"/>
      <w:ind w:firstLine="0" w:firstLineChars="0"/>
      <w:jc w:val="center"/>
    </w:pPr>
    <w:rPr>
      <w:rFonts w:ascii="Arial" w:cs="Times New Roman"/>
      <w:vanish/>
      <w:kern w:val="0"/>
      <w:sz w:val="16"/>
      <w:szCs w:val="20"/>
    </w:rPr>
  </w:style>
  <w:style w:type="character" w:customStyle="1" w:styleId="445">
    <w:name w:val="z-窗体底端 字符1"/>
    <w:basedOn w:val="49"/>
    <w:autoRedefine/>
    <w:semiHidden/>
    <w:qFormat/>
    <w:uiPriority w:val="99"/>
    <w:rPr>
      <w:rFonts w:ascii="Arial" w:hAnsi="Arial" w:eastAsia="宋体" w:cs="Arial"/>
      <w:vanish/>
      <w:kern w:val="2"/>
      <w:sz w:val="16"/>
      <w:szCs w:val="16"/>
    </w:rPr>
  </w:style>
  <w:style w:type="paragraph" w:customStyle="1" w:styleId="446">
    <w:name w:val="TOC 标题2"/>
    <w:basedOn w:val="2"/>
    <w:next w:val="1"/>
    <w:autoRedefine/>
    <w:qFormat/>
    <w:uiPriority w:val="39"/>
    <w:pPr>
      <w:keepNext/>
      <w:keepLines/>
      <w:widowControl/>
      <w:adjustRightInd/>
      <w:snapToGrid/>
      <w:spacing w:before="480" w:line="276" w:lineRule="auto"/>
      <w:outlineLvl w:val="9"/>
    </w:pPr>
    <w:rPr>
      <w:rFonts w:ascii="Cambria" w:hAnsi="Cambria" w:eastAsia="宋体" w:cs="Times New Roman"/>
      <w:b/>
      <w:bCs/>
      <w:color w:val="365F91"/>
      <w:kern w:val="0"/>
      <w:sz w:val="28"/>
      <w:szCs w:val="28"/>
      <w:lang w:val="zh-CN"/>
    </w:rPr>
  </w:style>
  <w:style w:type="paragraph" w:customStyle="1" w:styleId="447">
    <w:name w:val="Char Char Char Char Char Char Char2"/>
    <w:basedOn w:val="1"/>
    <w:autoRedefine/>
    <w:qFormat/>
    <w:uiPriority w:val="0"/>
    <w:pPr>
      <w:adjustRightInd/>
      <w:snapToGrid/>
      <w:ind w:firstLine="200"/>
    </w:pPr>
    <w:rPr>
      <w:rFonts w:ascii="宋体" w:hAnsi="宋体" w:cs="宋体"/>
      <w:szCs w:val="24"/>
    </w:rPr>
  </w:style>
  <w:style w:type="paragraph" w:customStyle="1" w:styleId="448">
    <w:name w:val="xl33"/>
    <w:basedOn w:val="1"/>
    <w:autoRedefine/>
    <w:qFormat/>
    <w:uiPriority w:val="0"/>
    <w:pPr>
      <w:widowControl/>
      <w:pBdr>
        <w:left w:val="single" w:color="auto" w:sz="12" w:space="0"/>
        <w:right w:val="single" w:color="auto" w:sz="8" w:space="0"/>
      </w:pBdr>
      <w:adjustRightInd/>
      <w:snapToGrid/>
      <w:spacing w:before="100" w:beforeAutospacing="1" w:after="100" w:afterAutospacing="1" w:line="240" w:lineRule="auto"/>
      <w:ind w:firstLine="0" w:firstLineChars="0"/>
      <w:jc w:val="center"/>
    </w:pPr>
    <w:rPr>
      <w:rFonts w:cs="Times New Roman"/>
      <w:color w:val="000000"/>
      <w:kern w:val="0"/>
      <w:sz w:val="21"/>
      <w:szCs w:val="21"/>
    </w:rPr>
  </w:style>
  <w:style w:type="paragraph" w:customStyle="1" w:styleId="449">
    <w:name w:val="正文缩进1"/>
    <w:basedOn w:val="1"/>
    <w:autoRedefine/>
    <w:qFormat/>
    <w:uiPriority w:val="0"/>
    <w:pPr>
      <w:spacing w:line="520" w:lineRule="exact"/>
      <w:ind w:firstLine="624"/>
    </w:pPr>
    <w:rPr>
      <w:rFonts w:cs="Times New Roman"/>
      <w:sz w:val="28"/>
      <w:szCs w:val="24"/>
    </w:rPr>
  </w:style>
  <w:style w:type="paragraph" w:customStyle="1" w:styleId="450">
    <w:name w:val="样式 样式 标题 2 + (西文) Times New Roman (中文) 宋体 小四 黑色 首行缩进:  0.85 厘米....."/>
    <w:basedOn w:val="451"/>
    <w:autoRedefine/>
    <w:qFormat/>
    <w:uiPriority w:val="0"/>
    <w:rPr>
      <w:bCs w:val="0"/>
    </w:rPr>
  </w:style>
  <w:style w:type="paragraph" w:customStyle="1" w:styleId="451">
    <w:name w:val="样式 标题 2 + (西文) Times New Roman (中文) 宋体 小四 黑色 首行缩进:  0.85 厘米..."/>
    <w:basedOn w:val="3"/>
    <w:autoRedefine/>
    <w:qFormat/>
    <w:uiPriority w:val="0"/>
    <w:pPr>
      <w:spacing w:line="360" w:lineRule="auto"/>
    </w:pPr>
    <w:rPr>
      <w:rFonts w:cs="宋体"/>
      <w:color w:val="000000"/>
    </w:rPr>
  </w:style>
  <w:style w:type="paragraph" w:customStyle="1" w:styleId="452">
    <w:name w:val="样式 样式 样式 小四 黑色 首行缩进:  0.85 厘米 行距: 固定值 28 磅1 + 段前: 0.5 行 段后: 0.5 ..."/>
    <w:basedOn w:val="453"/>
    <w:autoRedefine/>
    <w:qFormat/>
    <w:uiPriority w:val="0"/>
    <w:pPr>
      <w:spacing w:before="120" w:after="120"/>
    </w:pPr>
    <w:rPr>
      <w:bCs w:val="0"/>
      <w:sz w:val="24"/>
    </w:rPr>
  </w:style>
  <w:style w:type="paragraph" w:customStyle="1" w:styleId="453">
    <w:name w:val="样式 样式 小四 黑色 首行缩进:  0.85 厘米 行距: 固定值 28 磅1 + 段前: 0.5 行 段后: 0.5 行"/>
    <w:basedOn w:val="454"/>
    <w:autoRedefine/>
    <w:qFormat/>
    <w:uiPriority w:val="0"/>
    <w:rPr>
      <w:sz w:val="28"/>
      <w:szCs w:val="20"/>
    </w:rPr>
  </w:style>
  <w:style w:type="paragraph" w:customStyle="1" w:styleId="454">
    <w:name w:val="样式 小四 黑色 首行缩进:  0.85 厘米 行距: 固定值 28 磅1"/>
    <w:basedOn w:val="4"/>
    <w:next w:val="4"/>
    <w:autoRedefine/>
    <w:qFormat/>
    <w:uiPriority w:val="0"/>
    <w:pPr>
      <w:spacing w:before="50" w:beforeLines="50" w:line="360" w:lineRule="auto"/>
    </w:pPr>
    <w:rPr>
      <w:rFonts w:cs="宋体"/>
      <w:color w:val="000000"/>
    </w:rPr>
  </w:style>
  <w:style w:type="paragraph" w:customStyle="1" w:styleId="455">
    <w:name w:val="样式 标题 1 + (中文) 宋体 小四 黑色 首行缩进:  0.85 厘米 行距: 固定值 28 磅"/>
    <w:basedOn w:val="2"/>
    <w:autoRedefine/>
    <w:qFormat/>
    <w:uiPriority w:val="0"/>
    <w:pPr>
      <w:spacing w:line="520" w:lineRule="exact"/>
    </w:pPr>
    <w:rPr>
      <w:rFonts w:cs="宋体"/>
      <w:color w:val="000000"/>
    </w:rPr>
  </w:style>
  <w:style w:type="paragraph" w:customStyle="1" w:styleId="456">
    <w:name w:val="!正文(alt+c)"/>
    <w:autoRedefine/>
    <w:qFormat/>
    <w:uiPriority w:val="0"/>
    <w:pPr>
      <w:spacing w:line="300" w:lineRule="auto"/>
      <w:ind w:firstLine="480" w:firstLineChars="200"/>
      <w:jc w:val="center"/>
    </w:pPr>
    <w:rPr>
      <w:rFonts w:ascii="宋体" w:hAnsi="宋体" w:eastAsia="宋体" w:cs="Times New Roman"/>
      <w:sz w:val="24"/>
      <w:szCs w:val="24"/>
      <w:lang w:val="en-US" w:eastAsia="zh-CN" w:bidi="ar-SA"/>
    </w:rPr>
  </w:style>
  <w:style w:type="character" w:customStyle="1" w:styleId="457">
    <w:name w:val="6666661"/>
    <w:autoRedefine/>
    <w:qFormat/>
    <w:uiPriority w:val="0"/>
    <w:rPr>
      <w:spacing w:val="330"/>
      <w:sz w:val="18"/>
      <w:szCs w:val="18"/>
    </w:rPr>
  </w:style>
  <w:style w:type="paragraph" w:customStyle="1" w:styleId="458">
    <w:name w:val="111111正文"/>
    <w:basedOn w:val="1"/>
    <w:autoRedefine/>
    <w:qFormat/>
    <w:uiPriority w:val="0"/>
  </w:style>
  <w:style w:type="paragraph" w:customStyle="1" w:styleId="459">
    <w:name w:val="表内式样"/>
    <w:autoRedefine/>
    <w:qFormat/>
    <w:uiPriority w:val="0"/>
    <w:pPr>
      <w:framePr w:hSpace="180" w:wrap="around" w:vAnchor="page" w:hAnchor="margin" w:x="-432" w:y="2266"/>
      <w:widowControl w:val="0"/>
      <w:spacing w:line="320" w:lineRule="exact"/>
      <w:jc w:val="center"/>
    </w:pPr>
    <w:rPr>
      <w:rFonts w:ascii="Calibri" w:hAnsi="Calibri" w:eastAsia="宋体" w:cs="Times New Roman"/>
      <w:sz w:val="18"/>
      <w:szCs w:val="24"/>
      <w:lang w:val="en-US" w:eastAsia="zh-CN" w:bidi="ar-SA"/>
    </w:rPr>
  </w:style>
  <w:style w:type="paragraph" w:customStyle="1" w:styleId="460">
    <w:name w:val="表题"/>
    <w:autoRedefine/>
    <w:qFormat/>
    <w:uiPriority w:val="0"/>
    <w:pPr>
      <w:widowControl w:val="0"/>
      <w:adjustRightInd w:val="0"/>
      <w:snapToGrid w:val="0"/>
      <w:spacing w:line="440" w:lineRule="exact"/>
      <w:jc w:val="center"/>
    </w:pPr>
    <w:rPr>
      <w:rFonts w:ascii="仿宋_GB2312" w:hAnsi="宋体" w:eastAsia="仿宋_GB2312" w:cs="Times New Roman"/>
      <w:sz w:val="24"/>
      <w:szCs w:val="24"/>
      <w:lang w:val="en-US" w:eastAsia="zh-CN" w:bidi="ar-SA"/>
    </w:rPr>
  </w:style>
  <w:style w:type="paragraph" w:customStyle="1" w:styleId="461">
    <w:name w:val="样式 标题 1 + 小三 加粗 非倾斜 黑色 两端对齐 行距: 1.5 倍行距"/>
    <w:basedOn w:val="2"/>
    <w:autoRedefine/>
    <w:qFormat/>
    <w:uiPriority w:val="0"/>
    <w:pPr>
      <w:adjustRightInd/>
      <w:spacing w:before="360" w:after="360" w:line="480" w:lineRule="auto"/>
    </w:pPr>
    <w:rPr>
      <w:rFonts w:eastAsia="宋体"/>
      <w:b/>
    </w:rPr>
  </w:style>
  <w:style w:type="paragraph" w:customStyle="1" w:styleId="462">
    <w:name w:val="报告表正文"/>
    <w:basedOn w:val="1"/>
    <w:autoRedefine/>
    <w:qFormat/>
    <w:uiPriority w:val="0"/>
    <w:pPr>
      <w:spacing w:line="300" w:lineRule="auto"/>
      <w:ind w:left="113" w:right="113"/>
      <w:textAlignment w:val="baseline"/>
    </w:pPr>
    <w:rPr>
      <w:kern w:val="0"/>
    </w:rPr>
  </w:style>
  <w:style w:type="paragraph" w:customStyle="1" w:styleId="463">
    <w:name w:val="正文张 小四 黑色 行距: 固定值 22 磅"/>
    <w:basedOn w:val="1"/>
    <w:autoRedefine/>
    <w:qFormat/>
    <w:uiPriority w:val="0"/>
    <w:pPr>
      <w:spacing w:line="440" w:lineRule="exact"/>
    </w:pPr>
    <w:rPr>
      <w:rFonts w:cs="宋体"/>
      <w:color w:val="000000"/>
    </w:rPr>
  </w:style>
  <w:style w:type="paragraph" w:customStyle="1" w:styleId="464">
    <w:name w:val="[表中文字]"/>
    <w:basedOn w:val="1"/>
    <w:autoRedefine/>
    <w:qFormat/>
    <w:uiPriority w:val="0"/>
    <w:pPr>
      <w:spacing w:before="60" w:after="60"/>
      <w:jc w:val="center"/>
    </w:pPr>
    <w:rPr>
      <w:rFonts w:eastAsia="仿宋_GB2312"/>
      <w:szCs w:val="20"/>
    </w:rPr>
  </w:style>
  <w:style w:type="paragraph" w:customStyle="1" w:styleId="465">
    <w:name w:val="样式 标题3 + Times New Roman 黑色"/>
    <w:basedOn w:val="466"/>
    <w:autoRedefine/>
    <w:qFormat/>
    <w:uiPriority w:val="0"/>
    <w:pPr>
      <w:adjustRightInd w:val="0"/>
      <w:snapToGrid w:val="0"/>
      <w:ind w:left="0"/>
    </w:pPr>
    <w:rPr>
      <w:rFonts w:ascii="Times New Roman" w:eastAsia="宋体"/>
      <w:b/>
      <w:color w:val="000000"/>
      <w:szCs w:val="24"/>
    </w:rPr>
  </w:style>
  <w:style w:type="paragraph" w:customStyle="1" w:styleId="466">
    <w:name w:val="标题3"/>
    <w:next w:val="1"/>
    <w:autoRedefine/>
    <w:qFormat/>
    <w:uiPriority w:val="0"/>
    <w:pPr>
      <w:keepNext/>
      <w:keepLines/>
      <w:spacing w:before="80" w:line="360" w:lineRule="auto"/>
      <w:ind w:left="1440"/>
      <w:jc w:val="center"/>
      <w:outlineLvl w:val="2"/>
    </w:pPr>
    <w:rPr>
      <w:rFonts w:ascii="黑体" w:hAnsi="Times New Roman" w:eastAsia="黑体" w:cs="Times New Roman"/>
      <w:bCs/>
      <w:kern w:val="2"/>
      <w:sz w:val="24"/>
      <w:lang w:val="zh-CN" w:eastAsia="zh-CN" w:bidi="ar-SA"/>
    </w:rPr>
  </w:style>
  <w:style w:type="paragraph" w:customStyle="1" w:styleId="467">
    <w:name w:val="内容"/>
    <w:basedOn w:val="1"/>
    <w:autoRedefine/>
    <w:qFormat/>
    <w:uiPriority w:val="0"/>
    <w:pPr>
      <w:spacing w:beforeLines="50"/>
      <w:ind w:firstLine="200"/>
    </w:pPr>
    <w:rPr>
      <w:rFonts w:ascii="Calibri" w:hAnsi="Calibri"/>
      <w:color w:val="000000"/>
      <w:kern w:val="0"/>
    </w:rPr>
  </w:style>
  <w:style w:type="character" w:customStyle="1" w:styleId="468">
    <w:name w:val="font61"/>
    <w:basedOn w:val="49"/>
    <w:autoRedefine/>
    <w:qFormat/>
    <w:uiPriority w:val="0"/>
    <w:rPr>
      <w:rFonts w:hint="eastAsia" w:ascii="宋体" w:hAnsi="宋体" w:eastAsia="宋体" w:cs="宋体"/>
      <w:color w:val="000000"/>
      <w:sz w:val="24"/>
      <w:szCs w:val="24"/>
      <w:u w:val="none"/>
    </w:rPr>
  </w:style>
  <w:style w:type="character" w:customStyle="1" w:styleId="469">
    <w:name w:val="font131"/>
    <w:basedOn w:val="49"/>
    <w:autoRedefine/>
    <w:qFormat/>
    <w:uiPriority w:val="0"/>
    <w:rPr>
      <w:rFonts w:hint="default" w:ascii="Times New Roman" w:hAnsi="Times New Roman" w:cs="Times New Roman"/>
      <w:color w:val="000000"/>
      <w:sz w:val="24"/>
      <w:szCs w:val="24"/>
      <w:u w:val="none"/>
    </w:rPr>
  </w:style>
  <w:style w:type="character" w:customStyle="1" w:styleId="470">
    <w:name w:val="font121"/>
    <w:basedOn w:val="49"/>
    <w:autoRedefine/>
    <w:qFormat/>
    <w:uiPriority w:val="0"/>
    <w:rPr>
      <w:rFonts w:hint="eastAsia" w:ascii="宋体" w:hAnsi="宋体" w:eastAsia="宋体" w:cs="宋体"/>
      <w:color w:val="FF0000"/>
      <w:sz w:val="24"/>
      <w:szCs w:val="24"/>
      <w:u w:val="none"/>
    </w:rPr>
  </w:style>
  <w:style w:type="paragraph" w:customStyle="1" w:styleId="471">
    <w:name w:val="样式 样式 标题 3条标题头标题3H3h33rd level第二层条标题 3 Char小标题小节标题标题 3 C...3 + 自..."/>
    <w:basedOn w:val="1"/>
    <w:autoRedefine/>
    <w:qFormat/>
    <w:uiPriority w:val="0"/>
    <w:pPr>
      <w:keepNext/>
      <w:keepLines/>
      <w:spacing w:line="720" w:lineRule="auto"/>
      <w:ind w:firstLine="0" w:firstLineChars="0"/>
      <w:outlineLvl w:val="2"/>
    </w:pPr>
    <w:rPr>
      <w:rFonts w:ascii="黑体" w:hAnsi="黑体" w:eastAsia="黑体"/>
      <w:bCs/>
    </w:rPr>
  </w:style>
  <w:style w:type="paragraph" w:customStyle="1" w:styleId="472">
    <w:name w:val="vsbcontent_start"/>
    <w:basedOn w:val="1"/>
    <w:autoRedefine/>
    <w:qFormat/>
    <w:uiPriority w:val="0"/>
    <w:pPr>
      <w:widowControl/>
      <w:spacing w:before="100" w:beforeAutospacing="1" w:after="100" w:afterAutospacing="1"/>
      <w:jc w:val="left"/>
    </w:pPr>
    <w:rPr>
      <w:rFonts w:ascii="宋体" w:hAnsi="宋体" w:cs="宋体"/>
      <w:kern w:val="0"/>
      <w:szCs w:val="24"/>
    </w:rPr>
  </w:style>
  <w:style w:type="paragraph" w:customStyle="1" w:styleId="473">
    <w:name w:val="正文正文"/>
    <w:basedOn w:val="46"/>
    <w:autoRedefine/>
    <w:qFormat/>
    <w:uiPriority w:val="0"/>
    <w:rPr>
      <w:szCs w:val="20"/>
    </w:rPr>
  </w:style>
  <w:style w:type="paragraph" w:customStyle="1" w:styleId="474">
    <w:name w:val="Body text|1"/>
    <w:basedOn w:val="1"/>
    <w:autoRedefine/>
    <w:qFormat/>
    <w:uiPriority w:val="0"/>
    <w:pPr>
      <w:spacing w:line="427" w:lineRule="auto"/>
      <w:ind w:firstLine="400"/>
    </w:pPr>
    <w:rPr>
      <w:rFonts w:ascii="宋体" w:hAnsi="宋体" w:cs="宋体"/>
      <w:sz w:val="22"/>
      <w:lang w:val="zh-TW" w:eastAsia="zh-TW" w:bidi="zh-TW"/>
    </w:rPr>
  </w:style>
  <w:style w:type="table" w:customStyle="1" w:styleId="475">
    <w:name w:val="环评表格"/>
    <w:basedOn w:val="47"/>
    <w:autoRedefine/>
    <w:qFormat/>
    <w:uiPriority w:val="0"/>
    <w:pPr>
      <w:snapToGrid w:val="0"/>
      <w:spacing w:line="500" w:lineRule="atLeast"/>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476">
    <w:name w:val="正文文本缩进A"/>
    <w:basedOn w:val="1"/>
    <w:autoRedefine/>
    <w:qFormat/>
    <w:uiPriority w:val="0"/>
    <w:pPr>
      <w:spacing w:line="360" w:lineRule="auto"/>
      <w:ind w:firstLine="480" w:firstLineChars="200"/>
    </w:pPr>
    <w:rPr>
      <w:sz w:val="24"/>
    </w:rPr>
  </w:style>
  <w:style w:type="paragraph" w:customStyle="1" w:styleId="477">
    <w:name w:val="11111"/>
    <w:basedOn w:val="1"/>
    <w:next w:val="1"/>
    <w:autoRedefine/>
    <w:qFormat/>
    <w:uiPriority w:val="0"/>
    <w:pPr>
      <w:spacing w:line="360" w:lineRule="auto"/>
      <w:ind w:firstLine="200" w:firstLineChars="200"/>
    </w:pPr>
    <w:rPr>
      <w:rFonts w:hAnsi="宋体" w:cs="宋体"/>
      <w:kern w:val="2"/>
      <w:szCs w:val="24"/>
    </w:rPr>
  </w:style>
  <w:style w:type="paragraph" w:customStyle="1" w:styleId="478">
    <w:name w:val="表格中文字"/>
    <w:basedOn w:val="479"/>
    <w:autoRedefine/>
    <w:qFormat/>
    <w:uiPriority w:val="0"/>
    <w:pPr>
      <w:spacing w:line="360" w:lineRule="exact"/>
      <w:ind w:firstLine="0" w:firstLineChars="0"/>
      <w:jc w:val="center"/>
    </w:pPr>
    <w:rPr>
      <w:rFonts w:ascii="Times New Roman" w:hAnsi="Times New Roman"/>
      <w:color w:val="auto"/>
      <w:kern w:val="0"/>
      <w:sz w:val="21"/>
      <w:szCs w:val="21"/>
    </w:rPr>
  </w:style>
  <w:style w:type="paragraph" w:customStyle="1" w:styleId="479">
    <w:name w:val="填表正文"/>
    <w:basedOn w:val="1"/>
    <w:autoRedefine/>
    <w:qFormat/>
    <w:uiPriority w:val="0"/>
    <w:pPr>
      <w:adjustRightInd w:val="0"/>
      <w:snapToGrid w:val="0"/>
      <w:jc w:val="center"/>
    </w:pPr>
    <w:rPr>
      <w:rFonts w:ascii="宋体" w:hAnsi="Calibri"/>
      <w:color w:val="000000"/>
      <w:kern w:val="0"/>
      <w:szCs w:val="44"/>
    </w:rPr>
  </w:style>
  <w:style w:type="paragraph" w:customStyle="1" w:styleId="480">
    <w:name w:val="f【正文】"/>
    <w:basedOn w:val="1"/>
    <w:qFormat/>
    <w:uiPriority w:val="0"/>
    <w:pPr>
      <w:widowControl/>
      <w:adjustRightInd w:val="0"/>
      <w:snapToGrid w:val="0"/>
      <w:spacing w:line="360" w:lineRule="auto"/>
      <w:ind w:firstLine="200" w:firstLineChars="200"/>
    </w:pPr>
    <w:rPr>
      <w:rFonts w:cs="Times New Roman"/>
    </w:rPr>
  </w:style>
  <w:style w:type="paragraph" w:customStyle="1" w:styleId="481">
    <w:name w:val="Table Text"/>
    <w:basedOn w:val="1"/>
    <w:semiHidden/>
    <w:qFormat/>
    <w:uiPriority w:val="0"/>
    <w:rPr>
      <w:rFonts w:ascii="宋体" w:hAnsi="宋体" w:eastAsia="宋体" w:cs="宋体"/>
      <w:sz w:val="24"/>
      <w:szCs w:val="24"/>
      <w:lang w:val="en-US" w:eastAsia="en-US" w:bidi="ar-SA"/>
    </w:rPr>
  </w:style>
  <w:style w:type="table" w:customStyle="1" w:styleId="48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footer" Target="footer4.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footer" Target="footer3.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2.xml"/><Relationship Id="rId69" Type="http://schemas.openxmlformats.org/officeDocument/2006/relationships/image" Target="media/image52.png"/><Relationship Id="rId68" Type="http://schemas.openxmlformats.org/officeDocument/2006/relationships/image" Target="media/image51.jpe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png"/><Relationship Id="rId6" Type="http://schemas.openxmlformats.org/officeDocument/2006/relationships/header" Target="header1.xml"/><Relationship Id="rId59" Type="http://schemas.openxmlformats.org/officeDocument/2006/relationships/image" Target="media/image42.emf"/><Relationship Id="rId58" Type="http://schemas.openxmlformats.org/officeDocument/2006/relationships/image" Target="media/image41.emf"/><Relationship Id="rId57" Type="http://schemas.openxmlformats.org/officeDocument/2006/relationships/image" Target="media/image40.emf"/><Relationship Id="rId56" Type="http://schemas.openxmlformats.org/officeDocument/2006/relationships/image" Target="media/image39.png"/><Relationship Id="rId55" Type="http://schemas.openxmlformats.org/officeDocument/2006/relationships/image" Target="media/image38.emf"/><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wmf"/><Relationship Id="rId50" Type="http://schemas.openxmlformats.org/officeDocument/2006/relationships/image" Target="media/image33.wmf"/><Relationship Id="rId5" Type="http://schemas.openxmlformats.org/officeDocument/2006/relationships/footer" Target="footer1.xml"/><Relationship Id="rId49" Type="http://schemas.openxmlformats.org/officeDocument/2006/relationships/image" Target="media/image32.wmf"/><Relationship Id="rId48" Type="http://schemas.openxmlformats.org/officeDocument/2006/relationships/image" Target="media/image31.wmf"/><Relationship Id="rId47" Type="http://schemas.openxmlformats.org/officeDocument/2006/relationships/image" Target="media/image30.wmf"/><Relationship Id="rId46" Type="http://schemas.openxmlformats.org/officeDocument/2006/relationships/image" Target="media/image29.wmf"/><Relationship Id="rId45" Type="http://schemas.openxmlformats.org/officeDocument/2006/relationships/image" Target="media/image28.wmf"/><Relationship Id="rId44" Type="http://schemas.openxmlformats.org/officeDocument/2006/relationships/image" Target="media/image27.wmf"/><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jpe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wmf"/><Relationship Id="rId31" Type="http://schemas.openxmlformats.org/officeDocument/2006/relationships/oleObject" Target="embeddings/oleObject1.bin"/><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header" Target="header3.xml"/><Relationship Id="rId11" Type="http://schemas.openxmlformats.org/officeDocument/2006/relationships/footer" Target="footer5.xml"/><Relationship Id="rId104" Type="http://schemas.openxmlformats.org/officeDocument/2006/relationships/fontTable" Target="fontTable.xml"/><Relationship Id="rId103" Type="http://schemas.openxmlformats.org/officeDocument/2006/relationships/customXml" Target="../customXml/item2.xml"/><Relationship Id="rId102" Type="http://schemas.openxmlformats.org/officeDocument/2006/relationships/numbering" Target="numbering.xml"/><Relationship Id="rId101" Type="http://schemas.openxmlformats.org/officeDocument/2006/relationships/customXml" Target="../customXml/item1.xml"/><Relationship Id="rId100" Type="http://schemas.openxmlformats.org/officeDocument/2006/relationships/image" Target="media/image83.png"/><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lumMod val="90000"/>
            <a:alpha val="80000"/>
          </a:schemeClr>
        </a:solidFill>
        <a:ln w="3175">
          <a:solidFill>
            <a:schemeClr val="tx1"/>
          </a:solidFill>
        </a:ln>
      </a:spPr>
      <a:bodyPr rot="0" spcFirstLastPara="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622C19-1D7A-4A1D-9D50-14E6CD857EAA}">
  <ds:schemaRefs/>
</ds:datastoreItem>
</file>

<file path=docProps/app.xml><?xml version="1.0" encoding="utf-8"?>
<Properties xmlns="http://schemas.openxmlformats.org/officeDocument/2006/extended-properties" xmlns:vt="http://schemas.openxmlformats.org/officeDocument/2006/docPropsVTypes">
  <Template>Normal.dotm</Template>
  <Pages>234</Pages>
  <Words>10887</Words>
  <Characters>11937</Characters>
  <Lines>908</Lines>
  <Paragraphs>255</Paragraphs>
  <TotalTime>26</TotalTime>
  <ScaleCrop>false</ScaleCrop>
  <LinksUpToDate>false</LinksUpToDate>
  <CharactersWithSpaces>12203</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2018-08-03T02:16:00Z</dcterms:created>
  <dc:creator>Administrator</dc:creator>
  <cp:lastModifiedBy> Y树y菩¿提</cp:lastModifiedBy>
  <cp:lastPrinted>2019-09-06T07:16:00Z</cp:lastPrinted>
  <dcterms:modified xsi:type="dcterms:W3CDTF">2025-09-12T07:12:18Z</dcterms:modified>
  <cp:revision>149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187ED29792314C92AE48065493FE10CB_13</vt:lpwstr>
  </property>
  <property fmtid="{D5CDD505-2E9C-101B-9397-08002B2CF9AE}" pid="4" name="KSOTemplateDocerSaveRecord">
    <vt:lpwstr>eyJoZGlkIjoiZmFmZWE3ZDY3MDdhOWYwZGVkYzA2MTM2YTc0ZGE1ZGUiLCJ1c2VySWQiOiIzNDI2Njc5NjcifQ==</vt:lpwstr>
  </property>
</Properties>
</file>