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themeColor="text1"/>
          <w:sz w:val="36"/>
          <w:szCs w:val="36"/>
          <w:highlight w:val="none"/>
        </w:rPr>
      </w:pPr>
    </w:p>
    <w:p>
      <w:pPr>
        <w:rPr>
          <w:rFonts w:ascii="仿宋_GB2312" w:hAnsi="仿宋_GB2312" w:eastAsia="仿宋_GB2312" w:cs="仿宋_GB2312"/>
          <w:color w:val="000000" w:themeColor="text1"/>
          <w:sz w:val="36"/>
          <w:szCs w:val="36"/>
          <w:highlight w:val="none"/>
        </w:rPr>
      </w:pPr>
    </w:p>
    <w:p>
      <w:pPr>
        <w:pStyle w:val="32"/>
        <w:rPr>
          <w:color w:val="000000" w:themeColor="text1"/>
          <w:highlight w:val="none"/>
        </w:rPr>
      </w:pPr>
    </w:p>
    <w:p>
      <w:pPr>
        <w:rPr>
          <w:rFonts w:ascii="仿宋_GB2312" w:hAnsi="仿宋_GB2312" w:eastAsia="仿宋_GB2312" w:cs="仿宋_GB2312"/>
          <w:color w:val="000000" w:themeColor="text1"/>
          <w:sz w:val="36"/>
          <w:szCs w:val="36"/>
          <w:highlight w:val="none"/>
        </w:rPr>
      </w:pPr>
    </w:p>
    <w:p>
      <w:pPr>
        <w:adjustRightInd w:val="0"/>
        <w:snapToGrid w:val="0"/>
        <w:jc w:val="center"/>
        <w:outlineLvl w:val="0"/>
        <w:rPr>
          <w:rFonts w:ascii="方正小标宋_GBK" w:eastAsia="方正小标宋_GBK"/>
          <w:bCs/>
          <w:color w:val="000000" w:themeColor="text1"/>
          <w:sz w:val="72"/>
          <w:szCs w:val="72"/>
          <w:highlight w:val="none"/>
        </w:rPr>
      </w:pPr>
      <w:bookmarkStart w:id="0" w:name="_Toc68775750"/>
      <w:r>
        <w:rPr>
          <w:rFonts w:hint="eastAsia" w:hAnsi="宋体"/>
          <w:bCs/>
          <w:color w:val="000000" w:themeColor="text1"/>
          <w:sz w:val="72"/>
          <w:szCs w:val="72"/>
          <w:highlight w:val="none"/>
        </w:rPr>
        <w:t>建设项目环境影响报告表</w:t>
      </w:r>
      <w:bookmarkEnd w:id="0"/>
    </w:p>
    <w:p>
      <w:pPr>
        <w:adjustRightInd w:val="0"/>
        <w:snapToGrid w:val="0"/>
        <w:spacing w:beforeLines="80"/>
        <w:jc w:val="center"/>
        <w:rPr>
          <w:rFonts w:hAnsi="宋体"/>
          <w:bCs/>
          <w:color w:val="000000" w:themeColor="text1"/>
          <w:sz w:val="48"/>
          <w:szCs w:val="48"/>
          <w:highlight w:val="none"/>
        </w:rPr>
      </w:pPr>
      <w:r>
        <w:rPr>
          <w:rFonts w:hint="eastAsia" w:hAnsi="宋体"/>
          <w:bCs/>
          <w:color w:val="000000" w:themeColor="text1"/>
          <w:sz w:val="48"/>
          <w:szCs w:val="48"/>
          <w:highlight w:val="none"/>
        </w:rPr>
        <w:t>（污染影响类）</w:t>
      </w:r>
    </w:p>
    <w:p>
      <w:pPr>
        <w:rPr>
          <w:color w:val="000000" w:themeColor="text1"/>
          <w:kern w:val="44"/>
          <w:highlight w:val="none"/>
        </w:rPr>
      </w:pPr>
    </w:p>
    <w:p>
      <w:pPr>
        <w:jc w:val="center"/>
        <w:rPr>
          <w:rFonts w:eastAsia="仿宋"/>
          <w:color w:val="000000" w:themeColor="text1"/>
          <w:sz w:val="52"/>
          <w:szCs w:val="52"/>
          <w:highlight w:val="none"/>
        </w:rPr>
      </w:pPr>
    </w:p>
    <w:p>
      <w:pPr>
        <w:ind w:firstLine="1040"/>
        <w:rPr>
          <w:rFonts w:eastAsia="仿宋"/>
          <w:color w:val="000000" w:themeColor="text1"/>
          <w:sz w:val="44"/>
          <w:szCs w:val="44"/>
          <w:highlight w:val="none"/>
        </w:rPr>
      </w:pPr>
    </w:p>
    <w:p>
      <w:pPr>
        <w:ind w:firstLine="1040"/>
        <w:rPr>
          <w:rFonts w:eastAsia="仿宋"/>
          <w:color w:val="000000" w:themeColor="text1"/>
          <w:sz w:val="44"/>
          <w:szCs w:val="44"/>
          <w:highlight w:val="none"/>
        </w:rPr>
      </w:pPr>
    </w:p>
    <w:p>
      <w:pPr>
        <w:ind w:firstLine="1040"/>
        <w:rPr>
          <w:rFonts w:eastAsia="仿宋"/>
          <w:color w:val="000000" w:themeColor="text1"/>
          <w:sz w:val="44"/>
          <w:szCs w:val="44"/>
          <w:highlight w:val="none"/>
        </w:rPr>
      </w:pPr>
    </w:p>
    <w:p>
      <w:pPr>
        <w:ind w:firstLine="1040"/>
        <w:rPr>
          <w:rFonts w:eastAsia="仿宋"/>
          <w:color w:val="000000" w:themeColor="text1"/>
          <w:sz w:val="44"/>
          <w:szCs w:val="44"/>
          <w:highlight w:val="none"/>
        </w:rPr>
      </w:pPr>
    </w:p>
    <w:p>
      <w:pPr>
        <w:ind w:firstLine="1040"/>
        <w:rPr>
          <w:rFonts w:eastAsia="仿宋"/>
          <w:color w:val="000000" w:themeColor="text1"/>
          <w:sz w:val="44"/>
          <w:szCs w:val="44"/>
          <w:highlight w:val="none"/>
        </w:rPr>
      </w:pPr>
    </w:p>
    <w:p>
      <w:pPr>
        <w:adjustRightInd w:val="0"/>
        <w:snapToGrid w:val="0"/>
        <w:spacing w:line="288" w:lineRule="auto"/>
        <w:ind w:left="2639" w:leftChars="495" w:hanging="1600" w:hangingChars="500"/>
        <w:rPr>
          <w:rFonts w:ascii="宋体" w:hAnsi="宋体"/>
          <w:color w:val="000000" w:themeColor="text1"/>
          <w:spacing w:val="-20"/>
          <w:sz w:val="36"/>
          <w:szCs w:val="36"/>
          <w:highlight w:val="none"/>
          <w:u w:val="single"/>
        </w:rPr>
      </w:pPr>
      <w:bookmarkStart w:id="1" w:name="_Hlk57884087"/>
      <w:r>
        <w:rPr>
          <w:rFonts w:hint="eastAsia" w:ascii="宋体" w:hAnsi="宋体"/>
          <w:color w:val="000000" w:themeColor="text1"/>
          <w:spacing w:val="-20"/>
          <w:sz w:val="36"/>
          <w:szCs w:val="36"/>
          <w:highlight w:val="none"/>
        </w:rPr>
        <w:t>项目名称：</w:t>
      </w:r>
      <w:r>
        <w:rPr>
          <w:rFonts w:hint="eastAsia" w:hAnsi="宋体"/>
          <w:color w:val="000000" w:themeColor="text1"/>
          <w:sz w:val="36"/>
          <w:szCs w:val="36"/>
          <w:highlight w:val="none"/>
          <w:u w:val="single"/>
        </w:rPr>
        <w:t>黑龙江腾通建筑材料有限公司建设项目</w:t>
      </w:r>
    </w:p>
    <w:p>
      <w:pPr>
        <w:adjustRightInd w:val="0"/>
        <w:snapToGrid w:val="0"/>
        <w:spacing w:line="288" w:lineRule="auto"/>
        <w:ind w:left="3759" w:leftChars="495" w:hanging="2720" w:hangingChars="850"/>
        <w:rPr>
          <w:rFonts w:hint="eastAsia" w:ascii="宋体" w:hAnsi="宋体" w:eastAsia="宋体"/>
          <w:color w:val="000000" w:themeColor="text1"/>
          <w:spacing w:val="-20"/>
          <w:sz w:val="36"/>
          <w:szCs w:val="36"/>
          <w:highlight w:val="none"/>
          <w:u w:val="single"/>
          <w:lang w:val="en-US" w:eastAsia="zh-CN"/>
        </w:rPr>
      </w:pPr>
      <w:r>
        <w:rPr>
          <w:rFonts w:hint="eastAsia" w:ascii="宋体" w:hAnsi="宋体"/>
          <w:color w:val="000000" w:themeColor="text1"/>
          <w:spacing w:val="-20"/>
          <w:sz w:val="36"/>
          <w:szCs w:val="36"/>
          <w:highlight w:val="none"/>
        </w:rPr>
        <w:t>建设单位（盖章）：</w:t>
      </w:r>
      <w:r>
        <w:rPr>
          <w:rFonts w:hint="eastAsia" w:hAnsi="宋体"/>
          <w:color w:val="000000" w:themeColor="text1"/>
          <w:sz w:val="36"/>
          <w:szCs w:val="36"/>
          <w:highlight w:val="none"/>
          <w:u w:val="single"/>
        </w:rPr>
        <w:t>黑龙江腾通建筑材料有限公司</w:t>
      </w:r>
      <w:r>
        <w:rPr>
          <w:rFonts w:hint="eastAsia" w:hAnsi="宋体"/>
          <w:color w:val="000000" w:themeColor="text1"/>
          <w:sz w:val="36"/>
          <w:szCs w:val="36"/>
          <w:highlight w:val="none"/>
          <w:u w:val="single"/>
          <w:lang w:val="en-US" w:eastAsia="zh-CN"/>
        </w:rPr>
        <w:t xml:space="preserve"> </w:t>
      </w:r>
    </w:p>
    <w:p>
      <w:pPr>
        <w:adjustRightInd w:val="0"/>
        <w:snapToGrid w:val="0"/>
        <w:spacing w:line="288" w:lineRule="auto"/>
        <w:ind w:firstLine="1040"/>
        <w:rPr>
          <w:rFonts w:hint="default" w:ascii="宋体" w:hAnsi="宋体" w:eastAsia="宋体"/>
          <w:color w:val="000000" w:themeColor="text1"/>
          <w:sz w:val="36"/>
          <w:szCs w:val="36"/>
          <w:highlight w:val="none"/>
          <w:u w:val="single"/>
          <w:lang w:val="en-US" w:eastAsia="zh-CN"/>
        </w:rPr>
      </w:pPr>
      <w:r>
        <w:rPr>
          <w:rFonts w:hint="eastAsia" w:ascii="宋体" w:hAnsi="宋体"/>
          <w:color w:val="000000" w:themeColor="text1"/>
          <w:sz w:val="36"/>
          <w:szCs w:val="36"/>
          <w:highlight w:val="none"/>
        </w:rPr>
        <w:t>编制日期：</w:t>
      </w:r>
      <w:r>
        <w:rPr>
          <w:rFonts w:hint="eastAsia" w:ascii="宋体" w:hAnsi="宋体"/>
          <w:color w:val="000000" w:themeColor="text1"/>
          <w:sz w:val="36"/>
          <w:szCs w:val="36"/>
          <w:highlight w:val="none"/>
          <w:u w:val="single"/>
          <w:lang w:val="en-US" w:eastAsia="zh-CN"/>
        </w:rPr>
        <w:t xml:space="preserve">          </w:t>
      </w:r>
      <w:r>
        <w:rPr>
          <w:rFonts w:hint="eastAsia" w:ascii="宋体" w:hAnsi="宋体"/>
          <w:color w:val="000000" w:themeColor="text1"/>
          <w:sz w:val="36"/>
          <w:szCs w:val="36"/>
          <w:highlight w:val="none"/>
          <w:u w:val="single"/>
        </w:rPr>
        <w:t>2024年4月</w:t>
      </w:r>
      <w:r>
        <w:rPr>
          <w:rFonts w:hint="eastAsia" w:ascii="宋体" w:hAnsi="宋体"/>
          <w:color w:val="000000" w:themeColor="text1"/>
          <w:sz w:val="36"/>
          <w:szCs w:val="36"/>
          <w:highlight w:val="none"/>
          <w:u w:val="single"/>
          <w:lang w:val="en-US" w:eastAsia="zh-CN"/>
        </w:rPr>
        <w:t xml:space="preserve">            </w:t>
      </w:r>
    </w:p>
    <w:bookmarkEnd w:id="1"/>
    <w:p>
      <w:pPr>
        <w:pStyle w:val="5"/>
        <w:jc w:val="center"/>
        <w:rPr>
          <w:rFonts w:ascii="宋体" w:hAnsi="宋体"/>
          <w:color w:val="000000" w:themeColor="text1"/>
          <w:sz w:val="36"/>
          <w:szCs w:val="36"/>
          <w:highlight w:val="none"/>
        </w:rPr>
      </w:pPr>
    </w:p>
    <w:p>
      <w:pPr>
        <w:pStyle w:val="5"/>
        <w:jc w:val="center"/>
        <w:rPr>
          <w:rFonts w:ascii="宋体" w:hAnsi="宋体"/>
          <w:color w:val="000000" w:themeColor="text1"/>
          <w:sz w:val="36"/>
          <w:szCs w:val="36"/>
          <w:highlight w:val="none"/>
        </w:rPr>
      </w:pPr>
    </w:p>
    <w:p>
      <w:pPr>
        <w:pStyle w:val="5"/>
        <w:jc w:val="center"/>
        <w:rPr>
          <w:rFonts w:ascii="宋体" w:hAnsi="宋体"/>
          <w:color w:val="000000" w:themeColor="text1"/>
          <w:sz w:val="36"/>
          <w:szCs w:val="36"/>
          <w:highlight w:val="none"/>
        </w:rPr>
      </w:pPr>
    </w:p>
    <w:p>
      <w:pPr>
        <w:pStyle w:val="5"/>
        <w:jc w:val="center"/>
        <w:rPr>
          <w:rFonts w:ascii="宋体" w:hAnsi="宋体"/>
          <w:color w:val="000000" w:themeColor="text1"/>
          <w:sz w:val="36"/>
          <w:szCs w:val="36"/>
          <w:highlight w:val="none"/>
        </w:rPr>
      </w:pPr>
    </w:p>
    <w:p>
      <w:pPr>
        <w:pStyle w:val="5"/>
        <w:jc w:val="center"/>
        <w:rPr>
          <w:rFonts w:ascii="宋体" w:hAnsi="宋体"/>
          <w:color w:val="000000" w:themeColor="text1"/>
          <w:sz w:val="36"/>
          <w:szCs w:val="36"/>
          <w:highlight w:val="none"/>
        </w:rPr>
      </w:pPr>
    </w:p>
    <w:p>
      <w:pPr>
        <w:pStyle w:val="5"/>
        <w:jc w:val="center"/>
        <w:rPr>
          <w:color w:val="000000" w:themeColor="text1"/>
          <w:highlight w:val="none"/>
        </w:rPr>
        <w:sectPr>
          <w:footerReference r:id="rId3" w:type="default"/>
          <w:pgSz w:w="11906" w:h="16838"/>
          <w:pgMar w:top="1701" w:right="1531" w:bottom="1701" w:left="1531" w:header="851" w:footer="1077" w:gutter="0"/>
          <w:pgNumType w:start="3"/>
          <w:cols w:space="720" w:num="1"/>
          <w:docGrid w:linePitch="312" w:charSpace="0"/>
        </w:sectPr>
      </w:pPr>
      <w:r>
        <w:rPr>
          <w:rFonts w:hint="eastAsia" w:ascii="宋体" w:hAnsi="宋体"/>
          <w:color w:val="000000" w:themeColor="text1"/>
          <w:sz w:val="36"/>
          <w:szCs w:val="36"/>
          <w:highlight w:val="none"/>
        </w:rPr>
        <w:t>中华人民共和国生态环境部制</w:t>
      </w:r>
    </w:p>
    <w:p>
      <w:pPr>
        <w:pStyle w:val="19"/>
        <w:spacing w:before="0" w:beforeAutospacing="0" w:after="0" w:afterAutospacing="0" w:line="480" w:lineRule="auto"/>
        <w:contextualSpacing/>
        <w:jc w:val="center"/>
        <w:outlineLvl w:val="0"/>
        <w:rPr>
          <w:rFonts w:ascii="Times New Roman" w:hAnsi="Times New Roman" w:eastAsiaTheme="minorEastAsia"/>
          <w:snapToGrid w:val="0"/>
          <w:color w:val="000000" w:themeColor="text1"/>
          <w:szCs w:val="24"/>
          <w:highlight w:val="none"/>
        </w:rPr>
      </w:pPr>
      <w:bookmarkStart w:id="2" w:name="_Toc68775751"/>
      <w:r>
        <w:rPr>
          <w:rFonts w:ascii="Times New Roman" w:hAnsiTheme="minorEastAsia" w:eastAsiaTheme="minorEastAsia"/>
          <w:snapToGrid w:val="0"/>
          <w:color w:val="000000" w:themeColor="text1"/>
          <w:sz w:val="30"/>
          <w:szCs w:val="30"/>
          <w:highlight w:val="none"/>
        </w:rPr>
        <w:t>目录</w:t>
      </w:r>
      <w:bookmarkEnd w:id="2"/>
      <w:r>
        <w:rPr>
          <w:rFonts w:ascii="Times New Roman" w:hAnsi="Times New Roman" w:eastAsiaTheme="minorEastAsia"/>
          <w:snapToGrid w:val="0"/>
          <w:color w:val="000000" w:themeColor="text1"/>
          <w:kern w:val="2"/>
          <w:szCs w:val="24"/>
          <w:highlight w:val="none"/>
        </w:rPr>
        <w:fldChar w:fldCharType="begin"/>
      </w:r>
      <w:r>
        <w:rPr>
          <w:rFonts w:ascii="Times New Roman" w:hAnsi="Times New Roman" w:eastAsiaTheme="minorEastAsia"/>
          <w:snapToGrid w:val="0"/>
          <w:color w:val="000000" w:themeColor="text1"/>
          <w:kern w:val="2"/>
          <w:szCs w:val="24"/>
          <w:highlight w:val="none"/>
        </w:rPr>
        <w:instrText xml:space="preserve"> TOC \o "1-3" \h \z \u </w:instrText>
      </w:r>
      <w:r>
        <w:rPr>
          <w:rFonts w:ascii="Times New Roman" w:hAnsi="Times New Roman" w:eastAsiaTheme="minorEastAsia"/>
          <w:snapToGrid w:val="0"/>
          <w:color w:val="000000" w:themeColor="text1"/>
          <w:kern w:val="2"/>
          <w:szCs w:val="24"/>
          <w:highlight w:val="none"/>
        </w:rPr>
        <w:fldChar w:fldCharType="separate"/>
      </w:r>
    </w:p>
    <w:p>
      <w:pPr>
        <w:pStyle w:val="15"/>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"_Toc68775752" </w:instrText>
      </w:r>
      <w:r>
        <w:rPr>
          <w:highlight w:val="none"/>
        </w:rPr>
        <w:fldChar w:fldCharType="separate"/>
      </w:r>
      <w:r>
        <w:rPr>
          <w:rStyle w:val="27"/>
          <w:rFonts w:hAnsiTheme="minorEastAsia" w:eastAsiaTheme="minorEastAsia"/>
          <w:snapToGrid w:val="0"/>
          <w:color w:val="000000" w:themeColor="text1"/>
          <w:sz w:val="24"/>
          <w:highlight w:val="none"/>
        </w:rPr>
        <w:t>一、建设项目基本情况</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_Toc68775752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1</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5"/>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"_Toc68775753" </w:instrText>
      </w:r>
      <w:r>
        <w:rPr>
          <w:highlight w:val="none"/>
        </w:rPr>
        <w:fldChar w:fldCharType="separate"/>
      </w:r>
      <w:r>
        <w:rPr>
          <w:rStyle w:val="27"/>
          <w:rFonts w:hAnsiTheme="minorEastAsia" w:eastAsiaTheme="minorEastAsia"/>
          <w:snapToGrid w:val="0"/>
          <w:color w:val="000000" w:themeColor="text1"/>
          <w:sz w:val="24"/>
          <w:highlight w:val="none"/>
        </w:rPr>
        <w:t>二、建设项目工程分析</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_Toc68775753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7</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5"/>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"_Toc68775754" </w:instrText>
      </w:r>
      <w:r>
        <w:rPr>
          <w:highlight w:val="none"/>
        </w:rPr>
        <w:fldChar w:fldCharType="separate"/>
      </w:r>
      <w:r>
        <w:rPr>
          <w:rStyle w:val="27"/>
          <w:rFonts w:hAnsiTheme="minorEastAsia" w:eastAsiaTheme="minorEastAsia"/>
          <w:snapToGrid w:val="0"/>
          <w:color w:val="000000" w:themeColor="text1"/>
          <w:sz w:val="24"/>
          <w:highlight w:val="none"/>
        </w:rPr>
        <w:t>三、区域环境质量现状、环境保护目标及评价标准</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_Toc68775754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12</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5"/>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"_Toc68775755" </w:instrText>
      </w:r>
      <w:r>
        <w:rPr>
          <w:highlight w:val="none"/>
        </w:rPr>
        <w:fldChar w:fldCharType="separate"/>
      </w:r>
      <w:r>
        <w:rPr>
          <w:rStyle w:val="27"/>
          <w:rFonts w:hAnsiTheme="minorEastAsia" w:eastAsiaTheme="minorEastAsia"/>
          <w:snapToGrid w:val="0"/>
          <w:color w:val="000000" w:themeColor="text1"/>
          <w:sz w:val="24"/>
          <w:highlight w:val="none"/>
        </w:rPr>
        <w:t>四、主要环境影响和保护措施</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_Toc68775755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15</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5"/>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"_Toc68775756" </w:instrText>
      </w:r>
      <w:r>
        <w:rPr>
          <w:highlight w:val="none"/>
        </w:rPr>
        <w:fldChar w:fldCharType="separate"/>
      </w:r>
      <w:r>
        <w:rPr>
          <w:rStyle w:val="27"/>
          <w:rFonts w:hAnsiTheme="minorEastAsia" w:eastAsiaTheme="minorEastAsia"/>
          <w:snapToGrid w:val="0"/>
          <w:color w:val="000000" w:themeColor="text1"/>
          <w:sz w:val="24"/>
          <w:highlight w:val="none"/>
        </w:rPr>
        <w:t>五、环境保护措施监督检查清单</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_Toc68775756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27</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5"/>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"_Toc68775757" </w:instrText>
      </w:r>
      <w:r>
        <w:rPr>
          <w:highlight w:val="none"/>
        </w:rPr>
        <w:fldChar w:fldCharType="separate"/>
      </w:r>
      <w:r>
        <w:rPr>
          <w:rStyle w:val="27"/>
          <w:rFonts w:hAnsiTheme="minorEastAsia" w:eastAsiaTheme="minorEastAsia"/>
          <w:snapToGrid w:val="0"/>
          <w:color w:val="000000" w:themeColor="text1"/>
          <w:sz w:val="24"/>
          <w:highlight w:val="none"/>
        </w:rPr>
        <w:t>六、结论</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_Toc68775757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29</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pStyle w:val="15"/>
        <w:tabs>
          <w:tab w:val="right" w:leader="dot" w:pos="8834"/>
        </w:tabs>
        <w:spacing w:line="480" w:lineRule="auto"/>
        <w:contextualSpacing/>
        <w:rPr>
          <w:rFonts w:eastAsiaTheme="minorEastAsia"/>
          <w:color w:val="000000" w:themeColor="text1"/>
          <w:sz w:val="24"/>
          <w:highlight w:val="none"/>
        </w:rPr>
      </w:pPr>
      <w:r>
        <w:rPr>
          <w:highlight w:val="none"/>
        </w:rPr>
        <w:fldChar w:fldCharType="begin"/>
      </w:r>
      <w:r>
        <w:rPr>
          <w:highlight w:val="none"/>
        </w:rPr>
        <w:instrText xml:space="preserve"> HYPERLINK \l "_Toc68775758" </w:instrText>
      </w:r>
      <w:r>
        <w:rPr>
          <w:highlight w:val="none"/>
        </w:rPr>
        <w:fldChar w:fldCharType="separate"/>
      </w:r>
      <w:r>
        <w:rPr>
          <w:rStyle w:val="27"/>
          <w:rFonts w:hAnsiTheme="minorEastAsia" w:eastAsiaTheme="minorEastAsia"/>
          <w:snapToGrid w:val="0"/>
          <w:color w:val="000000" w:themeColor="text1"/>
          <w:sz w:val="24"/>
          <w:highlight w:val="none"/>
        </w:rPr>
        <w:t>附表</w:t>
      </w:r>
      <w:r>
        <w:rPr>
          <w:rFonts w:eastAsiaTheme="minorEastAsia"/>
          <w:color w:val="000000" w:themeColor="text1"/>
          <w:sz w:val="24"/>
          <w:highlight w:val="none"/>
        </w:rPr>
        <w:tab/>
      </w:r>
      <w:r>
        <w:rPr>
          <w:rFonts w:eastAsiaTheme="minorEastAsia"/>
          <w:color w:val="000000" w:themeColor="text1"/>
          <w:sz w:val="24"/>
          <w:highlight w:val="none"/>
        </w:rPr>
        <w:fldChar w:fldCharType="begin"/>
      </w:r>
      <w:r>
        <w:rPr>
          <w:rFonts w:eastAsiaTheme="minorEastAsia"/>
          <w:color w:val="000000" w:themeColor="text1"/>
          <w:sz w:val="24"/>
          <w:highlight w:val="none"/>
        </w:rPr>
        <w:instrText xml:space="preserve"> PAGEREF _Toc68775758 \h </w:instrText>
      </w:r>
      <w:r>
        <w:rPr>
          <w:rFonts w:eastAsiaTheme="minorEastAsia"/>
          <w:color w:val="000000" w:themeColor="text1"/>
          <w:sz w:val="24"/>
          <w:highlight w:val="none"/>
        </w:rPr>
        <w:fldChar w:fldCharType="separate"/>
      </w:r>
      <w:r>
        <w:rPr>
          <w:rFonts w:eastAsiaTheme="minorEastAsia"/>
          <w:color w:val="000000" w:themeColor="text1"/>
          <w:sz w:val="24"/>
          <w:highlight w:val="none"/>
        </w:rPr>
        <w:t>30</w:t>
      </w:r>
      <w:r>
        <w:rPr>
          <w:rFonts w:eastAsiaTheme="minorEastAsia"/>
          <w:color w:val="000000" w:themeColor="text1"/>
          <w:sz w:val="24"/>
          <w:highlight w:val="none"/>
        </w:rPr>
        <w:fldChar w:fldCharType="end"/>
      </w:r>
      <w:r>
        <w:rPr>
          <w:rFonts w:eastAsiaTheme="minorEastAsia"/>
          <w:color w:val="000000" w:themeColor="text1"/>
          <w:sz w:val="24"/>
          <w:highlight w:val="none"/>
        </w:rPr>
        <w:fldChar w:fldCharType="end"/>
      </w:r>
    </w:p>
    <w:p>
      <w:pPr>
        <w:spacing w:line="360" w:lineRule="auto"/>
        <w:contextualSpacing/>
        <w:rPr>
          <w:rFonts w:eastAsiaTheme="minorEastAsia"/>
          <w:color w:val="000000" w:themeColor="text1"/>
          <w:sz w:val="24"/>
          <w:highlight w:val="none"/>
        </w:rPr>
      </w:pPr>
      <w:r>
        <w:rPr>
          <w:rFonts w:eastAsiaTheme="minorEastAsia"/>
          <w:snapToGrid w:val="0"/>
          <w:color w:val="000000" w:themeColor="text1"/>
          <w:sz w:val="24"/>
          <w:highlight w:val="none"/>
        </w:rPr>
        <w:fldChar w:fldCharType="end"/>
      </w:r>
      <w:r>
        <w:rPr>
          <w:rFonts w:hAnsiTheme="minorEastAsia" w:eastAsiaTheme="minorEastAsia"/>
          <w:color w:val="000000" w:themeColor="text1"/>
          <w:sz w:val="24"/>
          <w:highlight w:val="none"/>
        </w:rPr>
        <w:t>附件</w:t>
      </w:r>
      <w:r>
        <w:rPr>
          <w:rFonts w:eastAsiaTheme="minorEastAsia"/>
          <w:color w:val="000000" w:themeColor="text1"/>
          <w:sz w:val="24"/>
          <w:highlight w:val="none"/>
        </w:rPr>
        <w:t>1</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营业执照</w:t>
      </w:r>
    </w:p>
    <w:p>
      <w:pPr>
        <w:spacing w:line="360" w:lineRule="auto"/>
        <w:contextualSpacing/>
        <w:rPr>
          <w:rFonts w:eastAsiaTheme="minorEastAsia"/>
          <w:color w:val="000000" w:themeColor="text1"/>
          <w:sz w:val="24"/>
          <w:highlight w:val="none"/>
        </w:rPr>
      </w:pPr>
      <w:r>
        <w:rPr>
          <w:rFonts w:hint="eastAsia" w:eastAsiaTheme="minorEastAsia"/>
          <w:color w:val="000000" w:themeColor="text1"/>
          <w:sz w:val="24"/>
          <w:highlight w:val="none"/>
        </w:rPr>
        <w:t>附件2：用地证明</w:t>
      </w:r>
    </w:p>
    <w:p>
      <w:pPr>
        <w:spacing w:line="360" w:lineRule="auto"/>
        <w:contextualSpacing/>
        <w:rPr>
          <w:rFonts w:eastAsiaTheme="minorEastAsia"/>
          <w:color w:val="000000" w:themeColor="text1"/>
          <w:sz w:val="24"/>
          <w:highlight w:val="none"/>
        </w:rPr>
      </w:pPr>
      <w:r>
        <w:rPr>
          <w:rFonts w:hint="eastAsia" w:eastAsiaTheme="minorEastAsia"/>
          <w:color w:val="000000" w:themeColor="text1"/>
          <w:sz w:val="24"/>
          <w:highlight w:val="none"/>
        </w:rPr>
        <w:t>附件3：总量计算说明</w:t>
      </w:r>
    </w:p>
    <w:p>
      <w:pPr>
        <w:spacing w:line="360" w:lineRule="auto"/>
        <w:contextualSpacing/>
        <w:rPr>
          <w:rFonts w:hAnsiTheme="minorEastAsia" w:eastAsiaTheme="minorEastAsia"/>
          <w:color w:val="000000" w:themeColor="text1"/>
          <w:sz w:val="24"/>
          <w:highlight w:val="none"/>
        </w:rPr>
      </w:pPr>
      <w:r>
        <w:rPr>
          <w:rFonts w:hint="eastAsia" w:eastAsiaTheme="minorEastAsia"/>
          <w:color w:val="000000" w:themeColor="text1"/>
          <w:sz w:val="24"/>
          <w:highlight w:val="none"/>
        </w:rPr>
        <w:t>附件4</w:t>
      </w:r>
      <w:r>
        <w:rPr>
          <w:rFonts w:hint="eastAsia" w:hAnsiTheme="minorEastAsia" w:eastAsiaTheme="minorEastAsia"/>
          <w:color w:val="000000" w:themeColor="text1"/>
          <w:sz w:val="24"/>
          <w:highlight w:val="none"/>
        </w:rPr>
        <w:t>：现状监测报告</w:t>
      </w:r>
    </w:p>
    <w:p>
      <w:pPr>
        <w:spacing w:line="360" w:lineRule="auto"/>
        <w:contextualSpacing/>
        <w:jc w:val="left"/>
        <w:rPr>
          <w:rFonts w:hAnsiTheme="minorEastAsia" w:eastAsiaTheme="minorEastAsia"/>
          <w:color w:val="000000" w:themeColor="text1"/>
          <w:sz w:val="24"/>
          <w:highlight w:val="none"/>
        </w:rPr>
      </w:pPr>
      <w:r>
        <w:rPr>
          <w:rFonts w:hint="eastAsia" w:eastAsiaTheme="minorEastAsia"/>
          <w:color w:val="000000" w:themeColor="text1"/>
          <w:sz w:val="24"/>
          <w:highlight w:val="none"/>
        </w:rPr>
        <w:t>附图5：公示截图</w:t>
      </w:r>
    </w:p>
    <w:p>
      <w:pPr>
        <w:pStyle w:val="46"/>
        <w:adjustRightInd/>
        <w:snapToGrid/>
        <w:spacing w:beforeLines="0" w:afterLines="0" w:line="360" w:lineRule="auto"/>
        <w:ind w:firstLine="0" w:firstLineChars="0"/>
        <w:contextualSpacing/>
        <w:jc w:val="left"/>
        <w:rPr>
          <w:rFonts w:ascii="Times New Roman" w:eastAsiaTheme="minorEastAsia"/>
          <w:color w:val="000000" w:themeColor="text1"/>
          <w:highlight w:val="none"/>
        </w:rPr>
      </w:pPr>
      <w:r>
        <w:rPr>
          <w:rFonts w:ascii="Times New Roman" w:hAnsiTheme="minorEastAsia" w:eastAsiaTheme="minorEastAsia"/>
          <w:color w:val="000000" w:themeColor="text1"/>
          <w:highlight w:val="none"/>
        </w:rPr>
        <w:t>附图</w:t>
      </w:r>
      <w:r>
        <w:rPr>
          <w:rFonts w:ascii="Times New Roman" w:eastAsiaTheme="minorEastAsia"/>
          <w:color w:val="000000" w:themeColor="text1"/>
          <w:highlight w:val="none"/>
        </w:rPr>
        <w:t>1</w:t>
      </w:r>
      <w:r>
        <w:rPr>
          <w:rFonts w:hint="eastAsia" w:ascii="Times New Roman" w:eastAsiaTheme="minorEastAsia"/>
          <w:color w:val="000000" w:themeColor="text1"/>
          <w:highlight w:val="none"/>
        </w:rPr>
        <w:t>：</w:t>
      </w:r>
      <w:r>
        <w:rPr>
          <w:rFonts w:ascii="Times New Roman" w:hAnsiTheme="minorEastAsia" w:eastAsiaTheme="minorEastAsia"/>
          <w:color w:val="000000" w:themeColor="text1"/>
          <w:highlight w:val="none"/>
        </w:rPr>
        <w:t>项目地理位置图</w:t>
      </w:r>
    </w:p>
    <w:p>
      <w:pPr>
        <w:spacing w:line="360" w:lineRule="auto"/>
        <w:contextualSpacing/>
        <w:rPr>
          <w:rFonts w:eastAsiaTheme="minorEastAsia"/>
          <w:color w:val="000000" w:themeColor="text1"/>
          <w:sz w:val="24"/>
          <w:highlight w:val="none"/>
        </w:rPr>
      </w:pPr>
      <w:r>
        <w:rPr>
          <w:rFonts w:hAnsiTheme="minorEastAsia" w:eastAsiaTheme="minorEastAsia"/>
          <w:color w:val="000000" w:themeColor="text1"/>
          <w:sz w:val="24"/>
          <w:highlight w:val="none"/>
        </w:rPr>
        <w:t>附图</w:t>
      </w:r>
      <w:r>
        <w:rPr>
          <w:rFonts w:eastAsiaTheme="minorEastAsia"/>
          <w:color w:val="000000" w:themeColor="text1"/>
          <w:sz w:val="24"/>
          <w:highlight w:val="none"/>
        </w:rPr>
        <w:t>2</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项目平面布置</w:t>
      </w:r>
      <w:r>
        <w:rPr>
          <w:rFonts w:hint="eastAsia" w:hAnsiTheme="minorEastAsia" w:eastAsiaTheme="minorEastAsia"/>
          <w:color w:val="000000" w:themeColor="text1"/>
          <w:sz w:val="24"/>
          <w:highlight w:val="none"/>
        </w:rPr>
        <w:t>示意</w:t>
      </w:r>
      <w:r>
        <w:rPr>
          <w:rFonts w:hAnsiTheme="minorEastAsia" w:eastAsiaTheme="minorEastAsia"/>
          <w:color w:val="000000" w:themeColor="text1"/>
          <w:sz w:val="24"/>
          <w:highlight w:val="none"/>
        </w:rPr>
        <w:t>图</w:t>
      </w:r>
    </w:p>
    <w:p>
      <w:pPr>
        <w:spacing w:line="360" w:lineRule="auto"/>
        <w:contextualSpacing/>
        <w:rPr>
          <w:rFonts w:eastAsiaTheme="minorEastAsia"/>
          <w:color w:val="000000" w:themeColor="text1"/>
          <w:sz w:val="24"/>
          <w:highlight w:val="none"/>
        </w:rPr>
      </w:pPr>
      <w:r>
        <w:rPr>
          <w:rFonts w:hAnsiTheme="minorEastAsia" w:eastAsiaTheme="minorEastAsia"/>
          <w:color w:val="000000" w:themeColor="text1"/>
          <w:sz w:val="24"/>
          <w:highlight w:val="none"/>
        </w:rPr>
        <w:t>附图</w:t>
      </w:r>
      <w:r>
        <w:rPr>
          <w:rFonts w:eastAsiaTheme="minorEastAsia"/>
          <w:color w:val="000000" w:themeColor="text1"/>
          <w:sz w:val="24"/>
          <w:highlight w:val="none"/>
        </w:rPr>
        <w:t>3</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项目环境保护目标分布图</w:t>
      </w:r>
    </w:p>
    <w:p>
      <w:pPr>
        <w:spacing w:line="360" w:lineRule="auto"/>
        <w:contextualSpacing/>
        <w:jc w:val="left"/>
        <w:rPr>
          <w:rFonts w:eastAsiaTheme="minorEastAsia"/>
          <w:color w:val="000000" w:themeColor="text1"/>
          <w:sz w:val="24"/>
          <w:highlight w:val="none"/>
        </w:rPr>
      </w:pPr>
      <w:r>
        <w:rPr>
          <w:rFonts w:hAnsiTheme="minorEastAsia" w:eastAsiaTheme="minorEastAsia"/>
          <w:color w:val="000000" w:themeColor="text1"/>
          <w:sz w:val="24"/>
          <w:highlight w:val="none"/>
        </w:rPr>
        <w:t>附</w:t>
      </w:r>
      <w:r>
        <w:rPr>
          <w:rFonts w:hint="eastAsia" w:eastAsiaTheme="minorEastAsia"/>
          <w:color w:val="000000" w:themeColor="text1"/>
          <w:sz w:val="24"/>
          <w:highlight w:val="none"/>
        </w:rPr>
        <w:t>图4：项目四周</w:t>
      </w:r>
      <w:r>
        <w:rPr>
          <w:rFonts w:hAnsiTheme="minorEastAsia" w:eastAsiaTheme="minorEastAsia"/>
          <w:color w:val="000000" w:themeColor="text1"/>
          <w:sz w:val="24"/>
          <w:highlight w:val="none"/>
        </w:rPr>
        <w:t>照片</w:t>
      </w:r>
    </w:p>
    <w:p>
      <w:pPr>
        <w:spacing w:line="360" w:lineRule="auto"/>
        <w:contextualSpacing/>
        <w:jc w:val="left"/>
        <w:rPr>
          <w:rFonts w:eastAsiaTheme="minorEastAsia"/>
          <w:color w:val="000000" w:themeColor="text1"/>
          <w:sz w:val="24"/>
          <w:highlight w:val="none"/>
        </w:rPr>
      </w:pPr>
      <w:r>
        <w:rPr>
          <w:rFonts w:hint="eastAsia" w:eastAsiaTheme="minorEastAsia"/>
          <w:color w:val="000000" w:themeColor="text1"/>
          <w:sz w:val="24"/>
          <w:highlight w:val="none"/>
        </w:rPr>
        <w:t>附图5：哈尔滨市环境管控单元图</w:t>
      </w:r>
    </w:p>
    <w:p>
      <w:pPr>
        <w:spacing w:line="360" w:lineRule="auto"/>
        <w:contextualSpacing/>
        <w:rPr>
          <w:rFonts w:eastAsiaTheme="minorEastAsia"/>
          <w:color w:val="000000" w:themeColor="text1"/>
          <w:sz w:val="24"/>
          <w:highlight w:val="none"/>
        </w:rPr>
      </w:pPr>
    </w:p>
    <w:p>
      <w:pPr>
        <w:pStyle w:val="19"/>
        <w:spacing w:before="0" w:beforeAutospacing="0" w:after="0" w:afterAutospacing="0" w:line="480" w:lineRule="auto"/>
        <w:contextualSpacing/>
        <w:jc w:val="center"/>
        <w:outlineLvl w:val="0"/>
        <w:rPr>
          <w:rFonts w:ascii="Times New Roman" w:hAnsi="Times New Roman" w:eastAsiaTheme="minorEastAsia"/>
          <w:snapToGrid w:val="0"/>
          <w:color w:val="000000" w:themeColor="text1"/>
          <w:sz w:val="30"/>
          <w:szCs w:val="30"/>
          <w:highlight w:val="none"/>
        </w:rPr>
      </w:pPr>
    </w:p>
    <w:p>
      <w:pPr>
        <w:tabs>
          <w:tab w:val="left" w:pos="2140"/>
        </w:tabs>
        <w:jc w:val="left"/>
        <w:rPr>
          <w:color w:val="000000" w:themeColor="text1"/>
          <w:highlight w:val="none"/>
        </w:rPr>
        <w:sectPr>
          <w:footerReference r:id="rId4" w:type="default"/>
          <w:pgSz w:w="11906" w:h="16838"/>
          <w:pgMar w:top="1701" w:right="1531" w:bottom="1701" w:left="1531" w:header="851" w:footer="1077" w:gutter="0"/>
          <w:pgNumType w:start="1"/>
          <w:cols w:space="720" w:num="1"/>
          <w:docGrid w:linePitch="312" w:charSpace="0"/>
        </w:sectPr>
      </w:pPr>
      <w:r>
        <w:rPr>
          <w:rFonts w:hint="eastAsia"/>
          <w:color w:val="000000" w:themeColor="text1"/>
          <w:highlight w:val="none"/>
        </w:rPr>
        <w:tab/>
      </w:r>
    </w:p>
    <w:p>
      <w:pPr>
        <w:pStyle w:val="19"/>
        <w:jc w:val="center"/>
        <w:outlineLvl w:val="0"/>
        <w:rPr>
          <w:rFonts w:ascii="Times New Roman" w:hAnsi="Times New Roman" w:eastAsiaTheme="minorEastAsia"/>
          <w:snapToGrid w:val="0"/>
          <w:color w:val="000000" w:themeColor="text1"/>
          <w:sz w:val="30"/>
          <w:szCs w:val="30"/>
          <w:highlight w:val="none"/>
        </w:rPr>
      </w:pPr>
      <w:bookmarkStart w:id="3" w:name="_Toc68775752"/>
      <w:r>
        <w:rPr>
          <w:rFonts w:ascii="Times New Roman" w:hAnsiTheme="minorEastAsia" w:eastAsiaTheme="minorEastAsia"/>
          <w:snapToGrid w:val="0"/>
          <w:color w:val="000000" w:themeColor="text1"/>
          <w:sz w:val="30"/>
          <w:szCs w:val="30"/>
          <w:highlight w:val="none"/>
        </w:rPr>
        <w:t>一、建设项目基本情况</w:t>
      </w:r>
      <w:bookmarkEnd w:id="3"/>
    </w:p>
    <w:tbl>
      <w:tblPr>
        <w:tblStyle w:val="23"/>
        <w:tblW w:w="93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55"/>
        <w:gridCol w:w="2726"/>
        <w:gridCol w:w="101"/>
        <w:gridCol w:w="1884"/>
        <w:gridCol w:w="101"/>
        <w:gridCol w:w="30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建设项目名称</w:t>
            </w:r>
          </w:p>
        </w:tc>
        <w:tc>
          <w:tcPr>
            <w:tcW w:w="7830" w:type="dxa"/>
            <w:gridSpan w:val="5"/>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黑龙江腾通建筑材料有限公司建设项目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 w:hRule="atLeast"/>
          <w:jc w:val="center"/>
        </w:trPr>
        <w:tc>
          <w:tcPr>
            <w:tcW w:w="1555" w:type="dxa"/>
            <w:tcMar>
              <w:top w:w="16" w:type="dxa"/>
              <w:left w:w="16" w:type="dxa"/>
              <w:right w:w="16" w:type="dxa"/>
            </w:tcMar>
            <w:vAlign w:val="center"/>
          </w:tcPr>
          <w:p>
            <w:pPr>
              <w:adjustRightInd w:val="0"/>
              <w:snapToGrid w:val="0"/>
              <w:spacing w:beforeLines="50" w:afterLines="50"/>
              <w:jc w:val="center"/>
              <w:rPr>
                <w:rFonts w:eastAsiaTheme="minorEastAsia"/>
                <w:color w:val="000000" w:themeColor="text1"/>
                <w:sz w:val="24"/>
                <w:highlight w:val="none"/>
              </w:rPr>
            </w:pPr>
            <w:r>
              <w:rPr>
                <w:rFonts w:hAnsiTheme="minorEastAsia" w:eastAsiaTheme="minorEastAsia"/>
                <w:color w:val="000000" w:themeColor="text1"/>
                <w:sz w:val="24"/>
                <w:highlight w:val="none"/>
              </w:rPr>
              <w:t>项目代码</w:t>
            </w:r>
          </w:p>
        </w:tc>
        <w:tc>
          <w:tcPr>
            <w:tcW w:w="7830" w:type="dxa"/>
            <w:gridSpan w:val="5"/>
            <w:vAlign w:val="center"/>
          </w:tcPr>
          <w:p>
            <w:pPr>
              <w:adjustRightInd w:val="0"/>
              <w:snapToGrid w:val="0"/>
              <w:spacing w:beforeLines="50" w:afterLines="5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建设单位联系人</w:t>
            </w:r>
          </w:p>
        </w:tc>
        <w:tc>
          <w:tcPr>
            <w:tcW w:w="2827" w:type="dxa"/>
            <w:gridSpan w:val="2"/>
            <w:vAlign w:val="center"/>
          </w:tcPr>
          <w:p>
            <w:pPr>
              <w:adjustRightInd w:val="0"/>
              <w:snapToGrid w:val="0"/>
              <w:spacing w:beforeLines="50" w:afterLines="5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王彪</w:t>
            </w:r>
          </w:p>
        </w:tc>
        <w:tc>
          <w:tcPr>
            <w:tcW w:w="1884" w:type="dxa"/>
            <w:vAlign w:val="center"/>
          </w:tcPr>
          <w:p>
            <w:pPr>
              <w:adjustRightInd w:val="0"/>
              <w:snapToGrid w:val="0"/>
              <w:spacing w:beforeLines="50" w:afterLines="5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联系方式</w:t>
            </w:r>
          </w:p>
        </w:tc>
        <w:tc>
          <w:tcPr>
            <w:tcW w:w="3119" w:type="dxa"/>
            <w:gridSpan w:val="2"/>
            <w:vAlign w:val="center"/>
          </w:tcPr>
          <w:p>
            <w:pPr>
              <w:adjustRightInd w:val="0"/>
              <w:snapToGrid w:val="0"/>
              <w:spacing w:beforeLines="50" w:afterLines="50"/>
              <w:jc w:val="center"/>
              <w:rPr>
                <w:rFonts w:hAnsiTheme="minorEastAsia" w:eastAsiaTheme="minorEastAsia"/>
                <w:color w:val="000000" w:themeColor="text1"/>
                <w:sz w:val="24"/>
                <w:highlight w:val="none"/>
              </w:rPr>
            </w:pPr>
            <w:r>
              <w:rPr>
                <w:rFonts w:hint="eastAsia" w:eastAsiaTheme="minorEastAsia"/>
                <w:bCs/>
                <w:color w:val="000000" w:themeColor="text1"/>
                <w:sz w:val="24"/>
                <w:highlight w:val="none"/>
              </w:rPr>
              <w:t>15046065555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555" w:type="dxa"/>
            <w:tcMar>
              <w:top w:w="16" w:type="dxa"/>
              <w:left w:w="16" w:type="dxa"/>
              <w:right w:w="16" w:type="dxa"/>
            </w:tcMar>
            <w:vAlign w:val="center"/>
          </w:tcPr>
          <w:p>
            <w:pPr>
              <w:adjustRightInd w:val="0"/>
              <w:snapToGrid w:val="0"/>
              <w:spacing w:beforeLines="50" w:afterLines="50"/>
              <w:jc w:val="center"/>
              <w:rPr>
                <w:rFonts w:eastAsiaTheme="minorEastAsia"/>
                <w:color w:val="000000" w:themeColor="text1"/>
                <w:sz w:val="24"/>
                <w:highlight w:val="none"/>
              </w:rPr>
            </w:pPr>
            <w:r>
              <w:rPr>
                <w:rFonts w:hAnsiTheme="minorEastAsia" w:eastAsiaTheme="minorEastAsia"/>
                <w:color w:val="000000" w:themeColor="text1"/>
                <w:sz w:val="24"/>
                <w:highlight w:val="none"/>
              </w:rPr>
              <w:t>建设地点</w:t>
            </w:r>
          </w:p>
        </w:tc>
        <w:tc>
          <w:tcPr>
            <w:tcW w:w="7830" w:type="dxa"/>
            <w:gridSpan w:val="5"/>
            <w:vAlign w:val="center"/>
          </w:tcPr>
          <w:p>
            <w:pPr>
              <w:adjustRightInd w:val="0"/>
              <w:snapToGrid w:val="0"/>
              <w:spacing w:beforeLines="50" w:afterLines="50"/>
              <w:jc w:val="center"/>
              <w:rPr>
                <w:color w:val="000000" w:themeColor="text1"/>
                <w:sz w:val="24"/>
                <w:highlight w:val="none"/>
              </w:rPr>
            </w:pPr>
            <w:r>
              <w:rPr>
                <w:rFonts w:hint="eastAsia" w:hAnsiTheme="minorEastAsia" w:eastAsiaTheme="minorEastAsia"/>
                <w:color w:val="000000" w:themeColor="text1"/>
                <w:sz w:val="24"/>
                <w:highlight w:val="none"/>
              </w:rPr>
              <w:t>黑龙江省哈尔滨市香坊区成高子镇和平村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555" w:type="dxa"/>
            <w:tcMar>
              <w:top w:w="16" w:type="dxa"/>
              <w:left w:w="16" w:type="dxa"/>
              <w:right w:w="16" w:type="dxa"/>
            </w:tcMar>
            <w:vAlign w:val="center"/>
          </w:tcPr>
          <w:p>
            <w:pPr>
              <w:adjustRightInd w:val="0"/>
              <w:snapToGrid w:val="0"/>
              <w:spacing w:beforeLines="50" w:afterLines="50"/>
              <w:jc w:val="center"/>
              <w:rPr>
                <w:rFonts w:eastAsiaTheme="minorEastAsia"/>
                <w:color w:val="000000" w:themeColor="text1"/>
                <w:sz w:val="24"/>
                <w:highlight w:val="none"/>
              </w:rPr>
            </w:pPr>
            <w:r>
              <w:rPr>
                <w:rFonts w:hAnsiTheme="minorEastAsia" w:eastAsiaTheme="minorEastAsia"/>
                <w:color w:val="000000" w:themeColor="text1"/>
                <w:sz w:val="24"/>
                <w:highlight w:val="none"/>
              </w:rPr>
              <w:t>地理坐标</w:t>
            </w:r>
          </w:p>
        </w:tc>
        <w:tc>
          <w:tcPr>
            <w:tcW w:w="7830" w:type="dxa"/>
            <w:gridSpan w:val="5"/>
            <w:vAlign w:val="center"/>
          </w:tcPr>
          <w:p>
            <w:pPr>
              <w:spacing w:beforeLines="50" w:afterLines="50"/>
              <w:jc w:val="center"/>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u w:val="single"/>
              </w:rPr>
              <w:t>126</w:t>
            </w:r>
            <w:r>
              <w:rPr>
                <w:rFonts w:hAnsiTheme="minorEastAsia" w:eastAsiaTheme="minorEastAsia"/>
                <w:color w:val="000000" w:themeColor="text1"/>
                <w:sz w:val="24"/>
                <w:highlight w:val="none"/>
              </w:rPr>
              <w:t>度</w:t>
            </w:r>
            <w:r>
              <w:rPr>
                <w:rFonts w:hint="eastAsia" w:eastAsiaTheme="minorEastAsia"/>
                <w:color w:val="000000" w:themeColor="text1"/>
                <w:sz w:val="24"/>
                <w:highlight w:val="none"/>
                <w:u w:val="single"/>
              </w:rPr>
              <w:t>50</w:t>
            </w:r>
            <w:r>
              <w:rPr>
                <w:rFonts w:hAnsiTheme="minorEastAsia" w:eastAsiaTheme="minorEastAsia"/>
                <w:color w:val="000000" w:themeColor="text1"/>
                <w:sz w:val="24"/>
                <w:highlight w:val="none"/>
              </w:rPr>
              <w:t>分</w:t>
            </w:r>
            <w:r>
              <w:rPr>
                <w:rFonts w:hint="eastAsia" w:hAnsiTheme="minorEastAsia" w:eastAsiaTheme="minorEastAsia"/>
                <w:color w:val="000000" w:themeColor="text1"/>
                <w:sz w:val="24"/>
                <w:highlight w:val="none"/>
                <w:u w:val="single"/>
              </w:rPr>
              <w:t>23.655</w:t>
            </w:r>
            <w:r>
              <w:rPr>
                <w:rFonts w:hAnsiTheme="minorEastAsia" w:eastAsiaTheme="minorEastAsia"/>
                <w:color w:val="000000" w:themeColor="text1"/>
                <w:sz w:val="24"/>
                <w:highlight w:val="none"/>
              </w:rPr>
              <w:t>秒，</w:t>
            </w:r>
            <w:r>
              <w:rPr>
                <w:rFonts w:eastAsiaTheme="minorEastAsia"/>
                <w:color w:val="000000" w:themeColor="text1"/>
                <w:sz w:val="24"/>
                <w:highlight w:val="none"/>
                <w:u w:val="single"/>
              </w:rPr>
              <w:t>4</w:t>
            </w:r>
            <w:r>
              <w:rPr>
                <w:rFonts w:hint="eastAsia" w:eastAsiaTheme="minorEastAsia"/>
                <w:color w:val="000000" w:themeColor="text1"/>
                <w:sz w:val="24"/>
                <w:highlight w:val="none"/>
                <w:u w:val="single"/>
              </w:rPr>
              <w:t>5</w:t>
            </w:r>
            <w:r>
              <w:rPr>
                <w:rFonts w:hAnsiTheme="minorEastAsia" w:eastAsiaTheme="minorEastAsia"/>
                <w:color w:val="000000" w:themeColor="text1"/>
                <w:sz w:val="24"/>
                <w:highlight w:val="none"/>
              </w:rPr>
              <w:t>度</w:t>
            </w:r>
            <w:r>
              <w:rPr>
                <w:rFonts w:hint="eastAsia" w:eastAsiaTheme="minorEastAsia"/>
                <w:color w:val="000000" w:themeColor="text1"/>
                <w:sz w:val="24"/>
                <w:highlight w:val="none"/>
                <w:u w:val="single"/>
              </w:rPr>
              <w:t>41</w:t>
            </w:r>
            <w:r>
              <w:rPr>
                <w:rFonts w:hAnsiTheme="minorEastAsia" w:eastAsiaTheme="minorEastAsia"/>
                <w:color w:val="000000" w:themeColor="text1"/>
                <w:sz w:val="24"/>
                <w:highlight w:val="none"/>
              </w:rPr>
              <w:t>分</w:t>
            </w:r>
            <w:r>
              <w:rPr>
                <w:rFonts w:hint="eastAsia" w:eastAsiaTheme="minorEastAsia"/>
                <w:color w:val="000000" w:themeColor="text1"/>
                <w:sz w:val="24"/>
                <w:highlight w:val="none"/>
                <w:u w:val="single"/>
              </w:rPr>
              <w:t>20.595</w:t>
            </w:r>
            <w:r>
              <w:rPr>
                <w:rFonts w:hAnsiTheme="minorEastAsia" w:eastAsiaTheme="minorEastAsia"/>
                <w:color w:val="000000" w:themeColor="text1"/>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55" w:type="dxa"/>
            <w:tcMar>
              <w:top w:w="16" w:type="dxa"/>
              <w:left w:w="16" w:type="dxa"/>
              <w:right w:w="16" w:type="dxa"/>
            </w:tcMar>
            <w:vAlign w:val="center"/>
          </w:tcPr>
          <w:p>
            <w:pPr>
              <w:adjustRightInd w:val="0"/>
              <w:snapToGrid w:val="0"/>
              <w:jc w:val="center"/>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国民经济</w:t>
            </w:r>
          </w:p>
          <w:p>
            <w:pPr>
              <w:adjustRightInd w:val="0"/>
              <w:snapToGrid w:val="0"/>
              <w:jc w:val="center"/>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行业类别</w:t>
            </w:r>
          </w:p>
        </w:tc>
        <w:tc>
          <w:tcPr>
            <w:tcW w:w="2726" w:type="dxa"/>
            <w:vAlign w:val="center"/>
          </w:tcPr>
          <w:p>
            <w:pPr>
              <w:adjustRightInd w:val="0"/>
              <w:snapToGrid w:val="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C3039其他建筑材料</w:t>
            </w:r>
            <w:r>
              <w:rPr>
                <w:rFonts w:hAnsiTheme="minorEastAsia" w:eastAsiaTheme="minorEastAsia"/>
                <w:color w:val="000000" w:themeColor="text1"/>
                <w:sz w:val="24"/>
                <w:highlight w:val="none"/>
              </w:rPr>
              <w:t>制造</w:t>
            </w:r>
          </w:p>
        </w:tc>
        <w:tc>
          <w:tcPr>
            <w:tcW w:w="2086" w:type="dxa"/>
            <w:gridSpan w:val="3"/>
            <w:vAlign w:val="center"/>
          </w:tcPr>
          <w:p>
            <w:pPr>
              <w:adjustRightInd w:val="0"/>
              <w:snapToGrid w:val="0"/>
              <w:jc w:val="center"/>
              <w:rPr>
                <w:rFonts w:eastAsiaTheme="minorEastAsia"/>
                <w:color w:val="000000" w:themeColor="text1"/>
                <w:sz w:val="24"/>
                <w:highlight w:val="none"/>
              </w:rPr>
            </w:pPr>
            <w:bookmarkStart w:id="4" w:name="_Hlk49843745"/>
            <w:r>
              <w:rPr>
                <w:rFonts w:hAnsiTheme="minorEastAsia" w:eastAsiaTheme="minorEastAsia"/>
                <w:color w:val="000000" w:themeColor="text1"/>
                <w:sz w:val="24"/>
                <w:highlight w:val="none"/>
              </w:rPr>
              <w:t>建设项目</w:t>
            </w:r>
          </w:p>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行业类别</w:t>
            </w:r>
            <w:bookmarkEnd w:id="4"/>
          </w:p>
        </w:tc>
        <w:tc>
          <w:tcPr>
            <w:tcW w:w="3018" w:type="dxa"/>
            <w:vAlign w:val="center"/>
          </w:tcPr>
          <w:p>
            <w:pPr>
              <w:adjustRightInd w:val="0"/>
              <w:snapToGrid w:val="0"/>
              <w:jc w:val="center"/>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二十七、非金属矿物制品业</w:t>
            </w:r>
          </w:p>
          <w:p>
            <w:pPr>
              <w:adjustRightInd w:val="0"/>
              <w:snapToGrid w:val="0"/>
              <w:jc w:val="center"/>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5</w:t>
            </w:r>
            <w:r>
              <w:rPr>
                <w:rFonts w:hint="eastAsia" w:hAnsiTheme="minorEastAsia" w:eastAsiaTheme="minorEastAsia"/>
                <w:color w:val="000000" w:themeColor="text1"/>
                <w:sz w:val="24"/>
                <w:highlight w:val="none"/>
              </w:rPr>
              <w:t>6砖瓦、石材等建筑材料制造</w:t>
            </w:r>
            <w:r>
              <w:rPr>
                <w:rFonts w:hAnsiTheme="minorEastAsia" w:eastAsiaTheme="minorEastAsia"/>
                <w:color w:val="000000" w:themeColor="text1"/>
                <w:sz w:val="24"/>
                <w:highlight w:val="none"/>
              </w:rPr>
              <w:t>中的</w:t>
            </w:r>
            <w:r>
              <w:rPr>
                <w:rFonts w:hint="eastAsia" w:hAnsiTheme="minorEastAsia" w:eastAsiaTheme="minorEastAsia"/>
                <w:color w:val="000000" w:themeColor="text1"/>
                <w:sz w:val="24"/>
                <w:highlight w:val="none"/>
              </w:rPr>
              <w:t>其他建筑材料制造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建设性质</w:t>
            </w:r>
          </w:p>
        </w:tc>
        <w:tc>
          <w:tcPr>
            <w:tcW w:w="2726" w:type="dxa"/>
            <w:vAlign w:val="center"/>
          </w:tcPr>
          <w:p>
            <w:pPr>
              <w:jc w:val="left"/>
              <w:rPr>
                <w:rFonts w:eastAsiaTheme="minorEastAsia"/>
                <w:color w:val="000000" w:themeColor="text1"/>
                <w:sz w:val="24"/>
                <w:highlight w:val="none"/>
              </w:rPr>
            </w:pPr>
            <w:r>
              <w:rPr>
                <w:rFonts w:eastAsia="MS Mincho"/>
                <w:color w:val="000000" w:themeColor="text1"/>
                <w:sz w:val="24"/>
                <w:highlight w:val="none"/>
              </w:rPr>
              <w:t>☑</w:t>
            </w:r>
            <w:r>
              <w:rPr>
                <w:rFonts w:hAnsiTheme="minorEastAsia" w:eastAsiaTheme="minorEastAsia"/>
                <w:color w:val="000000" w:themeColor="text1"/>
                <w:sz w:val="24"/>
                <w:highlight w:val="none"/>
              </w:rPr>
              <w:t>新建（迁建）</w:t>
            </w:r>
          </w:p>
          <w:p>
            <w:pPr>
              <w:jc w:val="left"/>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改建</w:t>
            </w:r>
          </w:p>
          <w:p>
            <w:pPr>
              <w:jc w:val="left"/>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扩建</w:t>
            </w:r>
          </w:p>
          <w:p>
            <w:pPr>
              <w:jc w:val="left"/>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技术改造</w:t>
            </w:r>
          </w:p>
        </w:tc>
        <w:tc>
          <w:tcPr>
            <w:tcW w:w="2086" w:type="dxa"/>
            <w:gridSpan w:val="3"/>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建设项目</w:t>
            </w:r>
          </w:p>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申报情形</w:t>
            </w:r>
          </w:p>
        </w:tc>
        <w:tc>
          <w:tcPr>
            <w:tcW w:w="3018" w:type="dxa"/>
            <w:vAlign w:val="center"/>
          </w:tcPr>
          <w:p>
            <w:pPr>
              <w:adjustRightInd w:val="0"/>
              <w:snapToGrid w:val="0"/>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☑首次申报项目</w:t>
            </w:r>
          </w:p>
          <w:p>
            <w:pPr>
              <w:adjustRightInd w:val="0"/>
              <w:snapToGrid w:val="0"/>
              <w:rPr>
                <w:rFonts w:hAnsiTheme="minorEastAsia" w:eastAsiaTheme="minorEastAsia"/>
                <w:color w:val="000000" w:themeColor="text1"/>
                <w:sz w:val="24"/>
                <w:highlight w:val="none"/>
              </w:rPr>
            </w:pPr>
            <w:r>
              <w:rPr>
                <w:rFonts w:hint="eastAsia"/>
                <w:color w:val="000000" w:themeColor="text1"/>
                <w:sz w:val="24"/>
                <w:highlight w:val="none"/>
              </w:rPr>
              <w:t>□</w:t>
            </w:r>
            <w:r>
              <w:rPr>
                <w:rFonts w:hint="eastAsia" w:hAnsiTheme="minorEastAsia" w:eastAsiaTheme="minorEastAsia"/>
                <w:color w:val="000000" w:themeColor="text1"/>
                <w:sz w:val="24"/>
                <w:highlight w:val="none"/>
              </w:rPr>
              <w:t>不予批准后再次申报项目</w:t>
            </w:r>
          </w:p>
          <w:p>
            <w:pPr>
              <w:adjustRightInd w:val="0"/>
              <w:snapToGrid w:val="0"/>
              <w:rPr>
                <w:rFonts w:hAnsiTheme="minorEastAsia" w:eastAsiaTheme="minorEastAsia"/>
                <w:color w:val="000000" w:themeColor="text1"/>
                <w:sz w:val="24"/>
                <w:highlight w:val="none"/>
              </w:rPr>
            </w:pPr>
            <w:r>
              <w:rPr>
                <w:rFonts w:hint="eastAsia"/>
                <w:color w:val="000000" w:themeColor="text1"/>
                <w:sz w:val="24"/>
                <w:highlight w:val="none"/>
              </w:rPr>
              <w:t>□</w:t>
            </w:r>
            <w:r>
              <w:rPr>
                <w:rFonts w:hint="eastAsia" w:hAnsiTheme="minorEastAsia" w:eastAsiaTheme="minorEastAsia"/>
                <w:color w:val="000000" w:themeColor="text1"/>
                <w:sz w:val="24"/>
                <w:highlight w:val="none"/>
              </w:rPr>
              <w:t>超五年重新审核项目</w:t>
            </w:r>
          </w:p>
          <w:p>
            <w:pPr>
              <w:adjustRightInd w:val="0"/>
              <w:snapToGrid w:val="0"/>
              <w:rPr>
                <w:rFonts w:hAnsiTheme="minorEastAsia" w:eastAsiaTheme="minorEastAsia"/>
                <w:color w:val="000000" w:themeColor="text1"/>
                <w:sz w:val="24"/>
                <w:highlight w:val="none"/>
              </w:rPr>
            </w:pPr>
            <w:r>
              <w:rPr>
                <w:rFonts w:hint="eastAsia"/>
                <w:color w:val="000000" w:themeColor="text1"/>
                <w:sz w:val="24"/>
                <w:highlight w:val="none"/>
              </w:rPr>
              <w:t>□</w:t>
            </w:r>
            <w:r>
              <w:rPr>
                <w:rFonts w:hint="eastAsia" w:hAnsiTheme="minorEastAsia" w:eastAsiaTheme="minorEastAsia"/>
                <w:color w:val="000000" w:themeColor="text1"/>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项目审批（核准</w:t>
            </w:r>
            <w:r>
              <w:rPr>
                <w:rFonts w:eastAsiaTheme="minorEastAsia"/>
                <w:color w:val="000000" w:themeColor="text1"/>
                <w:sz w:val="24"/>
                <w:highlight w:val="none"/>
              </w:rPr>
              <w:t>/</w:t>
            </w:r>
            <w:r>
              <w:rPr>
                <w:rFonts w:hAnsiTheme="minorEastAsia" w:eastAsiaTheme="minorEastAsia"/>
                <w:color w:val="000000" w:themeColor="text1"/>
                <w:sz w:val="24"/>
                <w:highlight w:val="none"/>
              </w:rPr>
              <w:t>备案）部门（选填）</w:t>
            </w:r>
          </w:p>
        </w:tc>
        <w:tc>
          <w:tcPr>
            <w:tcW w:w="2726"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w:t>
            </w:r>
          </w:p>
        </w:tc>
        <w:tc>
          <w:tcPr>
            <w:tcW w:w="2086" w:type="dxa"/>
            <w:gridSpan w:val="3"/>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项目审批（核准</w:t>
            </w:r>
            <w:r>
              <w:rPr>
                <w:rFonts w:eastAsiaTheme="minorEastAsia"/>
                <w:color w:val="000000" w:themeColor="text1"/>
                <w:sz w:val="24"/>
                <w:highlight w:val="none"/>
              </w:rPr>
              <w:t>/</w:t>
            </w:r>
            <w:r>
              <w:rPr>
                <w:rFonts w:hAnsiTheme="minorEastAsia" w:eastAsiaTheme="minorEastAsia"/>
                <w:color w:val="000000" w:themeColor="text1"/>
                <w:sz w:val="24"/>
                <w:highlight w:val="none"/>
              </w:rPr>
              <w:t>备案）文号（选填）</w:t>
            </w:r>
          </w:p>
        </w:tc>
        <w:tc>
          <w:tcPr>
            <w:tcW w:w="3018" w:type="dxa"/>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总投资（万元）</w:t>
            </w:r>
          </w:p>
        </w:tc>
        <w:tc>
          <w:tcPr>
            <w:tcW w:w="2726"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200</w:t>
            </w:r>
          </w:p>
        </w:tc>
        <w:tc>
          <w:tcPr>
            <w:tcW w:w="2086" w:type="dxa"/>
            <w:gridSpan w:val="3"/>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环保投资（万元）</w:t>
            </w:r>
          </w:p>
        </w:tc>
        <w:tc>
          <w:tcPr>
            <w:tcW w:w="3018"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环保投资占比（</w:t>
            </w:r>
            <w:r>
              <w:rPr>
                <w:rFonts w:eastAsiaTheme="minorEastAsia"/>
                <w:color w:val="000000" w:themeColor="text1"/>
                <w:sz w:val="24"/>
                <w:highlight w:val="none"/>
              </w:rPr>
              <w:t>%</w:t>
            </w:r>
            <w:r>
              <w:rPr>
                <w:rFonts w:hAnsiTheme="minorEastAsia" w:eastAsiaTheme="minorEastAsia"/>
                <w:color w:val="000000" w:themeColor="text1"/>
                <w:sz w:val="24"/>
                <w:highlight w:val="none"/>
              </w:rPr>
              <w:t>）</w:t>
            </w:r>
          </w:p>
        </w:tc>
        <w:tc>
          <w:tcPr>
            <w:tcW w:w="2726"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25</w:t>
            </w:r>
          </w:p>
        </w:tc>
        <w:tc>
          <w:tcPr>
            <w:tcW w:w="2086" w:type="dxa"/>
            <w:gridSpan w:val="3"/>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施工工期</w:t>
            </w:r>
          </w:p>
        </w:tc>
        <w:tc>
          <w:tcPr>
            <w:tcW w:w="3018"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2024.5-2024.6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55" w:type="dxa"/>
            <w:tcMar>
              <w:top w:w="16" w:type="dxa"/>
              <w:left w:w="16" w:type="dxa"/>
              <w:right w:w="16" w:type="dxa"/>
            </w:tcMar>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是否开工建设</w:t>
            </w:r>
          </w:p>
        </w:tc>
        <w:tc>
          <w:tcPr>
            <w:tcW w:w="2726" w:type="dxa"/>
            <w:vAlign w:val="center"/>
          </w:tcPr>
          <w:p>
            <w:pPr>
              <w:adjustRightInd w:val="0"/>
              <w:snapToGrid w:val="0"/>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否</w:t>
            </w:r>
          </w:p>
          <w:p>
            <w:pPr>
              <w:adjustRightInd w:val="0"/>
              <w:snapToGrid w:val="0"/>
              <w:rPr>
                <w:rFonts w:eastAsiaTheme="minorEastAsia"/>
                <w:color w:val="000000" w:themeColor="text1"/>
                <w:sz w:val="24"/>
                <w:highlight w:val="none"/>
              </w:rPr>
            </w:pPr>
            <w:r>
              <w:rPr>
                <w:rFonts w:hint="eastAsia"/>
                <w:color w:val="000000" w:themeColor="text1"/>
                <w:sz w:val="24"/>
                <w:highlight w:val="none"/>
              </w:rPr>
              <w:t>□</w:t>
            </w:r>
            <w:r>
              <w:rPr>
                <w:rFonts w:hAnsiTheme="minorEastAsia" w:eastAsiaTheme="minorEastAsia"/>
                <w:color w:val="000000" w:themeColor="text1"/>
                <w:sz w:val="24"/>
                <w:highlight w:val="none"/>
              </w:rPr>
              <w:t>是：</w:t>
            </w:r>
          </w:p>
        </w:tc>
        <w:tc>
          <w:tcPr>
            <w:tcW w:w="2086" w:type="dxa"/>
            <w:gridSpan w:val="3"/>
            <w:tcMar>
              <w:top w:w="16" w:type="dxa"/>
              <w:left w:w="16" w:type="dxa"/>
              <w:right w:w="16" w:type="dxa"/>
            </w:tcMar>
            <w:vAlign w:val="center"/>
          </w:tcPr>
          <w:p>
            <w:pPr>
              <w:adjustRightInd w:val="0"/>
              <w:snapToGrid w:val="0"/>
              <w:jc w:val="center"/>
              <w:rPr>
                <w:rFonts w:eastAsiaTheme="minorEastAsia"/>
                <w:color w:val="000000" w:themeColor="text1"/>
                <w:spacing w:val="-6"/>
                <w:sz w:val="24"/>
                <w:highlight w:val="none"/>
              </w:rPr>
            </w:pPr>
            <w:r>
              <w:rPr>
                <w:rFonts w:hAnsiTheme="minorEastAsia" w:eastAsiaTheme="minorEastAsia"/>
                <w:color w:val="000000" w:themeColor="text1"/>
                <w:spacing w:val="-6"/>
                <w:sz w:val="24"/>
                <w:highlight w:val="none"/>
              </w:rPr>
              <w:t>用地（用海）</w:t>
            </w:r>
          </w:p>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pacing w:val="-6"/>
                <w:sz w:val="24"/>
                <w:highlight w:val="none"/>
              </w:rPr>
              <w:t>面积（</w:t>
            </w:r>
            <w:r>
              <w:rPr>
                <w:rFonts w:eastAsiaTheme="minorEastAsia"/>
                <w:color w:val="000000" w:themeColor="text1"/>
                <w:spacing w:val="-6"/>
                <w:sz w:val="24"/>
                <w:highlight w:val="none"/>
              </w:rPr>
              <w:t>m</w:t>
            </w:r>
            <w:r>
              <w:rPr>
                <w:rFonts w:eastAsiaTheme="minorEastAsia"/>
                <w:color w:val="000000" w:themeColor="text1"/>
                <w:spacing w:val="-6"/>
                <w:sz w:val="24"/>
                <w:highlight w:val="none"/>
                <w:vertAlign w:val="superscript"/>
              </w:rPr>
              <w:t>2</w:t>
            </w:r>
            <w:r>
              <w:rPr>
                <w:rFonts w:hAnsiTheme="minorEastAsia" w:eastAsiaTheme="minorEastAsia"/>
                <w:color w:val="000000" w:themeColor="text1"/>
                <w:spacing w:val="-6"/>
                <w:sz w:val="24"/>
                <w:highlight w:val="none"/>
              </w:rPr>
              <w:t>）</w:t>
            </w:r>
          </w:p>
        </w:tc>
        <w:tc>
          <w:tcPr>
            <w:tcW w:w="3018"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9600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555" w:type="dxa"/>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专项评价设置情况</w:t>
            </w:r>
          </w:p>
        </w:tc>
        <w:tc>
          <w:tcPr>
            <w:tcW w:w="7830" w:type="dxa"/>
            <w:gridSpan w:val="5"/>
            <w:vAlign w:val="center"/>
          </w:tcPr>
          <w:p>
            <w:pPr>
              <w:autoSpaceDE w:val="0"/>
              <w:autoSpaceDN w:val="0"/>
              <w:adjustRightInd w:val="0"/>
              <w:snapToGrid w:val="0"/>
              <w:spacing w:line="360" w:lineRule="auto"/>
              <w:jc w:val="center"/>
              <w:rPr>
                <w:rFonts w:hAnsiTheme="minorEastAsia" w:eastAsiaTheme="minorEastAsia"/>
                <w:b/>
                <w:bCs/>
                <w:color w:val="000000" w:themeColor="text1"/>
                <w:kern w:val="0"/>
                <w:sz w:val="24"/>
                <w:highlight w:val="none"/>
              </w:rPr>
            </w:pPr>
            <w:r>
              <w:rPr>
                <w:rFonts w:hint="eastAsia" w:hAnsiTheme="minorEastAsia" w:eastAsiaTheme="minorEastAsia"/>
                <w:b/>
                <w:bCs/>
                <w:color w:val="000000" w:themeColor="text1"/>
                <w:kern w:val="0"/>
                <w:sz w:val="24"/>
                <w:highlight w:val="none"/>
              </w:rPr>
              <w:t>表1</w:t>
            </w:r>
            <w:r>
              <w:rPr>
                <w:rFonts w:hAnsiTheme="minorEastAsia" w:eastAsiaTheme="minorEastAsia"/>
                <w:b/>
                <w:bCs/>
                <w:color w:val="000000" w:themeColor="text1"/>
                <w:kern w:val="0"/>
                <w:sz w:val="24"/>
                <w:highlight w:val="none"/>
              </w:rPr>
              <w:t xml:space="preserve">-1 </w:t>
            </w:r>
            <w:r>
              <w:rPr>
                <w:rFonts w:hint="eastAsia" w:hAnsiTheme="minorEastAsia" w:eastAsiaTheme="minorEastAsia"/>
                <w:b/>
                <w:bCs/>
                <w:color w:val="000000" w:themeColor="text1"/>
                <w:kern w:val="0"/>
                <w:sz w:val="24"/>
                <w:highlight w:val="none"/>
              </w:rPr>
              <w:t>专项评价设置情况</w:t>
            </w:r>
          </w:p>
          <w:tbl>
            <w:tblPr>
              <w:tblStyle w:val="24"/>
              <w:tblW w:w="76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3308"/>
              <w:gridCol w:w="2214"/>
              <w:gridCol w:w="10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专项评价类别</w:t>
                  </w:r>
                </w:p>
              </w:tc>
              <w:tc>
                <w:tcPr>
                  <w:tcW w:w="330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设置原则</w:t>
                  </w:r>
                </w:p>
              </w:tc>
              <w:tc>
                <w:tcPr>
                  <w:tcW w:w="2214"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本项目情况</w:t>
                  </w:r>
                </w:p>
              </w:tc>
              <w:tc>
                <w:tcPr>
                  <w:tcW w:w="1070"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是否设置专项评价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大气</w:t>
                  </w:r>
                </w:p>
              </w:tc>
              <w:tc>
                <w:tcPr>
                  <w:tcW w:w="330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排放废气含有毒有害污染物、二噁英、苯并</w:t>
                  </w:r>
                  <w:r>
                    <w:rPr>
                      <w:rFonts w:hAnsiTheme="minorEastAsia" w:eastAsiaTheme="minorEastAsia"/>
                      <w:color w:val="000000" w:themeColor="text1"/>
                      <w:kern w:val="0"/>
                      <w:szCs w:val="21"/>
                      <w:highlight w:val="none"/>
                    </w:rPr>
                    <w:t>[a]</w:t>
                  </w:r>
                  <w:r>
                    <w:rPr>
                      <w:rFonts w:hint="eastAsia" w:hAnsiTheme="minorEastAsia" w:eastAsiaTheme="minorEastAsia"/>
                      <w:color w:val="000000" w:themeColor="text1"/>
                      <w:kern w:val="0"/>
                      <w:szCs w:val="21"/>
                      <w:highlight w:val="none"/>
                    </w:rPr>
                    <w:t>芘、氰化物、氯气且厂界外</w:t>
                  </w:r>
                  <w:r>
                    <w:rPr>
                      <w:rFonts w:hAnsiTheme="minorEastAsia" w:eastAsiaTheme="minorEastAsia"/>
                      <w:color w:val="000000" w:themeColor="text1"/>
                      <w:kern w:val="0"/>
                      <w:szCs w:val="21"/>
                      <w:highlight w:val="none"/>
                    </w:rPr>
                    <w:t xml:space="preserve">500 </w:t>
                  </w:r>
                  <w:r>
                    <w:rPr>
                      <w:rFonts w:hint="eastAsia" w:hAnsiTheme="minorEastAsia" w:eastAsiaTheme="minorEastAsia"/>
                      <w:color w:val="000000" w:themeColor="text1"/>
                      <w:kern w:val="0"/>
                      <w:szCs w:val="21"/>
                      <w:highlight w:val="none"/>
                    </w:rPr>
                    <w:t>米范围内有环境空气保护目标的建设项目</w:t>
                  </w:r>
                </w:p>
              </w:tc>
              <w:tc>
                <w:tcPr>
                  <w:tcW w:w="2214"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color w:val="000000" w:themeColor="text1"/>
                      <w:szCs w:val="21"/>
                      <w:highlight w:val="none"/>
                    </w:rPr>
                    <w:t>本项目不排放废气含有毒有害污染物</w:t>
                  </w:r>
                  <w:r>
                    <w:rPr>
                      <w:rFonts w:hint="eastAsia"/>
                      <w:color w:val="000000" w:themeColor="text1"/>
                      <w:szCs w:val="21"/>
                      <w:highlight w:val="none"/>
                    </w:rPr>
                    <w:t>：</w:t>
                  </w:r>
                  <w:r>
                    <w:rPr>
                      <w:color w:val="000000" w:themeColor="text1"/>
                      <w:szCs w:val="21"/>
                      <w:highlight w:val="none"/>
                    </w:rPr>
                    <w:t>二噁英、苯并[a]芘、氰化物、氯气</w:t>
                  </w:r>
                  <w:r>
                    <w:rPr>
                      <w:rFonts w:hint="eastAsia"/>
                      <w:color w:val="000000" w:themeColor="text1"/>
                      <w:szCs w:val="21"/>
                      <w:highlight w:val="none"/>
                    </w:rPr>
                    <w:t>等</w:t>
                  </w:r>
                </w:p>
              </w:tc>
              <w:tc>
                <w:tcPr>
                  <w:tcW w:w="1070"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未设置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地表水</w:t>
                  </w:r>
                </w:p>
              </w:tc>
              <w:tc>
                <w:tcPr>
                  <w:tcW w:w="330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新增工业废水直排建设项目（槽罐车外送污水处理厂的除外）；新增废水直排的污水集中处理厂</w:t>
                  </w:r>
                </w:p>
              </w:tc>
              <w:tc>
                <w:tcPr>
                  <w:tcW w:w="2214"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color w:val="000000" w:themeColor="text1"/>
                      <w:szCs w:val="21"/>
                      <w:highlight w:val="none"/>
                    </w:rPr>
                    <w:t>本项目生活污水</w:t>
                  </w:r>
                  <w:r>
                    <w:rPr>
                      <w:rFonts w:hint="eastAsia"/>
                      <w:color w:val="000000" w:themeColor="text1"/>
                      <w:szCs w:val="21"/>
                      <w:highlight w:val="none"/>
                    </w:rPr>
                    <w:t>排入防渗旱厕</w:t>
                  </w:r>
                  <w:r>
                    <w:rPr>
                      <w:color w:val="000000" w:themeColor="text1"/>
                      <w:szCs w:val="21"/>
                      <w:highlight w:val="none"/>
                    </w:rPr>
                    <w:t>，</w:t>
                  </w:r>
                  <w:r>
                    <w:rPr>
                      <w:rFonts w:hint="eastAsia"/>
                      <w:color w:val="000000" w:themeColor="text1"/>
                      <w:szCs w:val="21"/>
                      <w:highlight w:val="none"/>
                    </w:rPr>
                    <w:t>无生产废水排放</w:t>
                  </w:r>
                </w:p>
              </w:tc>
              <w:tc>
                <w:tcPr>
                  <w:tcW w:w="1070"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未设置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环境风险</w:t>
                  </w:r>
                </w:p>
              </w:tc>
              <w:tc>
                <w:tcPr>
                  <w:tcW w:w="330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有毒有害和易燃易爆危险物质存储量超过临界量的建设项目</w:t>
                  </w:r>
                </w:p>
              </w:tc>
              <w:tc>
                <w:tcPr>
                  <w:tcW w:w="2214"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本项目涉及危险物质存储量未超过临界量</w:t>
                  </w:r>
                </w:p>
              </w:tc>
              <w:tc>
                <w:tcPr>
                  <w:tcW w:w="1070"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未设置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生态</w:t>
                  </w:r>
                </w:p>
              </w:tc>
              <w:tc>
                <w:tcPr>
                  <w:tcW w:w="3308"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取水口下游</w:t>
                  </w:r>
                  <w:r>
                    <w:rPr>
                      <w:rFonts w:hAnsiTheme="minorEastAsia" w:eastAsiaTheme="minorEastAsia"/>
                      <w:color w:val="000000" w:themeColor="text1"/>
                      <w:kern w:val="0"/>
                      <w:szCs w:val="21"/>
                      <w:highlight w:val="none"/>
                    </w:rPr>
                    <w:t xml:space="preserve">500 </w:t>
                  </w:r>
                  <w:r>
                    <w:rPr>
                      <w:rFonts w:hint="eastAsia" w:hAnsiTheme="minorEastAsia" w:eastAsiaTheme="minorEastAsia"/>
                      <w:color w:val="000000" w:themeColor="text1"/>
                      <w:kern w:val="0"/>
                      <w:szCs w:val="21"/>
                      <w:highlight w:val="none"/>
                    </w:rPr>
                    <w:t>米范围内有重要水生生物的自然产卵场、索饵场、越冬场和洄游通道的新增河道取水的污染类建设项目</w:t>
                  </w:r>
                </w:p>
              </w:tc>
              <w:tc>
                <w:tcPr>
                  <w:tcW w:w="2214"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color w:val="000000" w:themeColor="text1"/>
                      <w:szCs w:val="21"/>
                      <w:highlight w:val="none"/>
                    </w:rPr>
                    <w:t>本</w:t>
                  </w:r>
                  <w:r>
                    <w:rPr>
                      <w:color w:val="000000" w:themeColor="text1"/>
                      <w:szCs w:val="21"/>
                      <w:highlight w:val="none"/>
                    </w:rPr>
                    <w:t>项目不属于新增河道取水的污染类建设项目</w:t>
                  </w:r>
                </w:p>
              </w:tc>
              <w:tc>
                <w:tcPr>
                  <w:tcW w:w="1070" w:type="dxa"/>
                  <w:vAlign w:val="center"/>
                </w:tcPr>
                <w:p>
                  <w:pPr>
                    <w:autoSpaceDE w:val="0"/>
                    <w:autoSpaceDN w:val="0"/>
                    <w:adjustRightInd w:val="0"/>
                    <w:snapToGrid w:val="0"/>
                    <w:jc w:val="center"/>
                    <w:rPr>
                      <w:rFonts w:hAnsiTheme="minorEastAsia" w:eastAsiaTheme="minorEastAsia"/>
                      <w:color w:val="000000" w:themeColor="text1"/>
                      <w:kern w:val="0"/>
                      <w:szCs w:val="21"/>
                      <w:highlight w:val="none"/>
                    </w:rPr>
                  </w:pPr>
                  <w:r>
                    <w:rPr>
                      <w:rFonts w:hint="eastAsia" w:hAnsiTheme="minorEastAsia" w:eastAsiaTheme="minorEastAsia"/>
                      <w:color w:val="000000" w:themeColor="text1"/>
                      <w:kern w:val="0"/>
                      <w:szCs w:val="21"/>
                      <w:highlight w:val="none"/>
                    </w:rPr>
                    <w:t>未设置</w:t>
                  </w:r>
                </w:p>
              </w:tc>
            </w:tr>
          </w:tbl>
          <w:p>
            <w:pPr>
              <w:autoSpaceDE w:val="0"/>
              <w:autoSpaceDN w:val="0"/>
              <w:adjustRightInd w:val="0"/>
              <w:snapToGrid w:val="0"/>
              <w:jc w:val="left"/>
              <w:rPr>
                <w:rFonts w:eastAsiaTheme="minorEastAsia"/>
                <w:color w:val="000000" w:themeColor="text1"/>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55" w:type="dxa"/>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sz w:val="24"/>
                <w:highlight w:val="none"/>
              </w:rPr>
              <w:t>规划情况</w:t>
            </w:r>
          </w:p>
        </w:tc>
        <w:tc>
          <w:tcPr>
            <w:tcW w:w="7830" w:type="dxa"/>
            <w:gridSpan w:val="5"/>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55" w:type="dxa"/>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sz w:val="24"/>
                <w:highlight w:val="none"/>
              </w:rPr>
              <w:t>规划环境影响评价情况</w:t>
            </w:r>
          </w:p>
        </w:tc>
        <w:tc>
          <w:tcPr>
            <w:tcW w:w="7830" w:type="dxa"/>
            <w:gridSpan w:val="5"/>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55" w:type="dxa"/>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规划及规划环境影响评价符合性分析</w:t>
            </w:r>
          </w:p>
        </w:tc>
        <w:tc>
          <w:tcPr>
            <w:tcW w:w="7830" w:type="dxa"/>
            <w:gridSpan w:val="5"/>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autoSpaceDE w:val="0"/>
              <w:autoSpaceDN w:val="0"/>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其他符合性分析</w:t>
            </w:r>
          </w:p>
        </w:tc>
        <w:tc>
          <w:tcPr>
            <w:tcW w:w="7830" w:type="dxa"/>
            <w:gridSpan w:val="5"/>
            <w:vAlign w:val="center"/>
          </w:tcPr>
          <w:p>
            <w:pPr>
              <w:spacing w:line="360" w:lineRule="auto"/>
              <w:ind w:firstLine="482" w:firstLineChars="200"/>
              <w:jc w:val="left"/>
              <w:rPr>
                <w:rFonts w:eastAsiaTheme="minorEastAsia"/>
                <w:b/>
                <w:color w:val="000000" w:themeColor="text1"/>
                <w:kern w:val="0"/>
                <w:sz w:val="24"/>
                <w:szCs w:val="21"/>
                <w:highlight w:val="none"/>
              </w:rPr>
            </w:pPr>
            <w:r>
              <w:rPr>
                <w:rFonts w:eastAsiaTheme="minorEastAsia"/>
                <w:b/>
                <w:color w:val="000000" w:themeColor="text1"/>
                <w:kern w:val="0"/>
                <w:sz w:val="24"/>
                <w:szCs w:val="21"/>
                <w:highlight w:val="none"/>
              </w:rPr>
              <w:t>1</w:t>
            </w:r>
            <w:r>
              <w:rPr>
                <w:rFonts w:hAnsiTheme="minorEastAsia" w:eastAsiaTheme="minorEastAsia"/>
                <w:b/>
                <w:color w:val="000000" w:themeColor="text1"/>
                <w:kern w:val="0"/>
                <w:sz w:val="24"/>
                <w:szCs w:val="21"/>
                <w:highlight w:val="none"/>
              </w:rPr>
              <w:t>、与</w:t>
            </w:r>
            <w:r>
              <w:rPr>
                <w:rFonts w:hint="eastAsia" w:eastAsiaTheme="minorEastAsia"/>
                <w:b/>
                <w:color w:val="000000" w:themeColor="text1"/>
                <w:kern w:val="0"/>
                <w:sz w:val="24"/>
                <w:szCs w:val="21"/>
                <w:highlight w:val="none"/>
              </w:rPr>
              <w:t>“</w:t>
            </w:r>
            <w:r>
              <w:rPr>
                <w:rFonts w:hAnsiTheme="minorEastAsia" w:eastAsiaTheme="minorEastAsia"/>
                <w:b/>
                <w:color w:val="000000" w:themeColor="text1"/>
                <w:kern w:val="0"/>
                <w:sz w:val="24"/>
                <w:szCs w:val="21"/>
                <w:highlight w:val="none"/>
              </w:rPr>
              <w:t>三线一单</w:t>
            </w:r>
            <w:r>
              <w:rPr>
                <w:rFonts w:hint="eastAsia" w:eastAsiaTheme="minorEastAsia"/>
                <w:b/>
                <w:color w:val="000000" w:themeColor="text1"/>
                <w:kern w:val="0"/>
                <w:sz w:val="24"/>
                <w:szCs w:val="21"/>
                <w:highlight w:val="none"/>
              </w:rPr>
              <w:t>”</w:t>
            </w:r>
            <w:r>
              <w:rPr>
                <w:rFonts w:hAnsiTheme="minorEastAsia" w:eastAsiaTheme="minorEastAsia"/>
                <w:b/>
                <w:color w:val="000000" w:themeColor="text1"/>
                <w:kern w:val="0"/>
                <w:sz w:val="24"/>
                <w:szCs w:val="21"/>
                <w:highlight w:val="none"/>
              </w:rPr>
              <w:t>符合性分析</w:t>
            </w:r>
          </w:p>
          <w:p>
            <w:pPr>
              <w:spacing w:line="360" w:lineRule="auto"/>
              <w:ind w:firstLine="480" w:firstLineChars="200"/>
              <w:contextualSpacing/>
              <w:jc w:val="left"/>
              <w:rPr>
                <w:rFonts w:eastAsiaTheme="minorEastAsia"/>
                <w:color w:val="000000" w:themeColor="text1"/>
                <w:kern w:val="0"/>
                <w:sz w:val="24"/>
                <w:szCs w:val="21"/>
                <w:highlight w:val="none"/>
              </w:rPr>
            </w:pPr>
            <w:r>
              <w:rPr>
                <w:color w:val="000000" w:themeColor="text1"/>
                <w:sz w:val="24"/>
                <w:highlight w:val="none"/>
              </w:rPr>
              <w:t>根据《哈尔滨市人民政府关于实施</w:t>
            </w:r>
            <w:r>
              <w:rPr>
                <w:rFonts w:hint="eastAsia"/>
                <w:color w:val="000000" w:themeColor="text1"/>
                <w:sz w:val="24"/>
                <w:highlight w:val="none"/>
              </w:rPr>
              <w:t>“</w:t>
            </w:r>
            <w:r>
              <w:rPr>
                <w:color w:val="000000" w:themeColor="text1"/>
                <w:sz w:val="24"/>
                <w:highlight w:val="none"/>
              </w:rPr>
              <w:t>三线一单</w:t>
            </w:r>
            <w:r>
              <w:rPr>
                <w:rFonts w:hint="eastAsia"/>
                <w:color w:val="000000" w:themeColor="text1"/>
                <w:sz w:val="24"/>
                <w:highlight w:val="none"/>
              </w:rPr>
              <w:t>”</w:t>
            </w:r>
            <w:r>
              <w:rPr>
                <w:color w:val="000000" w:themeColor="text1"/>
                <w:sz w:val="24"/>
                <w:highlight w:val="none"/>
              </w:rPr>
              <w:t>生态环境分区管控的意见（哈政规[2021]7号）》及经</w:t>
            </w:r>
            <w:r>
              <w:rPr>
                <w:rFonts w:hint="eastAsia"/>
                <w:color w:val="000000" w:themeColor="text1"/>
                <w:sz w:val="24"/>
                <w:highlight w:val="none"/>
              </w:rPr>
              <w:t>“</w:t>
            </w:r>
            <w:r>
              <w:rPr>
                <w:color w:val="000000" w:themeColor="text1"/>
                <w:sz w:val="24"/>
                <w:highlight w:val="none"/>
              </w:rPr>
              <w:t>黑龙江省</w:t>
            </w:r>
            <w:r>
              <w:rPr>
                <w:rFonts w:hint="eastAsia"/>
                <w:color w:val="000000" w:themeColor="text1"/>
                <w:sz w:val="24"/>
                <w:highlight w:val="none"/>
              </w:rPr>
              <w:t>“</w:t>
            </w:r>
            <w:r>
              <w:rPr>
                <w:color w:val="000000" w:themeColor="text1"/>
                <w:sz w:val="24"/>
                <w:highlight w:val="none"/>
              </w:rPr>
              <w:t>三线一单</w:t>
            </w:r>
            <w:r>
              <w:rPr>
                <w:rFonts w:hint="eastAsia"/>
                <w:color w:val="000000" w:themeColor="text1"/>
                <w:sz w:val="24"/>
                <w:highlight w:val="none"/>
              </w:rPr>
              <w:t>”</w:t>
            </w:r>
            <w:r>
              <w:rPr>
                <w:color w:val="000000" w:themeColor="text1"/>
                <w:sz w:val="24"/>
                <w:highlight w:val="none"/>
              </w:rPr>
              <w:t>信息服务APP查询系统</w:t>
            </w:r>
            <w:r>
              <w:rPr>
                <w:rFonts w:hint="eastAsia"/>
                <w:color w:val="000000" w:themeColor="text1"/>
                <w:sz w:val="24"/>
                <w:highlight w:val="none"/>
              </w:rPr>
              <w:t>”</w:t>
            </w:r>
            <w:r>
              <w:rPr>
                <w:rFonts w:ascii="宋体" w:hAnsi="宋体" w:cs="宋体"/>
                <w:color w:val="000000" w:themeColor="text1"/>
                <w:sz w:val="24"/>
                <w:highlight w:val="none"/>
              </w:rPr>
              <w:t>查询</w:t>
            </w:r>
            <w:r>
              <w:rPr>
                <w:color w:val="000000" w:themeColor="text1"/>
                <w:sz w:val="24"/>
                <w:highlight w:val="none"/>
              </w:rPr>
              <w:t>可知，本项目</w:t>
            </w:r>
            <w:r>
              <w:rPr>
                <w:rFonts w:hint="eastAsia"/>
                <w:color w:val="000000" w:themeColor="text1"/>
                <w:kern w:val="0"/>
                <w:sz w:val="24"/>
                <w:szCs w:val="21"/>
                <w:highlight w:val="none"/>
              </w:rPr>
              <w:t>环境管控单元为香坊区水环境城镇生活污染重点管控区，为重点管控单元。</w:t>
            </w:r>
            <w:r>
              <w:rPr>
                <w:rFonts w:hAnsiTheme="minorEastAsia" w:eastAsiaTheme="minorEastAsia"/>
                <w:color w:val="000000" w:themeColor="text1"/>
                <w:kern w:val="0"/>
                <w:sz w:val="24"/>
                <w:szCs w:val="21"/>
                <w:highlight w:val="none"/>
              </w:rPr>
              <w:t>结合本项目排污状况和区域环境及环境质量现状进行调查的基础上，本工程与</w:t>
            </w:r>
            <w:r>
              <w:rPr>
                <w:rFonts w:hint="eastAsia" w:eastAsiaTheme="minorEastAsia"/>
                <w:color w:val="000000" w:themeColor="text1"/>
                <w:kern w:val="0"/>
                <w:sz w:val="24"/>
                <w:szCs w:val="21"/>
                <w:highlight w:val="none"/>
              </w:rPr>
              <w:t>“</w:t>
            </w:r>
            <w:r>
              <w:rPr>
                <w:rFonts w:hAnsiTheme="minorEastAsia" w:eastAsiaTheme="minorEastAsia"/>
                <w:color w:val="000000" w:themeColor="text1"/>
                <w:kern w:val="0"/>
                <w:sz w:val="24"/>
                <w:szCs w:val="21"/>
                <w:highlight w:val="none"/>
              </w:rPr>
              <w:t>三线一单</w:t>
            </w:r>
            <w:r>
              <w:rPr>
                <w:rFonts w:hint="eastAsia" w:eastAsiaTheme="minorEastAsia"/>
                <w:color w:val="000000" w:themeColor="text1"/>
                <w:kern w:val="0"/>
                <w:sz w:val="24"/>
                <w:szCs w:val="21"/>
                <w:highlight w:val="none"/>
              </w:rPr>
              <w:t>”</w:t>
            </w:r>
            <w:r>
              <w:rPr>
                <w:rFonts w:hAnsiTheme="minorEastAsia" w:eastAsiaTheme="minorEastAsia"/>
                <w:color w:val="000000" w:themeColor="text1"/>
                <w:kern w:val="0"/>
                <w:sz w:val="24"/>
                <w:szCs w:val="21"/>
                <w:highlight w:val="none"/>
              </w:rPr>
              <w:t>符合性情况如下：</w:t>
            </w:r>
          </w:p>
          <w:p>
            <w:pPr>
              <w:adjustRightInd w:val="0"/>
              <w:spacing w:line="360" w:lineRule="auto"/>
              <w:ind w:firstLine="480"/>
              <w:textAlignment w:val="baseline"/>
              <w:rPr>
                <w:color w:val="000000" w:themeColor="text1"/>
                <w:sz w:val="24"/>
                <w:highlight w:val="none"/>
              </w:rPr>
            </w:pPr>
            <w:r>
              <w:rPr>
                <w:rFonts w:hint="eastAsia"/>
                <w:color w:val="000000" w:themeColor="text1"/>
                <w:kern w:val="0"/>
                <w:sz w:val="24"/>
                <w:highlight w:val="none"/>
              </w:rPr>
              <w:t>（</w:t>
            </w:r>
            <w:r>
              <w:rPr>
                <w:rFonts w:hint="eastAsia"/>
                <w:color w:val="000000" w:themeColor="text1"/>
                <w:sz w:val="24"/>
                <w:highlight w:val="none"/>
              </w:rPr>
              <w:t>1）</w:t>
            </w:r>
            <w:r>
              <w:rPr>
                <w:color w:val="000000" w:themeColor="text1"/>
                <w:sz w:val="24"/>
                <w:highlight w:val="none"/>
              </w:rPr>
              <w:t>生态保护红线符合性</w:t>
            </w:r>
          </w:p>
          <w:p>
            <w:pPr>
              <w:wordWrap w:val="0"/>
              <w:adjustRightInd w:val="0"/>
              <w:spacing w:line="360" w:lineRule="auto"/>
              <w:ind w:firstLine="482"/>
              <w:textAlignment w:val="baseline"/>
              <w:rPr>
                <w:color w:val="000000" w:themeColor="text1"/>
                <w:sz w:val="24"/>
                <w:highlight w:val="none"/>
              </w:rPr>
            </w:pPr>
            <w:r>
              <w:rPr>
                <w:color w:val="000000" w:themeColor="text1"/>
                <w:sz w:val="24"/>
                <w:highlight w:val="none"/>
              </w:rPr>
              <w:t>本</w:t>
            </w:r>
            <w:r>
              <w:rPr>
                <w:rFonts w:hAnsiTheme="minorEastAsia" w:eastAsiaTheme="minorEastAsia"/>
                <w:color w:val="000000" w:themeColor="text1"/>
                <w:kern w:val="0"/>
                <w:sz w:val="24"/>
                <w:szCs w:val="21"/>
                <w:highlight w:val="none"/>
              </w:rPr>
              <w:t>项目位于</w:t>
            </w:r>
            <w:r>
              <w:rPr>
                <w:rFonts w:hint="eastAsia" w:hAnsiTheme="minorEastAsia" w:eastAsiaTheme="minorEastAsia"/>
                <w:color w:val="000000" w:themeColor="text1"/>
                <w:kern w:val="0"/>
                <w:sz w:val="24"/>
                <w:szCs w:val="21"/>
                <w:highlight w:val="none"/>
              </w:rPr>
              <w:t>黑龙江省哈尔滨市香坊区成高子镇和平村</w:t>
            </w:r>
            <w:r>
              <w:rPr>
                <w:rFonts w:hAnsiTheme="minorEastAsia" w:eastAsiaTheme="minorEastAsia"/>
                <w:color w:val="000000" w:themeColor="text1"/>
                <w:kern w:val="0"/>
                <w:sz w:val="24"/>
                <w:szCs w:val="21"/>
                <w:highlight w:val="none"/>
              </w:rPr>
              <w:t>，根据《自然资源部办公厅关于依据</w:t>
            </w:r>
            <w:r>
              <w:rPr>
                <w:rFonts w:hint="eastAsia" w:hAnsiTheme="minorEastAsia" w:eastAsiaTheme="minorEastAsia"/>
                <w:color w:val="000000" w:themeColor="text1"/>
                <w:kern w:val="0"/>
                <w:sz w:val="24"/>
                <w:szCs w:val="21"/>
                <w:highlight w:val="none"/>
              </w:rPr>
              <w:t>“</w:t>
            </w:r>
            <w:r>
              <w:rPr>
                <w:rFonts w:hAnsiTheme="minorEastAsia" w:eastAsiaTheme="minorEastAsia"/>
                <w:color w:val="000000" w:themeColor="text1"/>
                <w:kern w:val="0"/>
                <w:sz w:val="24"/>
                <w:szCs w:val="21"/>
                <w:highlight w:val="none"/>
              </w:rPr>
              <w:t>三区三线</w:t>
            </w:r>
            <w:r>
              <w:rPr>
                <w:rFonts w:hint="eastAsia" w:hAnsiTheme="minorEastAsia" w:eastAsiaTheme="minorEastAsia"/>
                <w:color w:val="000000" w:themeColor="text1"/>
                <w:kern w:val="0"/>
                <w:sz w:val="24"/>
                <w:szCs w:val="21"/>
                <w:highlight w:val="none"/>
              </w:rPr>
              <w:t>”</w:t>
            </w:r>
            <w:r>
              <w:rPr>
                <w:rFonts w:hAnsiTheme="minorEastAsia" w:eastAsiaTheme="minorEastAsia"/>
                <w:color w:val="000000" w:themeColor="text1"/>
                <w:kern w:val="0"/>
                <w:sz w:val="24"/>
                <w:szCs w:val="21"/>
                <w:highlight w:val="none"/>
              </w:rPr>
              <w:t>划定成果报批建设项目用地用海有关事宜的函》，本项目建设不涉及生态保护红线。</w:t>
            </w:r>
          </w:p>
          <w:p>
            <w:pPr>
              <w:numPr>
                <w:ilvl w:val="0"/>
                <w:numId w:val="1"/>
              </w:numPr>
              <w:autoSpaceDE w:val="0"/>
              <w:autoSpaceDN w:val="0"/>
              <w:adjustRightInd w:val="0"/>
              <w:snapToGrid w:val="0"/>
              <w:spacing w:line="360" w:lineRule="auto"/>
              <w:ind w:firstLine="480" w:firstLineChars="200"/>
              <w:rPr>
                <w:color w:val="000000" w:themeColor="text1"/>
                <w:kern w:val="0"/>
                <w:sz w:val="24"/>
                <w:highlight w:val="none"/>
              </w:rPr>
            </w:pPr>
            <w:r>
              <w:rPr>
                <w:color w:val="000000" w:themeColor="text1"/>
                <w:kern w:val="0"/>
                <w:sz w:val="24"/>
                <w:highlight w:val="none"/>
              </w:rPr>
              <w:t>环境质量底线</w:t>
            </w:r>
          </w:p>
          <w:p>
            <w:pPr>
              <w:autoSpaceDE w:val="0"/>
              <w:autoSpaceDN w:val="0"/>
              <w:adjustRightInd w:val="0"/>
              <w:snapToGrid w:val="0"/>
              <w:spacing w:line="360" w:lineRule="auto"/>
              <w:ind w:firstLine="480" w:firstLineChars="200"/>
              <w:rPr>
                <w:color w:val="000000" w:themeColor="text1"/>
                <w:highlight w:val="none"/>
              </w:rPr>
            </w:pPr>
            <w:r>
              <w:rPr>
                <w:color w:val="000000" w:themeColor="text1"/>
                <w:kern w:val="0"/>
                <w:sz w:val="24"/>
                <w:highlight w:val="none"/>
              </w:rPr>
              <w:t>根</w:t>
            </w:r>
            <w:r>
              <w:rPr>
                <w:color w:val="000000" w:themeColor="text1"/>
                <w:sz w:val="24"/>
                <w:highlight w:val="none"/>
              </w:rPr>
              <w:t>据《哈尔滨市生态环境质量报告书（202</w:t>
            </w:r>
            <w:r>
              <w:rPr>
                <w:rFonts w:hint="eastAsia"/>
                <w:color w:val="000000" w:themeColor="text1"/>
                <w:sz w:val="24"/>
                <w:highlight w:val="none"/>
              </w:rPr>
              <w:t>2</w:t>
            </w:r>
            <w:r>
              <w:rPr>
                <w:color w:val="000000" w:themeColor="text1"/>
                <w:sz w:val="24"/>
                <w:highlight w:val="none"/>
              </w:rPr>
              <w:t>年）》结果，评价区环境空气质量不能够满足环境空气二类功能区要求，项目所在区域为不达标区，细颗粒物年评价指标超过《环境空气质量标准》（GB3095-2012）二级标准；本项目设置</w:t>
            </w:r>
            <w:r>
              <w:rPr>
                <w:rFonts w:hint="eastAsia"/>
                <w:color w:val="000000" w:themeColor="text1"/>
                <w:sz w:val="24"/>
                <w:highlight w:val="none"/>
              </w:rPr>
              <w:t>一条</w:t>
            </w:r>
            <w:r>
              <w:rPr>
                <w:rFonts w:hAnsi="宋体"/>
                <w:bCs/>
                <w:sz w:val="24"/>
                <w:highlight w:val="none"/>
              </w:rPr>
              <w:t>稳定碎石料生产线</w:t>
            </w:r>
            <w:r>
              <w:rPr>
                <w:color w:val="000000" w:themeColor="text1"/>
                <w:sz w:val="24"/>
                <w:highlight w:val="none"/>
              </w:rPr>
              <w:t>，产生的主要污染物为颗粒物，产生污染物总量较小，且采取相应的环保措施，各类污染物的排放对周边的环境影响较小，不会改变项目所在区域的环境功能，本项目的建设不会突破周边环境质量底线</w:t>
            </w:r>
            <w:r>
              <w:rPr>
                <w:rFonts w:hAnsiTheme="minorEastAsia" w:eastAsiaTheme="minorEastAsia"/>
                <w:color w:val="000000" w:themeColor="text1"/>
                <w:sz w:val="24"/>
                <w:highlight w:val="none"/>
              </w:rPr>
              <w:t>。</w:t>
            </w:r>
          </w:p>
          <w:p>
            <w:pPr>
              <w:pStyle w:val="19"/>
              <w:spacing w:before="0" w:beforeAutospacing="0" w:after="0" w:afterAutospacing="0" w:line="360" w:lineRule="auto"/>
              <w:ind w:firstLine="480" w:firstLineChars="200"/>
              <w:rPr>
                <w:rFonts w:hAnsiTheme="minorEastAsia" w:eastAsiaTheme="minorEastAsia"/>
                <w:color w:val="000000" w:themeColor="text1"/>
                <w:highlight w:val="none"/>
              </w:rPr>
            </w:pPr>
            <w:r>
              <w:rPr>
                <w:rFonts w:ascii="Times New Roman" w:hAnsi="Times New Roman"/>
                <w:color w:val="000000" w:themeColor="text1"/>
                <w:highlight w:val="none"/>
              </w:rPr>
              <w:t>本项目附近地表水水体为</w:t>
            </w:r>
            <w:r>
              <w:rPr>
                <w:rFonts w:hint="eastAsia" w:ascii="Times New Roman" w:hAnsi="Times New Roman"/>
                <w:color w:val="000000" w:themeColor="text1"/>
                <w:highlight w:val="none"/>
              </w:rPr>
              <w:t>新立沟</w:t>
            </w:r>
            <w:r>
              <w:rPr>
                <w:rFonts w:ascii="Times New Roman" w:hAnsi="Times New Roman"/>
                <w:color w:val="000000" w:themeColor="text1"/>
                <w:highlight w:val="none"/>
              </w:rPr>
              <w:t>，</w:t>
            </w:r>
            <w:r>
              <w:rPr>
                <w:rFonts w:hint="eastAsia" w:ascii="Times New Roman" w:hAnsi="Times New Roman"/>
                <w:color w:val="000000" w:themeColor="text1"/>
                <w:highlight w:val="none"/>
              </w:rPr>
              <w:t>由于该水体无相关信息，故使用其汇入水体阿什河水质信息，</w:t>
            </w:r>
            <w:r>
              <w:rPr>
                <w:rFonts w:ascii="Times New Roman" w:hAnsi="Times New Roman"/>
                <w:color w:val="000000" w:themeColor="text1"/>
                <w:highlight w:val="none"/>
              </w:rPr>
              <w:t>根据《哈尔滨市生态环境质量报告书2022年》可知，2022年</w:t>
            </w:r>
            <w:r>
              <w:rPr>
                <w:rFonts w:hint="eastAsia" w:ascii="Times New Roman" w:hAnsi="Times New Roman"/>
                <w:color w:val="000000" w:themeColor="text1"/>
                <w:highlight w:val="none"/>
              </w:rPr>
              <w:t>阿什河</w:t>
            </w:r>
            <w:r>
              <w:rPr>
                <w:rFonts w:ascii="Times New Roman" w:hAnsi="Times New Roman"/>
                <w:color w:val="000000" w:themeColor="text1"/>
                <w:highlight w:val="none"/>
              </w:rPr>
              <w:t>水质</w:t>
            </w:r>
            <w:r>
              <w:rPr>
                <w:rFonts w:hint="eastAsia" w:ascii="Times New Roman" w:hAnsi="Times New Roman"/>
                <w:color w:val="000000" w:themeColor="text1"/>
                <w:highlight w:val="none"/>
              </w:rPr>
              <w:t>现状</w:t>
            </w:r>
            <w:r>
              <w:rPr>
                <w:rFonts w:ascii="Times New Roman" w:hAnsi="Times New Roman"/>
                <w:color w:val="000000" w:themeColor="text1"/>
                <w:highlight w:val="none"/>
              </w:rPr>
              <w:t>符合Ⅲ类标准</w:t>
            </w:r>
            <w:r>
              <w:rPr>
                <w:color w:val="000000" w:themeColor="text1"/>
                <w:highlight w:val="none"/>
              </w:rPr>
              <w:t>；</w:t>
            </w:r>
            <w:r>
              <w:rPr>
                <w:rFonts w:hAnsiTheme="minorEastAsia" w:eastAsiaTheme="minorEastAsia"/>
                <w:color w:val="000000" w:themeColor="text1"/>
                <w:highlight w:val="none"/>
              </w:rPr>
              <w:t>本项目</w:t>
            </w:r>
            <w:r>
              <w:rPr>
                <w:rFonts w:hint="eastAsia" w:hAnsiTheme="minorEastAsia" w:eastAsiaTheme="minorEastAsia"/>
                <w:color w:val="000000" w:themeColor="text1"/>
                <w:highlight w:val="none"/>
              </w:rPr>
              <w:t>生活污水依托</w:t>
            </w:r>
            <w:r>
              <w:rPr>
                <w:rFonts w:hint="eastAsia" w:hAnsiTheme="minorEastAsia" w:eastAsiaTheme="minorEastAsia"/>
                <w:color w:val="000000" w:themeColor="text1"/>
                <w:highlight w:val="none"/>
                <w:lang w:eastAsia="zh-CN"/>
              </w:rPr>
              <w:t>垃圾填埋场</w:t>
            </w:r>
            <w:r>
              <w:rPr>
                <w:rFonts w:hint="eastAsia" w:hAnsiTheme="minorEastAsia" w:eastAsiaTheme="minorEastAsia"/>
                <w:color w:val="000000" w:themeColor="text1"/>
                <w:highlight w:val="none"/>
              </w:rPr>
              <w:t>防渗旱厕</w:t>
            </w:r>
            <w:r>
              <w:rPr>
                <w:rFonts w:hAnsiTheme="minorEastAsia" w:eastAsiaTheme="minorEastAsia"/>
                <w:color w:val="000000" w:themeColor="text1"/>
                <w:highlight w:val="none"/>
              </w:rPr>
              <w:t>。</w:t>
            </w:r>
          </w:p>
          <w:p>
            <w:pPr>
              <w:autoSpaceDE w:val="0"/>
              <w:autoSpaceDN w:val="0"/>
              <w:adjustRightInd w:val="0"/>
              <w:snapToGrid w:val="0"/>
              <w:spacing w:line="360" w:lineRule="auto"/>
              <w:ind w:firstLine="480" w:firstLineChars="200"/>
              <w:rPr>
                <w:rFonts w:hAnsiTheme="minorEastAsia" w:eastAsiaTheme="minorEastAsia"/>
                <w:color w:val="000000" w:themeColor="text1"/>
                <w:kern w:val="0"/>
                <w:sz w:val="24"/>
                <w:highlight w:val="none"/>
              </w:rPr>
            </w:pPr>
            <w:r>
              <w:rPr>
                <w:rFonts w:hint="eastAsia" w:hAnsiTheme="minorEastAsia" w:eastAsiaTheme="minorEastAsia"/>
                <w:color w:val="000000" w:themeColor="text1"/>
                <w:kern w:val="0"/>
                <w:sz w:val="24"/>
                <w:highlight w:val="none"/>
              </w:rPr>
              <w:t>本项目冬季采用电取暖，生产厂房封闭</w:t>
            </w:r>
            <w:r>
              <w:rPr>
                <w:rFonts w:hint="eastAsia"/>
                <w:color w:val="000000" w:themeColor="text1"/>
                <w:kern w:val="0"/>
                <w:sz w:val="24"/>
                <w:highlight w:val="none"/>
              </w:rPr>
              <w:t>，</w:t>
            </w:r>
            <w:r>
              <w:rPr>
                <w:rFonts w:hAnsiTheme="minorEastAsia" w:eastAsiaTheme="minorEastAsia"/>
                <w:color w:val="000000" w:themeColor="text1"/>
                <w:kern w:val="0"/>
                <w:sz w:val="24"/>
                <w:highlight w:val="none"/>
              </w:rPr>
              <w:t>不属于需考虑大气沉降影响的行业，且项目不涉及地面漫流等，建设项目敏感程度为不敏感。</w:t>
            </w:r>
            <w:r>
              <w:rPr>
                <w:rFonts w:hint="eastAsia" w:hAnsiTheme="minorEastAsia" w:eastAsiaTheme="minorEastAsia"/>
                <w:color w:val="000000" w:themeColor="text1"/>
                <w:kern w:val="0"/>
                <w:sz w:val="24"/>
                <w:highlight w:val="none"/>
              </w:rPr>
              <w:t>本项目</w:t>
            </w:r>
            <w:r>
              <w:rPr>
                <w:rFonts w:hAnsiTheme="minorEastAsia" w:eastAsiaTheme="minorEastAsia"/>
                <w:color w:val="000000" w:themeColor="text1"/>
                <w:kern w:val="0"/>
                <w:sz w:val="24"/>
                <w:highlight w:val="none"/>
              </w:rPr>
              <w:t>产生的固体废物进行合理处置，处置率100%。故本项目不需要开展土壤环境影响评价。</w:t>
            </w:r>
          </w:p>
          <w:p>
            <w:pPr>
              <w:pStyle w:val="37"/>
              <w:ind w:firstLine="480"/>
              <w:rPr>
                <w:color w:val="000000" w:themeColor="text1"/>
                <w:highlight w:val="none"/>
              </w:rPr>
            </w:pPr>
            <w:r>
              <w:rPr>
                <w:rFonts w:ascii="Times New Roman" w:hAnsi="Times New Roman" w:cs="Times New Roman"/>
                <w:color w:val="000000" w:themeColor="text1"/>
                <w:kern w:val="0"/>
                <w:highlight w:val="none"/>
              </w:rPr>
              <w:t>本项目针对污染物均采取了有效的防治措施确保达标排放，对周围环境影响较小，不会降低项目所在地周边环境的环境功能质量，符合环境质量控制底线要求。</w:t>
            </w:r>
          </w:p>
          <w:p>
            <w:pPr>
              <w:autoSpaceDE w:val="0"/>
              <w:autoSpaceDN w:val="0"/>
              <w:adjustRightInd w:val="0"/>
              <w:snapToGrid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（3）</w:t>
            </w:r>
            <w:r>
              <w:rPr>
                <w:color w:val="000000" w:themeColor="text1"/>
                <w:kern w:val="0"/>
                <w:sz w:val="24"/>
                <w:highlight w:val="none"/>
              </w:rPr>
              <w:t>资源利用上线</w:t>
            </w:r>
          </w:p>
          <w:p>
            <w:pPr>
              <w:autoSpaceDE w:val="0"/>
              <w:autoSpaceDN w:val="0"/>
              <w:adjustRightInd w:val="0"/>
              <w:snapToGrid w:val="0"/>
              <w:spacing w:line="360" w:lineRule="auto"/>
              <w:ind w:firstLine="480" w:firstLineChars="200"/>
              <w:rPr>
                <w:color w:val="000000" w:themeColor="text1"/>
                <w:kern w:val="0"/>
                <w:sz w:val="24"/>
                <w:highlight w:val="none"/>
              </w:rPr>
            </w:pPr>
            <w:r>
              <w:rPr>
                <w:color w:val="000000" w:themeColor="text1"/>
                <w:kern w:val="0"/>
                <w:sz w:val="24"/>
                <w:highlight w:val="none"/>
              </w:rPr>
              <w:t>本项目冬季采</w:t>
            </w:r>
            <w:r>
              <w:rPr>
                <w:rFonts w:hint="eastAsia"/>
                <w:color w:val="000000" w:themeColor="text1"/>
                <w:kern w:val="0"/>
                <w:sz w:val="24"/>
                <w:highlight w:val="none"/>
              </w:rPr>
              <w:t>用电取暖</w:t>
            </w:r>
            <w:r>
              <w:rPr>
                <w:color w:val="000000" w:themeColor="text1"/>
                <w:kern w:val="0"/>
                <w:sz w:val="24"/>
                <w:highlight w:val="none"/>
              </w:rPr>
              <w:t>，不设置锅炉房，不使用高污染燃料。本项目所在区域不属于地下水超采区</w:t>
            </w:r>
            <w:r>
              <w:rPr>
                <w:rFonts w:hint="eastAsia"/>
                <w:color w:val="000000" w:themeColor="text1"/>
                <w:kern w:val="0"/>
                <w:sz w:val="24"/>
                <w:highlight w:val="none"/>
              </w:rPr>
              <w:t>，本项目用地性质为采矿用地-批准企业用地，</w:t>
            </w:r>
            <w:r>
              <w:rPr>
                <w:color w:val="000000" w:themeColor="text1"/>
                <w:kern w:val="0"/>
                <w:sz w:val="24"/>
                <w:highlight w:val="none"/>
              </w:rPr>
              <w:t>本项目</w:t>
            </w:r>
            <w:r>
              <w:rPr>
                <w:rFonts w:hint="eastAsia"/>
                <w:color w:val="000000" w:themeColor="text1"/>
                <w:kern w:val="0"/>
                <w:sz w:val="24"/>
                <w:highlight w:val="none"/>
              </w:rPr>
              <w:t>生产</w:t>
            </w:r>
            <w:r>
              <w:rPr>
                <w:color w:val="000000" w:themeColor="text1"/>
                <w:kern w:val="0"/>
                <w:sz w:val="24"/>
                <w:highlight w:val="none"/>
              </w:rPr>
              <w:t>用水由</w:t>
            </w:r>
            <w:r>
              <w:rPr>
                <w:rFonts w:hint="eastAsia"/>
                <w:color w:val="000000" w:themeColor="text1"/>
                <w:kern w:val="0"/>
                <w:sz w:val="24"/>
                <w:highlight w:val="none"/>
              </w:rPr>
              <w:t>厂区自打水井</w:t>
            </w:r>
            <w:r>
              <w:rPr>
                <w:color w:val="000000" w:themeColor="text1"/>
                <w:kern w:val="0"/>
                <w:sz w:val="24"/>
                <w:highlight w:val="none"/>
              </w:rPr>
              <w:t>提供，</w:t>
            </w:r>
            <w:r>
              <w:rPr>
                <w:rFonts w:hint="eastAsia"/>
                <w:color w:val="000000" w:themeColor="text1"/>
                <w:kern w:val="0"/>
                <w:sz w:val="24"/>
                <w:highlight w:val="none"/>
              </w:rPr>
              <w:t>员工生活用水外购，</w:t>
            </w:r>
            <w:r>
              <w:rPr>
                <w:color w:val="000000" w:themeColor="text1"/>
                <w:kern w:val="0"/>
                <w:sz w:val="24"/>
                <w:highlight w:val="none"/>
              </w:rPr>
              <w:t>不会超过区域水资源承载能力</w:t>
            </w:r>
            <w:r>
              <w:rPr>
                <w:rFonts w:hint="eastAsia"/>
                <w:color w:val="000000" w:themeColor="text1"/>
                <w:kern w:val="0"/>
                <w:sz w:val="24"/>
                <w:highlight w:val="none"/>
              </w:rPr>
              <w:t>。</w:t>
            </w:r>
            <w:r>
              <w:rPr>
                <w:color w:val="000000" w:themeColor="text1"/>
                <w:kern w:val="0"/>
                <w:sz w:val="24"/>
                <w:highlight w:val="none"/>
              </w:rPr>
              <w:t>因此本项目符合</w:t>
            </w:r>
            <w:r>
              <w:rPr>
                <w:rFonts w:hint="eastAsia"/>
                <w:color w:val="000000" w:themeColor="text1"/>
                <w:kern w:val="0"/>
                <w:sz w:val="24"/>
                <w:highlight w:val="none"/>
              </w:rPr>
              <w:t>“</w:t>
            </w:r>
            <w:r>
              <w:rPr>
                <w:color w:val="000000" w:themeColor="text1"/>
                <w:kern w:val="0"/>
                <w:sz w:val="24"/>
                <w:highlight w:val="none"/>
              </w:rPr>
              <w:t>三线一单</w:t>
            </w:r>
            <w:r>
              <w:rPr>
                <w:rFonts w:hint="eastAsia"/>
                <w:color w:val="000000" w:themeColor="text1"/>
                <w:kern w:val="0"/>
                <w:sz w:val="24"/>
                <w:highlight w:val="none"/>
              </w:rPr>
              <w:t>”</w:t>
            </w:r>
            <w:r>
              <w:rPr>
                <w:color w:val="000000" w:themeColor="text1"/>
                <w:kern w:val="0"/>
                <w:sz w:val="24"/>
                <w:highlight w:val="none"/>
              </w:rPr>
              <w:t>中哈尔滨市能源利用上线、水资源利用上线和土地资源利用上线的相关要求。</w:t>
            </w:r>
          </w:p>
          <w:p>
            <w:pPr>
              <w:autoSpaceDE w:val="0"/>
              <w:autoSpaceDN w:val="0"/>
              <w:adjustRightInd w:val="0"/>
              <w:snapToGrid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（4）</w:t>
            </w:r>
            <w:r>
              <w:rPr>
                <w:color w:val="000000" w:themeColor="text1"/>
                <w:kern w:val="0"/>
                <w:sz w:val="24"/>
                <w:highlight w:val="none"/>
              </w:rPr>
              <w:t>生态环境准入清单：</w:t>
            </w:r>
          </w:p>
          <w:p>
            <w:pPr>
              <w:autoSpaceDE w:val="0"/>
              <w:autoSpaceDN w:val="0"/>
              <w:adjustRightInd w:val="0"/>
              <w:snapToGrid w:val="0"/>
              <w:spacing w:line="360" w:lineRule="auto"/>
              <w:ind w:firstLine="480" w:firstLineChars="200"/>
              <w:rPr>
                <w:color w:val="000000" w:themeColor="text1"/>
                <w:kern w:val="0"/>
                <w:sz w:val="24"/>
                <w:highlight w:val="none"/>
              </w:rPr>
            </w:pPr>
            <w:r>
              <w:rPr>
                <w:color w:val="000000" w:themeColor="text1"/>
                <w:kern w:val="0"/>
                <w:sz w:val="24"/>
                <w:highlight w:val="none"/>
              </w:rPr>
              <w:t>本项目与《哈尔滨市生态环境准入清单》</w:t>
            </w:r>
            <w:r>
              <w:rPr>
                <w:rFonts w:hint="eastAsia"/>
                <w:color w:val="000000" w:themeColor="text1"/>
                <w:kern w:val="0"/>
                <w:sz w:val="24"/>
                <w:highlight w:val="none"/>
              </w:rPr>
              <w:t>（2023年版）</w:t>
            </w:r>
            <w:r>
              <w:rPr>
                <w:color w:val="000000" w:themeColor="text1"/>
                <w:kern w:val="0"/>
                <w:sz w:val="24"/>
                <w:highlight w:val="none"/>
              </w:rPr>
              <w:t>对照情况见表1-</w:t>
            </w:r>
            <w:r>
              <w:rPr>
                <w:rFonts w:hint="eastAsia"/>
                <w:color w:val="000000" w:themeColor="text1"/>
                <w:kern w:val="0"/>
                <w:sz w:val="24"/>
                <w:highlight w:val="none"/>
              </w:rPr>
              <w:t>2</w:t>
            </w:r>
            <w:r>
              <w:rPr>
                <w:color w:val="000000" w:themeColor="text1"/>
                <w:kern w:val="0"/>
                <w:sz w:val="24"/>
                <w:highlight w:val="none"/>
              </w:rPr>
              <w:t>。</w:t>
            </w:r>
          </w:p>
          <w:p>
            <w:pPr>
              <w:autoSpaceDE w:val="0"/>
              <w:autoSpaceDN w:val="0"/>
              <w:adjustRightInd w:val="0"/>
              <w:snapToGrid w:val="0"/>
              <w:spacing w:line="360" w:lineRule="auto"/>
              <w:ind w:left="420" w:leftChars="200"/>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1-</w:t>
            </w:r>
            <w:r>
              <w:rPr>
                <w:rFonts w:hint="eastAsia" w:eastAsiaTheme="minorEastAsia"/>
                <w:b/>
                <w:color w:val="000000" w:themeColor="text1"/>
                <w:sz w:val="24"/>
                <w:highlight w:val="none"/>
              </w:rPr>
              <w:t>2</w:t>
            </w:r>
            <w:r>
              <w:rPr>
                <w:rFonts w:hAnsiTheme="minorEastAsia" w:eastAsiaTheme="minorEastAsia"/>
                <w:b/>
                <w:color w:val="000000" w:themeColor="text1"/>
                <w:sz w:val="24"/>
                <w:highlight w:val="none"/>
              </w:rPr>
              <w:t>生态环境准入清单管控要求符合性分析</w:t>
            </w:r>
          </w:p>
          <w:tbl>
            <w:tblPr>
              <w:tblStyle w:val="23"/>
              <w:tblpPr w:leftFromText="180" w:rightFromText="180" w:vertAnchor="text" w:tblpX="5" w:tblpY="1"/>
              <w:tblOverlap w:val="never"/>
              <w:tblW w:w="498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41"/>
              <w:gridCol w:w="668"/>
              <w:gridCol w:w="395"/>
              <w:gridCol w:w="3582"/>
              <w:gridCol w:w="16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53"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环境管控单元编码</w:t>
                  </w:r>
                </w:p>
              </w:tc>
              <w:tc>
                <w:tcPr>
                  <w:tcW w:w="422"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环境管控单元名称</w:t>
                  </w:r>
                </w:p>
              </w:tc>
              <w:tc>
                <w:tcPr>
                  <w:tcW w:w="440"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管控单元类别</w:t>
                  </w:r>
                </w:p>
              </w:tc>
              <w:tc>
                <w:tcPr>
                  <w:tcW w:w="2619" w:type="pct"/>
                  <w:gridSpan w:val="2"/>
                  <w:vAlign w:val="center"/>
                </w:tcPr>
                <w:p>
                  <w:pPr>
                    <w:jc w:val="center"/>
                    <w:rPr>
                      <w:rFonts w:eastAsiaTheme="minorEastAsia"/>
                      <w:color w:val="000000" w:themeColor="text1"/>
                      <w:szCs w:val="21"/>
                      <w:highlight w:val="none"/>
                    </w:rPr>
                  </w:pPr>
                  <w:r>
                    <w:rPr>
                      <w:rFonts w:eastAsiaTheme="minorEastAsia"/>
                      <w:color w:val="000000" w:themeColor="text1"/>
                      <w:kern w:val="0"/>
                      <w:szCs w:val="21"/>
                      <w:highlight w:val="none"/>
                    </w:rPr>
                    <w:t>管控要求</w:t>
                  </w:r>
                </w:p>
              </w:tc>
              <w:tc>
                <w:tcPr>
                  <w:tcW w:w="1064"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453"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ZH23011020005</w:t>
                  </w:r>
                </w:p>
              </w:tc>
              <w:tc>
                <w:tcPr>
                  <w:tcW w:w="422"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香坊区水环境城镇生活污染重点管控区</w:t>
                  </w:r>
                </w:p>
              </w:tc>
              <w:tc>
                <w:tcPr>
                  <w:tcW w:w="440"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重点管控单元</w:t>
                  </w:r>
                </w:p>
              </w:tc>
              <w:tc>
                <w:tcPr>
                  <w:tcW w:w="260"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空间布局约束</w:t>
                  </w:r>
                </w:p>
              </w:tc>
              <w:tc>
                <w:tcPr>
                  <w:tcW w:w="2359" w:type="pct"/>
                  <w:vAlign w:val="center"/>
                </w:tcPr>
                <w:p>
                  <w:pPr>
                    <w:jc w:val="left"/>
                    <w:rPr>
                      <w:rFonts w:eastAsiaTheme="minorEastAsia"/>
                      <w:color w:val="000000" w:themeColor="text1"/>
                      <w:szCs w:val="21"/>
                      <w:highlight w:val="none"/>
                    </w:rPr>
                  </w:pPr>
                  <w:r>
                    <w:rPr>
                      <w:rFonts w:hint="eastAsia" w:eastAsiaTheme="minorEastAsia"/>
                      <w:color w:val="000000" w:themeColor="text1"/>
                      <w:szCs w:val="21"/>
                      <w:highlight w:val="none"/>
                    </w:rPr>
                    <w:t>执行要求：除干旱地区外，新建城区应全面实行雨污分流，鼓励对初期雨水进行收集、处理和资源化利用。</w:t>
                  </w:r>
                </w:p>
                <w:p>
                  <w:pPr>
                    <w:jc w:val="left"/>
                    <w:rPr>
                      <w:rFonts w:eastAsiaTheme="minorEastAsia"/>
                      <w:color w:val="000000" w:themeColor="text1"/>
                      <w:szCs w:val="21"/>
                      <w:highlight w:val="none"/>
                    </w:rPr>
                  </w:pPr>
                  <w:r>
                    <w:rPr>
                      <w:rFonts w:eastAsiaTheme="minorEastAsia"/>
                      <w:color w:val="000000" w:themeColor="text1"/>
                      <w:szCs w:val="21"/>
                      <w:highlight w:val="none"/>
                    </w:rPr>
                    <w:t>大气环境布局敏感重点管控区</w:t>
                  </w:r>
                  <w:r>
                    <w:rPr>
                      <w:rFonts w:hint="eastAsia" w:eastAsiaTheme="minorEastAsia"/>
                      <w:color w:val="000000" w:themeColor="text1"/>
                      <w:szCs w:val="21"/>
                      <w:highlight w:val="none"/>
                    </w:rPr>
                    <w:t>同时执行要求。</w:t>
                  </w:r>
                </w:p>
                <w:p>
                  <w:pPr>
                    <w:jc w:val="left"/>
                    <w:rPr>
                      <w:rFonts w:eastAsiaTheme="minorEastAsia"/>
                      <w:color w:val="000000" w:themeColor="text1"/>
                      <w:szCs w:val="21"/>
                      <w:highlight w:val="none"/>
                    </w:rPr>
                  </w:pPr>
                  <w:r>
                    <w:rPr>
                      <w:rFonts w:hint="eastAsia" w:eastAsiaTheme="minorEastAsia"/>
                      <w:color w:val="000000" w:themeColor="text1"/>
                      <w:szCs w:val="21"/>
                      <w:highlight w:val="none"/>
                    </w:rPr>
                    <w:t>1.严控“两高”行业产能。严格执行钢铁、水泥、平板玻璃等行业产能置换实施办法。2.利用水泥窑协同处置城市生活垃圾、危险废弃物、电石渣等固废伴生水泥项目，必须依托现有新型干法水泥熟料生产线进行不扩产能改造。</w:t>
                  </w:r>
                </w:p>
              </w:tc>
              <w:tc>
                <w:tcPr>
                  <w:tcW w:w="1064" w:type="pct"/>
                  <w:vAlign w:val="center"/>
                </w:tcPr>
                <w:p>
                  <w:pPr>
                    <w:widowControl/>
                    <w:wordWrap w:val="0"/>
                    <w:jc w:val="left"/>
                    <w:rPr>
                      <w:rFonts w:eastAsiaTheme="minorEastAsia"/>
                      <w:color w:val="000000" w:themeColor="text1"/>
                      <w:spacing w:val="-8"/>
                      <w:szCs w:val="21"/>
                      <w:highlight w:val="none"/>
                    </w:rPr>
                  </w:pPr>
                  <w:r>
                    <w:rPr>
                      <w:rFonts w:eastAsiaTheme="minorEastAsia"/>
                      <w:color w:val="000000" w:themeColor="text1"/>
                      <w:kern w:val="0"/>
                      <w:szCs w:val="21"/>
                      <w:highlight w:val="none"/>
                    </w:rPr>
                    <w:t>本项目</w:t>
                  </w:r>
                  <w:r>
                    <w:rPr>
                      <w:rFonts w:hint="eastAsia" w:eastAsiaTheme="minorEastAsia"/>
                      <w:color w:val="000000" w:themeColor="text1"/>
                      <w:kern w:val="0"/>
                      <w:szCs w:val="21"/>
                      <w:highlight w:val="none"/>
                    </w:rPr>
                    <w:t>同时位于</w:t>
                  </w:r>
                  <w:r>
                    <w:rPr>
                      <w:rFonts w:eastAsiaTheme="minorEastAsia"/>
                      <w:color w:val="000000" w:themeColor="text1"/>
                      <w:szCs w:val="21"/>
                      <w:highlight w:val="none"/>
                    </w:rPr>
                    <w:t>大气环境布局敏感重点管控区</w:t>
                  </w:r>
                  <w:r>
                    <w:rPr>
                      <w:rFonts w:hint="eastAsia" w:eastAsiaTheme="minorEastAsia"/>
                      <w:color w:val="000000" w:themeColor="text1"/>
                      <w:szCs w:val="21"/>
                      <w:highlight w:val="none"/>
                    </w:rPr>
                    <w:t>，本项目为其他建筑材料制造项目，本项目不位于新建城区，不属于“两高”行业，不属于处置城市生活垃圾、危险废弃物、电石渣等固废伴生水泥项目，</w:t>
                  </w:r>
                  <w:r>
                    <w:rPr>
                      <w:rFonts w:eastAsiaTheme="minorEastAsia"/>
                      <w:color w:val="000000" w:themeColor="text1"/>
                      <w:kern w:val="0"/>
                      <w:szCs w:val="21"/>
                      <w:highlight w:val="none"/>
                    </w:rPr>
                    <w:t>符合管控要求</w:t>
                  </w:r>
                  <w:r>
                    <w:rPr>
                      <w:rFonts w:hint="eastAsia" w:eastAsiaTheme="minorEastAsia"/>
                      <w:color w:val="000000" w:themeColor="text1"/>
                      <w:kern w:val="0"/>
                      <w:szCs w:val="21"/>
                      <w:highlight w:val="none"/>
                    </w:rPr>
                    <w:t>。</w:t>
                  </w:r>
                </w:p>
              </w:tc>
            </w:tr>
          </w:tbl>
          <w:p>
            <w:pPr>
              <w:rPr>
                <w:highlight w:val="none"/>
              </w:rPr>
            </w:pPr>
          </w:p>
          <w:p>
            <w:pPr>
              <w:pStyle w:val="5"/>
              <w:rPr>
                <w:highlight w:val="none"/>
              </w:rPr>
            </w:pPr>
          </w:p>
          <w:p>
            <w:pPr>
              <w:autoSpaceDE w:val="0"/>
              <w:autoSpaceDN w:val="0"/>
              <w:adjustRightInd w:val="0"/>
              <w:snapToGrid w:val="0"/>
              <w:spacing w:line="360" w:lineRule="auto"/>
              <w:ind w:left="420" w:leftChars="200"/>
              <w:jc w:val="center"/>
              <w:rPr>
                <w:color w:val="000000" w:themeColor="text1"/>
                <w:highlight w:val="none"/>
              </w:rPr>
            </w:pPr>
            <w:r>
              <w:rPr>
                <w:rFonts w:hint="eastAsia" w:hAnsiTheme="minorEastAsia" w:eastAsiaTheme="minorEastAsia"/>
                <w:b/>
                <w:color w:val="000000" w:themeColor="text1"/>
                <w:sz w:val="24"/>
                <w:highlight w:val="none"/>
              </w:rPr>
              <w:t>续</w:t>
            </w:r>
            <w:r>
              <w:rPr>
                <w:rFonts w:hAnsiTheme="minorEastAsia" w:eastAsiaTheme="minorEastAsia"/>
                <w:b/>
                <w:color w:val="000000" w:themeColor="text1"/>
                <w:sz w:val="24"/>
                <w:highlight w:val="none"/>
              </w:rPr>
              <w:t>表</w:t>
            </w:r>
            <w:r>
              <w:rPr>
                <w:rFonts w:eastAsiaTheme="minorEastAsia"/>
                <w:b/>
                <w:color w:val="000000" w:themeColor="text1"/>
                <w:sz w:val="24"/>
                <w:highlight w:val="none"/>
              </w:rPr>
              <w:t>1-</w:t>
            </w:r>
            <w:r>
              <w:rPr>
                <w:rFonts w:hint="eastAsia" w:eastAsiaTheme="minorEastAsia"/>
                <w:b/>
                <w:color w:val="000000" w:themeColor="text1"/>
                <w:sz w:val="24"/>
                <w:highlight w:val="none"/>
              </w:rPr>
              <w:t>2</w:t>
            </w:r>
            <w:r>
              <w:rPr>
                <w:rFonts w:hAnsiTheme="minorEastAsia" w:eastAsiaTheme="minorEastAsia"/>
                <w:b/>
                <w:color w:val="000000" w:themeColor="text1"/>
                <w:sz w:val="24"/>
                <w:highlight w:val="none"/>
              </w:rPr>
              <w:t>生态环境准入清单管控要求符合性分析</w:t>
            </w:r>
          </w:p>
          <w:tbl>
            <w:tblPr>
              <w:tblStyle w:val="23"/>
              <w:tblpPr w:leftFromText="180" w:rightFromText="180" w:vertAnchor="text" w:tblpX="5" w:tblpY="1"/>
              <w:tblOverlap w:val="never"/>
              <w:tblW w:w="498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42"/>
              <w:gridCol w:w="414"/>
              <w:gridCol w:w="420"/>
              <w:gridCol w:w="3810"/>
              <w:gridCol w:w="16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53"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环境管控单元编码</w:t>
                  </w:r>
                </w:p>
              </w:tc>
              <w:tc>
                <w:tcPr>
                  <w:tcW w:w="422"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环境管控单元名称</w:t>
                  </w:r>
                </w:p>
              </w:tc>
              <w:tc>
                <w:tcPr>
                  <w:tcW w:w="550" w:type="pct"/>
                  <w:gridSpan w:val="2"/>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管控单元类别</w:t>
                  </w:r>
                </w:p>
              </w:tc>
              <w:tc>
                <w:tcPr>
                  <w:tcW w:w="2509" w:type="pct"/>
                  <w:vAlign w:val="center"/>
                </w:tcPr>
                <w:p>
                  <w:pPr>
                    <w:jc w:val="center"/>
                    <w:rPr>
                      <w:rFonts w:eastAsiaTheme="minorEastAsia"/>
                      <w:color w:val="000000" w:themeColor="text1"/>
                      <w:szCs w:val="21"/>
                      <w:highlight w:val="none"/>
                    </w:rPr>
                  </w:pPr>
                  <w:r>
                    <w:rPr>
                      <w:rFonts w:eastAsiaTheme="minorEastAsia"/>
                      <w:color w:val="000000" w:themeColor="text1"/>
                      <w:kern w:val="0"/>
                      <w:szCs w:val="21"/>
                      <w:highlight w:val="none"/>
                    </w:rPr>
                    <w:t>管控要求</w:t>
                  </w:r>
                </w:p>
              </w:tc>
              <w:tc>
                <w:tcPr>
                  <w:tcW w:w="1064" w:type="pc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53" w:type="pct"/>
                  <w:vMerge w:val="restar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ZH23011020005</w:t>
                  </w:r>
                </w:p>
              </w:tc>
              <w:tc>
                <w:tcPr>
                  <w:tcW w:w="422" w:type="pct"/>
                  <w:vMerge w:val="restar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香坊区水环境城镇生活污染重点管控区</w:t>
                  </w:r>
                </w:p>
              </w:tc>
              <w:tc>
                <w:tcPr>
                  <w:tcW w:w="273" w:type="pct"/>
                  <w:vMerge w:val="restart"/>
                  <w:vAlign w:val="center"/>
                </w:tcPr>
                <w:p>
                  <w:pPr>
                    <w:jc w:val="center"/>
                    <w:rPr>
                      <w:rFonts w:eastAsiaTheme="minorEastAsia"/>
                      <w:color w:val="000000" w:themeColor="text1"/>
                      <w:szCs w:val="21"/>
                      <w:highlight w:val="none"/>
                    </w:rPr>
                  </w:pPr>
                  <w:r>
                    <w:rPr>
                      <w:rFonts w:eastAsiaTheme="minorEastAsia"/>
                      <w:color w:val="000000" w:themeColor="text1"/>
                      <w:szCs w:val="21"/>
                      <w:highlight w:val="none"/>
                    </w:rPr>
                    <w:t>重点管控单元</w:t>
                  </w:r>
                </w:p>
              </w:tc>
              <w:tc>
                <w:tcPr>
                  <w:tcW w:w="276" w:type="pct"/>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污染物排放管控</w:t>
                  </w:r>
                </w:p>
              </w:tc>
              <w:tc>
                <w:tcPr>
                  <w:tcW w:w="2509" w:type="pct"/>
                  <w:vAlign w:val="center"/>
                </w:tcPr>
                <w:p>
                  <w:pPr>
                    <w:jc w:val="left"/>
                    <w:rPr>
                      <w:rFonts w:eastAsiaTheme="minorEastAsia"/>
                      <w:color w:val="000000" w:themeColor="text1"/>
                      <w:szCs w:val="21"/>
                      <w:highlight w:val="none"/>
                    </w:rPr>
                  </w:pPr>
                  <w:r>
                    <w:rPr>
                      <w:rFonts w:hint="eastAsia" w:eastAsiaTheme="minorEastAsia"/>
                      <w:color w:val="000000" w:themeColor="text1"/>
                      <w:szCs w:val="21"/>
                      <w:highlight w:val="none"/>
                    </w:rPr>
                    <w:t>执行要求：</w:t>
                  </w:r>
                </w:p>
                <w:p>
                  <w:pPr>
                    <w:jc w:val="left"/>
                    <w:rPr>
                      <w:rFonts w:eastAsiaTheme="minorEastAsia"/>
                      <w:color w:val="000000" w:themeColor="text1"/>
                      <w:szCs w:val="21"/>
                      <w:highlight w:val="none"/>
                    </w:rPr>
                  </w:pPr>
                  <w:r>
                    <w:rPr>
                      <w:rFonts w:hint="eastAsia" w:eastAsiaTheme="minorEastAsia"/>
                      <w:color w:val="000000" w:themeColor="text1"/>
                      <w:szCs w:val="21"/>
                      <w:highlight w:val="none"/>
                    </w:rPr>
                    <w:t>1.新区污水管网规划建设应当与城市开发同步推进，除干旱地区外均实行雨污分流。2.强化城中村、老旧城区和城乡结合部污水截流、收集。3.推进合流制排水系统雨污分流改造，难以改造的，应采取截流、调蓄和治理等措施；推进现有污水处理设施配套管网建设；进一步提高城市、县城生活污水收集处理效能。4.县级以上人民政府应当根据国土空间、水污染防治、城镇排水与污水处理等规划，合理确定城镇排水与污水处理设施建设标准，统筹安排管网、泵站、污水处理厂以及污泥处理处置、再生水利用、雨水调蓄和排放等排水与污水处理设施建设和改造，提高城镇污水收集率和处理率。</w:t>
                  </w:r>
                </w:p>
                <w:p>
                  <w:pPr>
                    <w:jc w:val="left"/>
                    <w:rPr>
                      <w:rFonts w:eastAsiaTheme="minorEastAsia"/>
                      <w:color w:val="000000" w:themeColor="text1"/>
                      <w:szCs w:val="21"/>
                      <w:highlight w:val="none"/>
                    </w:rPr>
                  </w:pPr>
                  <w:r>
                    <w:rPr>
                      <w:rFonts w:eastAsiaTheme="minorEastAsia"/>
                      <w:color w:val="000000" w:themeColor="text1"/>
                      <w:szCs w:val="21"/>
                      <w:highlight w:val="none"/>
                    </w:rPr>
                    <w:t>大气环境布局敏感重点管控区</w:t>
                  </w:r>
                  <w:r>
                    <w:rPr>
                      <w:rFonts w:hint="eastAsia" w:eastAsiaTheme="minorEastAsia"/>
                      <w:color w:val="000000" w:themeColor="text1"/>
                      <w:szCs w:val="21"/>
                      <w:highlight w:val="none"/>
                    </w:rPr>
                    <w:t>同时执行要求：</w:t>
                  </w:r>
                </w:p>
                <w:p>
                  <w:pPr>
                    <w:jc w:val="left"/>
                    <w:rPr>
                      <w:rFonts w:eastAsiaTheme="minorEastAsia"/>
                      <w:color w:val="000000" w:themeColor="text1"/>
                      <w:szCs w:val="21"/>
                      <w:highlight w:val="none"/>
                    </w:rPr>
                  </w:pPr>
                  <w:r>
                    <w:rPr>
                      <w:rFonts w:hint="eastAsia" w:eastAsiaTheme="minorEastAsia"/>
                      <w:color w:val="000000" w:themeColor="text1"/>
                      <w:szCs w:val="21"/>
                      <w:highlight w:val="none"/>
                    </w:rPr>
                    <w:t>1.对以煤、石焦油、渣油、重油等为燃料的锅炉和工业炉窑，加快使用清洁低碳能源以及工厂余热、电力热力等进行替代。2.到2025年，在用65蒸吨/小时以上的燃煤锅炉（含电力）实现超低排放，钢铁企业基本实现超低排放。</w:t>
                  </w:r>
                </w:p>
              </w:tc>
              <w:tc>
                <w:tcPr>
                  <w:tcW w:w="1064" w:type="pct"/>
                  <w:vAlign w:val="center"/>
                </w:tcPr>
                <w:p>
                  <w:pPr>
                    <w:pStyle w:val="4"/>
                    <w:wordWrap w:val="0"/>
                    <w:rPr>
                      <w:rFonts w:eastAsiaTheme="minorEastAsia"/>
                      <w:color w:val="000000" w:themeColor="text1"/>
                      <w:sz w:val="21"/>
                      <w:szCs w:val="21"/>
                      <w:highlight w:val="none"/>
                    </w:rPr>
                  </w:pPr>
                  <w:r>
                    <w:rPr>
                      <w:rFonts w:hint="eastAsia" w:eastAsiaTheme="minorEastAsia"/>
                      <w:color w:val="000000" w:themeColor="text1"/>
                      <w:kern w:val="2"/>
                      <w:sz w:val="21"/>
                      <w:szCs w:val="21"/>
                      <w:highlight w:val="none"/>
                    </w:rPr>
                    <w:t>本项目同时位于</w:t>
                  </w:r>
                  <w:r>
                    <w:rPr>
                      <w:rFonts w:eastAsiaTheme="minorEastAsia"/>
                      <w:color w:val="000000" w:themeColor="text1"/>
                      <w:kern w:val="2"/>
                      <w:sz w:val="21"/>
                      <w:szCs w:val="21"/>
                      <w:highlight w:val="none"/>
                    </w:rPr>
                    <w:t>大气环境布局敏感重点管控区</w:t>
                  </w:r>
                  <w:r>
                    <w:rPr>
                      <w:rFonts w:hint="eastAsia" w:eastAsiaTheme="minorEastAsia"/>
                      <w:color w:val="000000" w:themeColor="text1"/>
                      <w:kern w:val="2"/>
                      <w:sz w:val="21"/>
                      <w:szCs w:val="21"/>
                      <w:highlight w:val="none"/>
                    </w:rPr>
                    <w:t>，本项目不位于城市新区，本项目生产废水仅为洒水降尘用水，生活污水依托</w:t>
                  </w:r>
                  <w:r>
                    <w:rPr>
                      <w:rFonts w:hint="eastAsia" w:eastAsiaTheme="minorEastAsia"/>
                      <w:color w:val="000000" w:themeColor="text1"/>
                      <w:kern w:val="2"/>
                      <w:sz w:val="21"/>
                      <w:szCs w:val="21"/>
                      <w:highlight w:val="none"/>
                      <w:lang w:eastAsia="zh-CN"/>
                    </w:rPr>
                    <w:t>垃圾填埋场</w:t>
                  </w:r>
                  <w:r>
                    <w:rPr>
                      <w:rFonts w:hint="eastAsia" w:eastAsiaTheme="minorEastAsia"/>
                      <w:color w:val="000000" w:themeColor="text1"/>
                      <w:kern w:val="2"/>
                      <w:sz w:val="21"/>
                      <w:szCs w:val="21"/>
                      <w:highlight w:val="none"/>
                    </w:rPr>
                    <w:t>防渗旱厕，本项目不建设锅炉及工业炉窑，设备均为电设备，符合管控要求。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53" w:type="pct"/>
                  <w:vMerge w:val="continue"/>
                  <w:vAlign w:val="center"/>
                </w:tcPr>
                <w:p>
                  <w:pPr>
                    <w:jc w:val="center"/>
                    <w:rPr>
                      <w:rFonts w:eastAsiaTheme="minorEastAsia"/>
                      <w:color w:val="000000" w:themeColor="text1"/>
                      <w:szCs w:val="21"/>
                      <w:highlight w:val="none"/>
                    </w:rPr>
                  </w:pPr>
                </w:p>
              </w:tc>
              <w:tc>
                <w:tcPr>
                  <w:tcW w:w="422" w:type="pct"/>
                  <w:vMerge w:val="continue"/>
                  <w:vAlign w:val="center"/>
                </w:tcPr>
                <w:p>
                  <w:pPr>
                    <w:jc w:val="center"/>
                    <w:rPr>
                      <w:rFonts w:eastAsiaTheme="minorEastAsia"/>
                      <w:color w:val="000000" w:themeColor="text1"/>
                      <w:szCs w:val="21"/>
                      <w:highlight w:val="none"/>
                    </w:rPr>
                  </w:pPr>
                </w:p>
              </w:tc>
              <w:tc>
                <w:tcPr>
                  <w:tcW w:w="273" w:type="pct"/>
                  <w:vMerge w:val="continue"/>
                  <w:vAlign w:val="center"/>
                </w:tcPr>
                <w:p>
                  <w:pPr>
                    <w:jc w:val="center"/>
                    <w:rPr>
                      <w:rFonts w:eastAsiaTheme="minorEastAsia"/>
                      <w:color w:val="000000" w:themeColor="text1"/>
                      <w:szCs w:val="21"/>
                      <w:highlight w:val="none"/>
                    </w:rPr>
                  </w:pPr>
                </w:p>
              </w:tc>
              <w:tc>
                <w:tcPr>
                  <w:tcW w:w="276" w:type="pct"/>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环境风</w:t>
                  </w:r>
                </w:p>
                <w:p>
                  <w:pPr>
                    <w:jc w:val="center"/>
                    <w:rPr>
                      <w:rFonts w:eastAsiaTheme="minorEastAsia"/>
                      <w:color w:val="000000" w:themeColor="text1"/>
                      <w:szCs w:val="21"/>
                      <w:highlight w:val="none"/>
                    </w:rPr>
                  </w:pPr>
                  <w:r>
                    <w:rPr>
                      <w:rFonts w:hint="eastAsia" w:eastAsiaTheme="minorEastAsia"/>
                      <w:color w:val="000000" w:themeColor="text1"/>
                      <w:szCs w:val="21"/>
                      <w:highlight w:val="none"/>
                    </w:rPr>
                    <w:t>险防控</w:t>
                  </w:r>
                </w:p>
              </w:tc>
              <w:tc>
                <w:tcPr>
                  <w:tcW w:w="2509" w:type="pct"/>
                  <w:vAlign w:val="center"/>
                </w:tcPr>
                <w:p>
                  <w:pPr>
                    <w:jc w:val="left"/>
                    <w:rPr>
                      <w:rFonts w:eastAsiaTheme="minorEastAsia"/>
                      <w:color w:val="000000" w:themeColor="text1"/>
                      <w:szCs w:val="21"/>
                      <w:highlight w:val="none"/>
                    </w:rPr>
                  </w:pPr>
                  <w:r>
                    <w:rPr>
                      <w:rFonts w:eastAsiaTheme="minorEastAsia"/>
                      <w:color w:val="000000" w:themeColor="text1"/>
                      <w:szCs w:val="21"/>
                      <w:highlight w:val="none"/>
                    </w:rPr>
                    <w:t>大气环境布局敏感重点管控区</w:t>
                  </w:r>
                  <w:r>
                    <w:rPr>
                      <w:rFonts w:hint="eastAsia" w:eastAsiaTheme="minorEastAsia"/>
                      <w:color w:val="000000" w:themeColor="text1"/>
                      <w:szCs w:val="21"/>
                      <w:highlight w:val="none"/>
                    </w:rPr>
                    <w:t>同时执行要求：禁止在居民区、学校、医疗和养老机构等周边新建有色金属冶炼、焦化等行业企业。</w:t>
                  </w:r>
                </w:p>
              </w:tc>
              <w:tc>
                <w:tcPr>
                  <w:tcW w:w="1064" w:type="pct"/>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本项目为其他建筑材料制造项目，不属于有色金属冶炼、焦化等行业企业，符合管控要求。</w:t>
                  </w:r>
                </w:p>
              </w:tc>
            </w:tr>
          </w:tbl>
          <w:p>
            <w:pPr>
              <w:autoSpaceDE w:val="0"/>
              <w:autoSpaceDN w:val="0"/>
              <w:adjustRightInd w:val="0"/>
              <w:snapToGrid w:val="0"/>
              <w:spacing w:line="360" w:lineRule="auto"/>
              <w:ind w:firstLine="482" w:firstLineChars="200"/>
              <w:jc w:val="left"/>
              <w:rPr>
                <w:rFonts w:eastAsiaTheme="minorEastAsia"/>
                <w:color w:val="000000" w:themeColor="text1"/>
                <w:kern w:val="0"/>
                <w:sz w:val="24"/>
                <w:szCs w:val="21"/>
                <w:highlight w:val="none"/>
              </w:rPr>
            </w:pPr>
            <w:r>
              <w:rPr>
                <w:rFonts w:eastAsiaTheme="minorEastAsia"/>
                <w:b/>
                <w:color w:val="000000" w:themeColor="text1"/>
                <w:kern w:val="0"/>
                <w:sz w:val="24"/>
                <w:szCs w:val="21"/>
                <w:highlight w:val="none"/>
              </w:rPr>
              <w:t>2</w:t>
            </w:r>
            <w:r>
              <w:rPr>
                <w:rFonts w:hAnsiTheme="minorEastAsia" w:eastAsiaTheme="minorEastAsia"/>
                <w:color w:val="000000" w:themeColor="text1"/>
                <w:kern w:val="0"/>
                <w:sz w:val="24"/>
                <w:szCs w:val="21"/>
                <w:highlight w:val="none"/>
              </w:rPr>
              <w:t>、</w:t>
            </w:r>
            <w:r>
              <w:rPr>
                <w:rFonts w:hAnsiTheme="minorEastAsia" w:eastAsiaTheme="minorEastAsia"/>
                <w:b/>
                <w:bCs/>
                <w:color w:val="000000" w:themeColor="text1"/>
                <w:kern w:val="0"/>
                <w:sz w:val="24"/>
                <w:szCs w:val="21"/>
                <w:highlight w:val="none"/>
              </w:rPr>
              <w:t>产业政策符合性分析</w:t>
            </w:r>
          </w:p>
          <w:p>
            <w:pPr>
              <w:autoSpaceDE w:val="0"/>
              <w:autoSpaceDN w:val="0"/>
              <w:adjustRightInd w:val="0"/>
              <w:snapToGrid w:val="0"/>
              <w:spacing w:line="360" w:lineRule="auto"/>
              <w:ind w:firstLine="480" w:firstLineChars="200"/>
              <w:jc w:val="left"/>
              <w:rPr>
                <w:color w:val="000000" w:themeColor="text1"/>
                <w:sz w:val="24"/>
                <w:highlight w:val="none"/>
              </w:rPr>
            </w:pPr>
            <w:r>
              <w:rPr>
                <w:color w:val="000000" w:themeColor="text1"/>
                <w:sz w:val="24"/>
                <w:highlight w:val="none"/>
              </w:rPr>
              <w:t>根据《产业结构调整指导目录（20</w:t>
            </w:r>
            <w:r>
              <w:rPr>
                <w:rFonts w:hint="eastAsia"/>
                <w:color w:val="000000" w:themeColor="text1"/>
                <w:sz w:val="24"/>
                <w:highlight w:val="none"/>
              </w:rPr>
              <w:t>24</w:t>
            </w:r>
            <w:r>
              <w:rPr>
                <w:color w:val="000000" w:themeColor="text1"/>
                <w:sz w:val="24"/>
                <w:highlight w:val="none"/>
              </w:rPr>
              <w:t>年本）》（202</w:t>
            </w:r>
            <w:r>
              <w:rPr>
                <w:rFonts w:hint="eastAsia"/>
                <w:color w:val="000000" w:themeColor="text1"/>
                <w:sz w:val="24"/>
                <w:highlight w:val="none"/>
              </w:rPr>
              <w:t>4</w:t>
            </w:r>
            <w:r>
              <w:rPr>
                <w:color w:val="000000" w:themeColor="text1"/>
                <w:sz w:val="24"/>
                <w:highlight w:val="none"/>
              </w:rPr>
              <w:t>年2月</w:t>
            </w:r>
            <w:r>
              <w:rPr>
                <w:rFonts w:hint="eastAsia"/>
                <w:color w:val="000000" w:themeColor="text1"/>
                <w:sz w:val="24"/>
                <w:highlight w:val="none"/>
              </w:rPr>
              <w:t>1</w:t>
            </w:r>
            <w:r>
              <w:rPr>
                <w:color w:val="000000" w:themeColor="text1"/>
                <w:sz w:val="24"/>
                <w:highlight w:val="none"/>
              </w:rPr>
              <w:t>日实施），</w:t>
            </w:r>
            <w:r>
              <w:rPr>
                <w:color w:val="000000" w:themeColor="text1"/>
                <w:kern w:val="0"/>
                <w:sz w:val="24"/>
                <w:highlight w:val="none"/>
                <w:lang w:val="zh-CN"/>
              </w:rPr>
              <w:t>本项目不属于</w:t>
            </w:r>
            <w:r>
              <w:rPr>
                <w:rFonts w:hint="eastAsia"/>
                <w:color w:val="000000" w:themeColor="text1"/>
                <w:kern w:val="0"/>
                <w:sz w:val="24"/>
                <w:highlight w:val="none"/>
                <w:lang w:val="zh-CN"/>
              </w:rPr>
              <w:t>“</w:t>
            </w:r>
            <w:r>
              <w:rPr>
                <w:color w:val="000000" w:themeColor="text1"/>
                <w:kern w:val="0"/>
                <w:sz w:val="24"/>
                <w:highlight w:val="none"/>
                <w:lang w:val="zh-CN"/>
              </w:rPr>
              <w:t>限制类</w:t>
            </w:r>
            <w:r>
              <w:rPr>
                <w:rFonts w:hint="eastAsia"/>
                <w:color w:val="000000" w:themeColor="text1"/>
                <w:kern w:val="0"/>
                <w:sz w:val="24"/>
                <w:highlight w:val="none"/>
                <w:lang w:val="zh-CN"/>
              </w:rPr>
              <w:t>”</w:t>
            </w:r>
            <w:r>
              <w:rPr>
                <w:color w:val="000000" w:themeColor="text1"/>
                <w:kern w:val="0"/>
                <w:sz w:val="24"/>
                <w:highlight w:val="none"/>
                <w:lang w:val="zh-CN"/>
              </w:rPr>
              <w:t>和</w:t>
            </w:r>
            <w:r>
              <w:rPr>
                <w:rFonts w:hint="eastAsia"/>
                <w:color w:val="000000" w:themeColor="text1"/>
                <w:kern w:val="0"/>
                <w:sz w:val="24"/>
                <w:highlight w:val="none"/>
                <w:lang w:val="zh-CN"/>
              </w:rPr>
              <w:t>“</w:t>
            </w:r>
            <w:r>
              <w:rPr>
                <w:color w:val="000000" w:themeColor="text1"/>
                <w:kern w:val="0"/>
                <w:sz w:val="24"/>
                <w:highlight w:val="none"/>
                <w:lang w:val="zh-CN"/>
              </w:rPr>
              <w:t>淘汰类</w:t>
            </w:r>
            <w:r>
              <w:rPr>
                <w:rFonts w:hint="eastAsia"/>
                <w:color w:val="000000" w:themeColor="text1"/>
                <w:kern w:val="0"/>
                <w:sz w:val="24"/>
                <w:highlight w:val="none"/>
                <w:lang w:val="zh-CN"/>
              </w:rPr>
              <w:t>”</w:t>
            </w:r>
            <w:r>
              <w:rPr>
                <w:color w:val="000000" w:themeColor="text1"/>
                <w:kern w:val="0"/>
                <w:sz w:val="24"/>
                <w:highlight w:val="none"/>
                <w:lang w:val="zh-CN"/>
              </w:rPr>
              <w:t>项目</w:t>
            </w:r>
            <w:r>
              <w:rPr>
                <w:color w:val="000000" w:themeColor="text1"/>
                <w:sz w:val="24"/>
                <w:highlight w:val="none"/>
              </w:rPr>
              <w:t>，</w:t>
            </w:r>
            <w:r>
              <w:rPr>
                <w:rFonts w:hint="eastAsia"/>
                <w:color w:val="000000" w:themeColor="text1"/>
                <w:sz w:val="24"/>
                <w:highlight w:val="none"/>
              </w:rPr>
              <w:t>故，可视为“允许类”项目，</w:t>
            </w:r>
            <w:r>
              <w:rPr>
                <w:color w:val="000000" w:themeColor="text1"/>
                <w:sz w:val="24"/>
                <w:highlight w:val="none"/>
              </w:rPr>
              <w:t>因此本项目建设符合国家产业政策要求。</w:t>
            </w:r>
          </w:p>
          <w:p>
            <w:pPr>
              <w:autoSpaceDE w:val="0"/>
              <w:autoSpaceDN w:val="0"/>
              <w:adjustRightInd w:val="0"/>
              <w:snapToGrid w:val="0"/>
              <w:spacing w:line="360" w:lineRule="auto"/>
              <w:ind w:firstLine="482" w:firstLineChars="200"/>
              <w:jc w:val="left"/>
              <w:rPr>
                <w:rFonts w:eastAsiaTheme="minorEastAsia"/>
                <w:b/>
                <w:color w:val="000000" w:themeColor="text1"/>
                <w:kern w:val="0"/>
                <w:sz w:val="24"/>
                <w:szCs w:val="21"/>
                <w:highlight w:val="none"/>
              </w:rPr>
            </w:pPr>
            <w:r>
              <w:rPr>
                <w:rFonts w:eastAsiaTheme="minorEastAsia"/>
                <w:b/>
                <w:color w:val="000000" w:themeColor="text1"/>
                <w:kern w:val="0"/>
                <w:sz w:val="24"/>
                <w:szCs w:val="21"/>
                <w:highlight w:val="none"/>
              </w:rPr>
              <w:t>3</w:t>
            </w:r>
            <w:r>
              <w:rPr>
                <w:rFonts w:hAnsiTheme="minorEastAsia" w:eastAsiaTheme="minorEastAsia"/>
                <w:b/>
                <w:color w:val="000000" w:themeColor="text1"/>
                <w:kern w:val="0"/>
                <w:sz w:val="24"/>
                <w:szCs w:val="21"/>
                <w:highlight w:val="none"/>
              </w:rPr>
              <w:t>、选址合理性分析</w:t>
            </w:r>
          </w:p>
          <w:p>
            <w:pPr>
              <w:autoSpaceDE w:val="0"/>
              <w:autoSpaceDN w:val="0"/>
              <w:adjustRightInd w:val="0"/>
              <w:snapToGrid w:val="0"/>
              <w:spacing w:line="360" w:lineRule="auto"/>
              <w:ind w:firstLine="480" w:firstLineChars="200"/>
              <w:jc w:val="left"/>
              <w:rPr>
                <w:rFonts w:hAnsiTheme="minorEastAsia" w:eastAsiaTheme="minorEastAsia"/>
                <w:color w:val="000000" w:themeColor="text1"/>
                <w:sz w:val="24"/>
                <w:highlight w:val="none"/>
              </w:rPr>
            </w:pPr>
            <w:r>
              <w:rPr>
                <w:rFonts w:eastAsiaTheme="minorEastAsia"/>
                <w:color w:val="000000" w:themeColor="text1"/>
                <w:kern w:val="0"/>
                <w:sz w:val="24"/>
                <w:highlight w:val="none"/>
              </w:rPr>
              <w:t>本项目位于</w:t>
            </w:r>
            <w:r>
              <w:rPr>
                <w:rFonts w:hint="eastAsia" w:hAnsiTheme="minorEastAsia" w:eastAsiaTheme="minorEastAsia"/>
                <w:bCs/>
                <w:color w:val="000000" w:themeColor="text1"/>
                <w:sz w:val="24"/>
                <w:highlight w:val="none"/>
              </w:rPr>
              <w:t>黑龙江省哈尔滨市香坊区成高子镇和平村</w:t>
            </w:r>
            <w:r>
              <w:rPr>
                <w:rFonts w:eastAsiaTheme="minorEastAsia"/>
                <w:bCs/>
                <w:color w:val="000000" w:themeColor="text1"/>
                <w:kern w:val="0"/>
                <w:sz w:val="24"/>
                <w:highlight w:val="none"/>
              </w:rPr>
              <w:t>，项目</w:t>
            </w:r>
            <w:r>
              <w:rPr>
                <w:rFonts w:hint="eastAsia" w:eastAsiaTheme="minorEastAsia"/>
                <w:bCs/>
                <w:color w:val="000000" w:themeColor="text1"/>
                <w:kern w:val="0"/>
                <w:sz w:val="24"/>
                <w:highlight w:val="none"/>
              </w:rPr>
              <w:t>东侧为闲置厂房；北侧为空地；西侧为</w:t>
            </w:r>
            <w:r>
              <w:rPr>
                <w:rFonts w:hint="eastAsia" w:eastAsiaTheme="minorEastAsia"/>
                <w:bCs/>
                <w:color w:val="000000" w:themeColor="text1"/>
                <w:kern w:val="0"/>
                <w:sz w:val="24"/>
                <w:highlight w:val="none"/>
                <w:lang w:val="en-US" w:eastAsia="zh-CN"/>
              </w:rPr>
              <w:t>空地及和平公墓</w:t>
            </w:r>
            <w:r>
              <w:rPr>
                <w:rFonts w:hint="eastAsia" w:eastAsiaTheme="minorEastAsia"/>
                <w:bCs/>
                <w:color w:val="000000" w:themeColor="text1"/>
                <w:kern w:val="0"/>
                <w:sz w:val="24"/>
                <w:highlight w:val="none"/>
              </w:rPr>
              <w:t>；南侧为空地</w:t>
            </w:r>
            <w:r>
              <w:rPr>
                <w:rFonts w:hint="eastAsia"/>
                <w:color w:val="000000" w:themeColor="text1"/>
                <w:kern w:val="0"/>
                <w:sz w:val="24"/>
                <w:highlight w:val="none"/>
              </w:rPr>
              <w:t>。项目占地性质为采矿用地-批准企业用地</w:t>
            </w:r>
            <w:r>
              <w:rPr>
                <w:rFonts w:hint="eastAsia"/>
                <w:bCs/>
                <w:color w:val="000000" w:themeColor="text1"/>
                <w:kern w:val="0"/>
                <w:sz w:val="24"/>
                <w:highlight w:val="none"/>
              </w:rPr>
              <w:t>，已与</w:t>
            </w:r>
            <w:r>
              <w:rPr>
                <w:rFonts w:hint="eastAsia" w:hAnsi="宋体"/>
                <w:bCs/>
                <w:color w:val="000000" w:themeColor="text1"/>
                <w:sz w:val="24"/>
                <w:highlight w:val="none"/>
              </w:rPr>
              <w:t>原哈尔滨市香坊区和平第二砖瓦厂</w:t>
            </w:r>
            <w:r>
              <w:rPr>
                <w:rFonts w:hint="eastAsia"/>
                <w:bCs/>
                <w:color w:val="000000" w:themeColor="text1"/>
                <w:kern w:val="0"/>
                <w:sz w:val="24"/>
                <w:highlight w:val="none"/>
              </w:rPr>
              <w:t>签订租赁协议</w:t>
            </w:r>
            <w:r>
              <w:rPr>
                <w:rFonts w:hint="eastAsia" w:hAnsiTheme="minorEastAsia" w:eastAsiaTheme="minorEastAsia"/>
                <w:color w:val="000000" w:themeColor="text1"/>
                <w:sz w:val="24"/>
                <w:highlight w:val="none"/>
              </w:rPr>
              <w:t>；本项目不位于工业园区内，</w:t>
            </w:r>
            <w:r>
              <w:rPr>
                <w:rFonts w:hint="eastAsia"/>
                <w:color w:val="000000" w:themeColor="text1"/>
                <w:sz w:val="24"/>
                <w:highlight w:val="none"/>
              </w:rPr>
              <w:t>本项目评价范围内无自然保护区、风景名胜区、饮用水水源保护区等环境敏感目标；项目所在区域主导风向为南风及南西风，其下风向均设置6m高围墙，废气经处理后由15m高排气筒高空排放，对附近环境影响较小。本项目</w:t>
            </w:r>
            <w:r>
              <w:rPr>
                <w:color w:val="000000" w:themeColor="text1"/>
                <w:sz w:val="24"/>
                <w:highlight w:val="none"/>
              </w:rPr>
              <w:t>有良好的</w:t>
            </w:r>
            <w:r>
              <w:rPr>
                <w:rFonts w:hint="eastAsia"/>
                <w:color w:val="000000" w:themeColor="text1"/>
                <w:sz w:val="24"/>
                <w:highlight w:val="none"/>
              </w:rPr>
              <w:t>经营</w:t>
            </w:r>
            <w:r>
              <w:rPr>
                <w:color w:val="000000" w:themeColor="text1"/>
                <w:sz w:val="24"/>
                <w:highlight w:val="none"/>
              </w:rPr>
              <w:t>条件，</w:t>
            </w:r>
            <w:r>
              <w:rPr>
                <w:rFonts w:hint="eastAsia"/>
                <w:color w:val="000000" w:themeColor="text1"/>
                <w:sz w:val="24"/>
                <w:highlight w:val="none"/>
              </w:rPr>
              <w:t>给排水、供电等公用设施齐备；通过严格落实本项目提出的各项污染物防治措施，本项目各项污染物均能达标排放，固体废物均能做到安全处置，对周围环境影响较小，</w:t>
            </w:r>
            <w:r>
              <w:rPr>
                <w:rFonts w:hAnsiTheme="minorEastAsia" w:eastAsiaTheme="minorEastAsia"/>
                <w:color w:val="000000" w:themeColor="text1"/>
                <w:sz w:val="24"/>
                <w:highlight w:val="none"/>
              </w:rPr>
              <w:t>因此，项目选址可行</w:t>
            </w:r>
            <w:r>
              <w:rPr>
                <w:rFonts w:hint="eastAsia" w:hAnsiTheme="minorEastAsia" w:eastAsiaTheme="minorEastAsia"/>
                <w:color w:val="000000" w:themeColor="text1"/>
                <w:sz w:val="24"/>
                <w:highlight w:val="none"/>
              </w:rPr>
              <w:t>。</w:t>
            </w:r>
          </w:p>
          <w:p>
            <w:pPr>
              <w:autoSpaceDE w:val="0"/>
              <w:autoSpaceDN w:val="0"/>
              <w:adjustRightInd w:val="0"/>
              <w:snapToGrid w:val="0"/>
              <w:spacing w:line="360" w:lineRule="auto"/>
              <w:ind w:firstLine="482" w:firstLineChars="200"/>
              <w:jc w:val="left"/>
              <w:rPr>
                <w:rFonts w:eastAsiaTheme="minorEastAsia"/>
                <w:b/>
                <w:color w:val="000000" w:themeColor="text1"/>
                <w:kern w:val="0"/>
                <w:sz w:val="24"/>
                <w:szCs w:val="21"/>
                <w:highlight w:val="none"/>
              </w:rPr>
            </w:pPr>
            <w:bookmarkStart w:id="5" w:name="_Toc2709"/>
            <w:bookmarkStart w:id="6" w:name="_Toc32374"/>
            <w:bookmarkStart w:id="7" w:name="_Toc12939"/>
            <w:bookmarkStart w:id="8" w:name="_Toc28723"/>
            <w:r>
              <w:rPr>
                <w:rFonts w:hint="eastAsia" w:eastAsiaTheme="minorEastAsia"/>
                <w:b/>
                <w:color w:val="000000" w:themeColor="text1"/>
                <w:kern w:val="0"/>
                <w:sz w:val="24"/>
                <w:szCs w:val="21"/>
                <w:highlight w:val="none"/>
              </w:rPr>
              <w:t>4、与《哈尔滨市人民政府关于印发哈尔滨市空气质量改善三年行动计划（2022-2024年）》符合性分析</w:t>
            </w:r>
          </w:p>
          <w:p>
            <w:pPr>
              <w:pStyle w:val="36"/>
              <w:spacing w:line="360" w:lineRule="auto"/>
              <w:ind w:firstLine="480"/>
              <w:rPr>
                <w:rFonts w:hint="eastAsia"/>
                <w:color w:val="000000" w:themeColor="text1"/>
                <w:highlight w:val="none"/>
                <w:lang w:eastAsia="zh-CN"/>
              </w:rPr>
            </w:pPr>
            <w:r>
              <w:rPr>
                <w:color w:val="000000" w:themeColor="text1"/>
                <w:highlight w:val="none"/>
              </w:rPr>
              <w:t>根据《哈尔滨市人民政府关于印发哈尔滨市空气质量改善三年行动计划（2022-2024年）》（以下简称《</w:t>
            </w:r>
            <w:r>
              <w:rPr>
                <w:rFonts w:hint="eastAsia"/>
                <w:color w:val="000000" w:themeColor="text1"/>
                <w:highlight w:val="none"/>
              </w:rPr>
              <w:t>计划</w:t>
            </w:r>
            <w:r>
              <w:rPr>
                <w:color w:val="000000" w:themeColor="text1"/>
                <w:highlight w:val="none"/>
              </w:rPr>
              <w:t>》）中</w:t>
            </w:r>
            <w:r>
              <w:rPr>
                <w:rFonts w:hint="eastAsia"/>
                <w:color w:val="000000" w:themeColor="text1"/>
                <w:highlight w:val="none"/>
              </w:rPr>
              <w:t>“持续提升混凝土搅拌厂（预拌：干粉混砂浆）、砂石厂、水泥制品厂等各类工地扬尘污染防治精细化管理水平。强化雾炮机、围挡喷淋、塔吊喷淋系统等抑尘设施运行监管</w:t>
            </w:r>
            <w:r>
              <w:rPr>
                <w:rFonts w:hint="eastAsia"/>
                <w:color w:val="000000" w:themeColor="text1"/>
                <w:highlight w:val="none"/>
                <w:lang w:eastAsia="zh-CN"/>
              </w:rPr>
              <w:t>，</w:t>
            </w:r>
            <w:r>
              <w:rPr>
                <w:rFonts w:hint="eastAsia"/>
                <w:color w:val="000000" w:themeColor="text1"/>
                <w:highlight w:val="none"/>
              </w:rPr>
              <w:t>有效提升工地综合抑尘效率。加强预拌混凝土生产：运输环节管控</w:t>
            </w:r>
            <w:r>
              <w:rPr>
                <w:rFonts w:hint="eastAsia"/>
                <w:color w:val="000000" w:themeColor="text1"/>
                <w:highlight w:val="none"/>
                <w:lang w:eastAsia="zh-CN"/>
              </w:rPr>
              <w:t>，</w:t>
            </w:r>
            <w:r>
              <w:rPr>
                <w:rFonts w:hint="eastAsia"/>
                <w:color w:val="000000" w:themeColor="text1"/>
                <w:highlight w:val="none"/>
              </w:rPr>
              <w:t>除特殊工艺外</w:t>
            </w:r>
            <w:r>
              <w:rPr>
                <w:rFonts w:hint="eastAsia"/>
                <w:color w:val="000000" w:themeColor="text1"/>
                <w:highlight w:val="none"/>
                <w:lang w:eastAsia="zh-CN"/>
              </w:rPr>
              <w:t>，</w:t>
            </w:r>
            <w:r>
              <w:rPr>
                <w:rFonts w:hint="eastAsia"/>
                <w:color w:val="000000" w:themeColor="text1"/>
                <w:highlight w:val="none"/>
              </w:rPr>
              <w:t>禁止在工地内搅拌混凝土和砂浆</w:t>
            </w:r>
            <w:r>
              <w:rPr>
                <w:rFonts w:hint="eastAsia"/>
                <w:color w:val="000000" w:themeColor="text1"/>
                <w:highlight w:val="none"/>
                <w:lang w:eastAsia="zh-CN"/>
              </w:rPr>
              <w:t>。</w:t>
            </w:r>
            <w:r>
              <w:rPr>
                <w:rFonts w:hint="eastAsia"/>
                <w:color w:val="000000" w:themeColor="text1"/>
                <w:highlight w:val="none"/>
              </w:rPr>
              <w:t>在风力达到五级以上天气或者根据重污染天气应急要求，督促施工现场停止工地土石方作业和建筑物拆除施工。”</w:t>
            </w:r>
          </w:p>
          <w:p>
            <w:pPr>
              <w:pStyle w:val="36"/>
              <w:spacing w:line="360" w:lineRule="auto"/>
              <w:ind w:firstLine="480"/>
              <w:rPr>
                <w:color w:val="000000" w:themeColor="text1"/>
                <w:highlight w:val="none"/>
              </w:rPr>
            </w:pPr>
            <w:r>
              <w:rPr>
                <w:rFonts w:hint="eastAsia"/>
                <w:color w:val="000000" w:themeColor="text1"/>
                <w:highlight w:val="none"/>
              </w:rPr>
              <w:t>本项目下风向设置6m高围墙，水泥仓粉尘经仓顶布袋除尘器处理后仓顶排放，物料装卸洒水降尘，原料堆场石料用苫布遮盖，上料仓及搅拌器整体封闭，产生的废气经布袋除尘器处理后由15m高排气筒排放，水泥采用封闭式罐车运入厂区；厂内道路及时清扫，洒水降尘，不会对大气环境质量现状造成不良影响</w:t>
            </w:r>
            <w:r>
              <w:rPr>
                <w:color w:val="000000" w:themeColor="text1"/>
                <w:highlight w:val="none"/>
              </w:rPr>
              <w:t>不</w:t>
            </w:r>
            <w:r>
              <w:rPr>
                <w:rFonts w:hint="eastAsia"/>
                <w:color w:val="000000" w:themeColor="text1"/>
                <w:highlight w:val="none"/>
              </w:rPr>
              <w:t>会对大气环境质量现状造成不良影响，符合《</w:t>
            </w:r>
            <w:r>
              <w:rPr>
                <w:rFonts w:hint="eastAsia"/>
                <w:color w:val="000000" w:themeColor="text1"/>
                <w:highlight w:val="none"/>
                <w:lang w:val="en-US" w:eastAsia="zh-CN"/>
              </w:rPr>
              <w:t>计划</w:t>
            </w:r>
            <w:r>
              <w:rPr>
                <w:rFonts w:hint="eastAsia"/>
                <w:color w:val="000000" w:themeColor="text1"/>
                <w:highlight w:val="none"/>
              </w:rPr>
              <w:t>》要求。</w:t>
            </w:r>
          </w:p>
          <w:p>
            <w:pPr>
              <w:autoSpaceDE w:val="0"/>
              <w:autoSpaceDN w:val="0"/>
              <w:adjustRightInd w:val="0"/>
              <w:snapToGrid w:val="0"/>
              <w:spacing w:line="360" w:lineRule="auto"/>
              <w:ind w:firstLine="482" w:firstLineChars="200"/>
              <w:jc w:val="left"/>
              <w:rPr>
                <w:rFonts w:eastAsiaTheme="minorEastAsia"/>
                <w:bCs/>
                <w:color w:val="000000" w:themeColor="text1"/>
                <w:kern w:val="0"/>
                <w:sz w:val="24"/>
                <w:szCs w:val="21"/>
                <w:highlight w:val="none"/>
              </w:rPr>
            </w:pPr>
            <w:r>
              <w:rPr>
                <w:rFonts w:hint="eastAsia" w:eastAsiaTheme="minorEastAsia"/>
                <w:b/>
                <w:color w:val="000000" w:themeColor="text1"/>
                <w:kern w:val="0"/>
                <w:sz w:val="24"/>
                <w:szCs w:val="21"/>
                <w:highlight w:val="none"/>
              </w:rPr>
              <w:t>5、与《哈尔滨市大气环境质量限期达标规划（2020-2027年）》符合性分析</w:t>
            </w:r>
          </w:p>
          <w:p>
            <w:pPr>
              <w:widowControl/>
              <w:wordWrap w:val="0"/>
              <w:adjustRightInd w:val="0"/>
              <w:snapToGrid w:val="0"/>
              <w:spacing w:line="360" w:lineRule="auto"/>
              <w:ind w:firstLine="480" w:firstLineChars="200"/>
              <w:jc w:val="left"/>
              <w:rPr>
                <w:rFonts w:hint="eastAsia"/>
                <w:color w:val="000000" w:themeColor="text1"/>
                <w:sz w:val="24"/>
                <w:highlight w:val="none"/>
              </w:rPr>
            </w:pPr>
            <w:r>
              <w:rPr>
                <w:rFonts w:hint="eastAsia"/>
                <w:color w:val="000000" w:themeColor="text1"/>
                <w:sz w:val="24"/>
                <w:highlight w:val="none"/>
              </w:rPr>
              <w:t>根据《哈尔滨市大气环境质量限期达标规划（2020-2027年）》（以下简称《规划》）中“持续提升混凝土搅拌厂（预拌、干粉混砂浆）、砂石厂、水泥制品厂等各类工地扬尘污染防治精细化管理水平。强化雾炮机、围挡喷淋、塔吊喷淋系统等抑尘设施运行监管</w:t>
            </w:r>
            <w:r>
              <w:rPr>
                <w:rFonts w:hint="eastAsia"/>
                <w:color w:val="000000" w:themeColor="text1"/>
                <w:sz w:val="24"/>
                <w:highlight w:val="none"/>
                <w:lang w:eastAsia="zh-CN"/>
              </w:rPr>
              <w:t>，</w:t>
            </w:r>
            <w:r>
              <w:rPr>
                <w:rFonts w:hint="eastAsia"/>
                <w:color w:val="000000" w:themeColor="text1"/>
                <w:sz w:val="24"/>
                <w:highlight w:val="none"/>
              </w:rPr>
              <w:t>有效提升工地综合抑尘效率。加强预拌混凝土生产、运输环节管控</w:t>
            </w:r>
            <w:r>
              <w:rPr>
                <w:rFonts w:hint="eastAsia"/>
                <w:color w:val="000000" w:themeColor="text1"/>
                <w:sz w:val="24"/>
                <w:highlight w:val="none"/>
                <w:lang w:eastAsia="zh-CN"/>
              </w:rPr>
              <w:t>，</w:t>
            </w:r>
            <w:r>
              <w:rPr>
                <w:rFonts w:hint="eastAsia"/>
                <w:color w:val="000000" w:themeColor="text1"/>
                <w:sz w:val="24"/>
                <w:highlight w:val="none"/>
              </w:rPr>
              <w:t>除特殊工艺外</w:t>
            </w:r>
            <w:r>
              <w:rPr>
                <w:rFonts w:hint="eastAsia"/>
                <w:color w:val="000000" w:themeColor="text1"/>
                <w:sz w:val="24"/>
                <w:highlight w:val="none"/>
                <w:lang w:eastAsia="zh-CN"/>
              </w:rPr>
              <w:t>，</w:t>
            </w:r>
            <w:r>
              <w:rPr>
                <w:rFonts w:hint="eastAsia"/>
                <w:color w:val="000000" w:themeColor="text1"/>
                <w:sz w:val="24"/>
                <w:highlight w:val="none"/>
              </w:rPr>
              <w:t>禁止在工地内搅拌混凝土和砂浆。在风力达到五级以上天气或者根据重污染天气应急要求，施工现场停止工地土石方作业和建筑物拆除施工。”</w:t>
            </w:r>
          </w:p>
          <w:p>
            <w:pPr>
              <w:widowControl/>
              <w:wordWrap w:val="0"/>
              <w:adjustRightInd w:val="0"/>
              <w:snapToGrid w:val="0"/>
              <w:spacing w:line="360" w:lineRule="auto"/>
              <w:ind w:firstLine="480" w:firstLineChars="200"/>
              <w:jc w:val="left"/>
              <w:rPr>
                <w:color w:val="000000" w:themeColor="text1"/>
                <w:sz w:val="24"/>
                <w:highlight w:val="none"/>
              </w:rPr>
            </w:pPr>
            <w:r>
              <w:rPr>
                <w:rFonts w:hint="eastAsia"/>
                <w:color w:val="000000" w:themeColor="text1"/>
                <w:sz w:val="24"/>
                <w:highlight w:val="none"/>
              </w:rPr>
              <w:t>本项目下风向设置6m高围墙，水泥仓粉尘经仓顶布袋除尘器处理后仓顶排放，物料装卸洒水降尘，原料堆场石料用苫布遮盖，上料仓及搅拌器整体封闭，产生的废气经布袋除尘器处理后由15m高排气筒排放，水泥采用封闭式罐车运入厂区；厂内道路及时清扫，洒水降尘，不会对大气环境质量现状造成不良影响，符合《规划》要求。</w:t>
            </w:r>
            <w:bookmarkEnd w:id="5"/>
            <w:bookmarkEnd w:id="6"/>
            <w:bookmarkEnd w:id="7"/>
            <w:bookmarkEnd w:id="8"/>
          </w:p>
          <w:p>
            <w:pPr>
              <w:pStyle w:val="5"/>
              <w:rPr>
                <w:color w:val="000000" w:themeColor="text1"/>
                <w:sz w:val="24"/>
                <w:highlight w:val="none"/>
              </w:rPr>
            </w:pPr>
          </w:p>
          <w:p>
            <w:pPr>
              <w:pStyle w:val="6"/>
              <w:rPr>
                <w:color w:val="000000" w:themeColor="text1"/>
                <w:highlight w:val="none"/>
              </w:rPr>
            </w:pPr>
          </w:p>
          <w:p>
            <w:pPr>
              <w:pStyle w:val="7"/>
              <w:rPr>
                <w:color w:val="000000" w:themeColor="text1"/>
                <w:highlight w:val="none"/>
              </w:rPr>
            </w:pPr>
          </w:p>
          <w:p>
            <w:pPr>
              <w:rPr>
                <w:color w:val="000000" w:themeColor="text1"/>
                <w:sz w:val="24"/>
                <w:highlight w:val="none"/>
              </w:rPr>
            </w:pPr>
          </w:p>
          <w:p>
            <w:pPr>
              <w:pStyle w:val="5"/>
              <w:rPr>
                <w:color w:val="000000" w:themeColor="text1"/>
                <w:sz w:val="24"/>
                <w:highlight w:val="none"/>
              </w:rPr>
            </w:pPr>
          </w:p>
          <w:p>
            <w:pPr>
              <w:pStyle w:val="6"/>
              <w:rPr>
                <w:color w:val="000000" w:themeColor="text1"/>
                <w:highlight w:val="none"/>
              </w:rPr>
            </w:pPr>
          </w:p>
          <w:p>
            <w:pPr>
              <w:pStyle w:val="7"/>
              <w:rPr>
                <w:color w:val="000000" w:themeColor="text1"/>
                <w:highlight w:val="none"/>
              </w:rPr>
            </w:pPr>
          </w:p>
          <w:p>
            <w:pPr>
              <w:rPr>
                <w:color w:val="000000" w:themeColor="text1"/>
                <w:sz w:val="24"/>
                <w:highlight w:val="none"/>
              </w:rPr>
            </w:pPr>
          </w:p>
          <w:p>
            <w:pPr>
              <w:pStyle w:val="5"/>
              <w:rPr>
                <w:color w:val="000000" w:themeColor="text1"/>
                <w:sz w:val="24"/>
                <w:highlight w:val="none"/>
              </w:rPr>
            </w:pPr>
          </w:p>
          <w:p>
            <w:pPr>
              <w:pStyle w:val="6"/>
              <w:rPr>
                <w:color w:val="000000" w:themeColor="text1"/>
                <w:highlight w:val="none"/>
              </w:rPr>
            </w:pPr>
          </w:p>
          <w:p>
            <w:pPr>
              <w:pStyle w:val="7"/>
              <w:rPr>
                <w:color w:val="000000" w:themeColor="text1"/>
                <w:highlight w:val="none"/>
              </w:rPr>
            </w:pPr>
          </w:p>
          <w:p>
            <w:pPr>
              <w:rPr>
                <w:color w:val="000000" w:themeColor="text1"/>
                <w:sz w:val="24"/>
                <w:highlight w:val="none"/>
              </w:rPr>
            </w:pPr>
          </w:p>
          <w:p>
            <w:pPr>
              <w:rPr>
                <w:color w:val="000000" w:themeColor="text1"/>
                <w:sz w:val="24"/>
                <w:highlight w:val="none"/>
              </w:rPr>
            </w:pPr>
          </w:p>
          <w:p>
            <w:pPr>
              <w:rPr>
                <w:color w:val="000000" w:themeColor="text1"/>
                <w:sz w:val="24"/>
                <w:highlight w:val="none"/>
              </w:rPr>
            </w:pPr>
          </w:p>
          <w:p>
            <w:pPr>
              <w:rPr>
                <w:color w:val="000000" w:themeColor="text1"/>
                <w:sz w:val="24"/>
                <w:highlight w:val="none"/>
              </w:rPr>
            </w:pPr>
          </w:p>
          <w:p>
            <w:pPr>
              <w:rPr>
                <w:color w:val="000000" w:themeColor="text1"/>
                <w:sz w:val="24"/>
                <w:highlight w:val="none"/>
              </w:rPr>
            </w:pPr>
          </w:p>
          <w:p>
            <w:pPr>
              <w:rPr>
                <w:color w:val="000000" w:themeColor="text1"/>
                <w:sz w:val="24"/>
                <w:highlight w:val="none"/>
              </w:rPr>
            </w:pPr>
          </w:p>
          <w:p>
            <w:pPr>
              <w:rPr>
                <w:color w:val="000000" w:themeColor="text1"/>
                <w:sz w:val="24"/>
                <w:highlight w:val="none"/>
              </w:rPr>
            </w:pPr>
          </w:p>
          <w:p>
            <w:pPr>
              <w:rPr>
                <w:color w:val="000000" w:themeColor="text1"/>
                <w:sz w:val="24"/>
                <w:highlight w:val="none"/>
              </w:rPr>
            </w:pPr>
          </w:p>
          <w:p>
            <w:pPr>
              <w:rPr>
                <w:color w:val="000000" w:themeColor="text1"/>
                <w:sz w:val="24"/>
                <w:highlight w:val="none"/>
              </w:rPr>
            </w:pPr>
          </w:p>
          <w:p>
            <w:pPr>
              <w:rPr>
                <w:color w:val="000000" w:themeColor="text1"/>
                <w:sz w:val="24"/>
                <w:highlight w:val="none"/>
              </w:rPr>
            </w:pPr>
          </w:p>
          <w:p>
            <w:pPr>
              <w:rPr>
                <w:color w:val="000000" w:themeColor="text1"/>
                <w:sz w:val="24"/>
                <w:highlight w:val="none"/>
              </w:rPr>
            </w:pPr>
          </w:p>
          <w:p>
            <w:pPr>
              <w:pStyle w:val="5"/>
              <w:rPr>
                <w:color w:val="000000" w:themeColor="text1"/>
                <w:sz w:val="24"/>
                <w:highlight w:val="none"/>
              </w:rPr>
            </w:pPr>
          </w:p>
          <w:p>
            <w:pPr>
              <w:pStyle w:val="6"/>
              <w:rPr>
                <w:color w:val="000000" w:themeColor="text1"/>
                <w:highlight w:val="none"/>
              </w:rPr>
            </w:pPr>
          </w:p>
          <w:p>
            <w:pPr>
              <w:pStyle w:val="7"/>
              <w:rPr>
                <w:color w:val="000000" w:themeColor="text1"/>
                <w:highlight w:val="none"/>
              </w:rPr>
            </w:pPr>
          </w:p>
          <w:p>
            <w:pPr>
              <w:pStyle w:val="5"/>
              <w:rPr>
                <w:highlight w:val="none"/>
              </w:rPr>
            </w:pPr>
          </w:p>
        </w:tc>
      </w:tr>
    </w:tbl>
    <w:p>
      <w:pPr>
        <w:spacing w:line="360" w:lineRule="auto"/>
        <w:outlineLvl w:val="0"/>
        <w:rPr>
          <w:rFonts w:eastAsiaTheme="minorEastAsia"/>
          <w:color w:val="000000" w:themeColor="text1"/>
          <w:sz w:val="30"/>
          <w:highlight w:val="none"/>
        </w:rPr>
        <w:sectPr>
          <w:footerReference r:id="rId5" w:type="default"/>
          <w:pgSz w:w="11906" w:h="16838"/>
          <w:pgMar w:top="1701" w:right="1531" w:bottom="1701" w:left="1531" w:header="851" w:footer="1077" w:gutter="0"/>
          <w:pgNumType w:start="1"/>
          <w:cols w:space="720" w:num="1"/>
          <w:docGrid w:linePitch="312" w:charSpace="0"/>
        </w:sectPr>
      </w:pPr>
    </w:p>
    <w:p>
      <w:pPr>
        <w:pStyle w:val="19"/>
        <w:jc w:val="center"/>
        <w:outlineLvl w:val="0"/>
        <w:rPr>
          <w:rFonts w:ascii="Times New Roman" w:hAnsiTheme="minorEastAsia" w:eastAsiaTheme="minorEastAsia"/>
          <w:snapToGrid w:val="0"/>
          <w:color w:val="000000" w:themeColor="text1"/>
          <w:sz w:val="30"/>
          <w:szCs w:val="30"/>
          <w:highlight w:val="none"/>
        </w:rPr>
      </w:pPr>
      <w:bookmarkStart w:id="9" w:name="_Toc68775753"/>
      <w:r>
        <w:rPr>
          <w:rFonts w:ascii="Times New Roman" w:hAnsiTheme="minorEastAsia" w:eastAsiaTheme="minorEastAsia"/>
          <w:snapToGrid w:val="0"/>
          <w:color w:val="000000" w:themeColor="text1"/>
          <w:sz w:val="30"/>
          <w:szCs w:val="30"/>
          <w:highlight w:val="none"/>
        </w:rPr>
        <w:t>二、建设项目工程分析</w:t>
      </w:r>
      <w:bookmarkEnd w:id="9"/>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5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pStyle w:val="19"/>
              <w:adjustRightInd w:val="0"/>
              <w:snapToGrid w:val="0"/>
              <w:spacing w:before="0" w:beforeAutospacing="0" w:after="0" w:afterAutospacing="0"/>
              <w:jc w:val="center"/>
              <w:rPr>
                <w:rFonts w:ascii="Times New Roman" w:hAnsi="Times New Roman" w:eastAsiaTheme="minorEastAsia"/>
                <w:color w:val="000000" w:themeColor="text1"/>
                <w:szCs w:val="24"/>
                <w:highlight w:val="none"/>
              </w:rPr>
            </w:pPr>
            <w:r>
              <w:rPr>
                <w:rFonts w:ascii="Times New Roman" w:hAnsiTheme="minorEastAsia" w:eastAsiaTheme="minorEastAsia"/>
                <w:color w:val="000000" w:themeColor="text1"/>
                <w:szCs w:val="24"/>
                <w:highlight w:val="none"/>
              </w:rPr>
              <w:t>建设内容</w:t>
            </w:r>
          </w:p>
        </w:tc>
        <w:tc>
          <w:tcPr>
            <w:tcW w:w="8564" w:type="dxa"/>
          </w:tcPr>
          <w:p>
            <w:pPr>
              <w:spacing w:line="360" w:lineRule="auto"/>
              <w:ind w:firstLine="482" w:firstLineChars="200"/>
              <w:contextualSpacing/>
              <w:jc w:val="left"/>
              <w:rPr>
                <w:rFonts w:eastAsiaTheme="minorEastAsia"/>
                <w:b/>
                <w:color w:val="000000" w:themeColor="text1"/>
                <w:kern w:val="0"/>
                <w:sz w:val="24"/>
                <w:highlight w:val="none"/>
              </w:rPr>
            </w:pPr>
            <w:r>
              <w:rPr>
                <w:rFonts w:eastAsiaTheme="minorEastAsia"/>
                <w:b/>
                <w:color w:val="000000" w:themeColor="text1"/>
                <w:kern w:val="0"/>
                <w:sz w:val="24"/>
                <w:highlight w:val="none"/>
              </w:rPr>
              <w:t>1</w:t>
            </w:r>
            <w:r>
              <w:rPr>
                <w:rFonts w:hAnsiTheme="minorEastAsia" w:eastAsiaTheme="minorEastAsia"/>
                <w:b/>
                <w:color w:val="000000" w:themeColor="text1"/>
                <w:kern w:val="0"/>
                <w:sz w:val="24"/>
                <w:highlight w:val="none"/>
              </w:rPr>
              <w:t>、工程概况及项目组成</w:t>
            </w:r>
          </w:p>
          <w:p>
            <w:pPr>
              <w:wordWrap w:val="0"/>
              <w:spacing w:line="360" w:lineRule="auto"/>
              <w:ind w:firstLine="480" w:firstLineChars="200"/>
              <w:contextualSpacing/>
              <w:jc w:val="left"/>
              <w:rPr>
                <w:rFonts w:eastAsiaTheme="minorEastAsia"/>
                <w:bCs/>
                <w:color w:val="000000" w:themeColor="text1"/>
                <w:sz w:val="24"/>
                <w:highlight w:val="none"/>
              </w:rPr>
            </w:pPr>
            <w:r>
              <w:rPr>
                <w:rFonts w:hAnsi="宋体"/>
                <w:bCs/>
                <w:color w:val="000000" w:themeColor="text1"/>
                <w:sz w:val="24"/>
                <w:highlight w:val="none"/>
              </w:rPr>
              <w:t>本</w:t>
            </w:r>
            <w:r>
              <w:rPr>
                <w:rFonts w:hint="eastAsia" w:hAnsi="宋体"/>
                <w:bCs/>
                <w:color w:val="000000" w:themeColor="text1"/>
                <w:sz w:val="24"/>
                <w:highlight w:val="none"/>
              </w:rPr>
              <w:t>项目</w:t>
            </w:r>
            <w:r>
              <w:rPr>
                <w:rFonts w:hAnsi="宋体"/>
                <w:bCs/>
                <w:color w:val="000000" w:themeColor="text1"/>
                <w:sz w:val="24"/>
                <w:highlight w:val="none"/>
              </w:rPr>
              <w:t>为</w:t>
            </w:r>
            <w:r>
              <w:rPr>
                <w:rFonts w:hint="eastAsia" w:hAnsiTheme="minorEastAsia" w:eastAsiaTheme="minorEastAsia"/>
                <w:color w:val="000000" w:themeColor="text1"/>
                <w:sz w:val="24"/>
                <w:highlight w:val="none"/>
              </w:rPr>
              <w:t>其他建筑材料</w:t>
            </w:r>
            <w:r>
              <w:rPr>
                <w:rFonts w:hAnsiTheme="minorEastAsia" w:eastAsiaTheme="minorEastAsia"/>
                <w:color w:val="000000" w:themeColor="text1"/>
                <w:sz w:val="24"/>
                <w:highlight w:val="none"/>
              </w:rPr>
              <w:t>制造</w:t>
            </w:r>
            <w:r>
              <w:rPr>
                <w:rFonts w:hint="eastAsia" w:hAnsi="宋体"/>
                <w:bCs/>
                <w:color w:val="000000" w:themeColor="text1"/>
                <w:sz w:val="24"/>
                <w:highlight w:val="none"/>
              </w:rPr>
              <w:t>项目，租赁原哈尔滨市香坊区和平第二砖瓦厂场地，位于</w:t>
            </w:r>
            <w:r>
              <w:rPr>
                <w:color w:val="000000" w:themeColor="text1"/>
                <w:sz w:val="24"/>
                <w:highlight w:val="none"/>
              </w:rPr>
              <w:t>黑龙江省</w:t>
            </w:r>
            <w:r>
              <w:rPr>
                <w:rFonts w:hint="eastAsia"/>
                <w:color w:val="000000" w:themeColor="text1"/>
                <w:sz w:val="24"/>
                <w:highlight w:val="none"/>
              </w:rPr>
              <w:t>哈尔滨市香坊区成高子镇和平村，</w:t>
            </w:r>
            <w:r>
              <w:rPr>
                <w:rFonts w:hint="eastAsia" w:hAnsi="宋体"/>
                <w:bCs/>
                <w:color w:val="000000" w:themeColor="text1"/>
                <w:sz w:val="24"/>
                <w:highlight w:val="none"/>
              </w:rPr>
              <w:t>本项目主要建</w:t>
            </w:r>
            <w:r>
              <w:rPr>
                <w:rFonts w:hint="eastAsia"/>
                <w:color w:val="000000" w:themeColor="text1"/>
                <w:sz w:val="24"/>
                <w:highlight w:val="none"/>
              </w:rPr>
              <w:t>设1条</w:t>
            </w:r>
            <w:r>
              <w:rPr>
                <w:rFonts w:hint="eastAsia" w:hAnsi="宋体"/>
                <w:bCs/>
                <w:color w:val="000000" w:themeColor="text1"/>
                <w:sz w:val="24"/>
                <w:highlight w:val="none"/>
              </w:rPr>
              <w:t>水泥稳定碎石料生产线</w:t>
            </w:r>
            <w:r>
              <w:rPr>
                <w:rFonts w:hint="eastAsia"/>
                <w:color w:val="000000" w:themeColor="text1"/>
                <w:sz w:val="24"/>
                <w:highlight w:val="none"/>
              </w:rPr>
              <w:t>，</w:t>
            </w:r>
            <w:r>
              <w:rPr>
                <w:rFonts w:hint="eastAsia" w:hAnsi="宋体"/>
                <w:bCs/>
                <w:sz w:val="24"/>
                <w:highlight w:val="none"/>
              </w:rPr>
              <w:t>年产水泥稳定碎石料10</w:t>
            </w:r>
            <w:r>
              <w:rPr>
                <w:rFonts w:hint="eastAsia"/>
                <w:bCs/>
                <w:sz w:val="24"/>
                <w:highlight w:val="none"/>
              </w:rPr>
              <w:t>万m</w:t>
            </w:r>
            <w:r>
              <w:rPr>
                <w:rFonts w:hint="eastAsia"/>
                <w:bCs/>
                <w:sz w:val="24"/>
                <w:highlight w:val="none"/>
                <w:vertAlign w:val="superscript"/>
              </w:rPr>
              <w:t>3</w:t>
            </w:r>
            <w:r>
              <w:rPr>
                <w:rFonts w:hint="eastAsia" w:hAnsi="宋体"/>
                <w:bCs/>
                <w:color w:val="000000" w:themeColor="text1"/>
                <w:sz w:val="24"/>
                <w:highlight w:val="none"/>
              </w:rPr>
              <w:t>，配套建设原料堆场、水泥筒仓、危险废物贮存库、办公室等，总占地面积9600</w:t>
            </w:r>
            <w:r>
              <w:rPr>
                <w:rFonts w:hAnsi="宋体"/>
                <w:bCs/>
                <w:color w:val="000000" w:themeColor="text1"/>
                <w:sz w:val="24"/>
                <w:highlight w:val="none"/>
              </w:rPr>
              <w:t>m</w:t>
            </w:r>
            <w:r>
              <w:rPr>
                <w:rFonts w:hAnsi="宋体"/>
                <w:bCs/>
                <w:color w:val="000000" w:themeColor="text1"/>
                <w:sz w:val="24"/>
                <w:highlight w:val="none"/>
                <w:vertAlign w:val="superscript"/>
              </w:rPr>
              <w:t>2</w:t>
            </w:r>
            <w:r>
              <w:rPr>
                <w:rFonts w:hint="eastAsia" w:hAnsi="宋体"/>
                <w:bCs/>
                <w:color w:val="000000" w:themeColor="text1"/>
                <w:sz w:val="24"/>
                <w:highlight w:val="none"/>
              </w:rPr>
              <w:t>。</w:t>
            </w:r>
            <w:r>
              <w:rPr>
                <w:rFonts w:hAnsiTheme="minorEastAsia" w:eastAsiaTheme="minorEastAsia"/>
                <w:bCs/>
                <w:color w:val="000000" w:themeColor="text1"/>
                <w:sz w:val="24"/>
                <w:highlight w:val="none"/>
              </w:rPr>
              <w:t>项目具体工程组成见表</w:t>
            </w:r>
            <w:r>
              <w:rPr>
                <w:rFonts w:eastAsiaTheme="minorEastAsia"/>
                <w:bCs/>
                <w:color w:val="000000" w:themeColor="text1"/>
                <w:sz w:val="24"/>
                <w:highlight w:val="none"/>
              </w:rPr>
              <w:t>2-1</w:t>
            </w:r>
            <w:r>
              <w:rPr>
                <w:rFonts w:hAnsiTheme="minorEastAsia" w:eastAsiaTheme="minorEastAsia"/>
                <w:bCs/>
                <w:color w:val="000000" w:themeColor="text1"/>
                <w:sz w:val="24"/>
                <w:highlight w:val="none"/>
              </w:rPr>
              <w:t>。</w:t>
            </w:r>
          </w:p>
          <w:p>
            <w:pPr>
              <w:pStyle w:val="59"/>
              <w:spacing w:beforeLines="0" w:afterLines="0" w:line="360" w:lineRule="auto"/>
              <w:ind w:firstLine="0" w:firstLineChars="0"/>
              <w:contextualSpacing/>
              <w:jc w:val="center"/>
              <w:textAlignment w:val="baseline"/>
              <w:rPr>
                <w:rFonts w:eastAsiaTheme="minorEastAsia"/>
                <w:b/>
                <w:color w:val="000000" w:themeColor="text1"/>
                <w:highlight w:val="none"/>
              </w:rPr>
            </w:pPr>
            <w:r>
              <w:rPr>
                <w:rFonts w:hAnsiTheme="minorEastAsia" w:eastAsiaTheme="minorEastAsia"/>
                <w:b/>
                <w:color w:val="000000" w:themeColor="text1"/>
                <w:highlight w:val="none"/>
              </w:rPr>
              <w:t>表</w:t>
            </w:r>
            <w:r>
              <w:rPr>
                <w:rFonts w:eastAsiaTheme="minorEastAsia"/>
                <w:b/>
                <w:color w:val="000000" w:themeColor="text1"/>
                <w:highlight w:val="none"/>
              </w:rPr>
              <w:t>2-1</w:t>
            </w:r>
            <w:r>
              <w:rPr>
                <w:rFonts w:hAnsiTheme="minorEastAsia" w:eastAsiaTheme="minorEastAsia"/>
                <w:b/>
                <w:color w:val="000000" w:themeColor="text1"/>
                <w:highlight w:val="none"/>
              </w:rPr>
              <w:t>项目工程组成一览表</w:t>
            </w:r>
          </w:p>
          <w:tbl>
            <w:tblPr>
              <w:tblStyle w:val="23"/>
              <w:tblW w:w="84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80"/>
              <w:gridCol w:w="6022"/>
              <w:gridCol w:w="6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4" w:hRule="atLeast"/>
                <w:jc w:val="center"/>
              </w:trPr>
              <w:tc>
                <w:tcPr>
                  <w:tcW w:w="1748" w:type="dxa"/>
                  <w:gridSpan w:val="2"/>
                  <w:vAlign w:val="center"/>
                </w:tcPr>
                <w:p>
                  <w:pPr>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工程内容</w:t>
                  </w:r>
                </w:p>
              </w:tc>
              <w:tc>
                <w:tcPr>
                  <w:tcW w:w="6022" w:type="dxa"/>
                  <w:vAlign w:val="center"/>
                </w:tcPr>
                <w:p>
                  <w:pPr>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建设规模及内容</w:t>
                  </w:r>
                </w:p>
              </w:tc>
              <w:tc>
                <w:tcPr>
                  <w:tcW w:w="663" w:type="dxa"/>
                  <w:vAlign w:val="center"/>
                </w:tcPr>
                <w:p>
                  <w:pPr>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vAlign w:val="center"/>
                </w:tcPr>
                <w:p>
                  <w:pPr>
                    <w:spacing w:line="1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主体工程</w:t>
                  </w:r>
                </w:p>
              </w:tc>
              <w:tc>
                <w:tcPr>
                  <w:tcW w:w="1080" w:type="dxa"/>
                  <w:vAlign w:val="center"/>
                </w:tcPr>
                <w:p>
                  <w:pPr>
                    <w:pStyle w:val="32"/>
                    <w:rPr>
                      <w:rFonts w:ascii="Times New Roman" w:hAnsiTheme="minorEastAsia" w:eastAsiaTheme="minorEastAsia"/>
                      <w:color w:val="000000" w:themeColor="text1"/>
                      <w:kern w:val="2"/>
                      <w:sz w:val="21"/>
                      <w:szCs w:val="21"/>
                      <w:highlight w:val="none"/>
                    </w:rPr>
                  </w:pPr>
                  <w:r>
                    <w:rPr>
                      <w:rFonts w:hint="eastAsia" w:ascii="Times New Roman" w:hAnsiTheme="minorEastAsia" w:eastAsiaTheme="minorEastAsia"/>
                      <w:color w:val="000000" w:themeColor="text1"/>
                      <w:kern w:val="2"/>
                      <w:sz w:val="21"/>
                      <w:szCs w:val="21"/>
                      <w:highlight w:val="none"/>
                    </w:rPr>
                    <w:t>生产线</w:t>
                  </w:r>
                </w:p>
              </w:tc>
              <w:tc>
                <w:tcPr>
                  <w:tcW w:w="6022" w:type="dxa"/>
                  <w:vAlign w:val="center"/>
                </w:tcPr>
                <w:p>
                  <w:pPr>
                    <w:spacing w:line="260" w:lineRule="exact"/>
                    <w:jc w:val="left"/>
                    <w:rPr>
                      <w:color w:val="000000" w:themeColor="text1"/>
                      <w:szCs w:val="21"/>
                      <w:highlight w:val="none"/>
                    </w:rPr>
                  </w:pPr>
                  <w:r>
                    <w:rPr>
                      <w:rFonts w:hint="eastAsia"/>
                      <w:szCs w:val="21"/>
                      <w:highlight w:val="none"/>
                    </w:rPr>
                    <w:t>占地</w:t>
                  </w:r>
                  <w:r>
                    <w:rPr>
                      <w:szCs w:val="21"/>
                      <w:highlight w:val="none"/>
                    </w:rPr>
                    <w:t>面积</w:t>
                  </w:r>
                  <w:r>
                    <w:rPr>
                      <w:rFonts w:hint="eastAsia"/>
                      <w:szCs w:val="21"/>
                      <w:highlight w:val="none"/>
                    </w:rPr>
                    <w:t>约150</w:t>
                  </w:r>
                  <w:r>
                    <w:rPr>
                      <w:szCs w:val="21"/>
                      <w:highlight w:val="none"/>
                    </w:rPr>
                    <w:t>m</w:t>
                  </w:r>
                  <w:r>
                    <w:rPr>
                      <w:szCs w:val="21"/>
                      <w:highlight w:val="none"/>
                      <w:vertAlign w:val="superscript"/>
                    </w:rPr>
                    <w:t>2</w:t>
                  </w:r>
                  <w:r>
                    <w:rPr>
                      <w:szCs w:val="21"/>
                      <w:highlight w:val="none"/>
                    </w:rPr>
                    <w:t>，</w:t>
                  </w:r>
                  <w:r>
                    <w:rPr>
                      <w:rFonts w:hint="eastAsia"/>
                      <w:szCs w:val="21"/>
                      <w:highlight w:val="none"/>
                    </w:rPr>
                    <w:t>设置</w:t>
                  </w:r>
                  <w:r>
                    <w:rPr>
                      <w:szCs w:val="21"/>
                      <w:highlight w:val="none"/>
                    </w:rPr>
                    <w:t>一</w:t>
                  </w:r>
                  <w:r>
                    <w:rPr>
                      <w:bCs/>
                      <w:szCs w:val="21"/>
                      <w:highlight w:val="none"/>
                    </w:rPr>
                    <w:t>条水泥稳定碎石料生产线，</w:t>
                  </w:r>
                  <w:r>
                    <w:rPr>
                      <w:rFonts w:hint="eastAsia"/>
                      <w:bCs/>
                      <w:szCs w:val="21"/>
                      <w:highlight w:val="none"/>
                    </w:rPr>
                    <w:t>年产</w:t>
                  </w:r>
                  <w:r>
                    <w:rPr>
                      <w:bCs/>
                      <w:szCs w:val="21"/>
                      <w:highlight w:val="none"/>
                    </w:rPr>
                    <w:t>水泥稳定碎石料</w:t>
                  </w:r>
                  <w:r>
                    <w:rPr>
                      <w:rFonts w:hint="eastAsia"/>
                      <w:bCs/>
                      <w:szCs w:val="21"/>
                      <w:highlight w:val="none"/>
                    </w:rPr>
                    <w:t>10万</w:t>
                  </w:r>
                  <w:r>
                    <w:rPr>
                      <w:bCs/>
                      <w:szCs w:val="21"/>
                      <w:highlight w:val="none"/>
                    </w:rPr>
                    <w:t>m</w:t>
                  </w:r>
                  <w:r>
                    <w:rPr>
                      <w:rFonts w:hint="eastAsia"/>
                      <w:bCs/>
                      <w:szCs w:val="21"/>
                      <w:highlight w:val="none"/>
                      <w:vertAlign w:val="superscript"/>
                    </w:rPr>
                    <w:t>3</w:t>
                  </w:r>
                  <w:r>
                    <w:rPr>
                      <w:rFonts w:hint="eastAsia"/>
                      <w:bCs/>
                      <w:szCs w:val="21"/>
                      <w:highlight w:val="none"/>
                    </w:rPr>
                    <w:t>；上料口及搅拌器密闭。</w:t>
                  </w:r>
                </w:p>
              </w:tc>
              <w:tc>
                <w:tcPr>
                  <w:tcW w:w="663" w:type="dxa"/>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668" w:type="dxa"/>
                  <w:vMerge w:val="restart"/>
                  <w:tcBorders>
                    <w:tl2br w:val="nil"/>
                    <w:tr2bl w:val="nil"/>
                  </w:tcBorders>
                  <w:vAlign w:val="center"/>
                </w:tcPr>
                <w:p>
                  <w:pPr>
                    <w:spacing w:line="1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储运工程</w:t>
                  </w:r>
                </w:p>
              </w:tc>
              <w:tc>
                <w:tcPr>
                  <w:tcW w:w="1080"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原料堆场</w:t>
                  </w:r>
                </w:p>
              </w:tc>
              <w:tc>
                <w:tcPr>
                  <w:tcW w:w="6022" w:type="dxa"/>
                  <w:tcBorders>
                    <w:tl2br w:val="nil"/>
                    <w:tr2bl w:val="nil"/>
                  </w:tcBorders>
                  <w:vAlign w:val="center"/>
                </w:tcPr>
                <w:p>
                  <w:pPr>
                    <w:spacing w:line="260" w:lineRule="exact"/>
                    <w:jc w:val="left"/>
                    <w:rPr>
                      <w:rFonts w:eastAsiaTheme="minorEastAsia"/>
                      <w:color w:val="000000" w:themeColor="text1"/>
                      <w:szCs w:val="21"/>
                      <w:highlight w:val="none"/>
                    </w:rPr>
                  </w:pPr>
                  <w:r>
                    <w:rPr>
                      <w:rFonts w:hAnsiTheme="minorEastAsia" w:eastAsiaTheme="minorEastAsia"/>
                      <w:color w:val="000000" w:themeColor="text1"/>
                      <w:szCs w:val="21"/>
                      <w:highlight w:val="none"/>
                    </w:rPr>
                    <w:t>位于</w:t>
                  </w:r>
                  <w:r>
                    <w:rPr>
                      <w:rFonts w:hint="eastAsia" w:hAnsiTheme="minorEastAsia" w:eastAsiaTheme="minorEastAsia"/>
                      <w:color w:val="000000" w:themeColor="text1"/>
                      <w:szCs w:val="21"/>
                      <w:highlight w:val="none"/>
                    </w:rPr>
                    <w:t>厂区北侧，占地</w:t>
                  </w:r>
                  <w:r>
                    <w:rPr>
                      <w:rFonts w:hAnsiTheme="minorEastAsia" w:eastAsiaTheme="minorEastAsia"/>
                      <w:color w:val="000000" w:themeColor="text1"/>
                      <w:szCs w:val="21"/>
                      <w:highlight w:val="none"/>
                    </w:rPr>
                    <w:t>面积</w:t>
                  </w:r>
                  <w:r>
                    <w:rPr>
                      <w:rFonts w:hint="eastAsia" w:eastAsiaTheme="minorEastAsia"/>
                      <w:color w:val="000000" w:themeColor="text1"/>
                      <w:szCs w:val="21"/>
                      <w:highlight w:val="none"/>
                    </w:rPr>
                    <w:t>300</w:t>
                  </w:r>
                  <w:r>
                    <w:rPr>
                      <w:rFonts w:eastAsiaTheme="minorEastAsia"/>
                      <w:color w:val="000000" w:themeColor="text1"/>
                      <w:szCs w:val="21"/>
                      <w:highlight w:val="none"/>
                    </w:rPr>
                    <w:t>m</w:t>
                  </w:r>
                  <w:r>
                    <w:rPr>
                      <w:rFonts w:eastAsiaTheme="minorEastAsia"/>
                      <w:color w:val="000000" w:themeColor="text1"/>
                      <w:szCs w:val="21"/>
                      <w:highlight w:val="none"/>
                      <w:vertAlign w:val="superscript"/>
                    </w:rPr>
                    <w:t>2</w:t>
                  </w:r>
                  <w:r>
                    <w:rPr>
                      <w:rFonts w:hAnsiTheme="minorEastAsia" w:eastAsiaTheme="minorEastAsia"/>
                      <w:color w:val="000000" w:themeColor="text1"/>
                      <w:szCs w:val="21"/>
                      <w:highlight w:val="none"/>
                    </w:rPr>
                    <w:t>，</w:t>
                  </w:r>
                  <w:r>
                    <w:rPr>
                      <w:rFonts w:hint="eastAsia" w:eastAsiaTheme="minorEastAsia"/>
                      <w:color w:val="000000" w:themeColor="text1"/>
                      <w:szCs w:val="21"/>
                      <w:highlight w:val="none"/>
                    </w:rPr>
                    <w:t>用于储存原料石料。</w:t>
                  </w:r>
                </w:p>
              </w:tc>
              <w:tc>
                <w:tcPr>
                  <w:tcW w:w="663" w:type="dxa"/>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668" w:type="dxa"/>
                  <w:vMerge w:val="continue"/>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p>
              </w:tc>
              <w:tc>
                <w:tcPr>
                  <w:tcW w:w="1080"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水泥筒仓</w:t>
                  </w:r>
                </w:p>
              </w:tc>
              <w:tc>
                <w:tcPr>
                  <w:tcW w:w="6022" w:type="dxa"/>
                  <w:tcBorders>
                    <w:tl2br w:val="nil"/>
                    <w:tr2bl w:val="nil"/>
                  </w:tcBorders>
                  <w:vAlign w:val="center"/>
                </w:tcPr>
                <w:p>
                  <w:pPr>
                    <w:spacing w:line="260" w:lineRule="exact"/>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2座，用于储存水泥，单座储存量为100t，高15m，占地面积为9m</w:t>
                  </w:r>
                  <w:r>
                    <w:rPr>
                      <w:rFonts w:hint="eastAsia" w:hAnsiTheme="minorEastAsia" w:eastAsiaTheme="minorEastAsia"/>
                      <w:color w:val="000000" w:themeColor="text1"/>
                      <w:szCs w:val="21"/>
                      <w:highlight w:val="none"/>
                      <w:vertAlign w:val="superscript"/>
                    </w:rPr>
                    <w:t>2</w:t>
                  </w:r>
                  <w:r>
                    <w:rPr>
                      <w:rFonts w:hint="eastAsia" w:hAnsiTheme="minorEastAsia" w:eastAsiaTheme="minorEastAsia"/>
                      <w:color w:val="000000" w:themeColor="text1"/>
                      <w:szCs w:val="21"/>
                      <w:highlight w:val="none"/>
                    </w:rPr>
                    <w:t>，仓顶设置除尘器。</w:t>
                  </w:r>
                </w:p>
              </w:tc>
              <w:tc>
                <w:tcPr>
                  <w:tcW w:w="663" w:type="dxa"/>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668" w:type="dxa"/>
                  <w:vMerge w:val="continue"/>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p>
              </w:tc>
              <w:tc>
                <w:tcPr>
                  <w:tcW w:w="1080"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水罐</w:t>
                  </w:r>
                </w:p>
              </w:tc>
              <w:tc>
                <w:tcPr>
                  <w:tcW w:w="6022" w:type="dxa"/>
                  <w:tcBorders>
                    <w:tl2br w:val="nil"/>
                    <w:tr2bl w:val="nil"/>
                  </w:tcBorders>
                  <w:vAlign w:val="center"/>
                </w:tcPr>
                <w:p>
                  <w:pPr>
                    <w:spacing w:line="260" w:lineRule="exact"/>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铁质，一座，位于生产</w:t>
                  </w:r>
                  <w:r>
                    <w:rPr>
                      <w:rFonts w:hint="eastAsia" w:hAnsiTheme="minorEastAsia" w:eastAsiaTheme="minorEastAsia"/>
                      <w:color w:val="000000" w:themeColor="text1"/>
                      <w:szCs w:val="21"/>
                      <w:highlight w:val="none"/>
                      <w:lang w:val="en-US" w:eastAsia="zh-CN"/>
                    </w:rPr>
                    <w:t>线北侧</w:t>
                  </w:r>
                  <w:r>
                    <w:rPr>
                      <w:rFonts w:hint="eastAsia" w:hAnsiTheme="minorEastAsia" w:eastAsiaTheme="minorEastAsia"/>
                      <w:color w:val="000000" w:themeColor="text1"/>
                      <w:szCs w:val="21"/>
                      <w:highlight w:val="none"/>
                    </w:rPr>
                    <w:t>，最大储存量5t，用于储存搅拌用水。</w:t>
                  </w:r>
                </w:p>
              </w:tc>
              <w:tc>
                <w:tcPr>
                  <w:tcW w:w="663" w:type="dxa"/>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8" w:type="dxa"/>
                  <w:vMerge w:val="restart"/>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辅助工程</w:t>
                  </w:r>
                </w:p>
              </w:tc>
              <w:tc>
                <w:tcPr>
                  <w:tcW w:w="1080" w:type="dxa"/>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办公楼</w:t>
                  </w:r>
                </w:p>
              </w:tc>
              <w:tc>
                <w:tcPr>
                  <w:tcW w:w="6022" w:type="dxa"/>
                  <w:tcBorders>
                    <w:tl2br w:val="nil"/>
                    <w:tr2bl w:val="nil"/>
                  </w:tcBorders>
                  <w:vAlign w:val="center"/>
                </w:tcPr>
                <w:p>
                  <w:pPr>
                    <w:spacing w:line="140" w:lineRule="atLeast"/>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地上一层，高3m，位于厂区东侧，占地面积130m</w:t>
                  </w:r>
                  <w:r>
                    <w:rPr>
                      <w:rFonts w:hint="eastAsia" w:hAnsiTheme="minorEastAsia" w:eastAsiaTheme="minorEastAsia"/>
                      <w:color w:val="000000" w:themeColor="text1"/>
                      <w:szCs w:val="21"/>
                      <w:highlight w:val="none"/>
                      <w:vertAlign w:val="superscript"/>
                    </w:rPr>
                    <w:t>2</w:t>
                  </w:r>
                  <w:r>
                    <w:rPr>
                      <w:rFonts w:hint="eastAsia" w:hAnsiTheme="minorEastAsia" w:eastAsiaTheme="minorEastAsia"/>
                      <w:color w:val="000000" w:themeColor="text1"/>
                      <w:szCs w:val="21"/>
                      <w:highlight w:val="none"/>
                    </w:rPr>
                    <w:t>，用于员工办公。</w:t>
                  </w:r>
                </w:p>
              </w:tc>
              <w:tc>
                <w:tcPr>
                  <w:tcW w:w="663" w:type="dxa"/>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8" w:type="dxa"/>
                  <w:vMerge w:val="continue"/>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p>
              </w:tc>
              <w:tc>
                <w:tcPr>
                  <w:tcW w:w="1080" w:type="dxa"/>
                  <w:tcBorders>
                    <w:tl2br w:val="nil"/>
                    <w:tr2bl w:val="nil"/>
                  </w:tcBorders>
                  <w:vAlign w:val="center"/>
                </w:tcPr>
                <w:p>
                  <w:pPr>
                    <w:spacing w:line="1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围墙</w:t>
                  </w:r>
                </w:p>
              </w:tc>
              <w:tc>
                <w:tcPr>
                  <w:tcW w:w="6022" w:type="dxa"/>
                  <w:tcBorders>
                    <w:tl2br w:val="nil"/>
                    <w:tr2bl w:val="nil"/>
                  </w:tcBorders>
                  <w:vAlign w:val="center"/>
                </w:tcPr>
                <w:p>
                  <w:pPr>
                    <w:spacing w:line="140" w:lineRule="atLeast"/>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厂区下风向设置6m高围墙，长约170m，用于阻挡粉尘散逸。</w:t>
                  </w:r>
                </w:p>
              </w:tc>
              <w:tc>
                <w:tcPr>
                  <w:tcW w:w="663" w:type="dxa"/>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8" w:type="dxa"/>
                  <w:vMerge w:val="restart"/>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公用工程</w:t>
                  </w:r>
                </w:p>
              </w:tc>
              <w:tc>
                <w:tcPr>
                  <w:tcW w:w="1080"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供水</w:t>
                  </w:r>
                </w:p>
              </w:tc>
              <w:tc>
                <w:tcPr>
                  <w:tcW w:w="6022" w:type="dxa"/>
                  <w:tcBorders>
                    <w:tl2br w:val="nil"/>
                    <w:tr2bl w:val="nil"/>
                  </w:tcBorders>
                  <w:vAlign w:val="center"/>
                </w:tcPr>
                <w:p>
                  <w:pPr>
                    <w:spacing w:line="260" w:lineRule="exact"/>
                    <w:jc w:val="left"/>
                    <w:rPr>
                      <w:rFonts w:eastAsiaTheme="minorEastAsia"/>
                      <w:color w:val="000000" w:themeColor="text1"/>
                      <w:szCs w:val="21"/>
                      <w:highlight w:val="none"/>
                    </w:rPr>
                  </w:pPr>
                  <w:r>
                    <w:rPr>
                      <w:rFonts w:hint="eastAsia" w:hAnsiTheme="minorEastAsia" w:eastAsiaTheme="minorEastAsia"/>
                      <w:color w:val="000000" w:themeColor="text1"/>
                      <w:szCs w:val="21"/>
                      <w:highlight w:val="none"/>
                    </w:rPr>
                    <w:t>本项目生产用水为厂区自打水井提供；员工生活用水外购。</w:t>
                  </w:r>
                </w:p>
              </w:tc>
              <w:tc>
                <w:tcPr>
                  <w:tcW w:w="663"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668"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080"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供热</w:t>
                  </w:r>
                </w:p>
              </w:tc>
              <w:tc>
                <w:tcPr>
                  <w:tcW w:w="6022" w:type="dxa"/>
                  <w:tcBorders>
                    <w:tl2br w:val="nil"/>
                    <w:tr2bl w:val="nil"/>
                  </w:tcBorders>
                  <w:vAlign w:val="center"/>
                </w:tcPr>
                <w:p>
                  <w:pPr>
                    <w:spacing w:line="260" w:lineRule="exact"/>
                    <w:jc w:val="left"/>
                    <w:rPr>
                      <w:color w:val="000000" w:themeColor="text1"/>
                      <w:kern w:val="0"/>
                      <w:szCs w:val="21"/>
                      <w:highlight w:val="none"/>
                    </w:rPr>
                  </w:pPr>
                  <w:r>
                    <w:rPr>
                      <w:color w:val="000000" w:themeColor="text1"/>
                      <w:kern w:val="0"/>
                      <w:szCs w:val="21"/>
                      <w:highlight w:val="none"/>
                    </w:rPr>
                    <w:t>本项目</w:t>
                  </w:r>
                  <w:r>
                    <w:rPr>
                      <w:rFonts w:hint="eastAsia"/>
                      <w:color w:val="000000" w:themeColor="text1"/>
                      <w:kern w:val="0"/>
                      <w:szCs w:val="21"/>
                      <w:highlight w:val="none"/>
                    </w:rPr>
                    <w:t>生产无需用热，办公楼冬季采取电取暖</w:t>
                  </w:r>
                  <w:r>
                    <w:rPr>
                      <w:color w:val="000000" w:themeColor="text1"/>
                      <w:kern w:val="0"/>
                      <w:szCs w:val="21"/>
                      <w:highlight w:val="none"/>
                    </w:rPr>
                    <w:t>。</w:t>
                  </w:r>
                </w:p>
              </w:tc>
              <w:tc>
                <w:tcPr>
                  <w:tcW w:w="663"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68"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080"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供电</w:t>
                  </w:r>
                </w:p>
              </w:tc>
              <w:tc>
                <w:tcPr>
                  <w:tcW w:w="6022" w:type="dxa"/>
                  <w:tcBorders>
                    <w:tl2br w:val="nil"/>
                    <w:tr2bl w:val="nil"/>
                  </w:tcBorders>
                  <w:vAlign w:val="center"/>
                </w:tcPr>
                <w:p>
                  <w:pPr>
                    <w:spacing w:line="260" w:lineRule="exact"/>
                    <w:jc w:val="left"/>
                    <w:rPr>
                      <w:color w:val="000000" w:themeColor="text1"/>
                      <w:kern w:val="0"/>
                      <w:szCs w:val="21"/>
                      <w:highlight w:val="none"/>
                    </w:rPr>
                  </w:pPr>
                  <w:r>
                    <w:rPr>
                      <w:color w:val="000000" w:themeColor="text1"/>
                      <w:kern w:val="0"/>
                      <w:szCs w:val="21"/>
                      <w:highlight w:val="none"/>
                    </w:rPr>
                    <w:t>本项目供电由当地电网提供。</w:t>
                  </w:r>
                </w:p>
              </w:tc>
              <w:tc>
                <w:tcPr>
                  <w:tcW w:w="663"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8"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080"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排水</w:t>
                  </w:r>
                </w:p>
              </w:tc>
              <w:tc>
                <w:tcPr>
                  <w:tcW w:w="6022" w:type="dxa"/>
                  <w:tcBorders>
                    <w:tl2br w:val="nil"/>
                    <w:tr2bl w:val="nil"/>
                  </w:tcBorders>
                  <w:vAlign w:val="center"/>
                </w:tcPr>
                <w:p>
                  <w:pPr>
                    <w:spacing w:line="260" w:lineRule="exact"/>
                    <w:jc w:val="left"/>
                    <w:rPr>
                      <w:rFonts w:eastAsiaTheme="minorEastAsia"/>
                      <w:color w:val="000000" w:themeColor="text1"/>
                      <w:szCs w:val="21"/>
                      <w:highlight w:val="none"/>
                    </w:rPr>
                  </w:pPr>
                  <w:r>
                    <w:rPr>
                      <w:rFonts w:hint="eastAsia" w:hAnsiTheme="minorEastAsia" w:eastAsiaTheme="minorEastAsia"/>
                      <w:color w:val="000000" w:themeColor="text1"/>
                      <w:szCs w:val="21"/>
                      <w:highlight w:val="none"/>
                    </w:rPr>
                    <w:t>本项目生产用水不外排，生活污水依托</w:t>
                  </w:r>
                  <w:r>
                    <w:rPr>
                      <w:rFonts w:hint="eastAsia" w:eastAsiaTheme="minorEastAsia"/>
                      <w:color w:val="000000" w:themeColor="text1"/>
                      <w:szCs w:val="21"/>
                      <w:highlight w:val="none"/>
                      <w:lang w:eastAsia="zh-CN"/>
                    </w:rPr>
                    <w:t>垃圾填埋场</w:t>
                  </w:r>
                  <w:r>
                    <w:rPr>
                      <w:rFonts w:hint="eastAsia" w:eastAsiaTheme="minorEastAsia"/>
                      <w:color w:val="000000" w:themeColor="text1"/>
                      <w:szCs w:val="21"/>
                      <w:highlight w:val="none"/>
                    </w:rPr>
                    <w:t>防渗旱厕</w:t>
                  </w:r>
                  <w:r>
                    <w:rPr>
                      <w:rFonts w:hint="eastAsia" w:hAnsiTheme="minorEastAsia" w:eastAsiaTheme="minorEastAsia"/>
                      <w:color w:val="000000" w:themeColor="text1"/>
                      <w:szCs w:val="21"/>
                      <w:highlight w:val="none"/>
                    </w:rPr>
                    <w:t>。</w:t>
                  </w:r>
                </w:p>
              </w:tc>
              <w:tc>
                <w:tcPr>
                  <w:tcW w:w="663"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668" w:type="dxa"/>
                  <w:vMerge w:val="restart"/>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环保工程</w:t>
                  </w:r>
                </w:p>
              </w:tc>
              <w:tc>
                <w:tcPr>
                  <w:tcW w:w="1080"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废水治理措施</w:t>
                  </w:r>
                </w:p>
              </w:tc>
              <w:tc>
                <w:tcPr>
                  <w:tcW w:w="6022" w:type="dxa"/>
                  <w:tcBorders>
                    <w:tl2br w:val="nil"/>
                    <w:tr2bl w:val="nil"/>
                  </w:tcBorders>
                  <w:vAlign w:val="center"/>
                </w:tcPr>
                <w:p>
                  <w:pPr>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本项目搅拌用水进入产品，洒水降尘用水蒸发消耗，生活污水依托</w:t>
                  </w:r>
                  <w:r>
                    <w:rPr>
                      <w:rFonts w:hint="eastAsia" w:eastAsiaTheme="minorEastAsia"/>
                      <w:color w:val="000000" w:themeColor="text1"/>
                      <w:szCs w:val="21"/>
                      <w:highlight w:val="none"/>
                      <w:lang w:eastAsia="zh-CN"/>
                    </w:rPr>
                    <w:t>垃圾填埋场</w:t>
                  </w:r>
                  <w:r>
                    <w:rPr>
                      <w:rFonts w:hint="eastAsia" w:eastAsiaTheme="minorEastAsia"/>
                      <w:color w:val="000000" w:themeColor="text1"/>
                      <w:szCs w:val="21"/>
                      <w:highlight w:val="none"/>
                    </w:rPr>
                    <w:t>防渗旱厕</w:t>
                  </w:r>
                  <w:r>
                    <w:rPr>
                      <w:rFonts w:hint="eastAsia" w:hAnsiTheme="minorEastAsia" w:eastAsiaTheme="minorEastAsia"/>
                      <w:color w:val="000000" w:themeColor="text1"/>
                      <w:szCs w:val="21"/>
                      <w:highlight w:val="none"/>
                    </w:rPr>
                    <w:t>。</w:t>
                  </w:r>
                </w:p>
              </w:tc>
              <w:tc>
                <w:tcPr>
                  <w:tcW w:w="663"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68"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080" w:type="dxa"/>
                  <w:tcBorders>
                    <w:tl2br w:val="nil"/>
                    <w:tr2bl w:val="nil"/>
                  </w:tcBorders>
                  <w:vAlign w:val="center"/>
                </w:tcPr>
                <w:p>
                  <w:pPr>
                    <w:spacing w:line="260" w:lineRule="exac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废气治理措施</w:t>
                  </w:r>
                </w:p>
              </w:tc>
              <w:tc>
                <w:tcPr>
                  <w:tcW w:w="6022" w:type="dxa"/>
                  <w:tcBorders>
                    <w:tl2br w:val="nil"/>
                    <w:tr2bl w:val="nil"/>
                  </w:tcBorders>
                  <w:vAlign w:val="center"/>
                </w:tcPr>
                <w:p>
                  <w:pPr>
                    <w:spacing w:line="260" w:lineRule="exact"/>
                    <w:jc w:val="left"/>
                    <w:rPr>
                      <w:rFonts w:hAnsiTheme="minorEastAsia" w:eastAsiaTheme="minorEastAsia"/>
                      <w:color w:val="000000" w:themeColor="text1"/>
                      <w:szCs w:val="21"/>
                      <w:highlight w:val="none"/>
                    </w:rPr>
                  </w:pPr>
                  <w:r>
                    <w:rPr>
                      <w:rFonts w:hint="eastAsia"/>
                      <w:color w:val="000000" w:themeColor="text1"/>
                      <w:szCs w:val="21"/>
                      <w:highlight w:val="none"/>
                    </w:rPr>
                    <w:t>本项目下风向设置6m高围墙；水泥仓粉尘经仓顶布袋除尘器处理后仓顶排放；物料装卸洒水降尘，原料堆场石料用苫布遮盖；上料仓及搅拌器整体封闭，产生的废气经布袋除尘器处理后由15m高排气筒排放；水泥采用封闭式罐车运入厂区；厂内道路及时清扫，洒水降尘</w:t>
                  </w:r>
                  <w:r>
                    <w:rPr>
                      <w:rFonts w:hint="eastAsia" w:hAnsiTheme="minorEastAsia" w:eastAsiaTheme="minorEastAsia"/>
                      <w:color w:val="000000" w:themeColor="text1"/>
                      <w:szCs w:val="21"/>
                      <w:highlight w:val="none"/>
                    </w:rPr>
                    <w:t>。</w:t>
                  </w:r>
                </w:p>
              </w:tc>
              <w:tc>
                <w:tcPr>
                  <w:tcW w:w="663"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68"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080" w:type="dxa"/>
                  <w:tcBorders>
                    <w:tl2br w:val="nil"/>
                    <w:tr2bl w:val="nil"/>
                  </w:tcBorders>
                  <w:vAlign w:val="center"/>
                </w:tcPr>
                <w:p>
                  <w:pPr>
                    <w:spacing w:line="24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噪声防治措施</w:t>
                  </w:r>
                </w:p>
              </w:tc>
              <w:tc>
                <w:tcPr>
                  <w:tcW w:w="6022" w:type="dxa"/>
                  <w:tcBorders>
                    <w:tl2br w:val="nil"/>
                    <w:tr2bl w:val="nil"/>
                  </w:tcBorders>
                  <w:vAlign w:val="center"/>
                </w:tcPr>
                <w:p>
                  <w:pPr>
                    <w:spacing w:line="260" w:lineRule="exact"/>
                    <w:jc w:val="left"/>
                    <w:rPr>
                      <w:rFonts w:eastAsiaTheme="minorEastAsia"/>
                      <w:color w:val="000000" w:themeColor="text1"/>
                      <w:szCs w:val="21"/>
                      <w:highlight w:val="none"/>
                    </w:rPr>
                  </w:pPr>
                  <w:r>
                    <w:rPr>
                      <w:rFonts w:hint="eastAsia" w:hAnsiTheme="minorEastAsia" w:eastAsiaTheme="minorEastAsia"/>
                      <w:color w:val="000000" w:themeColor="text1"/>
                      <w:szCs w:val="21"/>
                      <w:highlight w:val="none"/>
                    </w:rPr>
                    <w:t>采用低噪声设备，</w:t>
                  </w:r>
                  <w:r>
                    <w:rPr>
                      <w:rFonts w:hAnsiTheme="minorEastAsia" w:eastAsiaTheme="minorEastAsia"/>
                      <w:color w:val="000000" w:themeColor="text1"/>
                      <w:szCs w:val="21"/>
                      <w:highlight w:val="none"/>
                    </w:rPr>
                    <w:t>设备底座固定，安装橡胶减振垫</w:t>
                  </w:r>
                  <w:r>
                    <w:rPr>
                      <w:rFonts w:hint="eastAsia" w:hAnsiTheme="minorEastAsia" w:eastAsiaTheme="minorEastAsia"/>
                      <w:color w:val="000000" w:themeColor="text1"/>
                      <w:szCs w:val="21"/>
                      <w:highlight w:val="none"/>
                    </w:rPr>
                    <w:t>。</w:t>
                  </w:r>
                </w:p>
              </w:tc>
              <w:tc>
                <w:tcPr>
                  <w:tcW w:w="663"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68" w:type="dxa"/>
                  <w:vMerge w:val="continue"/>
                  <w:tcBorders>
                    <w:tl2br w:val="nil"/>
                    <w:tr2bl w:val="nil"/>
                  </w:tcBorders>
                  <w:vAlign w:val="center"/>
                </w:tcPr>
                <w:p>
                  <w:pPr>
                    <w:spacing w:line="240" w:lineRule="atLeast"/>
                    <w:jc w:val="center"/>
                    <w:rPr>
                      <w:rFonts w:eastAsiaTheme="minorEastAsia"/>
                      <w:color w:val="000000" w:themeColor="text1"/>
                      <w:szCs w:val="21"/>
                      <w:highlight w:val="none"/>
                    </w:rPr>
                  </w:pPr>
                </w:p>
              </w:tc>
              <w:tc>
                <w:tcPr>
                  <w:tcW w:w="1080" w:type="dxa"/>
                  <w:tcBorders>
                    <w:tl2br w:val="nil"/>
                    <w:tr2bl w:val="nil"/>
                  </w:tcBorders>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固废处置措施</w:t>
                  </w:r>
                </w:p>
              </w:tc>
              <w:tc>
                <w:tcPr>
                  <w:tcW w:w="6022" w:type="dxa"/>
                  <w:tcBorders>
                    <w:tl2br w:val="nil"/>
                    <w:tr2bl w:val="nil"/>
                  </w:tcBorders>
                  <w:vAlign w:val="center"/>
                </w:tcPr>
                <w:p>
                  <w:pPr>
                    <w:rPr>
                      <w:color w:val="000000" w:themeColor="text1"/>
                      <w:highlight w:val="none"/>
                    </w:rPr>
                  </w:pPr>
                  <w:r>
                    <w:rPr>
                      <w:rFonts w:hAnsiTheme="minorEastAsia" w:eastAsiaTheme="minorEastAsia"/>
                      <w:color w:val="000000" w:themeColor="text1"/>
                      <w:szCs w:val="21"/>
                      <w:highlight w:val="none"/>
                    </w:rPr>
                    <w:t>生活垃圾由市政部门统一处置；</w:t>
                  </w:r>
                  <w:r>
                    <w:rPr>
                      <w:rFonts w:hint="eastAsia" w:hAnsiTheme="minorEastAsia" w:eastAsiaTheme="minorEastAsia"/>
                      <w:color w:val="000000" w:themeColor="text1"/>
                      <w:szCs w:val="21"/>
                      <w:highlight w:val="none"/>
                    </w:rPr>
                    <w:t>废机油</w:t>
                  </w:r>
                  <w:r>
                    <w:rPr>
                      <w:rFonts w:hAnsiTheme="minorEastAsia" w:eastAsiaTheme="minorEastAsia"/>
                      <w:color w:val="000000" w:themeColor="text1"/>
                      <w:szCs w:val="21"/>
                      <w:highlight w:val="none"/>
                    </w:rPr>
                    <w:t>暂存于</w:t>
                  </w:r>
                  <w:r>
                    <w:rPr>
                      <w:rFonts w:hint="eastAsia" w:hAnsiTheme="minorEastAsia" w:eastAsiaTheme="minorEastAsia"/>
                      <w:color w:val="000000" w:themeColor="text1"/>
                      <w:szCs w:val="21"/>
                      <w:highlight w:val="none"/>
                    </w:rPr>
                    <w:t>危险废物贮存库</w:t>
                  </w:r>
                  <w:r>
                    <w:rPr>
                      <w:rFonts w:hAnsiTheme="minorEastAsia" w:eastAsiaTheme="minorEastAsia"/>
                      <w:color w:val="000000" w:themeColor="text1"/>
                      <w:szCs w:val="21"/>
                      <w:highlight w:val="none"/>
                    </w:rPr>
                    <w:t>，定期委托有资质单位处置；</w:t>
                  </w:r>
                  <w:r>
                    <w:rPr>
                      <w:rFonts w:hint="eastAsia" w:hAnsiTheme="minorEastAsia" w:eastAsiaTheme="minorEastAsia"/>
                      <w:bCs/>
                      <w:color w:val="000000" w:themeColor="text1"/>
                      <w:szCs w:val="21"/>
                      <w:highlight w:val="none"/>
                    </w:rPr>
                    <w:t>布袋除尘器收尘回用于工艺</w:t>
                  </w:r>
                  <w:r>
                    <w:rPr>
                      <w:rStyle w:val="28"/>
                      <w:rFonts w:hint="eastAsia"/>
                      <w:kern w:val="0"/>
                      <w:szCs w:val="20"/>
                      <w:highlight w:val="none"/>
                      <w:lang w:eastAsia="zh-CN"/>
                    </w:rPr>
                    <w:t>；</w:t>
                  </w:r>
                  <w:r>
                    <w:rPr>
                      <w:rStyle w:val="28"/>
                      <w:rFonts w:hint="eastAsia"/>
                      <w:kern w:val="0"/>
                      <w:szCs w:val="20"/>
                      <w:highlight w:val="none"/>
                      <w:lang w:val="en-US" w:eastAsia="zh-CN"/>
                    </w:rPr>
                    <w:t>废布袋交由市政部门统一处理</w:t>
                  </w:r>
                  <w:r>
                    <w:rPr>
                      <w:color w:val="000000" w:themeColor="text1"/>
                      <w:szCs w:val="21"/>
                      <w:highlight w:val="none"/>
                    </w:rPr>
                    <w:t>。</w:t>
                  </w:r>
                </w:p>
              </w:tc>
              <w:tc>
                <w:tcPr>
                  <w:tcW w:w="663" w:type="dxa"/>
                  <w:tcBorders>
                    <w:tl2br w:val="nil"/>
                    <w:tr2bl w:val="nil"/>
                  </w:tcBorders>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新建</w:t>
                  </w:r>
                </w:p>
              </w:tc>
            </w:tr>
          </w:tbl>
          <w:p>
            <w:pPr>
              <w:pStyle w:val="59"/>
              <w:spacing w:beforeLines="0" w:afterLines="0" w:line="360" w:lineRule="auto"/>
              <w:ind w:firstLine="0" w:firstLineChars="0"/>
              <w:contextualSpacing/>
              <w:jc w:val="center"/>
              <w:textAlignment w:val="baseline"/>
              <w:rPr>
                <w:rFonts w:hAnsiTheme="minorEastAsia" w:eastAsiaTheme="minorEastAsia"/>
                <w:b/>
                <w:color w:val="000000" w:themeColor="text1"/>
                <w:highlight w:val="none"/>
              </w:rPr>
            </w:pPr>
            <w:r>
              <w:rPr>
                <w:rFonts w:hint="eastAsia" w:hAnsiTheme="minorEastAsia" w:eastAsiaTheme="minorEastAsia"/>
                <w:b/>
                <w:color w:val="000000" w:themeColor="text1"/>
                <w:highlight w:val="none"/>
              </w:rPr>
              <w:t>表2-2   产品方案表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54"/>
              <w:gridCol w:w="2332"/>
              <w:gridCol w:w="928"/>
              <w:gridCol w:w="1858"/>
              <w:gridCol w:w="23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12"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序号</w:t>
                  </w:r>
                </w:p>
              </w:tc>
              <w:tc>
                <w:tcPr>
                  <w:tcW w:w="1396"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产品名称</w:t>
                  </w:r>
                </w:p>
              </w:tc>
              <w:tc>
                <w:tcPr>
                  <w:tcW w:w="556"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单位</w:t>
                  </w:r>
                </w:p>
              </w:tc>
              <w:tc>
                <w:tcPr>
                  <w:tcW w:w="1113"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年产量</w:t>
                  </w:r>
                </w:p>
              </w:tc>
              <w:tc>
                <w:tcPr>
                  <w:tcW w:w="1421" w:type="pct"/>
                  <w:tcBorders>
                    <w:tl2br w:val="nil"/>
                    <w:tr2bl w:val="nil"/>
                  </w:tcBorders>
                  <w:vAlign w:val="center"/>
                </w:tcPr>
                <w:p>
                  <w:pPr>
                    <w:spacing w:line="240" w:lineRule="atLeast"/>
                    <w:jc w:val="center"/>
                    <w:rPr>
                      <w:color w:val="000000" w:themeColor="text1"/>
                      <w:szCs w:val="21"/>
                      <w:highlight w:val="none"/>
                    </w:rPr>
                  </w:pPr>
                  <w:r>
                    <w:rPr>
                      <w:color w:val="000000" w:themeColor="text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jc w:val="center"/>
              </w:trPr>
              <w:tc>
                <w:tcPr>
                  <w:tcW w:w="512"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rPr>
                    <w:t>1</w:t>
                  </w:r>
                </w:p>
              </w:tc>
              <w:tc>
                <w:tcPr>
                  <w:tcW w:w="1396" w:type="pct"/>
                  <w:tcBorders>
                    <w:tl2br w:val="nil"/>
                    <w:tr2bl w:val="nil"/>
                  </w:tcBorders>
                  <w:vAlign w:val="center"/>
                </w:tcPr>
                <w:p>
                  <w:pPr>
                    <w:spacing w:line="240" w:lineRule="atLeast"/>
                    <w:jc w:val="center"/>
                    <w:rPr>
                      <w:color w:val="000000" w:themeColor="text1"/>
                      <w:szCs w:val="21"/>
                      <w:highlight w:val="none"/>
                    </w:rPr>
                  </w:pPr>
                  <w:r>
                    <w:rPr>
                      <w:rFonts w:hint="eastAsia" w:hAnsi="宋体"/>
                      <w:bCs/>
                      <w:szCs w:val="21"/>
                      <w:highlight w:val="none"/>
                    </w:rPr>
                    <w:t>水泥稳定碎石料</w:t>
                  </w:r>
                </w:p>
              </w:tc>
              <w:tc>
                <w:tcPr>
                  <w:tcW w:w="556"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rPr>
                    <w:t>万m</w:t>
                  </w:r>
                  <w:r>
                    <w:rPr>
                      <w:rFonts w:hint="eastAsia"/>
                      <w:color w:val="000000" w:themeColor="text1"/>
                      <w:szCs w:val="21"/>
                      <w:highlight w:val="none"/>
                      <w:vertAlign w:val="superscript"/>
                    </w:rPr>
                    <w:t>3</w:t>
                  </w:r>
                </w:p>
              </w:tc>
              <w:tc>
                <w:tcPr>
                  <w:tcW w:w="1113"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rPr>
                    <w:t>10</w:t>
                  </w:r>
                </w:p>
              </w:tc>
              <w:tc>
                <w:tcPr>
                  <w:tcW w:w="1421" w:type="pct"/>
                  <w:tcBorders>
                    <w:tl2br w:val="nil"/>
                    <w:tr2bl w:val="nil"/>
                  </w:tcBorders>
                  <w:vAlign w:val="center"/>
                </w:tcPr>
                <w:p>
                  <w:pPr>
                    <w:spacing w:line="240" w:lineRule="atLeast"/>
                    <w:jc w:val="center"/>
                    <w:rPr>
                      <w:color w:val="000000" w:themeColor="text1"/>
                      <w:szCs w:val="21"/>
                      <w:highlight w:val="none"/>
                    </w:rPr>
                  </w:pPr>
                  <w:r>
                    <w:rPr>
                      <w:rFonts w:hint="eastAsia"/>
                      <w:color w:val="000000" w:themeColor="text1"/>
                      <w:szCs w:val="21"/>
                      <w:highlight w:val="none"/>
                    </w:rPr>
                    <w:t>约16万t</w:t>
                  </w:r>
                </w:p>
              </w:tc>
            </w:tr>
          </w:tbl>
          <w:p>
            <w:pPr>
              <w:adjustRightInd w:val="0"/>
              <w:snapToGrid w:val="0"/>
              <w:spacing w:line="360" w:lineRule="auto"/>
              <w:jc w:val="center"/>
              <w:rPr>
                <w:rFonts w:hAnsiTheme="minorEastAsia" w:eastAsiaTheme="minorEastAsia"/>
                <w:b/>
                <w:color w:val="000000" w:themeColor="text1"/>
                <w:sz w:val="24"/>
                <w:highlight w:val="none"/>
              </w:rPr>
            </w:pPr>
          </w:p>
          <w:p>
            <w:pPr>
              <w:adjustRightInd w:val="0"/>
              <w:snapToGrid w:val="0"/>
              <w:spacing w:line="360" w:lineRule="auto"/>
              <w:jc w:val="center"/>
              <w:rPr>
                <w:rFonts w:hAnsiTheme="minorEastAsia" w:eastAsiaTheme="minorEastAsia"/>
                <w:b/>
                <w:color w:val="000000" w:themeColor="text1"/>
                <w:sz w:val="24"/>
                <w:highlight w:val="none"/>
              </w:rPr>
            </w:pPr>
          </w:p>
          <w:p>
            <w:pPr>
              <w:adjustRightInd w:val="0"/>
              <w:snapToGrid w:val="0"/>
              <w:spacing w:line="360" w:lineRule="auto"/>
              <w:jc w:val="center"/>
              <w:rPr>
                <w:rFonts w:hAnsiTheme="minorEastAsia" w:eastAsiaTheme="minorEastAsia"/>
                <w:b/>
                <w:color w:val="000000" w:themeColor="text1"/>
                <w:sz w:val="24"/>
                <w:highlight w:val="none"/>
              </w:rPr>
            </w:pPr>
            <w:r>
              <w:rPr>
                <w:rFonts w:hint="eastAsia" w:hAnsiTheme="minorEastAsia" w:eastAsiaTheme="minorEastAsia"/>
                <w:b/>
                <w:color w:val="000000" w:themeColor="text1"/>
                <w:sz w:val="24"/>
                <w:highlight w:val="none"/>
              </w:rPr>
              <w:t>表2-3  项目原辅料使用情况</w:t>
            </w:r>
          </w:p>
          <w:tbl>
            <w:tblPr>
              <w:tblStyle w:val="23"/>
              <w:tblW w:w="836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994"/>
              <w:gridCol w:w="795"/>
              <w:gridCol w:w="945"/>
              <w:gridCol w:w="1560"/>
              <w:gridCol w:w="2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序号</w:t>
                  </w:r>
                </w:p>
              </w:tc>
              <w:tc>
                <w:tcPr>
                  <w:tcW w:w="1994"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原料名称</w:t>
                  </w:r>
                </w:p>
              </w:tc>
              <w:tc>
                <w:tcPr>
                  <w:tcW w:w="79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单位</w:t>
                  </w:r>
                </w:p>
              </w:tc>
              <w:tc>
                <w:tcPr>
                  <w:tcW w:w="94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来源</w:t>
                  </w:r>
                </w:p>
              </w:tc>
              <w:tc>
                <w:tcPr>
                  <w:tcW w:w="156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物理形状</w:t>
                  </w:r>
                </w:p>
              </w:tc>
              <w:tc>
                <w:tcPr>
                  <w:tcW w:w="240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年用量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w:t>
                  </w:r>
                </w:p>
              </w:tc>
              <w:tc>
                <w:tcPr>
                  <w:tcW w:w="1994"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碎石</w:t>
                  </w:r>
                </w:p>
              </w:tc>
              <w:tc>
                <w:tcPr>
                  <w:tcW w:w="79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94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56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固态</w:t>
                  </w:r>
                </w:p>
              </w:tc>
              <w:tc>
                <w:tcPr>
                  <w:tcW w:w="240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110000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1"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2</w:t>
                  </w:r>
                </w:p>
              </w:tc>
              <w:tc>
                <w:tcPr>
                  <w:tcW w:w="1994"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水泥</w:t>
                  </w:r>
                </w:p>
              </w:tc>
              <w:tc>
                <w:tcPr>
                  <w:tcW w:w="79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t</w:t>
                  </w:r>
                </w:p>
              </w:tc>
              <w:tc>
                <w:tcPr>
                  <w:tcW w:w="945"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AnsiTheme="minorEastAsia" w:eastAsiaTheme="minorEastAsia"/>
                      <w:color w:val="000000" w:themeColor="text1"/>
                      <w:szCs w:val="21"/>
                      <w:highlight w:val="none"/>
                    </w:rPr>
                    <w:t>外购</w:t>
                  </w:r>
                </w:p>
              </w:tc>
              <w:tc>
                <w:tcPr>
                  <w:tcW w:w="156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固态</w:t>
                  </w:r>
                </w:p>
              </w:tc>
              <w:tc>
                <w:tcPr>
                  <w:tcW w:w="2400" w:type="dxa"/>
                  <w:tcBorders>
                    <w:tl2br w:val="nil"/>
                    <w:tr2bl w:val="nil"/>
                  </w:tcBorders>
                  <w:noWrap/>
                  <w:vAlign w:val="center"/>
                </w:tcPr>
                <w:p>
                  <w:pPr>
                    <w:spacing w:line="24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40000</w:t>
                  </w:r>
                </w:p>
              </w:tc>
            </w:tr>
          </w:tbl>
          <w:p>
            <w:pPr>
              <w:adjustRightInd w:val="0"/>
              <w:snapToGrid w:val="0"/>
              <w:spacing w:line="360" w:lineRule="auto"/>
              <w:jc w:val="center"/>
              <w:rPr>
                <w:rFonts w:eastAsiaTheme="minorEastAsia"/>
                <w:b/>
                <w:bCs/>
                <w:color w:val="000000" w:themeColor="text1"/>
                <w:sz w:val="24"/>
                <w:highlight w:val="none"/>
              </w:rPr>
            </w:pPr>
            <w:r>
              <w:rPr>
                <w:rFonts w:hAnsiTheme="minorEastAsia" w:eastAsiaTheme="minorEastAsia"/>
                <w:b/>
                <w:bCs/>
                <w:color w:val="000000" w:themeColor="text1"/>
                <w:sz w:val="24"/>
                <w:highlight w:val="none"/>
              </w:rPr>
              <w:t>表</w:t>
            </w:r>
            <w:r>
              <w:rPr>
                <w:rFonts w:eastAsiaTheme="minorEastAsia"/>
                <w:b/>
                <w:bCs/>
                <w:color w:val="000000" w:themeColor="text1"/>
                <w:sz w:val="24"/>
                <w:highlight w:val="none"/>
              </w:rPr>
              <w:t>2-</w:t>
            </w:r>
            <w:r>
              <w:rPr>
                <w:rFonts w:hint="eastAsia" w:eastAsiaTheme="minorEastAsia"/>
                <w:b/>
                <w:bCs/>
                <w:color w:val="000000" w:themeColor="text1"/>
                <w:sz w:val="24"/>
                <w:highlight w:val="none"/>
              </w:rPr>
              <w:t xml:space="preserve">4 </w:t>
            </w:r>
            <w:r>
              <w:rPr>
                <w:rFonts w:hint="eastAsia" w:hAnsiTheme="minorEastAsia" w:eastAsiaTheme="minorEastAsia"/>
                <w:b/>
                <w:bCs/>
                <w:color w:val="000000" w:themeColor="text1"/>
                <w:sz w:val="24"/>
                <w:highlight w:val="none"/>
              </w:rPr>
              <w:t>本项目主要设备情况表</w:t>
            </w:r>
          </w:p>
          <w:tbl>
            <w:tblPr>
              <w:tblStyle w:val="23"/>
              <w:tblW w:w="4895"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88"/>
              <w:gridCol w:w="3226"/>
              <w:gridCol w:w="1157"/>
              <w:gridCol w:w="1270"/>
              <w:gridCol w:w="183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eastAsiaTheme="minorEastAsia"/>
                      <w:color w:val="000000" w:themeColor="text1"/>
                      <w:szCs w:val="21"/>
                      <w:highlight w:val="none"/>
                      <w:lang w:val="zh-CN"/>
                    </w:rPr>
                  </w:pPr>
                  <w:r>
                    <w:rPr>
                      <w:rFonts w:eastAsiaTheme="minorEastAsia"/>
                      <w:color w:val="000000" w:themeColor="text1"/>
                      <w:szCs w:val="21"/>
                      <w:highlight w:val="none"/>
                      <w:lang w:val="zh-CN"/>
                    </w:rPr>
                    <w:t>序号</w:t>
                  </w:r>
                </w:p>
              </w:tc>
              <w:tc>
                <w:tcPr>
                  <w:tcW w:w="1972" w:type="pct"/>
                  <w:tcBorders>
                    <w:tl2br w:val="nil"/>
                    <w:tr2bl w:val="nil"/>
                  </w:tcBorders>
                  <w:noWrap/>
                  <w:vAlign w:val="center"/>
                </w:tcPr>
                <w:p>
                  <w:pPr>
                    <w:autoSpaceDE w:val="0"/>
                    <w:autoSpaceDN w:val="0"/>
                    <w:jc w:val="center"/>
                    <w:rPr>
                      <w:rFonts w:eastAsiaTheme="minorEastAsia"/>
                      <w:color w:val="000000" w:themeColor="text1"/>
                      <w:szCs w:val="21"/>
                      <w:highlight w:val="none"/>
                      <w:lang w:val="zh-CN"/>
                    </w:rPr>
                  </w:pPr>
                  <w:r>
                    <w:rPr>
                      <w:rFonts w:eastAsiaTheme="minorEastAsia"/>
                      <w:color w:val="000000" w:themeColor="text1"/>
                      <w:szCs w:val="21"/>
                      <w:highlight w:val="none"/>
                      <w:lang w:val="zh-CN"/>
                    </w:rPr>
                    <w:t>设备名称</w:t>
                  </w:r>
                </w:p>
              </w:tc>
              <w:tc>
                <w:tcPr>
                  <w:tcW w:w="708" w:type="pct"/>
                  <w:tcBorders>
                    <w:tl2br w:val="nil"/>
                    <w:tr2bl w:val="nil"/>
                  </w:tcBorders>
                  <w:noWrap/>
                  <w:vAlign w:val="center"/>
                </w:tcPr>
                <w:p>
                  <w:pPr>
                    <w:autoSpaceDE w:val="0"/>
                    <w:autoSpaceDN w:val="0"/>
                    <w:jc w:val="center"/>
                    <w:rPr>
                      <w:rFonts w:eastAsiaTheme="minorEastAsia"/>
                      <w:color w:val="000000" w:themeColor="text1"/>
                      <w:szCs w:val="21"/>
                      <w:highlight w:val="none"/>
                      <w:lang w:val="zh-CN"/>
                    </w:rPr>
                  </w:pPr>
                  <w:r>
                    <w:rPr>
                      <w:rFonts w:hint="eastAsia" w:eastAsiaTheme="minorEastAsia"/>
                      <w:color w:val="000000" w:themeColor="text1"/>
                      <w:szCs w:val="21"/>
                      <w:highlight w:val="none"/>
                    </w:rPr>
                    <w:t>单位</w:t>
                  </w:r>
                </w:p>
              </w:tc>
              <w:tc>
                <w:tcPr>
                  <w:tcW w:w="777" w:type="pct"/>
                  <w:tcBorders>
                    <w:tl2br w:val="nil"/>
                    <w:tr2bl w:val="nil"/>
                  </w:tcBorders>
                  <w:noWrap/>
                  <w:vAlign w:val="center"/>
                </w:tcPr>
                <w:p>
                  <w:pPr>
                    <w:autoSpaceDE w:val="0"/>
                    <w:autoSpaceDN w:val="0"/>
                    <w:jc w:val="center"/>
                    <w:rPr>
                      <w:rFonts w:eastAsiaTheme="minorEastAsia"/>
                      <w:color w:val="000000" w:themeColor="text1"/>
                      <w:szCs w:val="21"/>
                      <w:highlight w:val="none"/>
                      <w:lang w:val="zh-CN"/>
                    </w:rPr>
                  </w:pPr>
                  <w:r>
                    <w:rPr>
                      <w:rFonts w:eastAsiaTheme="minorEastAsia"/>
                      <w:color w:val="000000" w:themeColor="text1"/>
                      <w:szCs w:val="21"/>
                      <w:highlight w:val="none"/>
                      <w:lang w:val="zh-CN"/>
                    </w:rPr>
                    <w:t>数量</w:t>
                  </w:r>
                </w:p>
              </w:tc>
              <w:tc>
                <w:tcPr>
                  <w:tcW w:w="1120" w:type="pct"/>
                  <w:tcBorders>
                    <w:tl2br w:val="nil"/>
                    <w:tr2bl w:val="nil"/>
                  </w:tcBorders>
                  <w:noWrap/>
                  <w:vAlign w:val="center"/>
                </w:tcPr>
                <w:p>
                  <w:pPr>
                    <w:adjustRightInd w:val="0"/>
                    <w:snapToGrid w:val="0"/>
                    <w:jc w:val="center"/>
                    <w:rPr>
                      <w:rFonts w:eastAsiaTheme="minorEastAsia"/>
                      <w:color w:val="000000" w:themeColor="text1"/>
                      <w:szCs w:val="21"/>
                      <w:highlight w:val="none"/>
                    </w:rPr>
                  </w:pPr>
                  <w:r>
                    <w:rPr>
                      <w:rFonts w:hint="eastAsia" w:eastAsiaTheme="minorEastAsia"/>
                      <w:bCs/>
                      <w:color w:val="000000" w:themeColor="text1"/>
                      <w:szCs w:val="21"/>
                      <w:highlight w:val="none"/>
                    </w:rPr>
                    <w:t>型号</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1</w:t>
                  </w:r>
                </w:p>
              </w:tc>
              <w:tc>
                <w:tcPr>
                  <w:tcW w:w="1972"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稳定土拌合站</w:t>
                  </w:r>
                </w:p>
              </w:tc>
              <w:tc>
                <w:tcPr>
                  <w:tcW w:w="708"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套</w:t>
                  </w:r>
                </w:p>
              </w:tc>
              <w:tc>
                <w:tcPr>
                  <w:tcW w:w="777"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1</w:t>
                  </w:r>
                </w:p>
              </w:tc>
              <w:tc>
                <w:tcPr>
                  <w:tcW w:w="1120" w:type="pct"/>
                  <w:tcBorders>
                    <w:tl2br w:val="nil"/>
                    <w:tr2bl w:val="nil"/>
                  </w:tcBorders>
                  <w:noWrap/>
                </w:tcPr>
                <w:p>
                  <w:pPr>
                    <w:adjustRightInd w:val="0"/>
                    <w:snapToGrid w:val="0"/>
                    <w:jc w:val="center"/>
                    <w:rPr>
                      <w:bCs/>
                      <w:color w:val="000000" w:themeColor="text1"/>
                      <w:szCs w:val="21"/>
                      <w:highlight w:val="none"/>
                    </w:rPr>
                  </w:pPr>
                  <w:r>
                    <w:rPr>
                      <w:rFonts w:hint="eastAsia"/>
                      <w:bCs/>
                      <w:color w:val="000000" w:themeColor="text1"/>
                      <w:szCs w:val="21"/>
                      <w:highlight w:val="none"/>
                    </w:rPr>
                    <w:t>WCZ800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2</w:t>
                  </w:r>
                </w:p>
              </w:tc>
              <w:tc>
                <w:tcPr>
                  <w:tcW w:w="1972"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布袋除尘器</w:t>
                  </w:r>
                </w:p>
              </w:tc>
              <w:tc>
                <w:tcPr>
                  <w:tcW w:w="708"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台</w:t>
                  </w:r>
                </w:p>
              </w:tc>
              <w:tc>
                <w:tcPr>
                  <w:tcW w:w="777"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3</w:t>
                  </w:r>
                </w:p>
              </w:tc>
              <w:tc>
                <w:tcPr>
                  <w:tcW w:w="1120" w:type="pct"/>
                  <w:tcBorders>
                    <w:tl2br w:val="nil"/>
                    <w:tr2bl w:val="nil"/>
                  </w:tcBorders>
                  <w:noWrap/>
                </w:tcPr>
                <w:p>
                  <w:pPr>
                    <w:adjustRightInd w:val="0"/>
                    <w:snapToGrid w:val="0"/>
                    <w:jc w:val="center"/>
                    <w:rPr>
                      <w:bCs/>
                      <w:color w:val="000000" w:themeColor="text1"/>
                      <w:szCs w:val="21"/>
                      <w:highlight w:val="none"/>
                    </w:rPr>
                  </w:pPr>
                  <w:r>
                    <w:rPr>
                      <w:rFonts w:hint="eastAsia"/>
                      <w:bCs/>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3</w:t>
                  </w:r>
                </w:p>
              </w:tc>
              <w:tc>
                <w:tcPr>
                  <w:tcW w:w="1972"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风机</w:t>
                  </w:r>
                </w:p>
              </w:tc>
              <w:tc>
                <w:tcPr>
                  <w:tcW w:w="708"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台</w:t>
                  </w:r>
                </w:p>
              </w:tc>
              <w:tc>
                <w:tcPr>
                  <w:tcW w:w="777"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1</w:t>
                  </w:r>
                </w:p>
              </w:tc>
              <w:tc>
                <w:tcPr>
                  <w:tcW w:w="1120" w:type="pct"/>
                  <w:tcBorders>
                    <w:tl2br w:val="nil"/>
                    <w:tr2bl w:val="nil"/>
                  </w:tcBorders>
                  <w:noWrap/>
                </w:tcPr>
                <w:p>
                  <w:pPr>
                    <w:adjustRightInd w:val="0"/>
                    <w:snapToGrid w:val="0"/>
                    <w:jc w:val="center"/>
                    <w:rPr>
                      <w:bCs/>
                      <w:color w:val="000000" w:themeColor="text1"/>
                      <w:szCs w:val="21"/>
                      <w:highlight w:val="none"/>
                    </w:rPr>
                  </w:pPr>
                  <w:r>
                    <w:rPr>
                      <w:rFonts w:hint="eastAsia"/>
                      <w:bCs/>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4</w:t>
                  </w:r>
                </w:p>
              </w:tc>
              <w:tc>
                <w:tcPr>
                  <w:tcW w:w="1972" w:type="pct"/>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水泵</w:t>
                  </w:r>
                </w:p>
              </w:tc>
              <w:tc>
                <w:tcPr>
                  <w:tcW w:w="1158" w:type="dxa"/>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台</w:t>
                  </w:r>
                </w:p>
              </w:tc>
              <w:tc>
                <w:tcPr>
                  <w:tcW w:w="1271" w:type="dxa"/>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1</w:t>
                  </w:r>
                </w:p>
              </w:tc>
              <w:tc>
                <w:tcPr>
                  <w:tcW w:w="1120" w:type="pct"/>
                  <w:tcBorders>
                    <w:tl2br w:val="nil"/>
                    <w:tr2bl w:val="nil"/>
                  </w:tcBorders>
                  <w:noWrap/>
                </w:tcPr>
                <w:p>
                  <w:pPr>
                    <w:adjustRightInd w:val="0"/>
                    <w:snapToGrid w:val="0"/>
                    <w:jc w:val="center"/>
                    <w:rPr>
                      <w:bCs/>
                      <w:color w:val="000000" w:themeColor="text1"/>
                      <w:szCs w:val="21"/>
                      <w:highlight w:val="none"/>
                    </w:rPr>
                  </w:pPr>
                  <w:r>
                    <w:rPr>
                      <w:rFonts w:hint="eastAsia"/>
                      <w:bCs/>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20" w:type="pct"/>
                  <w:tcBorders>
                    <w:tl2br w:val="nil"/>
                    <w:tr2bl w:val="nil"/>
                  </w:tcBorders>
                  <w:noWrap/>
                  <w:vAlign w:val="center"/>
                </w:tcPr>
                <w:p>
                  <w:pPr>
                    <w:autoSpaceDE w:val="0"/>
                    <w:autoSpaceDN w:val="0"/>
                    <w:jc w:val="center"/>
                    <w:rPr>
                      <w:rFonts w:eastAsiaTheme="minorEastAsia"/>
                      <w:color w:val="000000" w:themeColor="text1"/>
                      <w:szCs w:val="21"/>
                      <w:highlight w:val="none"/>
                    </w:rPr>
                  </w:pPr>
                  <w:r>
                    <w:rPr>
                      <w:rFonts w:hint="eastAsia" w:eastAsiaTheme="minorEastAsia"/>
                      <w:color w:val="000000" w:themeColor="text1"/>
                      <w:szCs w:val="21"/>
                      <w:highlight w:val="none"/>
                    </w:rPr>
                    <w:t>5</w:t>
                  </w:r>
                </w:p>
              </w:tc>
              <w:tc>
                <w:tcPr>
                  <w:tcW w:w="1972" w:type="pct"/>
                  <w:tcBorders>
                    <w:tl2br w:val="nil"/>
                    <w:tr2bl w:val="nil"/>
                  </w:tcBorders>
                  <w:noWrap/>
                  <w:vAlign w:val="center"/>
                </w:tcPr>
                <w:p>
                  <w:pPr>
                    <w:adjustRightInd w:val="0"/>
                    <w:snapToGrid w:val="0"/>
                    <w:jc w:val="center"/>
                    <w:rPr>
                      <w:bCs/>
                      <w:color w:val="000000" w:themeColor="text1"/>
                      <w:szCs w:val="21"/>
                      <w:highlight w:val="none"/>
                    </w:rPr>
                  </w:pPr>
                  <w:r>
                    <w:rPr>
                      <w:color w:val="000000" w:themeColor="text1"/>
                      <w:szCs w:val="21"/>
                      <w:highlight w:val="none"/>
                    </w:rPr>
                    <w:t>水泥筒仓</w:t>
                  </w:r>
                </w:p>
              </w:tc>
              <w:tc>
                <w:tcPr>
                  <w:tcW w:w="1158" w:type="dxa"/>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个</w:t>
                  </w:r>
                </w:p>
              </w:tc>
              <w:tc>
                <w:tcPr>
                  <w:tcW w:w="1271" w:type="dxa"/>
                  <w:tcBorders>
                    <w:tl2br w:val="nil"/>
                    <w:tr2bl w:val="nil"/>
                  </w:tcBorders>
                  <w:noWrap/>
                  <w:vAlign w:val="center"/>
                </w:tcPr>
                <w:p>
                  <w:pPr>
                    <w:adjustRightInd w:val="0"/>
                    <w:snapToGrid w:val="0"/>
                    <w:jc w:val="center"/>
                    <w:rPr>
                      <w:bCs/>
                      <w:color w:val="000000" w:themeColor="text1"/>
                      <w:szCs w:val="21"/>
                      <w:highlight w:val="none"/>
                    </w:rPr>
                  </w:pPr>
                  <w:r>
                    <w:rPr>
                      <w:rFonts w:hint="eastAsia"/>
                      <w:bCs/>
                      <w:color w:val="000000" w:themeColor="text1"/>
                      <w:szCs w:val="21"/>
                      <w:highlight w:val="none"/>
                    </w:rPr>
                    <w:t>2</w:t>
                  </w:r>
                </w:p>
              </w:tc>
              <w:tc>
                <w:tcPr>
                  <w:tcW w:w="1120" w:type="pct"/>
                  <w:tcBorders>
                    <w:tl2br w:val="nil"/>
                    <w:tr2bl w:val="nil"/>
                  </w:tcBorders>
                  <w:noWrap/>
                </w:tcPr>
                <w:p>
                  <w:pPr>
                    <w:adjustRightInd w:val="0"/>
                    <w:snapToGrid w:val="0"/>
                    <w:jc w:val="center"/>
                    <w:rPr>
                      <w:bCs/>
                      <w:color w:val="000000" w:themeColor="text1"/>
                      <w:szCs w:val="21"/>
                      <w:highlight w:val="none"/>
                    </w:rPr>
                  </w:pPr>
                  <w:r>
                    <w:rPr>
                      <w:rFonts w:hint="eastAsia"/>
                      <w:bCs/>
                      <w:color w:val="000000" w:themeColor="text1"/>
                      <w:szCs w:val="21"/>
                      <w:highlight w:val="none"/>
                    </w:rPr>
                    <w:t>100t</w:t>
                  </w:r>
                </w:p>
              </w:tc>
            </w:tr>
          </w:tbl>
          <w:p>
            <w:pPr>
              <w:adjustRightInd w:val="0"/>
              <w:snapToGrid w:val="0"/>
              <w:spacing w:line="360" w:lineRule="auto"/>
              <w:ind w:firstLine="480" w:firstLineChars="200"/>
              <w:jc w:val="left"/>
              <w:rPr>
                <w:color w:val="FF0000"/>
                <w:sz w:val="24"/>
                <w:highlight w:val="none"/>
              </w:rPr>
            </w:pPr>
            <w:r>
              <w:rPr>
                <w:sz w:val="24"/>
                <w:highlight w:val="none"/>
              </w:rPr>
              <w:pict>
                <v:line id="_x0000_s2122" o:spid="_x0000_s2122" o:spt="20" style="position:absolute;left:0pt;flip:y;margin-left:161.75pt;margin-top:21.65pt;height:0.05pt;width:127.5pt;z-index:251663360;mso-width-relative:page;mso-height-relative:page;" filled="t" coordsize="21600,21600">
                  <v:path arrowok="t"/>
                  <v:fill on="t" focussize="0,0"/>
                  <v:stroke/>
                  <v:imagedata o:title=""/>
                  <o:lock v:ext="edit"/>
                </v:line>
              </w:pict>
            </w:r>
            <w:r>
              <w:rPr>
                <w:color w:val="FF0000"/>
                <w:sz w:val="24"/>
                <w:highlight w:val="none"/>
              </w:rPr>
              <w:pict>
                <v:group id="_x0000_s2073" o:spid="_x0000_s2073" o:spt="203" style="height:141pt;width:373.45pt;" coordorigin="1827,3102" coordsize="7469,2820" editas="canvas">
                  <o:lock v:ext="edit"/>
                  <v:shape id="_x0000_s2098" o:spid="_x0000_s2098" o:spt="75" type="#_x0000_t75" style="position:absolute;left:1827;top:3102;height:2820;width:7469;" filled="f" stroked="f" coordsize="21600,21600">
                    <v:path/>
                    <v:fill on="f" focussize="0,0"/>
                    <v:stroke on="f"/>
                    <v:imagedata o:title=""/>
                    <o:lock v:ext="edit" text="t" aspectratio="t"/>
                  </v:shape>
                  <v:shape id="_x0000_s2099" o:spid="_x0000_s2099" o:spt="202" type="#_x0000_t202" style="position:absolute;left:7675;top:4112;height:443;width:1052;" fillcolor="#FFFFFF" filled="t" stroked="t" coordsize="21600,21600">
                    <v:path/>
                    <v:fill on="t" color2="#FFFFFF" focussize="0,0"/>
                    <v:stroke color="#000000" joinstyle="miter"/>
                    <v:imagedata o:title=""/>
                    <o:lock v:ext="edit" aspectratio="f"/>
                    <v:textbox>
                      <w:txbxContent>
                        <w:p>
                          <w:pPr>
                            <w:widowControl/>
                            <w:jc w:val="center"/>
                            <w:rPr>
                              <w:color w:val="000000"/>
                              <w:kern w:val="0"/>
                              <w:szCs w:val="21"/>
                            </w:rPr>
                          </w:pPr>
                          <w:r>
                            <w:rPr>
                              <w:rFonts w:hint="eastAsia" w:hAnsi="宋体"/>
                              <w:color w:val="000000"/>
                              <w:kern w:val="0"/>
                              <w:szCs w:val="21"/>
                            </w:rPr>
                            <w:t>搅拌</w:t>
                          </w:r>
                        </w:p>
                      </w:txbxContent>
                    </v:textbox>
                  </v:shape>
                  <v:shape id="_x0000_s2100" o:spid="_x0000_s2100" o:spt="32" type="#_x0000_t32" style="position:absolute;left:5272;top:4327;height:1;width:1289;" filled="f" stroked="t" coordsize="21600,21600">
                    <v:path arrowok="t"/>
                    <v:fill on="f" focussize="0,0"/>
                    <v:stroke weight="1pt" color="#000000" endarrow="block"/>
                    <v:imagedata o:title=""/>
                    <o:lock v:ext="edit" aspectratio="f"/>
                  </v:shape>
                  <v:shape id="_x0000_s2101" o:spid="_x0000_s2101" o:spt="32" type="#_x0000_t32" style="position:absolute;left:7259;top:4328;height:1;width:416;" filled="f" stroked="t" coordsize="21600,21600">
                    <v:path arrowok="t"/>
                    <v:fill on="f" focussize="0,0"/>
                    <v:stroke weight="1pt" color="#000000" endarrow="block"/>
                    <v:imagedata o:title=""/>
                    <o:lock v:ext="edit" aspectratio="f"/>
                  </v:shape>
                  <v:shape id="_x0000_s2102" o:spid="_x0000_s2102" o:spt="202" type="#_x0000_t202" style="position:absolute;left:6534;top:4095;height:443;width:725;" fillcolor="#FFFFFF" filled="t" stroked="t" coordsize="21600,21600">
                    <v:path/>
                    <v:fill on="t" color2="#FFFFFF" focussize="0,0"/>
                    <v:stroke color="#000000" joinstyle="miter"/>
                    <v:imagedata o:title=""/>
                    <o:lock v:ext="edit" aspectratio="f"/>
                    <v:textbox>
                      <w:txbxContent>
                        <w:p>
                          <w:pPr>
                            <w:widowControl/>
                            <w:jc w:val="center"/>
                            <w:rPr>
                              <w:color w:val="000000"/>
                              <w:kern w:val="0"/>
                              <w:szCs w:val="21"/>
                            </w:rPr>
                          </w:pPr>
                          <w:r>
                            <w:rPr>
                              <w:rFonts w:hint="eastAsia" w:hAnsi="宋体"/>
                              <w:color w:val="000000"/>
                              <w:kern w:val="0"/>
                              <w:szCs w:val="21"/>
                            </w:rPr>
                            <w:t>下料</w:t>
                          </w:r>
                        </w:p>
                      </w:txbxContent>
                    </v:textbox>
                  </v:shape>
                  <v:shape id="_x0000_s2103" o:spid="_x0000_s2103" o:spt="32" type="#_x0000_t32" style="position:absolute;left:8182;top:4550;height:842;width:1;" filled="f" stroked="t" coordsize="21600,21600">
                    <v:path arrowok="t"/>
                    <v:fill on="f" focussize="0,0"/>
                    <v:stroke weight="1pt" color="#000000" endarrow="block"/>
                    <v:imagedata o:title=""/>
                    <o:lock v:ext="edit" aspectratio="f"/>
                  </v:shape>
                  <v:line id="_x0000_s2123" o:spid="_x0000_s2123" o:spt="20" style="position:absolute;left:7100;top:3504;flip:x y;height:336;width:1;" filled="f" stroked="t" coordsize="21600,21600">
                    <v:path arrowok="t"/>
                    <v:fill on="f" focussize="0,0"/>
                    <v:stroke color="#000000" dashstyle="dash" endarrow="block"/>
                    <v:imagedata o:title=""/>
                    <o:lock v:ext="edit" aspectratio="f"/>
                  </v:line>
                  <v:shape id="_x0000_s2124" o:spid="_x0000_s2124" o:spt="32" type="#_x0000_t32" style="position:absolute;left:8599;top:3426;height:657;width:1;" filled="f" stroked="t" coordsize="21600,21600">
                    <v:path arrowok="t"/>
                    <v:fill on="f" focussize="0,0"/>
                    <v:stroke weight="1pt" color="#000000" endarrow="block"/>
                    <v:imagedata o:title=""/>
                    <o:lock v:ext="edit" aspectratio="f"/>
                  </v:shape>
                  <v:shape id="_x0000_s2125" o:spid="_x0000_s2125" o:spt="202" type="#_x0000_t202" style="position:absolute;left:7286;top:5406;height:443;width:1799;" fillcolor="#FFFFFF" filled="t" stroked="t" coordsize="21600,21600">
                    <v:path/>
                    <v:fill on="t" color2="#FFFFFF" focussize="0,0"/>
                    <v:stroke color="#000000" joinstyle="miter"/>
                    <v:imagedata o:title=""/>
                    <o:lock v:ext="edit" aspectratio="f"/>
                    <v:textbox>
                      <w:txbxContent>
                        <w:p>
                          <w:pPr>
                            <w:widowControl/>
                            <w:jc w:val="center"/>
                            <w:rPr>
                              <w:color w:val="000000"/>
                              <w:kern w:val="0"/>
                              <w:szCs w:val="21"/>
                            </w:rPr>
                          </w:pPr>
                          <w:r>
                            <w:rPr>
                              <w:rFonts w:hint="eastAsia" w:hAnsi="宋体"/>
                              <w:color w:val="000000"/>
                              <w:kern w:val="0"/>
                              <w:szCs w:val="21"/>
                            </w:rPr>
                            <w:t>成品装车外运</w:t>
                          </w:r>
                        </w:p>
                      </w:txbxContent>
                    </v:textbox>
                  </v:shape>
                  <v:shape id="_x0000_s2129" o:spid="_x0000_s2129" o:spt="202" type="#_x0000_t202" style="position:absolute;left:3997;top:4129;height:443;width:1275;" fillcolor="#FFFFFF" filled="t" stroked="t" coordsize="21600,21600">
                    <v:path/>
                    <v:fill on="t" color2="#FFFFFF" focussize="0,0"/>
                    <v:stroke color="#000000" joinstyle="miter"/>
                    <v:imagedata o:title=""/>
                    <o:lock v:ext="edit" aspectratio="f"/>
                    <v:textbox>
                      <w:txbxContent>
                        <w:p>
                          <w:pPr>
                            <w:widowControl/>
                            <w:jc w:val="center"/>
                            <w:rPr>
                              <w:color w:val="000000"/>
                              <w:kern w:val="0"/>
                              <w:szCs w:val="21"/>
                            </w:rPr>
                          </w:pPr>
                          <w:r>
                            <w:rPr>
                              <w:rFonts w:hint="eastAsia" w:hAnsi="宋体"/>
                              <w:color w:val="000000"/>
                              <w:kern w:val="0"/>
                              <w:szCs w:val="21"/>
                            </w:rPr>
                            <w:t>储料、卸料</w:t>
                          </w:r>
                        </w:p>
                      </w:txbxContent>
                    </v:textbox>
                  </v:shape>
                  <v:shape id="_x0000_s2130" o:spid="_x0000_s2130" o:spt="32" type="#_x0000_t32" style="position:absolute;left:3557;top:4347;height:1;width:440;" filled="f" stroked="t" coordsize="21600,21600">
                    <v:path arrowok="t"/>
                    <v:fill on="f" focussize="0,0"/>
                    <v:stroke weight="1pt" color="#000000" endarrow="block"/>
                    <v:imagedata o:title=""/>
                    <o:lock v:ext="edit" aspectratio="f"/>
                  </v:shape>
                  <v:shape id="_x0000_s2131" o:spid="_x0000_s2131" o:spt="202" type="#_x0000_t202" style="position:absolute;left:8342;top:3102;height:407;width:588;" filled="f" stroked="f" coordsize="21600,21600">
                    <v:path/>
                    <v:fill on="f" focussize="0,0"/>
                    <v:stroke on="f"/>
                    <v:imagedata o:title=""/>
                    <o:lock v:ext="edit" aspectratio="f"/>
                    <v:textbox inset="0mm,0mm,0mm,0mm">
                      <w:txbxContent>
                        <w:p>
                          <w:pPr>
                            <w:widowControl/>
                            <w:jc w:val="center"/>
                            <w:rPr>
                              <w:rFonts w:hAnsiTheme="majorEastAsia" w:eastAsiaTheme="majorEastAsia"/>
                              <w:color w:val="000000"/>
                              <w:kern w:val="0"/>
                              <w:szCs w:val="21"/>
                            </w:rPr>
                          </w:pPr>
                          <w:r>
                            <w:rPr>
                              <w:rFonts w:hint="eastAsia" w:hAnsiTheme="majorEastAsia" w:eastAsiaTheme="majorEastAsia"/>
                              <w:color w:val="000000"/>
                              <w:kern w:val="0"/>
                              <w:szCs w:val="21"/>
                            </w:rPr>
                            <w:t>水</w:t>
                          </w:r>
                        </w:p>
                      </w:txbxContent>
                    </v:textbox>
                  </v:shape>
                  <v:shape id="_x0000_s2132" o:spid="_x0000_s2132" o:spt="202" type="#_x0000_t202" style="position:absolute;left:2022;top:4057;height:656;width:994;" filled="f" stroked="f" coordsize="21600,21600">
                    <v:path/>
                    <v:fill on="f" focussize="0,0"/>
                    <v:stroke on="f"/>
                    <v:imagedata o:title=""/>
                    <o:lock v:ext="edit" aspectratio="f"/>
                    <v:textbox>
                      <w:txbxContent>
                        <w:p>
                          <w:pPr>
                            <w:widowControl/>
                            <w:jc w:val="center"/>
                            <w:rPr>
                              <w:rFonts w:hAnsi="宋体"/>
                              <w:color w:val="000000"/>
                              <w:kern w:val="0"/>
                              <w:szCs w:val="21"/>
                            </w:rPr>
                          </w:pPr>
                          <w:r>
                            <w:rPr>
                              <w:rFonts w:hint="eastAsia" w:hAnsi="宋体"/>
                              <w:color w:val="000000"/>
                              <w:kern w:val="0"/>
                              <w:szCs w:val="21"/>
                            </w:rPr>
                            <w:t>水泥</w:t>
                          </w:r>
                        </w:p>
                        <w:p>
                          <w:pPr>
                            <w:widowControl/>
                            <w:jc w:val="center"/>
                            <w:rPr>
                              <w:rFonts w:hint="eastAsia" w:eastAsia="宋体"/>
                              <w:color w:val="000000"/>
                              <w:kern w:val="0"/>
                              <w:szCs w:val="21"/>
                              <w:lang w:val="en-US" w:eastAsia="zh-CN"/>
                            </w:rPr>
                          </w:pPr>
                          <w:r>
                            <w:rPr>
                              <w:rFonts w:hint="eastAsia" w:hAnsi="宋体"/>
                              <w:color w:val="000000"/>
                              <w:kern w:val="0"/>
                              <w:szCs w:val="21"/>
                            </w:rPr>
                            <w:t>石</w:t>
                          </w:r>
                          <w:r>
                            <w:rPr>
                              <w:rFonts w:hint="eastAsia" w:hAnsi="宋体"/>
                              <w:color w:val="000000"/>
                              <w:kern w:val="0"/>
                              <w:szCs w:val="21"/>
                              <w:lang w:val="en-US" w:eastAsia="zh-CN"/>
                            </w:rPr>
                            <w:t>料</w:t>
                          </w:r>
                        </w:p>
                      </w:txbxContent>
                    </v:textbox>
                  </v:shape>
                  <v:line id="_x0000_s2133" o:spid="_x0000_s2133" o:spt="20" style="position:absolute;left:4619;top:3546;flip:x y;height:561;width:1;" filled="f" stroked="t" coordsize="21600,21600">
                    <v:path arrowok="t"/>
                    <v:fill on="f" focussize="0,0"/>
                    <v:stroke color="#000000" dashstyle="dash" endarrow="block"/>
                    <v:imagedata o:title=""/>
                    <o:lock v:ext="edit" aspectratio="f"/>
                  </v:line>
                  <v:shape id="_x0000_s2134" o:spid="_x0000_s2134" o:spt="202" type="#_x0000_t202" style="position:absolute;left:4304;top:3730;height:407;width:1180;" filled="f" stroked="f" coordsize="21600,21600">
                    <v:path/>
                    <v:fill on="f" focussize="0,0"/>
                    <v:stroke on="f"/>
                    <v:imagedata o:title=""/>
                    <o:lock v:ext="edit" aspectratio="f"/>
                    <v:textbox inset="0mm,0mm,0mm,0mm">
                      <w:txbxContent>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4.89</w:t>
                          </w:r>
                        </w:p>
                      </w:txbxContent>
                    </v:textbox>
                  </v:shape>
                  <v:shape id="_x0000_s2135" o:spid="_x0000_s2135" o:spt="202" type="#_x0000_t202" style="position:absolute;left:2508;top:4093;height:871;width:1204;" filled="f" stroked="f" coordsize="21600,21600">
                    <v:path/>
                    <v:fill on="f" focussize="0,0"/>
                    <v:stroke on="f"/>
                    <v:imagedata o:title=""/>
                    <o:lock v:ext="edit" aspectratio="f"/>
                    <v:textbox>
                      <w:txbxContent>
                        <w:p>
                          <w:pPr>
                            <w:widowControl/>
                            <w:jc w:val="center"/>
                            <w:rPr>
                              <w:rFonts w:hint="eastAsia" w:hAnsi="宋体"/>
                              <w:color w:val="000000"/>
                              <w:kern w:val="0"/>
                              <w:szCs w:val="21"/>
                              <w:lang w:val="en-US" w:eastAsia="zh-CN"/>
                            </w:rPr>
                          </w:pPr>
                          <w:r>
                            <w:rPr>
                              <w:rFonts w:hint="eastAsia" w:hAnsi="宋体"/>
                              <w:color w:val="000000"/>
                              <w:kern w:val="0"/>
                              <w:szCs w:val="21"/>
                              <w:lang w:val="en-US" w:eastAsia="zh-CN"/>
                            </w:rPr>
                            <w:t>40000</w:t>
                          </w:r>
                        </w:p>
                        <w:p>
                          <w:pPr>
                            <w:widowControl/>
                            <w:jc w:val="center"/>
                            <w:rPr>
                              <w:rFonts w:hAnsi="宋体"/>
                              <w:color w:val="000000"/>
                              <w:kern w:val="0"/>
                              <w:szCs w:val="21"/>
                            </w:rPr>
                          </w:pPr>
                          <w:r>
                            <w:rPr>
                              <w:rFonts w:hint="eastAsia" w:hAnsi="宋体"/>
                              <w:color w:val="000000"/>
                              <w:kern w:val="0"/>
                              <w:szCs w:val="21"/>
                            </w:rPr>
                            <w:t>1</w:t>
                          </w:r>
                          <w:r>
                            <w:rPr>
                              <w:rFonts w:hint="eastAsia" w:hAnsi="宋体"/>
                              <w:color w:val="000000"/>
                              <w:kern w:val="0"/>
                              <w:szCs w:val="21"/>
                              <w:lang w:val="en-US" w:eastAsia="zh-CN"/>
                            </w:rPr>
                            <w:t>1000</w:t>
                          </w:r>
                          <w:r>
                            <w:rPr>
                              <w:rFonts w:hint="eastAsia" w:hAnsi="宋体"/>
                              <w:color w:val="000000"/>
                              <w:kern w:val="0"/>
                              <w:szCs w:val="21"/>
                            </w:rPr>
                            <w:t>0</w:t>
                          </w:r>
                        </w:p>
                      </w:txbxContent>
                    </v:textbox>
                  </v:shape>
                  <v:rect id="_x0000_s2136" o:spid="_x0000_s2136" o:spt="1" style="position:absolute;left:6452;top:3878;height:789;width:2477;" filled="f" stroked="t" coordsize="21600,21600">
                    <v:path/>
                    <v:fill on="f" focussize="0,0"/>
                    <v:stroke color="#000000" joinstyle="miter" dashstyle="dash"/>
                    <v:imagedata o:title=""/>
                    <o:lock v:ext="edit" aspectratio="f"/>
                  </v:rect>
                  <v:shape id="_x0000_s2137" o:spid="_x0000_s2137" o:spt="202" type="#_x0000_t202" style="position:absolute;left:6120;top:3590;height:407;width:1180;" filled="f" stroked="f" coordsize="21600,21600">
                    <v:path/>
                    <v:fill on="f" focussize="0,0"/>
                    <v:stroke on="f"/>
                    <v:imagedata o:title=""/>
                    <o:lock v:ext="edit" aspectratio="f"/>
                    <v:textbox inset="0mm,0mm,0mm,0mm">
                      <w:txbxContent>
                        <w:p>
                          <w:pPr>
                            <w:widowControl/>
                            <w:jc w:val="center"/>
                            <w:rPr>
                              <w:rFonts w:hint="default" w:eastAsia="仿宋_GB2312"/>
                              <w:color w:val="000000"/>
                              <w:kern w:val="0"/>
                              <w:szCs w:val="21"/>
                              <w:lang w:val="en-US" w:eastAsia="zh-CN"/>
                            </w:rPr>
                          </w:pPr>
                          <w:r>
                            <w:rPr>
                              <w:rFonts w:hint="eastAsia" w:ascii="宋体" w:hAnsi="宋体" w:eastAsia="宋体" w:cs="宋体"/>
                              <w:color w:val="000000"/>
                              <w:kern w:val="0"/>
                              <w:szCs w:val="21"/>
                              <w:lang w:val="en-US" w:eastAsia="zh-CN"/>
                            </w:rPr>
                            <w:t>粉尘</w:t>
                          </w:r>
                          <w:r>
                            <w:rPr>
                              <w:rFonts w:hint="eastAsia" w:eastAsia="仿宋_GB2312"/>
                              <w:color w:val="000000"/>
                              <w:kern w:val="0"/>
                              <w:szCs w:val="21"/>
                              <w:lang w:val="en-US" w:eastAsia="zh-CN"/>
                            </w:rPr>
                            <w:t>9.3</w:t>
                          </w:r>
                        </w:p>
                      </w:txbxContent>
                    </v:textbox>
                  </v:shape>
                  <v:shape id="_x0000_s2138" o:spid="_x0000_s2138" o:spt="202" type="#_x0000_t202" style="position:absolute;left:7090;top:5051;height:299;width:1180;" filled="f" stroked="f" coordsize="21600,21600">
                    <v:path/>
                    <v:fill on="f" focussize="0,0"/>
                    <v:stroke on="f"/>
                    <v:imagedata o:title=""/>
                    <o:lock v:ext="edit" aspectratio="f"/>
                    <v:textbox inset="0mm,0mm,0mm,0mm">
                      <w:txbxContent>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157997.39</w:t>
                          </w:r>
                        </w:p>
                      </w:txbxContent>
                    </v:textbox>
                  </v:shape>
                  <v:shape id="_x0000_s2139" o:spid="_x0000_s2139" o:spt="202" type="#_x0000_t202" style="position:absolute;left:5272;top:4085;height:280;width:1180;" filled="f" stroked="f" coordsize="21600,21600">
                    <v:path/>
                    <v:fill on="f" focussize="0,0"/>
                    <v:stroke on="f"/>
                    <v:imagedata o:title=""/>
                    <o:lock v:ext="edit" aspectratio="f"/>
                    <v:textbox inset="0mm,0mm,0mm,0mm">
                      <w:txbxContent>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149995.11</w:t>
                          </w:r>
                        </w:p>
                      </w:txbxContent>
                    </v:textbox>
                  </v:shape>
                  <v:shape id="_x0000_s2140" o:spid="_x0000_s2140" o:spt="202" type="#_x0000_t202" style="position:absolute;left:8461;top:3561;height:265;width:835;" filled="f" stroked="f" coordsize="21600,21600">
                    <v:path/>
                    <v:fill on="f" focussize="0,0"/>
                    <v:stroke on="f"/>
                    <v:imagedata o:title=""/>
                    <o:lock v:ext="edit" aspectratio="f"/>
                    <v:textbox inset="0mm,0mm,0mm,0mm">
                      <w:txbxContent>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8000</w:t>
                          </w:r>
                        </w:p>
                      </w:txbxContent>
                    </v:textbox>
                  </v:shape>
                  <v:shape id="_x0000_s2141" o:spid="_x0000_s2141" o:spt="202" type="#_x0000_t202" style="position:absolute;left:4241;top:3162;height:407;width:588;" filled="f" stroked="f" coordsize="21600,21600">
                    <v:path/>
                    <v:fill on="f" focussize="0,0"/>
                    <v:stroke on="f"/>
                    <v:imagedata o:title=""/>
                    <o:lock v:ext="edit" aspectratio="f"/>
                    <v:textbox inset="0mm,0mm,0mm,0mm">
                      <w:txbxContent>
                        <w:p>
                          <w:pPr>
                            <w:widowControl/>
                            <w:jc w:val="center"/>
                            <w:rPr>
                              <w:rFonts w:hAnsiTheme="majorEastAsia" w:eastAsiaTheme="majorEastAsia"/>
                              <w:color w:val="000000"/>
                              <w:kern w:val="0"/>
                              <w:szCs w:val="21"/>
                            </w:rPr>
                          </w:pPr>
                          <w:r>
                            <w:rPr>
                              <w:rFonts w:hint="eastAsia" w:hAnsiTheme="majorEastAsia" w:eastAsiaTheme="majorEastAsia"/>
                              <w:color w:val="000000"/>
                              <w:kern w:val="0"/>
                              <w:szCs w:val="21"/>
                            </w:rPr>
                            <w:t>粉尘</w:t>
                          </w:r>
                        </w:p>
                      </w:txbxContent>
                    </v:textbox>
                  </v:shape>
                  <v:shape id="_x0000_s2142" o:spid="_x0000_s2142" o:spt="33" type="#_x0000_t33" style="position:absolute;left:6270;top:3388;height:724;width:1931;" fillcolor="#FFFFFF" filled="t" stroked="t" coordsize="21600,21600">
                    <v:path arrowok="t"/>
                    <v:fill on="t" color2="#FFFFFF" focussize="0,0"/>
                    <v:stroke color="#000000" endarrow="open"/>
                    <v:imagedata o:title=""/>
                    <o:lock v:ext="edit" aspectratio="f"/>
                  </v:shape>
                  <v:line id="_x0000_s2143" o:spid="_x0000_s2143" o:spt="20" style="position:absolute;left:6259;top:3377;height:161;width:1;" fillcolor="#FFFFFF" filled="t" stroked="t" coordsize="21600,21600">
                    <v:path arrowok="t"/>
                    <v:fill on="t" color2="#FFFFFF" focussize="0,0"/>
                    <v:stroke color="#000000"/>
                    <v:imagedata o:title=""/>
                    <o:lock v:ext="edit" aspectratio="f"/>
                  </v:line>
                  <v:shape id="_x0000_s2144" o:spid="_x0000_s2144" o:spt="202" type="#_x0000_t202" style="position:absolute;left:6702;top:3102;height:400;width:1180;" filled="f" stroked="f" coordsize="21600,21600">
                    <v:path/>
                    <v:fill on="f" focussize="0,0"/>
                    <v:stroke on="f"/>
                    <v:imagedata o:title=""/>
                    <o:lock v:ext="edit" aspectratio="f"/>
                    <v:textbox inset="0mm,0mm,0mm,0mm">
                      <w:txbxContent>
                        <w:p>
                          <w:pPr>
                            <w:widowControl/>
                            <w:jc w:val="center"/>
                            <w:rPr>
                              <w:rFonts w:hint="default" w:eastAsia="仿宋_GB2312"/>
                              <w:color w:val="000000"/>
                              <w:kern w:val="0"/>
                              <w:szCs w:val="21"/>
                              <w:lang w:val="en-US" w:eastAsia="zh-CN"/>
                            </w:rPr>
                          </w:pPr>
                          <w:r>
                            <w:rPr>
                              <w:rFonts w:hint="eastAsia" w:ascii="宋体" w:hAnsi="宋体" w:cs="宋体"/>
                              <w:color w:val="000000"/>
                              <w:kern w:val="0"/>
                              <w:szCs w:val="21"/>
                              <w:lang w:val="en-US" w:eastAsia="zh-CN"/>
                            </w:rPr>
                            <w:t>回用</w:t>
                          </w:r>
                          <w:r>
                            <w:rPr>
                              <w:rFonts w:hint="eastAsia" w:eastAsia="仿宋_GB2312"/>
                              <w:color w:val="000000"/>
                              <w:kern w:val="0"/>
                              <w:szCs w:val="21"/>
                              <w:lang w:val="en-US" w:eastAsia="zh-CN"/>
                            </w:rPr>
                            <w:t>11.58</w:t>
                          </w:r>
                        </w:p>
                      </w:txbxContent>
                    </v:textbox>
                  </v:shape>
                  <w10:wrap type="none"/>
                  <w10:anchorlock/>
                </v:group>
              </w:pict>
            </w:r>
          </w:p>
          <w:p>
            <w:pPr>
              <w:adjustRightInd w:val="0"/>
              <w:snapToGrid w:val="0"/>
              <w:spacing w:line="360" w:lineRule="auto"/>
              <w:ind w:firstLine="482" w:firstLineChars="200"/>
              <w:jc w:val="center"/>
              <w:rPr>
                <w:color w:val="FF0000"/>
                <w:sz w:val="24"/>
                <w:highlight w:val="none"/>
              </w:rPr>
            </w:pPr>
            <w:r>
              <w:rPr>
                <w:b/>
                <w:sz w:val="24"/>
                <w:highlight w:val="none"/>
              </w:rPr>
              <w:t>图</w:t>
            </w:r>
            <w:r>
              <w:rPr>
                <w:rFonts w:hint="eastAsia"/>
                <w:b/>
                <w:sz w:val="24"/>
                <w:highlight w:val="none"/>
              </w:rPr>
              <w:t>2-</w:t>
            </w:r>
            <w:r>
              <w:rPr>
                <w:b/>
                <w:sz w:val="24"/>
                <w:highlight w:val="none"/>
              </w:rPr>
              <w:t>1 本项目物料平衡图</w:t>
            </w:r>
            <w:r>
              <w:rPr>
                <w:b/>
                <w:kern w:val="0"/>
                <w:sz w:val="24"/>
                <w:highlight w:val="none"/>
              </w:rPr>
              <w:t>（单位：t/a）</w:t>
            </w:r>
          </w:p>
          <w:p>
            <w:pPr>
              <w:adjustRightInd w:val="0"/>
              <w:snapToGrid w:val="0"/>
              <w:spacing w:line="360" w:lineRule="auto"/>
              <w:ind w:firstLine="482" w:firstLineChars="200"/>
              <w:jc w:val="left"/>
              <w:rPr>
                <w:rFonts w:eastAsiaTheme="minorEastAsia"/>
                <w:b/>
                <w:bCs/>
                <w:color w:val="000000" w:themeColor="text1"/>
                <w:sz w:val="24"/>
                <w:highlight w:val="none"/>
              </w:rPr>
            </w:pPr>
            <w:r>
              <w:rPr>
                <w:rFonts w:eastAsiaTheme="minorEastAsia"/>
                <w:b/>
                <w:bCs/>
                <w:color w:val="000000" w:themeColor="text1"/>
                <w:sz w:val="24"/>
                <w:highlight w:val="none"/>
              </w:rPr>
              <w:t>2</w:t>
            </w:r>
            <w:r>
              <w:rPr>
                <w:rFonts w:hAnsiTheme="minorEastAsia" w:eastAsiaTheme="minorEastAsia"/>
                <w:b/>
                <w:bCs/>
                <w:color w:val="000000" w:themeColor="text1"/>
                <w:sz w:val="24"/>
                <w:highlight w:val="none"/>
              </w:rPr>
              <w:t>、公共工程</w:t>
            </w:r>
          </w:p>
          <w:p>
            <w:pPr>
              <w:adjustRightInd w:val="0"/>
              <w:snapToGrid w:val="0"/>
              <w:spacing w:line="360" w:lineRule="auto"/>
              <w:ind w:firstLine="480" w:firstLineChars="200"/>
              <w:rPr>
                <w:color w:val="000000" w:themeColor="text1"/>
                <w:sz w:val="24"/>
                <w:highlight w:val="none"/>
              </w:rPr>
            </w:pPr>
            <w:r>
              <w:rPr>
                <w:bCs/>
                <w:color w:val="000000" w:themeColor="text1"/>
                <w:sz w:val="24"/>
                <w:highlight w:val="none"/>
              </w:rPr>
              <w:t>（1）</w:t>
            </w:r>
            <w:r>
              <w:rPr>
                <w:color w:val="000000" w:themeColor="text1"/>
                <w:sz w:val="24"/>
                <w:highlight w:val="none"/>
              </w:rPr>
              <w:t>给水工程</w:t>
            </w:r>
          </w:p>
          <w:p>
            <w:pPr>
              <w:adjustRightInd w:val="0"/>
              <w:snapToGrid w:val="0"/>
              <w:spacing w:line="360" w:lineRule="auto"/>
              <w:ind w:firstLine="480" w:firstLineChars="200"/>
              <w:rPr>
                <w:color w:val="000000" w:themeColor="text1"/>
                <w:sz w:val="24"/>
                <w:highlight w:val="none"/>
              </w:rPr>
            </w:pPr>
            <w:r>
              <w:rPr>
                <w:color w:val="000000" w:themeColor="text1"/>
                <w:sz w:val="24"/>
                <w:highlight w:val="none"/>
              </w:rPr>
              <w:t>项目用水主要为</w:t>
            </w:r>
            <w:r>
              <w:rPr>
                <w:rFonts w:hint="eastAsia"/>
                <w:color w:val="000000" w:themeColor="text1"/>
                <w:sz w:val="24"/>
                <w:highlight w:val="none"/>
              </w:rPr>
              <w:t>生产</w:t>
            </w:r>
            <w:r>
              <w:rPr>
                <w:color w:val="000000" w:themeColor="text1"/>
                <w:sz w:val="24"/>
                <w:highlight w:val="none"/>
              </w:rPr>
              <w:t>用水和</w:t>
            </w:r>
            <w:r>
              <w:rPr>
                <w:rFonts w:hint="eastAsia"/>
                <w:color w:val="000000" w:themeColor="text1"/>
                <w:sz w:val="24"/>
                <w:highlight w:val="none"/>
              </w:rPr>
              <w:t>员工生活</w:t>
            </w:r>
            <w:r>
              <w:rPr>
                <w:color w:val="000000" w:themeColor="text1"/>
                <w:sz w:val="24"/>
                <w:highlight w:val="none"/>
              </w:rPr>
              <w:t>用水。</w:t>
            </w:r>
          </w:p>
          <w:p>
            <w:pPr>
              <w:adjustRightInd w:val="0"/>
              <w:snapToGrid w:val="0"/>
              <w:spacing w:line="360" w:lineRule="auto"/>
              <w:ind w:firstLine="480" w:firstLineChars="200"/>
              <w:rPr>
                <w:bCs/>
                <w:color w:val="000000" w:themeColor="text1"/>
                <w:sz w:val="24"/>
                <w:highlight w:val="none"/>
              </w:rPr>
            </w:pPr>
            <w:r>
              <w:rPr>
                <w:bCs/>
                <w:color w:val="000000" w:themeColor="text1"/>
                <w:sz w:val="24"/>
                <w:highlight w:val="none"/>
              </w:rPr>
              <w:t>①</w:t>
            </w:r>
            <w:r>
              <w:rPr>
                <w:rFonts w:hint="eastAsia"/>
                <w:bCs/>
                <w:color w:val="000000" w:themeColor="text1"/>
                <w:sz w:val="24"/>
                <w:highlight w:val="none"/>
              </w:rPr>
              <w:t>生产</w:t>
            </w:r>
            <w:r>
              <w:rPr>
                <w:bCs/>
                <w:color w:val="000000" w:themeColor="text1"/>
                <w:sz w:val="24"/>
                <w:highlight w:val="none"/>
              </w:rPr>
              <w:t>用水</w:t>
            </w:r>
          </w:p>
          <w:p>
            <w:pPr>
              <w:adjustRightInd w:val="0"/>
              <w:snapToGrid w:val="0"/>
              <w:spacing w:line="360" w:lineRule="auto"/>
              <w:ind w:firstLine="480" w:firstLineChars="200"/>
              <w:rPr>
                <w:bCs/>
                <w:color w:val="000000" w:themeColor="text1"/>
                <w:sz w:val="24"/>
                <w:highlight w:val="none"/>
              </w:rPr>
            </w:pPr>
            <w:r>
              <w:rPr>
                <w:bCs/>
                <w:color w:val="000000" w:themeColor="text1"/>
                <w:sz w:val="24"/>
                <w:highlight w:val="none"/>
              </w:rPr>
              <w:t>生产用水由</w:t>
            </w:r>
            <w:r>
              <w:rPr>
                <w:rFonts w:hint="eastAsia"/>
                <w:bCs/>
                <w:color w:val="000000" w:themeColor="text1"/>
                <w:sz w:val="24"/>
                <w:highlight w:val="none"/>
              </w:rPr>
              <w:t>厂内自打井</w:t>
            </w:r>
            <w:r>
              <w:rPr>
                <w:bCs/>
                <w:color w:val="000000" w:themeColor="text1"/>
                <w:sz w:val="24"/>
                <w:highlight w:val="none"/>
              </w:rPr>
              <w:t>提供</w:t>
            </w:r>
            <w:r>
              <w:rPr>
                <w:rFonts w:hint="eastAsia"/>
                <w:bCs/>
                <w:color w:val="000000" w:themeColor="text1"/>
                <w:sz w:val="24"/>
                <w:highlight w:val="none"/>
              </w:rPr>
              <w:t>，</w:t>
            </w:r>
            <w:r>
              <w:rPr>
                <w:bCs/>
                <w:color w:val="000000" w:themeColor="text1"/>
                <w:sz w:val="24"/>
                <w:highlight w:val="none"/>
              </w:rPr>
              <w:t>抑尘用水及搅拌用水</w:t>
            </w:r>
            <w:r>
              <w:rPr>
                <w:rFonts w:hint="eastAsia"/>
                <w:bCs/>
                <w:color w:val="000000" w:themeColor="text1"/>
                <w:sz w:val="24"/>
                <w:highlight w:val="none"/>
              </w:rPr>
              <w:t>。</w:t>
            </w:r>
          </w:p>
          <w:p>
            <w:pPr>
              <w:adjustRightInd w:val="0"/>
              <w:snapToGrid w:val="0"/>
              <w:spacing w:line="360" w:lineRule="auto"/>
              <w:ind w:firstLine="480" w:firstLineChars="200"/>
              <w:rPr>
                <w:bCs/>
                <w:color w:val="000000" w:themeColor="text1"/>
                <w:sz w:val="24"/>
                <w:highlight w:val="none"/>
              </w:rPr>
            </w:pPr>
            <w:r>
              <w:rPr>
                <w:rFonts w:hint="eastAsia"/>
                <w:bCs/>
                <w:color w:val="000000" w:themeColor="text1"/>
                <w:sz w:val="24"/>
                <w:highlight w:val="none"/>
              </w:rPr>
              <w:t>1.搅拌用水：根据建设单位提供资料，水稳料生产工艺原料配比用水系数约为</w:t>
            </w:r>
            <w:r>
              <w:rPr>
                <w:bCs/>
                <w:color w:val="000000" w:themeColor="text1"/>
                <w:sz w:val="24"/>
                <w:highlight w:val="none"/>
              </w:rPr>
              <w:t>5%</w:t>
            </w:r>
            <w:r>
              <w:rPr>
                <w:rFonts w:hint="eastAsia"/>
                <w:bCs/>
                <w:color w:val="000000" w:themeColor="text1"/>
                <w:sz w:val="24"/>
                <w:highlight w:val="none"/>
              </w:rPr>
              <w:t>，按年产水稳料16万吨计算，总用水量约为8</w:t>
            </w:r>
            <w:r>
              <w:rPr>
                <w:bCs/>
                <w:color w:val="000000" w:themeColor="text1"/>
                <w:sz w:val="24"/>
                <w:highlight w:val="none"/>
              </w:rPr>
              <w:t>000t/a</w:t>
            </w:r>
            <w:r>
              <w:rPr>
                <w:rFonts w:hint="eastAsia"/>
                <w:bCs/>
                <w:color w:val="000000" w:themeColor="text1"/>
                <w:sz w:val="24"/>
                <w:highlight w:val="none"/>
              </w:rPr>
              <w:t xml:space="preserve">，全部计入产品。水稳料拌合符合质量要求后，由水稳料搅拌输送车运送至施工工地，因此水稳料生产过程中无废水产生。 </w:t>
            </w:r>
          </w:p>
          <w:p>
            <w:pPr>
              <w:adjustRightInd w:val="0"/>
              <w:snapToGrid w:val="0"/>
              <w:spacing w:line="360" w:lineRule="auto"/>
              <w:ind w:firstLine="480" w:firstLineChars="200"/>
              <w:rPr>
                <w:color w:val="000000" w:themeColor="text1"/>
                <w:sz w:val="24"/>
                <w:highlight w:val="none"/>
              </w:rPr>
            </w:pPr>
            <w:r>
              <w:rPr>
                <w:rFonts w:hint="eastAsia"/>
                <w:bCs/>
                <w:color w:val="000000" w:themeColor="text1"/>
                <w:sz w:val="24"/>
                <w:highlight w:val="none"/>
              </w:rPr>
              <w:t>2.抑尘用水：根据建设单位提供的资料，平均每天洒水3次，单次洒水用水量以1m</w:t>
            </w:r>
            <w:r>
              <w:rPr>
                <w:rFonts w:hint="eastAsia"/>
                <w:bCs/>
                <w:color w:val="000000" w:themeColor="text1"/>
                <w:sz w:val="24"/>
                <w:highlight w:val="none"/>
                <w:vertAlign w:val="superscript"/>
              </w:rPr>
              <w:t>3</w:t>
            </w:r>
            <w:r>
              <w:rPr>
                <w:rFonts w:hint="eastAsia"/>
                <w:bCs/>
                <w:color w:val="000000" w:themeColor="text1"/>
                <w:sz w:val="24"/>
                <w:highlight w:val="none"/>
              </w:rPr>
              <w:t>计，则用水量为3m</w:t>
            </w:r>
            <w:r>
              <w:rPr>
                <w:rFonts w:hint="eastAsia"/>
                <w:bCs/>
                <w:color w:val="000000" w:themeColor="text1"/>
                <w:sz w:val="24"/>
                <w:highlight w:val="none"/>
                <w:vertAlign w:val="superscript"/>
              </w:rPr>
              <w:t>3</w:t>
            </w:r>
            <w:r>
              <w:rPr>
                <w:rFonts w:hint="eastAsia"/>
                <w:bCs/>
                <w:color w:val="000000" w:themeColor="text1"/>
                <w:sz w:val="24"/>
                <w:highlight w:val="none"/>
              </w:rPr>
              <w:t>/d、630m</w:t>
            </w:r>
            <w:r>
              <w:rPr>
                <w:rFonts w:hint="eastAsia"/>
                <w:bCs/>
                <w:color w:val="000000" w:themeColor="text1"/>
                <w:sz w:val="24"/>
                <w:highlight w:val="none"/>
                <w:vertAlign w:val="superscript"/>
              </w:rPr>
              <w:t>3</w:t>
            </w:r>
            <w:r>
              <w:rPr>
                <w:rFonts w:hint="eastAsia"/>
                <w:bCs/>
                <w:color w:val="000000" w:themeColor="text1"/>
                <w:sz w:val="24"/>
                <w:highlight w:val="none"/>
              </w:rPr>
              <w:t>/a。</w:t>
            </w:r>
          </w:p>
          <w:p>
            <w:pPr>
              <w:adjustRightInd w:val="0"/>
              <w:snapToGrid w:val="0"/>
              <w:spacing w:line="360" w:lineRule="auto"/>
              <w:ind w:firstLine="480" w:firstLineChars="200"/>
              <w:rPr>
                <w:bCs/>
                <w:color w:val="000000" w:themeColor="text1"/>
                <w:sz w:val="24"/>
                <w:highlight w:val="none"/>
              </w:rPr>
            </w:pPr>
            <w:r>
              <w:rPr>
                <w:bCs/>
                <w:color w:val="000000" w:themeColor="text1"/>
                <w:sz w:val="24"/>
                <w:highlight w:val="none"/>
              </w:rPr>
              <w:t>②</w:t>
            </w:r>
            <w:r>
              <w:rPr>
                <w:rFonts w:hint="eastAsia"/>
                <w:bCs/>
                <w:color w:val="000000" w:themeColor="text1"/>
                <w:sz w:val="24"/>
                <w:highlight w:val="none"/>
              </w:rPr>
              <w:t>员工生活</w:t>
            </w:r>
            <w:r>
              <w:rPr>
                <w:bCs/>
                <w:color w:val="000000" w:themeColor="text1"/>
                <w:sz w:val="24"/>
                <w:highlight w:val="none"/>
              </w:rPr>
              <w:t>用水</w:t>
            </w:r>
          </w:p>
          <w:p>
            <w:pPr>
              <w:adjustRightInd w:val="0"/>
              <w:snapToGrid w:val="0"/>
              <w:spacing w:line="360" w:lineRule="auto"/>
              <w:ind w:firstLine="480" w:firstLineChars="200"/>
              <w:rPr>
                <w:bCs/>
                <w:color w:val="000000" w:themeColor="text1"/>
                <w:sz w:val="24"/>
                <w:highlight w:val="none"/>
              </w:rPr>
            </w:pPr>
            <w:r>
              <w:rPr>
                <w:rFonts w:hint="eastAsia"/>
                <w:bCs/>
                <w:color w:val="000000" w:themeColor="text1"/>
                <w:sz w:val="24"/>
                <w:highlight w:val="none"/>
              </w:rPr>
              <w:t>本项目生活用水外购，</w:t>
            </w:r>
            <w:r>
              <w:rPr>
                <w:bCs/>
                <w:color w:val="000000" w:themeColor="text1"/>
                <w:sz w:val="24"/>
                <w:highlight w:val="none"/>
              </w:rPr>
              <w:t>生活用水量计算参照《建筑给水排水设计标准》（GB50015—2019），工人的生活用水采用30L/人·d，本项目定员为</w:t>
            </w:r>
            <w:r>
              <w:rPr>
                <w:rFonts w:hint="eastAsia"/>
                <w:bCs/>
                <w:color w:val="000000" w:themeColor="text1"/>
                <w:sz w:val="24"/>
                <w:highlight w:val="none"/>
              </w:rPr>
              <w:t>5</w:t>
            </w:r>
            <w:r>
              <w:rPr>
                <w:bCs/>
                <w:color w:val="000000" w:themeColor="text1"/>
                <w:sz w:val="24"/>
                <w:highlight w:val="none"/>
              </w:rPr>
              <w:t>人，生活用水量为</w:t>
            </w:r>
            <w:r>
              <w:rPr>
                <w:rFonts w:hint="eastAsia"/>
                <w:bCs/>
                <w:color w:val="000000" w:themeColor="text1"/>
                <w:sz w:val="24"/>
                <w:highlight w:val="none"/>
              </w:rPr>
              <w:t>0.15t/d、31.5</w:t>
            </w:r>
            <w:r>
              <w:rPr>
                <w:bCs/>
                <w:color w:val="000000" w:themeColor="text1"/>
                <w:sz w:val="24"/>
                <w:highlight w:val="none"/>
              </w:rPr>
              <w:t>t/a。</w:t>
            </w:r>
          </w:p>
          <w:p>
            <w:pPr>
              <w:adjustRightInd w:val="0"/>
              <w:snapToGrid w:val="0"/>
              <w:spacing w:line="360" w:lineRule="auto"/>
              <w:ind w:firstLine="480" w:firstLineChars="200"/>
              <w:rPr>
                <w:bCs/>
                <w:color w:val="000000" w:themeColor="text1"/>
                <w:sz w:val="24"/>
                <w:highlight w:val="none"/>
              </w:rPr>
            </w:pPr>
            <w:r>
              <w:rPr>
                <w:bCs/>
                <w:color w:val="000000" w:themeColor="text1"/>
                <w:sz w:val="24"/>
                <w:highlight w:val="none"/>
              </w:rPr>
              <w:t>（2）排水工程</w:t>
            </w:r>
          </w:p>
          <w:p>
            <w:pPr>
              <w:adjustRightInd w:val="0"/>
              <w:snapToGrid w:val="0"/>
              <w:spacing w:line="360" w:lineRule="auto"/>
              <w:ind w:firstLine="480" w:firstLineChars="200"/>
              <w:rPr>
                <w:rFonts w:eastAsiaTheme="minorEastAsia"/>
                <w:bCs/>
                <w:color w:val="000000" w:themeColor="text1"/>
                <w:kern w:val="0"/>
                <w:sz w:val="24"/>
                <w:highlight w:val="none"/>
              </w:rPr>
            </w:pPr>
            <w:r>
              <w:rPr>
                <w:bCs/>
                <w:color w:val="000000" w:themeColor="text1"/>
                <w:sz w:val="24"/>
                <w:highlight w:val="none"/>
              </w:rPr>
              <w:t>本项目</w:t>
            </w:r>
            <w:r>
              <w:rPr>
                <w:color w:val="000000" w:themeColor="text1"/>
                <w:sz w:val="24"/>
                <w:highlight w:val="none"/>
              </w:rPr>
              <w:t>生产用水</w:t>
            </w:r>
            <w:r>
              <w:rPr>
                <w:rFonts w:hint="eastAsia"/>
                <w:color w:val="000000" w:themeColor="text1"/>
                <w:sz w:val="24"/>
                <w:highlight w:val="none"/>
              </w:rPr>
              <w:t>中搅拌用水全部进入产品</w:t>
            </w:r>
            <w:r>
              <w:rPr>
                <w:color w:val="000000" w:themeColor="text1"/>
                <w:sz w:val="24"/>
                <w:highlight w:val="none"/>
              </w:rPr>
              <w:t>，</w:t>
            </w:r>
            <w:r>
              <w:rPr>
                <w:rFonts w:hint="eastAsia"/>
                <w:color w:val="000000" w:themeColor="text1"/>
                <w:sz w:val="24"/>
                <w:highlight w:val="none"/>
              </w:rPr>
              <w:t>抑尘用水全部蒸发消耗，故无生产废水排放。</w:t>
            </w:r>
            <w:r>
              <w:rPr>
                <w:color w:val="000000" w:themeColor="text1"/>
                <w:sz w:val="24"/>
                <w:highlight w:val="none"/>
              </w:rPr>
              <w:t>项目</w:t>
            </w:r>
            <w:r>
              <w:rPr>
                <w:rFonts w:hint="eastAsia"/>
                <w:color w:val="000000" w:themeColor="text1"/>
                <w:sz w:val="24"/>
                <w:highlight w:val="none"/>
              </w:rPr>
              <w:t>生活</w:t>
            </w:r>
            <w:r>
              <w:rPr>
                <w:color w:val="000000" w:themeColor="text1"/>
                <w:sz w:val="24"/>
                <w:highlight w:val="none"/>
              </w:rPr>
              <w:t>废水量按照用水量的80%计算，排水量为</w:t>
            </w:r>
            <w:r>
              <w:rPr>
                <w:rFonts w:hint="eastAsia"/>
                <w:color w:val="000000" w:themeColor="text1"/>
                <w:sz w:val="24"/>
                <w:highlight w:val="none"/>
              </w:rPr>
              <w:t>0.12</w:t>
            </w:r>
            <w:r>
              <w:rPr>
                <w:rFonts w:hint="eastAsia"/>
                <w:color w:val="000000" w:themeColor="text1"/>
                <w:kern w:val="0"/>
                <w:sz w:val="24"/>
                <w:highlight w:val="none"/>
              </w:rPr>
              <w:t>t</w:t>
            </w:r>
            <w:r>
              <w:rPr>
                <w:color w:val="000000" w:themeColor="text1"/>
                <w:kern w:val="0"/>
                <w:sz w:val="24"/>
                <w:highlight w:val="none"/>
              </w:rPr>
              <w:t>/d</w:t>
            </w:r>
            <w:r>
              <w:rPr>
                <w:color w:val="000000" w:themeColor="text1"/>
                <w:sz w:val="24"/>
                <w:highlight w:val="none"/>
              </w:rPr>
              <w:t>，</w:t>
            </w:r>
            <w:r>
              <w:rPr>
                <w:rFonts w:hint="eastAsia"/>
                <w:color w:val="000000" w:themeColor="text1"/>
                <w:kern w:val="0"/>
                <w:sz w:val="24"/>
                <w:highlight w:val="none"/>
              </w:rPr>
              <w:t>25.2t</w:t>
            </w:r>
            <w:r>
              <w:rPr>
                <w:color w:val="000000" w:themeColor="text1"/>
                <w:kern w:val="0"/>
                <w:sz w:val="24"/>
                <w:highlight w:val="none"/>
              </w:rPr>
              <w:t>/a</w:t>
            </w:r>
            <w:r>
              <w:rPr>
                <w:rFonts w:hint="eastAsia"/>
                <w:color w:val="000000" w:themeColor="text1"/>
                <w:kern w:val="0"/>
                <w:sz w:val="24"/>
                <w:highlight w:val="none"/>
              </w:rPr>
              <w:t>，生活废水依托</w:t>
            </w:r>
            <w:r>
              <w:rPr>
                <w:rFonts w:hint="eastAsia"/>
                <w:color w:val="000000" w:themeColor="text1"/>
                <w:kern w:val="0"/>
                <w:sz w:val="24"/>
                <w:highlight w:val="none"/>
                <w:lang w:eastAsia="zh-CN"/>
              </w:rPr>
              <w:t>垃圾填埋场</w:t>
            </w:r>
            <w:r>
              <w:rPr>
                <w:rFonts w:hint="eastAsia"/>
                <w:color w:val="000000" w:themeColor="text1"/>
                <w:kern w:val="0"/>
                <w:sz w:val="24"/>
                <w:highlight w:val="none"/>
              </w:rPr>
              <w:t>防渗旱厕</w:t>
            </w:r>
            <w:r>
              <w:rPr>
                <w:color w:val="000000" w:themeColor="text1"/>
                <w:sz w:val="24"/>
                <w:highlight w:val="none"/>
              </w:rPr>
              <w:t>。</w:t>
            </w:r>
          </w:p>
          <w:p>
            <w:pPr>
              <w:widowControl/>
              <w:spacing w:line="360" w:lineRule="auto"/>
              <w:ind w:firstLine="482"/>
              <w:rPr>
                <w:rFonts w:eastAsiaTheme="minorEastAsia"/>
                <w:color w:val="000000" w:themeColor="text1"/>
                <w:sz w:val="24"/>
                <w:highlight w:val="none"/>
              </w:rPr>
            </w:pPr>
            <w:r>
              <w:rPr>
                <w:rFonts w:hAnsiTheme="minorEastAsia" w:eastAsiaTheme="minorEastAsia"/>
                <w:color w:val="000000" w:themeColor="text1"/>
                <w:sz w:val="24"/>
                <w:highlight w:val="none"/>
              </w:rPr>
              <w:t>③供热：本项目</w:t>
            </w:r>
            <w:r>
              <w:rPr>
                <w:rFonts w:hint="eastAsia" w:hAnsiTheme="minorEastAsia" w:eastAsiaTheme="minorEastAsia"/>
                <w:color w:val="000000" w:themeColor="text1"/>
                <w:sz w:val="24"/>
                <w:highlight w:val="none"/>
              </w:rPr>
              <w:t>冬季</w:t>
            </w:r>
            <w:r>
              <w:rPr>
                <w:rFonts w:hAnsiTheme="minorEastAsia" w:eastAsiaTheme="minorEastAsia"/>
                <w:color w:val="000000" w:themeColor="text1"/>
                <w:sz w:val="24"/>
                <w:highlight w:val="none"/>
              </w:rPr>
              <w:t>供暖</w:t>
            </w:r>
            <w:r>
              <w:rPr>
                <w:rFonts w:hint="eastAsia" w:hAnsiTheme="minorEastAsia" w:eastAsiaTheme="minorEastAsia"/>
                <w:color w:val="000000" w:themeColor="text1"/>
                <w:sz w:val="24"/>
                <w:highlight w:val="none"/>
              </w:rPr>
              <w:t>为电取暖</w:t>
            </w:r>
            <w:r>
              <w:rPr>
                <w:rFonts w:hAnsiTheme="minorEastAsia" w:eastAsiaTheme="minorEastAsia"/>
                <w:color w:val="000000" w:themeColor="text1"/>
                <w:sz w:val="24"/>
                <w:highlight w:val="none"/>
              </w:rPr>
              <w:t>。</w:t>
            </w:r>
          </w:p>
          <w:p>
            <w:pPr>
              <w:adjustRightInd w:val="0"/>
              <w:snapToGrid w:val="0"/>
              <w:spacing w:line="360" w:lineRule="auto"/>
              <w:ind w:firstLine="480" w:firstLineChars="200"/>
              <w:jc w:val="left"/>
              <w:rPr>
                <w:rFonts w:eastAsiaTheme="minorEastAsia"/>
                <w:bCs/>
                <w:color w:val="000000" w:themeColor="text1"/>
                <w:sz w:val="24"/>
                <w:highlight w:val="none"/>
              </w:rPr>
            </w:pPr>
            <w:r>
              <w:rPr>
                <w:rFonts w:hAnsiTheme="minorEastAsia" w:eastAsiaTheme="minorEastAsia"/>
                <w:color w:val="000000" w:themeColor="text1"/>
                <w:sz w:val="24"/>
                <w:highlight w:val="none"/>
              </w:rPr>
              <w:t>④供电：该项目供电由当地电网供给。</w:t>
            </w:r>
          </w:p>
          <w:p>
            <w:pPr>
              <w:adjustRightInd w:val="0"/>
              <w:snapToGrid w:val="0"/>
              <w:spacing w:line="360" w:lineRule="auto"/>
              <w:ind w:firstLine="482" w:firstLineChars="200"/>
              <w:jc w:val="left"/>
              <w:rPr>
                <w:rFonts w:eastAsiaTheme="minorEastAsia"/>
                <w:b/>
                <w:bCs/>
                <w:color w:val="000000" w:themeColor="text1"/>
                <w:sz w:val="24"/>
                <w:highlight w:val="none"/>
              </w:rPr>
            </w:pPr>
            <w:r>
              <w:rPr>
                <w:rFonts w:eastAsiaTheme="minorEastAsia"/>
                <w:b/>
                <w:bCs/>
                <w:color w:val="000000" w:themeColor="text1"/>
                <w:sz w:val="24"/>
                <w:highlight w:val="none"/>
              </w:rPr>
              <w:t>6</w:t>
            </w:r>
            <w:r>
              <w:rPr>
                <w:rFonts w:hAnsiTheme="minorEastAsia" w:eastAsiaTheme="minorEastAsia"/>
                <w:b/>
                <w:bCs/>
                <w:color w:val="000000" w:themeColor="text1"/>
                <w:sz w:val="24"/>
                <w:highlight w:val="none"/>
              </w:rPr>
              <w:t>、劳动定员及工作制度</w:t>
            </w:r>
          </w:p>
          <w:p>
            <w:pPr>
              <w:adjustRightInd w:val="0"/>
              <w:snapToGrid w:val="0"/>
              <w:spacing w:line="360" w:lineRule="auto"/>
              <w:ind w:firstLine="480" w:firstLineChars="200"/>
              <w:jc w:val="left"/>
              <w:rPr>
                <w:rFonts w:eastAsiaTheme="minorEastAsia"/>
                <w:bCs/>
                <w:color w:val="000000" w:themeColor="text1"/>
                <w:sz w:val="24"/>
                <w:highlight w:val="none"/>
              </w:rPr>
            </w:pPr>
            <w:r>
              <w:rPr>
                <w:rFonts w:hAnsiTheme="minorEastAsia" w:eastAsiaTheme="minorEastAsia"/>
                <w:bCs/>
                <w:color w:val="000000" w:themeColor="text1"/>
                <w:sz w:val="24"/>
                <w:highlight w:val="none"/>
              </w:rPr>
              <w:t>本项目劳动定员</w:t>
            </w:r>
            <w:r>
              <w:rPr>
                <w:rFonts w:hint="eastAsia" w:eastAsiaTheme="minorEastAsia"/>
                <w:bCs/>
                <w:color w:val="000000" w:themeColor="text1"/>
                <w:sz w:val="24"/>
                <w:highlight w:val="none"/>
              </w:rPr>
              <w:t>5</w:t>
            </w:r>
            <w:r>
              <w:rPr>
                <w:rFonts w:hAnsiTheme="minorEastAsia" w:eastAsiaTheme="minorEastAsia"/>
                <w:bCs/>
                <w:color w:val="000000" w:themeColor="text1"/>
                <w:sz w:val="24"/>
                <w:highlight w:val="none"/>
              </w:rPr>
              <w:t>人，</w:t>
            </w:r>
            <w:r>
              <w:rPr>
                <w:rFonts w:hint="eastAsia" w:hAnsiTheme="minorEastAsia" w:eastAsiaTheme="minorEastAsia"/>
                <w:bCs/>
                <w:color w:val="000000" w:themeColor="text1"/>
                <w:sz w:val="24"/>
                <w:highlight w:val="none"/>
              </w:rPr>
              <w:t>1班制，每班8小时，</w:t>
            </w:r>
            <w:r>
              <w:rPr>
                <w:rFonts w:hAnsiTheme="minorEastAsia" w:eastAsiaTheme="minorEastAsia"/>
                <w:color w:val="000000" w:themeColor="text1"/>
                <w:sz w:val="24"/>
                <w:highlight w:val="none"/>
              </w:rPr>
              <w:t>年工作天数为</w:t>
            </w:r>
            <w:r>
              <w:rPr>
                <w:rFonts w:hint="eastAsia" w:eastAsiaTheme="minorEastAsia"/>
                <w:color w:val="000000" w:themeColor="text1"/>
                <w:sz w:val="24"/>
                <w:highlight w:val="none"/>
              </w:rPr>
              <w:t>210</w:t>
            </w:r>
            <w:r>
              <w:rPr>
                <w:rFonts w:hAnsiTheme="minorEastAsia" w:eastAsiaTheme="minorEastAsia"/>
                <w:color w:val="000000" w:themeColor="text1"/>
                <w:sz w:val="24"/>
                <w:highlight w:val="none"/>
              </w:rPr>
              <w:t>天</w:t>
            </w:r>
            <w:r>
              <w:rPr>
                <w:rFonts w:hAnsiTheme="minorEastAsia" w:eastAsiaTheme="minorEastAsia"/>
                <w:bCs/>
                <w:color w:val="000000" w:themeColor="text1"/>
                <w:sz w:val="24"/>
                <w:highlight w:val="none"/>
              </w:rPr>
              <w:t>。</w:t>
            </w:r>
          </w:p>
          <w:p>
            <w:pPr>
              <w:adjustRightInd w:val="0"/>
              <w:snapToGrid w:val="0"/>
              <w:spacing w:line="360" w:lineRule="auto"/>
              <w:ind w:firstLine="482" w:firstLineChars="200"/>
              <w:jc w:val="left"/>
              <w:rPr>
                <w:rFonts w:eastAsiaTheme="minorEastAsia"/>
                <w:b/>
                <w:bCs/>
                <w:color w:val="000000" w:themeColor="text1"/>
                <w:sz w:val="24"/>
                <w:highlight w:val="none"/>
              </w:rPr>
            </w:pPr>
            <w:r>
              <w:rPr>
                <w:rFonts w:eastAsiaTheme="minorEastAsia"/>
                <w:b/>
                <w:bCs/>
                <w:color w:val="000000" w:themeColor="text1"/>
                <w:sz w:val="24"/>
                <w:highlight w:val="none"/>
              </w:rPr>
              <w:t>7</w:t>
            </w:r>
            <w:r>
              <w:rPr>
                <w:rFonts w:hAnsiTheme="minorEastAsia" w:eastAsiaTheme="minorEastAsia"/>
                <w:b/>
                <w:bCs/>
                <w:color w:val="000000" w:themeColor="text1"/>
                <w:sz w:val="24"/>
                <w:highlight w:val="none"/>
              </w:rPr>
              <w:t>、厂区平面布置</w:t>
            </w:r>
          </w:p>
          <w:p>
            <w:pPr>
              <w:spacing w:line="360" w:lineRule="auto"/>
              <w:ind w:firstLine="480" w:firstLineChars="200"/>
              <w:contextualSpacing/>
              <w:jc w:val="left"/>
              <w:rPr>
                <w:rFonts w:eastAsiaTheme="minorEastAsia"/>
                <w:bCs/>
                <w:color w:val="000000" w:themeColor="text1"/>
                <w:sz w:val="24"/>
                <w:highlight w:val="none"/>
              </w:rPr>
            </w:pPr>
            <w:r>
              <w:rPr>
                <w:rFonts w:hint="eastAsia"/>
                <w:color w:val="000000" w:themeColor="text1"/>
                <w:kern w:val="0"/>
                <w:sz w:val="24"/>
                <w:highlight w:val="none"/>
              </w:rPr>
              <w:t>本项目</w:t>
            </w:r>
            <w:r>
              <w:rPr>
                <w:rFonts w:hint="eastAsia"/>
                <w:bCs/>
                <w:color w:val="000000" w:themeColor="text1"/>
                <w:kern w:val="0"/>
                <w:sz w:val="24"/>
                <w:highlight w:val="none"/>
                <w:lang w:val="en-US" w:eastAsia="zh-CN"/>
              </w:rPr>
              <w:t>生产线</w:t>
            </w:r>
            <w:r>
              <w:rPr>
                <w:rFonts w:hint="eastAsia"/>
                <w:color w:val="000000" w:themeColor="text1"/>
                <w:kern w:val="0"/>
                <w:sz w:val="24"/>
                <w:highlight w:val="none"/>
              </w:rPr>
              <w:t>位于厂区南侧，办公楼位于</w:t>
            </w:r>
            <w:r>
              <w:rPr>
                <w:rFonts w:hint="eastAsia"/>
                <w:bCs/>
                <w:color w:val="000000" w:themeColor="text1"/>
                <w:kern w:val="0"/>
                <w:sz w:val="24"/>
                <w:highlight w:val="none"/>
              </w:rPr>
              <w:t>厂区东侧，原料堆场位于厂区北侧，便于产品运输</w:t>
            </w:r>
            <w:r>
              <w:rPr>
                <w:rFonts w:hint="eastAsia"/>
                <w:color w:val="000000" w:themeColor="text1"/>
                <w:kern w:val="0"/>
                <w:sz w:val="24"/>
                <w:highlight w:val="none"/>
              </w:rPr>
              <w:t>。总体布局合理。厂区平面布置图见附图2。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pStyle w:val="19"/>
              <w:adjustRightInd w:val="0"/>
              <w:snapToGrid w:val="0"/>
              <w:spacing w:before="0" w:beforeAutospacing="0" w:after="0" w:afterAutospacing="0"/>
              <w:jc w:val="center"/>
              <w:rPr>
                <w:rFonts w:ascii="Times New Roman" w:hAnsi="Times New Roman" w:eastAsiaTheme="minorEastAsia"/>
                <w:color w:val="000000" w:themeColor="text1"/>
                <w:szCs w:val="24"/>
                <w:highlight w:val="none"/>
              </w:rPr>
            </w:pPr>
            <w:r>
              <w:rPr>
                <w:rFonts w:ascii="Times New Roman" w:hAnsiTheme="minorEastAsia" w:eastAsiaTheme="minorEastAsia"/>
                <w:color w:val="000000" w:themeColor="text1"/>
                <w:szCs w:val="24"/>
                <w:highlight w:val="none"/>
              </w:rPr>
              <w:t>工艺流程和产排污环节</w:t>
            </w:r>
          </w:p>
        </w:tc>
        <w:tc>
          <w:tcPr>
            <w:tcW w:w="8564" w:type="dxa"/>
          </w:tcPr>
          <w:p>
            <w:pPr>
              <w:pStyle w:val="5"/>
              <w:widowControl w:val="0"/>
              <w:wordWrap w:val="0"/>
              <w:topLinePunct/>
              <w:snapToGrid/>
              <w:spacing w:before="0" w:after="0" w:line="360" w:lineRule="auto"/>
              <w:ind w:right="0" w:firstLine="482" w:firstLineChars="200"/>
              <w:jc w:val="left"/>
              <w:rPr>
                <w:b/>
                <w:bCs/>
                <w:color w:val="000000" w:themeColor="text1"/>
                <w:kern w:val="2"/>
                <w:sz w:val="24"/>
                <w:szCs w:val="24"/>
                <w:highlight w:val="none"/>
              </w:rPr>
            </w:pPr>
            <w:r>
              <w:rPr>
                <w:rFonts w:hint="eastAsia"/>
                <w:b/>
                <w:bCs/>
                <w:color w:val="000000" w:themeColor="text1"/>
                <w:kern w:val="2"/>
                <w:sz w:val="24"/>
                <w:szCs w:val="24"/>
                <w:highlight w:val="none"/>
              </w:rPr>
              <w:t>一、施工期</w:t>
            </w:r>
          </w:p>
          <w:p>
            <w:pPr>
              <w:spacing w:line="360" w:lineRule="auto"/>
              <w:contextualSpacing/>
              <w:rPr>
                <w:b/>
                <w:bCs/>
                <w:color w:val="000000" w:themeColor="text1"/>
                <w:sz w:val="28"/>
                <w:highlight w:val="none"/>
              </w:rPr>
            </w:pPr>
          </w:p>
          <w:p>
            <w:pPr>
              <w:spacing w:line="360" w:lineRule="auto"/>
              <w:contextualSpacing/>
              <w:rPr>
                <w:bCs/>
                <w:color w:val="000000" w:themeColor="text1"/>
                <w:sz w:val="24"/>
                <w:highlight w:val="none"/>
              </w:rPr>
            </w:pPr>
            <w:r>
              <w:rPr>
                <w:b/>
                <w:color w:val="000000" w:themeColor="text1"/>
                <w:sz w:val="24"/>
                <w:highlight w:val="none"/>
              </w:rPr>
              <w:pict>
                <v:shape id="_x0000_s2076" o:spid="_x0000_s2076" o:spt="32" type="#_x0000_t32" style="position:absolute;left:0pt;margin-left:412.25pt;margin-top:43.85pt;height:23.45pt;width:0pt;z-index:251660288;mso-width-relative:page;mso-height-relative:page;" o:connectortype="straight" filled="f" coordsize="21600,21600">
                  <v:path arrowok="t"/>
                  <v:fill on="f" focussize="0,0"/>
                  <v:stroke weight="1.5pt"/>
                  <v:imagedata o:title=""/>
                  <o:lock v:ext="edit"/>
                </v:shape>
              </w:pict>
            </w:r>
            <w:r>
              <w:rPr>
                <w:b/>
                <w:color w:val="000000" w:themeColor="text1"/>
                <w:sz w:val="24"/>
                <w:highlight w:val="none"/>
              </w:rPr>
              <w:drawing>
                <wp:inline distT="0" distB="0" distL="0" distR="0">
                  <wp:extent cx="5200015" cy="1405890"/>
                  <wp:effectExtent l="0" t="0" r="635" b="3810"/>
                  <wp:docPr id="4"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7"/>
                          <pic:cNvPicPr>
                            <a:picLocks noChangeAspect="1" noChangeArrowheads="1"/>
                          </pic:cNvPicPr>
                        </pic:nvPicPr>
                        <pic:blipFill>
                          <a:blip r:embed="rId7"/>
                          <a:srcRect/>
                          <a:stretch>
                            <a:fillRect/>
                          </a:stretch>
                        </pic:blipFill>
                        <pic:spPr>
                          <a:xfrm>
                            <a:off x="0" y="0"/>
                            <a:ext cx="5200015" cy="1405890"/>
                          </a:xfrm>
                          <a:prstGeom prst="rect">
                            <a:avLst/>
                          </a:prstGeom>
                          <a:noFill/>
                          <a:ln w="9525">
                            <a:noFill/>
                            <a:miter lim="800000"/>
                            <a:headEnd/>
                            <a:tailEnd/>
                          </a:ln>
                        </pic:spPr>
                      </pic:pic>
                    </a:graphicData>
                  </a:graphic>
                </wp:inline>
              </w:drawing>
            </w:r>
          </w:p>
          <w:p>
            <w:pPr>
              <w:spacing w:line="360" w:lineRule="auto"/>
              <w:contextualSpacing/>
              <w:jc w:val="center"/>
              <w:rPr>
                <w:b/>
                <w:bCs/>
                <w:color w:val="000000" w:themeColor="text1"/>
                <w:sz w:val="24"/>
                <w:highlight w:val="none"/>
              </w:rPr>
            </w:pPr>
            <w:r>
              <w:rPr>
                <w:b/>
                <w:bCs/>
                <w:color w:val="000000" w:themeColor="text1"/>
                <w:sz w:val="24"/>
                <w:highlight w:val="none"/>
              </w:rPr>
              <w:t>图2-1 施工期</w:t>
            </w:r>
            <w:r>
              <w:rPr>
                <w:b/>
                <w:color w:val="000000" w:themeColor="text1"/>
                <w:sz w:val="24"/>
                <w:highlight w:val="none"/>
              </w:rPr>
              <w:t>工艺流程及产污节点</w:t>
            </w:r>
          </w:p>
          <w:p>
            <w:pPr>
              <w:spacing w:line="360" w:lineRule="auto"/>
              <w:ind w:firstLine="482" w:firstLineChars="200"/>
              <w:contextualSpacing/>
              <w:rPr>
                <w:b/>
                <w:color w:val="000000" w:themeColor="text1"/>
                <w:sz w:val="24"/>
                <w:highlight w:val="none"/>
              </w:rPr>
            </w:pPr>
            <w:r>
              <w:rPr>
                <w:b/>
                <w:color w:val="000000" w:themeColor="text1"/>
                <w:sz w:val="24"/>
                <w:highlight w:val="none"/>
              </w:rPr>
              <w:t>1、环境空气</w:t>
            </w:r>
          </w:p>
          <w:p>
            <w:pPr>
              <w:spacing w:line="360" w:lineRule="auto"/>
              <w:ind w:firstLine="480" w:firstLineChars="200"/>
              <w:contextualSpacing/>
              <w:rPr>
                <w:color w:val="000000" w:themeColor="text1"/>
                <w:sz w:val="24"/>
                <w:highlight w:val="none"/>
              </w:rPr>
            </w:pPr>
            <w:r>
              <w:rPr>
                <w:color w:val="000000" w:themeColor="text1"/>
                <w:sz w:val="24"/>
                <w:highlight w:val="none"/>
              </w:rPr>
              <w:t>本项目建设施工过程中挖土、运土、填土、夯实和汽车运输过程产生的扬尘都将会造成周围环境的大气污染。污染大气的主要因素是粉尘。</w:t>
            </w:r>
          </w:p>
          <w:p>
            <w:pPr>
              <w:spacing w:line="360" w:lineRule="auto"/>
              <w:ind w:firstLine="482" w:firstLineChars="200"/>
              <w:contextualSpacing/>
              <w:rPr>
                <w:b/>
                <w:color w:val="000000" w:themeColor="text1"/>
                <w:sz w:val="24"/>
                <w:highlight w:val="none"/>
              </w:rPr>
            </w:pPr>
            <w:r>
              <w:rPr>
                <w:b/>
                <w:color w:val="000000" w:themeColor="text1"/>
                <w:sz w:val="24"/>
                <w:highlight w:val="none"/>
              </w:rPr>
              <w:t>2、水环境</w:t>
            </w:r>
          </w:p>
          <w:p>
            <w:pPr>
              <w:spacing w:line="360" w:lineRule="auto"/>
              <w:ind w:firstLine="480" w:firstLineChars="200"/>
              <w:contextualSpacing/>
              <w:rPr>
                <w:color w:val="000000" w:themeColor="text1"/>
                <w:sz w:val="24"/>
                <w:highlight w:val="none"/>
              </w:rPr>
            </w:pPr>
            <w:r>
              <w:rPr>
                <w:color w:val="000000" w:themeColor="text1"/>
                <w:sz w:val="24"/>
                <w:highlight w:val="none"/>
              </w:rPr>
              <w:t>施工期的废水主要为施工人员的生活污水和施工废水。施工人员30人，产生生活污水约为1.2t/d，生活污水依托</w:t>
            </w:r>
            <w:r>
              <w:rPr>
                <w:rFonts w:hint="eastAsia"/>
                <w:color w:val="000000" w:themeColor="text1"/>
                <w:sz w:val="24"/>
                <w:highlight w:val="none"/>
                <w:lang w:eastAsia="zh-CN"/>
              </w:rPr>
              <w:t>垃圾填埋场</w:t>
            </w:r>
            <w:r>
              <w:rPr>
                <w:rFonts w:hint="eastAsia"/>
                <w:color w:val="000000" w:themeColor="text1"/>
                <w:sz w:val="24"/>
                <w:highlight w:val="none"/>
              </w:rPr>
              <w:t>防渗旱厕</w:t>
            </w:r>
            <w:r>
              <w:rPr>
                <w:color w:val="000000" w:themeColor="text1"/>
                <w:sz w:val="24"/>
                <w:highlight w:val="none"/>
              </w:rPr>
              <w:t>。施工废水产生量约为0.5t/d，经沉淀池沉淀后用于厂区降尘，不外排。</w:t>
            </w:r>
          </w:p>
          <w:p>
            <w:pPr>
              <w:spacing w:line="360" w:lineRule="auto"/>
              <w:ind w:firstLine="482" w:firstLineChars="200"/>
              <w:contextualSpacing/>
              <w:rPr>
                <w:b/>
                <w:color w:val="000000" w:themeColor="text1"/>
                <w:sz w:val="24"/>
                <w:highlight w:val="none"/>
              </w:rPr>
            </w:pPr>
            <w:r>
              <w:rPr>
                <w:b/>
                <w:color w:val="000000" w:themeColor="text1"/>
                <w:sz w:val="24"/>
                <w:highlight w:val="none"/>
              </w:rPr>
              <w:t>3、噪声</w:t>
            </w:r>
          </w:p>
          <w:p>
            <w:pPr>
              <w:spacing w:line="360" w:lineRule="auto"/>
              <w:ind w:firstLine="480" w:firstLineChars="200"/>
              <w:contextualSpacing/>
              <w:rPr>
                <w:color w:val="000000" w:themeColor="text1"/>
                <w:sz w:val="24"/>
                <w:highlight w:val="none"/>
              </w:rPr>
            </w:pPr>
            <w:r>
              <w:rPr>
                <w:color w:val="000000" w:themeColor="text1"/>
                <w:sz w:val="24"/>
                <w:highlight w:val="none"/>
              </w:rPr>
              <w:t>施工期噪声主要来自各类施工机械及运输车辆，在5米范围内一般为70—90dB(A)，施工期间会对周围环境产生一定的影响。</w:t>
            </w:r>
          </w:p>
          <w:p>
            <w:pPr>
              <w:spacing w:line="360" w:lineRule="auto"/>
              <w:ind w:firstLine="482" w:firstLineChars="200"/>
              <w:contextualSpacing/>
              <w:rPr>
                <w:b/>
                <w:color w:val="000000" w:themeColor="text1"/>
                <w:sz w:val="24"/>
                <w:highlight w:val="none"/>
              </w:rPr>
            </w:pPr>
            <w:r>
              <w:rPr>
                <w:b/>
                <w:color w:val="000000" w:themeColor="text1"/>
                <w:sz w:val="24"/>
                <w:highlight w:val="none"/>
              </w:rPr>
              <w:t>4、固体废物</w:t>
            </w:r>
          </w:p>
          <w:p>
            <w:pPr>
              <w:spacing w:line="360" w:lineRule="auto"/>
              <w:ind w:firstLine="360" w:firstLineChars="150"/>
              <w:contextualSpacing/>
              <w:rPr>
                <w:bCs/>
                <w:color w:val="000000" w:themeColor="text1"/>
                <w:sz w:val="24"/>
                <w:highlight w:val="none"/>
              </w:rPr>
            </w:pPr>
            <w:r>
              <w:rPr>
                <w:color w:val="000000" w:themeColor="text1"/>
                <w:sz w:val="24"/>
                <w:highlight w:val="none"/>
              </w:rPr>
              <w:t>施工残土、建筑垃圾为主要固体废物，及时清运，并按市政部门指定地点堆放。运输车辆加盖遮挡，防止产生二次扬尘。生活垃圾统一收集后由市政统一处理</w:t>
            </w:r>
            <w:r>
              <w:rPr>
                <w:bCs/>
                <w:color w:val="000000" w:themeColor="text1"/>
                <w:sz w:val="24"/>
                <w:highlight w:val="none"/>
              </w:rPr>
              <w:t>。</w:t>
            </w:r>
          </w:p>
          <w:p>
            <w:pPr>
              <w:pStyle w:val="5"/>
              <w:widowControl w:val="0"/>
              <w:wordWrap w:val="0"/>
              <w:topLinePunct/>
              <w:snapToGrid/>
              <w:spacing w:beforeLines="50" w:line="360" w:lineRule="auto"/>
              <w:ind w:right="0" w:firstLine="482" w:firstLineChars="200"/>
              <w:jc w:val="left"/>
              <w:rPr>
                <w:b/>
                <w:bCs/>
                <w:color w:val="000000" w:themeColor="text1"/>
                <w:kern w:val="2"/>
                <w:sz w:val="24"/>
                <w:szCs w:val="24"/>
                <w:highlight w:val="none"/>
              </w:rPr>
            </w:pPr>
            <w:r>
              <w:rPr>
                <w:rFonts w:hint="eastAsia"/>
                <w:b/>
                <w:bCs/>
                <w:color w:val="000000" w:themeColor="text1"/>
                <w:kern w:val="2"/>
                <w:sz w:val="24"/>
                <w:szCs w:val="24"/>
                <w:highlight w:val="none"/>
              </w:rPr>
              <w:t>二、运营期</w:t>
            </w:r>
          </w:p>
          <w:p>
            <w:pPr>
              <w:spacing w:line="360" w:lineRule="auto"/>
              <w:ind w:firstLine="480" w:firstLineChars="200"/>
              <w:contextualSpacing/>
              <w:rPr>
                <w:rFonts w:ascii="宋体" w:hAnsi="宋体"/>
                <w:bCs/>
                <w:sz w:val="24"/>
                <w:highlight w:val="none"/>
              </w:rPr>
            </w:pPr>
            <w:r>
              <w:rPr>
                <w:color w:val="FF0000"/>
                <w:sz w:val="24"/>
                <w:highlight w:val="none"/>
              </w:rPr>
              <w:pict>
                <v:rect id="_x0000_s2077" o:spid="_x0000_s2077" o:spt="1" style="position:absolute;left:0pt;margin-left:22.45pt;margin-top:127pt;height:21.8pt;width:196.6pt;z-index:251661312;mso-width-relative:page;mso-height-relative:page;" filled="f" stroked="f" coordsize="21600,21600">
                  <v:path/>
                  <v:fill on="f" focussize="0,0"/>
                  <v:stroke on="f" weight="0.5pt"/>
                  <v:imagedata o:title=""/>
                  <o:lock v:ext="edit"/>
                  <v:textbox>
                    <w:txbxContent>
                      <w:p>
                        <w:r>
                          <w:rPr>
                            <w:rFonts w:hint="eastAsia"/>
                          </w:rPr>
                          <w:t>注：</w:t>
                        </w:r>
                        <w:r>
                          <w:t>搅拌粉尘为原料上料至搅拌器粉尘</w:t>
                        </w:r>
                      </w:p>
                    </w:txbxContent>
                  </v:textbox>
                </v:rect>
              </w:pict>
            </w:r>
            <w:r>
              <w:rPr>
                <w:color w:val="FF0000"/>
                <w:sz w:val="24"/>
                <w:highlight w:val="none"/>
              </w:rPr>
              <w:pict>
                <v:group id="_x0000_s2070" o:spid="_x0000_s2070" o:spt="203" style="height:148.8pt;width:362.6pt;" coordorigin="2044,3193" coordsize="7252,2976" editas="canvas">
                  <o:lock v:ext="edit"/>
                  <v:shape id="_x0000_s2071" o:spid="_x0000_s2071" o:spt="75" type="#_x0000_t75" style="position:absolute;left:2044;top:3193;height:2976;width:7252;" filled="f" stroked="f" coordsize="21600,21600">
                    <v:path/>
                    <v:fill on="f" focussize="0,0"/>
                    <v:stroke on="f"/>
                    <v:imagedata o:title=""/>
                    <o:lock v:ext="edit" text="t" aspectratio="t"/>
                  </v:shape>
                  <v:shape id="_x0000_s2072" o:spid="_x0000_s2072" o:spt="202" type="#_x0000_t202" style="position:absolute;left:7675;top:4112;height:443;width:1052;" fillcolor="#FFFFFF" filled="t" stroked="t" coordsize="21600,21600">
                    <v:path/>
                    <v:fill on="t" color2="#FFFFFF" focussize="0,0"/>
                    <v:stroke color="#000000" joinstyle="miter"/>
                    <v:imagedata o:title=""/>
                    <o:lock v:ext="edit" aspectratio="f"/>
                    <v:textbox>
                      <w:txbxContent>
                        <w:p>
                          <w:pPr>
                            <w:widowControl/>
                            <w:jc w:val="center"/>
                            <w:rPr>
                              <w:color w:val="000000"/>
                              <w:kern w:val="0"/>
                              <w:szCs w:val="21"/>
                            </w:rPr>
                          </w:pPr>
                          <w:r>
                            <w:rPr>
                              <w:rFonts w:hint="eastAsia" w:hAnsi="宋体"/>
                              <w:color w:val="000000"/>
                              <w:kern w:val="0"/>
                              <w:szCs w:val="21"/>
                            </w:rPr>
                            <w:t>搅拌</w:t>
                          </w:r>
                        </w:p>
                      </w:txbxContent>
                    </v:textbox>
                  </v:shape>
                  <v:shape id="_x0000_s2126" o:spid="_x0000_s2126" o:spt="32" type="#_x0000_t32" style="position:absolute;left:5610;top:4348;flip:y;height:1;width:655;" filled="f" stroked="t" coordsize="21600,21600">
                    <v:path arrowok="t"/>
                    <v:fill on="f" focussize="0,0"/>
                    <v:stroke weight="1pt" color="#000000" endarrow="block"/>
                    <v:imagedata o:title=""/>
                    <o:lock v:ext="edit" aspectratio="f"/>
                  </v:shape>
                  <v:shape id="_x0000_s2127" o:spid="_x0000_s2127" o:spt="32" type="#_x0000_t32" style="position:absolute;left:6990;top:4330;height:1;width:685;" filled="f" stroked="t" coordsize="21600,21600">
                    <v:path arrowok="t"/>
                    <v:fill on="f" focussize="0,0"/>
                    <v:stroke weight="1pt" color="#000000" endarrow="block"/>
                    <v:imagedata o:title=""/>
                    <o:lock v:ext="edit" aspectratio="f"/>
                  </v:shape>
                  <v:line id="_x0000_s2128" o:spid="_x0000_s2128" o:spt="20" style="position:absolute;left:6594;top:3759;flip:x y;height:336;width:1;" filled="f" stroked="t" coordsize="21600,21600">
                    <v:path arrowok="t"/>
                    <v:fill on="f" focussize="0,0"/>
                    <v:stroke color="#000000" dashstyle="dash" endarrow="block"/>
                    <v:imagedata o:title=""/>
                    <o:lock v:ext="edit" aspectratio="f"/>
                  </v:line>
                  <v:shape id="_x0000_s2145" o:spid="_x0000_s2145" o:spt="202" type="#_x0000_t202" style="position:absolute;left:5984;top:3471;height:407;width:1180;" filled="f" stroked="f" coordsize="21600,21600">
                    <v:path/>
                    <v:fill on="f" focussize="0,0"/>
                    <v:stroke on="f"/>
                    <v:imagedata o:title=""/>
                    <o:lock v:ext="edit" aspectratio="f"/>
                    <v:textbox inset="0mm,0mm,0mm,0mm">
                      <w:txbxContent>
                        <w:p>
                          <w:pPr>
                            <w:widowControl/>
                            <w:jc w:val="center"/>
                            <w:rPr>
                              <w:rFonts w:eastAsia="仿宋_GB2312"/>
                              <w:color w:val="000000"/>
                              <w:kern w:val="0"/>
                              <w:szCs w:val="21"/>
                            </w:rPr>
                          </w:pPr>
                          <w:r>
                            <w:rPr>
                              <w:rFonts w:eastAsia="仿宋_GB2312"/>
                              <w:color w:val="000000"/>
                              <w:kern w:val="0"/>
                              <w:szCs w:val="21"/>
                            </w:rPr>
                            <w:t>G</w:t>
                          </w:r>
                          <w:r>
                            <w:rPr>
                              <w:rFonts w:hint="eastAsia" w:eastAsia="仿宋_GB2312"/>
                              <w:color w:val="000000"/>
                              <w:kern w:val="0"/>
                              <w:szCs w:val="21"/>
                            </w:rPr>
                            <w:t>、</w:t>
                          </w:r>
                          <w:r>
                            <w:rPr>
                              <w:rFonts w:eastAsia="仿宋_GB2312"/>
                              <w:color w:val="000000"/>
                              <w:kern w:val="0"/>
                              <w:szCs w:val="21"/>
                            </w:rPr>
                            <w:t>N</w:t>
                          </w:r>
                        </w:p>
                      </w:txbxContent>
                    </v:textbox>
                  </v:shape>
                  <v:shape id="_x0000_s2146" o:spid="_x0000_s2146" o:spt="202" type="#_x0000_t202" style="position:absolute;left:6265;top:4107;height:443;width:725;" fillcolor="#FFFFFF" filled="t" stroked="t" coordsize="21600,21600">
                    <v:path/>
                    <v:fill on="t" color2="#FFFFFF" focussize="0,0"/>
                    <v:stroke color="#000000" joinstyle="miter"/>
                    <v:imagedata o:title=""/>
                    <o:lock v:ext="edit" aspectratio="f"/>
                    <v:textbox>
                      <w:txbxContent>
                        <w:p>
                          <w:pPr>
                            <w:widowControl/>
                            <w:jc w:val="center"/>
                            <w:rPr>
                              <w:color w:val="000000"/>
                              <w:kern w:val="0"/>
                              <w:szCs w:val="21"/>
                            </w:rPr>
                          </w:pPr>
                          <w:r>
                            <w:rPr>
                              <w:rFonts w:hint="eastAsia" w:hAnsi="宋体"/>
                              <w:color w:val="000000"/>
                              <w:kern w:val="0"/>
                              <w:szCs w:val="21"/>
                            </w:rPr>
                            <w:t>下料</w:t>
                          </w:r>
                        </w:p>
                      </w:txbxContent>
                    </v:textbox>
                  </v:shape>
                  <v:shape id="_x0000_s2147" o:spid="_x0000_s2147" o:spt="32" type="#_x0000_t32" style="position:absolute;left:8182;top:4550;height:842;width:1;" filled="f" stroked="t" coordsize="21600,21600">
                    <v:path arrowok="t"/>
                    <v:fill on="f" focussize="0,0"/>
                    <v:stroke weight="1pt" color="#000000" endarrow="block"/>
                    <v:imagedata o:title=""/>
                    <o:lock v:ext="edit" aspectratio="f"/>
                  </v:shape>
                  <v:line id="_x0000_s2148" o:spid="_x0000_s2148" o:spt="20" style="position:absolute;left:8183;top:3759;flip:x y;height:336;width:1;" filled="f" stroked="t" coordsize="21600,21600">
                    <v:path arrowok="t"/>
                    <v:fill on="f" focussize="0,0"/>
                    <v:stroke color="#000000" dashstyle="dash" endarrow="block"/>
                    <v:imagedata o:title=""/>
                    <o:lock v:ext="edit" aspectratio="f"/>
                  </v:line>
                  <v:shape id="_x0000_s2149" o:spid="_x0000_s2149" o:spt="202" type="#_x0000_t202" style="position:absolute;left:7547;top:3472;height:407;width:1180;" filled="f" stroked="f" coordsize="21600,21600">
                    <v:path/>
                    <v:fill on="f" focussize="0,0"/>
                    <v:stroke on="f"/>
                    <v:imagedata o:title=""/>
                    <o:lock v:ext="edit" aspectratio="f"/>
                    <v:textbox inset="0mm,0mm,0mm,0mm">
                      <w:txbxContent>
                        <w:p>
                          <w:pPr>
                            <w:widowControl/>
                            <w:jc w:val="center"/>
                            <w:rPr>
                              <w:rFonts w:eastAsia="仿宋_GB2312"/>
                              <w:color w:val="000000"/>
                              <w:kern w:val="0"/>
                              <w:szCs w:val="21"/>
                            </w:rPr>
                          </w:pPr>
                          <w:r>
                            <w:rPr>
                              <w:rFonts w:eastAsia="仿宋_GB2312"/>
                              <w:color w:val="000000"/>
                              <w:kern w:val="0"/>
                              <w:szCs w:val="21"/>
                            </w:rPr>
                            <w:t>G</w:t>
                          </w:r>
                          <w:r>
                            <w:rPr>
                              <w:rFonts w:hint="eastAsia" w:eastAsia="仿宋_GB2312"/>
                              <w:color w:val="000000"/>
                              <w:kern w:val="0"/>
                              <w:szCs w:val="21"/>
                            </w:rPr>
                            <w:t>、</w:t>
                          </w:r>
                          <w:r>
                            <w:rPr>
                              <w:rFonts w:eastAsia="仿宋_GB2312"/>
                              <w:color w:val="000000"/>
                              <w:kern w:val="0"/>
                              <w:szCs w:val="21"/>
                            </w:rPr>
                            <w:t>N</w:t>
                          </w:r>
                        </w:p>
                      </w:txbxContent>
                    </v:textbox>
                  </v:shape>
                  <v:shape id="_x0000_s2150" o:spid="_x0000_s2150" o:spt="32" type="#_x0000_t32" style="position:absolute;left:7768;top:3438;height:657;width:1;" filled="f" stroked="t" coordsize="21600,21600">
                    <v:path arrowok="t"/>
                    <v:fill on="f" focussize="0,0"/>
                    <v:stroke weight="1pt" color="#000000" endarrow="block"/>
                    <v:imagedata o:title=""/>
                    <o:lock v:ext="edit" aspectratio="f"/>
                  </v:shape>
                  <v:shape id="_x0000_s2151" o:spid="_x0000_s2151" o:spt="202" type="#_x0000_t202" style="position:absolute;left:7286;top:5406;height:443;width:1799;" fillcolor="#FFFFFF" filled="t" stroked="t" coordsize="21600,21600">
                    <v:path/>
                    <v:fill on="t" color2="#FFFFFF" focussize="0,0"/>
                    <v:stroke color="#000000" joinstyle="miter"/>
                    <v:imagedata o:title=""/>
                    <o:lock v:ext="edit" aspectratio="f"/>
                    <v:textbox>
                      <w:txbxContent>
                        <w:p>
                          <w:pPr>
                            <w:widowControl/>
                            <w:jc w:val="center"/>
                            <w:rPr>
                              <w:color w:val="000000"/>
                              <w:kern w:val="0"/>
                              <w:szCs w:val="21"/>
                            </w:rPr>
                          </w:pPr>
                          <w:r>
                            <w:rPr>
                              <w:rFonts w:hint="eastAsia" w:hAnsi="宋体"/>
                              <w:color w:val="000000"/>
                              <w:kern w:val="0"/>
                              <w:szCs w:val="21"/>
                            </w:rPr>
                            <w:t>成品装车外运</w:t>
                          </w:r>
                        </w:p>
                      </w:txbxContent>
                    </v:textbox>
                  </v:shape>
                  <v:rect id="_x0000_s2152" o:spid="_x0000_s2152" o:spt="1" style="position:absolute;left:2442;top:5010;height:705;width:1468;" fillcolor="#FFFFFF" filled="t" stroked="t" coordsize="21600,21600">
                    <v:path/>
                    <v:fill on="t" color2="#FFFFFF" focussize="0,0"/>
                    <v:stroke weight="0.5pt" color="#000000" joinstyle="miter"/>
                    <v:imagedata o:title=""/>
                    <o:lock v:ext="edit" aspectratio="f"/>
                    <v:textbox>
                      <w:txbxContent>
                        <w:p>
                          <w:r>
                            <w:t>废气</w:t>
                          </w:r>
                          <w:r>
                            <w:rPr>
                              <w:rFonts w:hint="eastAsia"/>
                            </w:rPr>
                            <w:t>：G</w:t>
                          </w:r>
                        </w:p>
                        <w:p>
                          <w:r>
                            <w:rPr>
                              <w:rFonts w:hint="eastAsia"/>
                            </w:rPr>
                            <w:t>噪声：N</w:t>
                          </w:r>
                        </w:p>
                      </w:txbxContent>
                    </v:textbox>
                  </v:rect>
                  <v:shape id="_x0000_s2153" o:spid="_x0000_s2153" o:spt="202" type="#_x0000_t202" style="position:absolute;left:4244;top:4129;height:443;width:1366;" fillcolor="#FFFFFF" filled="t" stroked="t" coordsize="21600,21600">
                    <v:path/>
                    <v:fill on="t" color2="#FFFFFF" focussize="0,0"/>
                    <v:stroke color="#000000" joinstyle="miter"/>
                    <v:imagedata o:title=""/>
                    <o:lock v:ext="edit" aspectratio="f"/>
                    <v:textbox>
                      <w:txbxContent>
                        <w:p>
                          <w:pPr>
                            <w:widowControl/>
                            <w:jc w:val="center"/>
                            <w:rPr>
                              <w:color w:val="000000"/>
                              <w:kern w:val="0"/>
                              <w:szCs w:val="21"/>
                            </w:rPr>
                          </w:pPr>
                          <w:r>
                            <w:rPr>
                              <w:rFonts w:hint="eastAsia" w:hAnsi="宋体"/>
                              <w:color w:val="000000"/>
                              <w:kern w:val="0"/>
                              <w:szCs w:val="21"/>
                            </w:rPr>
                            <w:t>储料、卸料</w:t>
                          </w:r>
                        </w:p>
                      </w:txbxContent>
                    </v:textbox>
                  </v:shape>
                  <v:shape id="_x0000_s2154" o:spid="_x0000_s2154" o:spt="32" type="#_x0000_t32" style="position:absolute;left:3589;top:4349;flip:y;height:1;width:655;" filled="f" stroked="t" coordsize="21600,21600">
                    <v:path arrowok="t"/>
                    <v:fill on="f" focussize="0,0"/>
                    <v:stroke weight="1pt" color="#000000" endarrow="block"/>
                    <v:imagedata o:title=""/>
                    <o:lock v:ext="edit" aspectratio="f"/>
                  </v:shape>
                  <v:shape id="_x0000_s2155" o:spid="_x0000_s2155" o:spt="202" type="#_x0000_t202" style="position:absolute;left:7476;top:3193;height:407;width:588;" filled="f" stroked="f" coordsize="21600,21600">
                    <v:path/>
                    <v:fill on="f" focussize="0,0"/>
                    <v:stroke on="f"/>
                    <v:imagedata o:title=""/>
                    <o:lock v:ext="edit" aspectratio="f"/>
                    <v:textbox inset="0mm,0mm,0mm,0mm">
                      <w:txbxContent>
                        <w:p>
                          <w:pPr>
                            <w:widowControl/>
                            <w:jc w:val="center"/>
                            <w:rPr>
                              <w:rFonts w:hAnsiTheme="majorEastAsia" w:eastAsiaTheme="majorEastAsia"/>
                              <w:color w:val="000000"/>
                              <w:kern w:val="0"/>
                              <w:szCs w:val="21"/>
                            </w:rPr>
                          </w:pPr>
                          <w:r>
                            <w:rPr>
                              <w:rFonts w:hint="eastAsia" w:hAnsiTheme="majorEastAsia" w:eastAsiaTheme="majorEastAsia"/>
                              <w:color w:val="000000"/>
                              <w:kern w:val="0"/>
                              <w:szCs w:val="21"/>
                            </w:rPr>
                            <w:t>水</w:t>
                          </w:r>
                        </w:p>
                      </w:txbxContent>
                    </v:textbox>
                  </v:shape>
                  <v:shape id="_x0000_s2156" o:spid="_x0000_s2156" o:spt="202" type="#_x0000_t202" style="position:absolute;left:2263;top:4110;height:546;width:1365;" filled="f" stroked="f" coordsize="21600,21600">
                    <v:path/>
                    <v:fill on="f" focussize="0,0"/>
                    <v:stroke on="f"/>
                    <v:imagedata o:title=""/>
                    <o:lock v:ext="edit" aspectratio="f"/>
                    <v:textbox>
                      <w:txbxContent>
                        <w:p>
                          <w:pPr>
                            <w:widowControl/>
                            <w:jc w:val="center"/>
                            <w:rPr>
                              <w:rFonts w:hint="eastAsia" w:eastAsia="宋体"/>
                              <w:color w:val="000000"/>
                              <w:kern w:val="0"/>
                              <w:szCs w:val="21"/>
                              <w:lang w:eastAsia="zh-CN"/>
                            </w:rPr>
                          </w:pPr>
                          <w:r>
                            <w:rPr>
                              <w:rFonts w:hint="eastAsia" w:hAnsi="宋体"/>
                              <w:color w:val="000000"/>
                              <w:kern w:val="0"/>
                              <w:szCs w:val="21"/>
                            </w:rPr>
                            <w:t>水泥、</w:t>
                          </w:r>
                          <w:r>
                            <w:rPr>
                              <w:rFonts w:hint="eastAsia" w:hAnsi="宋体"/>
                              <w:color w:val="000000"/>
                              <w:kern w:val="0"/>
                              <w:szCs w:val="21"/>
                              <w:lang w:val="en-US" w:eastAsia="zh-CN"/>
                            </w:rPr>
                            <w:t>石料</w:t>
                          </w:r>
                        </w:p>
                      </w:txbxContent>
                    </v:textbox>
                  </v:shape>
                  <v:line id="_x0000_s2157" o:spid="_x0000_s2157" o:spt="20" style="position:absolute;left:4871;top:3771;flip:x y;height:336;width:1;" filled="f" stroked="t" coordsize="21600,21600">
                    <v:path arrowok="t"/>
                    <v:fill on="f" focussize="0,0"/>
                    <v:stroke color="#000000" dashstyle="dash" endarrow="block"/>
                    <v:imagedata o:title=""/>
                    <o:lock v:ext="edit" aspectratio="f"/>
                  </v:line>
                  <v:shape id="_x0000_s2158" o:spid="_x0000_s2158" o:spt="202" type="#_x0000_t202" style="position:absolute;left:4244;top:3471;height:407;width:1180;" filled="f" stroked="f" coordsize="21600,21600">
                    <v:path/>
                    <v:fill on="f" focussize="0,0"/>
                    <v:stroke on="f"/>
                    <v:imagedata o:title=""/>
                    <o:lock v:ext="edit" aspectratio="f"/>
                    <v:textbox inset="0mm,0mm,0mm,0mm">
                      <w:txbxContent>
                        <w:p>
                          <w:pPr>
                            <w:widowControl/>
                            <w:jc w:val="center"/>
                            <w:rPr>
                              <w:rFonts w:eastAsia="仿宋_GB2312"/>
                              <w:color w:val="000000"/>
                              <w:kern w:val="0"/>
                              <w:szCs w:val="21"/>
                            </w:rPr>
                          </w:pPr>
                          <w:r>
                            <w:rPr>
                              <w:rFonts w:eastAsia="仿宋_GB2312"/>
                              <w:color w:val="000000"/>
                              <w:kern w:val="0"/>
                              <w:szCs w:val="21"/>
                            </w:rPr>
                            <w:t>G</w:t>
                          </w:r>
                          <w:r>
                            <w:rPr>
                              <w:rFonts w:hint="eastAsia" w:eastAsia="仿宋_GB2312"/>
                              <w:color w:val="000000"/>
                              <w:kern w:val="0"/>
                              <w:szCs w:val="21"/>
                            </w:rPr>
                            <w:t>、</w:t>
                          </w:r>
                          <w:r>
                            <w:rPr>
                              <w:rFonts w:eastAsia="仿宋_GB2312"/>
                              <w:color w:val="000000"/>
                              <w:kern w:val="0"/>
                              <w:szCs w:val="21"/>
                            </w:rPr>
                            <w:t>N</w:t>
                          </w:r>
                        </w:p>
                      </w:txbxContent>
                    </v:textbox>
                  </v:shape>
                  <w10:wrap type="none"/>
                  <w10:anchorlock/>
                </v:group>
              </w:pict>
            </w:r>
          </w:p>
          <w:p>
            <w:pPr>
              <w:spacing w:line="360" w:lineRule="auto"/>
              <w:contextualSpacing/>
              <w:jc w:val="center"/>
              <w:rPr>
                <w:b/>
                <w:bCs/>
                <w:sz w:val="24"/>
                <w:highlight w:val="none"/>
              </w:rPr>
            </w:pPr>
            <w:r>
              <w:rPr>
                <w:rFonts w:hAnsi="宋体"/>
                <w:b/>
                <w:bCs/>
                <w:sz w:val="24"/>
                <w:highlight w:val="none"/>
              </w:rPr>
              <w:t>图</w:t>
            </w:r>
            <w:r>
              <w:rPr>
                <w:b/>
                <w:bCs/>
                <w:sz w:val="24"/>
                <w:highlight w:val="none"/>
              </w:rPr>
              <w:t>2-1</w:t>
            </w:r>
            <w:r>
              <w:rPr>
                <w:b/>
                <w:sz w:val="24"/>
                <w:highlight w:val="none"/>
              </w:rPr>
              <w:t>工艺</w:t>
            </w:r>
            <w:r>
              <w:rPr>
                <w:rFonts w:hAnsi="宋体"/>
                <w:b/>
                <w:bCs/>
                <w:sz w:val="24"/>
                <w:highlight w:val="none"/>
              </w:rPr>
              <w:t>流程及产排污节点图</w:t>
            </w:r>
          </w:p>
          <w:p>
            <w:pPr>
              <w:spacing w:line="360" w:lineRule="auto"/>
              <w:ind w:firstLine="480" w:firstLineChars="200"/>
              <w:contextualSpacing/>
              <w:rPr>
                <w:rFonts w:ascii="宋体" w:hAnsi="宋体"/>
                <w:bCs/>
                <w:sz w:val="24"/>
                <w:highlight w:val="none"/>
              </w:rPr>
            </w:pPr>
            <w:r>
              <w:rPr>
                <w:rFonts w:hint="eastAsia" w:ascii="宋体" w:hAnsi="宋体"/>
                <w:bCs/>
                <w:sz w:val="24"/>
                <w:highlight w:val="none"/>
              </w:rPr>
              <w:t>工艺流程简述：</w:t>
            </w:r>
          </w:p>
          <w:p>
            <w:pPr>
              <w:spacing w:line="360" w:lineRule="auto"/>
              <w:ind w:firstLine="480" w:firstLineChars="200"/>
              <w:contextualSpacing/>
              <w:rPr>
                <w:sz w:val="24"/>
                <w:highlight w:val="none"/>
              </w:rPr>
            </w:pPr>
            <w:r>
              <w:rPr>
                <w:sz w:val="24"/>
                <w:highlight w:val="none"/>
              </w:rPr>
              <w:t>（1）</w:t>
            </w:r>
            <w:r>
              <w:rPr>
                <w:rFonts w:hint="eastAsia"/>
                <w:sz w:val="24"/>
                <w:highlight w:val="none"/>
              </w:rPr>
              <w:t>储料、卸料：</w:t>
            </w:r>
            <w:r>
              <w:rPr>
                <w:sz w:val="24"/>
                <w:highlight w:val="none"/>
              </w:rPr>
              <w:t>本项目外购石料进厂后卸料在原料堆场；水泥</w:t>
            </w:r>
            <w:r>
              <w:rPr>
                <w:rFonts w:hint="eastAsia"/>
                <w:sz w:val="24"/>
                <w:highlight w:val="none"/>
              </w:rPr>
              <w:t>存</w:t>
            </w:r>
            <w:r>
              <w:rPr>
                <w:sz w:val="24"/>
                <w:highlight w:val="none"/>
              </w:rPr>
              <w:t>相应的存储筒仓。</w:t>
            </w:r>
          </w:p>
          <w:p>
            <w:pPr>
              <w:pStyle w:val="72"/>
              <w:ind w:firstLine="480"/>
              <w:rPr>
                <w:rFonts w:ascii="Times New Roman" w:eastAsia="宋体"/>
                <w:sz w:val="24"/>
                <w:szCs w:val="24"/>
                <w:highlight w:val="none"/>
              </w:rPr>
            </w:pPr>
            <w:r>
              <w:rPr>
                <w:rFonts w:ascii="Times New Roman" w:eastAsia="宋体"/>
                <w:sz w:val="24"/>
                <w:szCs w:val="24"/>
                <w:highlight w:val="none"/>
              </w:rPr>
              <w:t>（2）</w:t>
            </w:r>
            <w:r>
              <w:rPr>
                <w:rFonts w:hint="eastAsia" w:ascii="Times New Roman" w:eastAsia="宋体"/>
                <w:sz w:val="24"/>
                <w:szCs w:val="24"/>
                <w:highlight w:val="none"/>
              </w:rPr>
              <w:t>上料：</w:t>
            </w:r>
            <w:r>
              <w:rPr>
                <w:rFonts w:ascii="Times New Roman" w:eastAsia="宋体"/>
                <w:sz w:val="24"/>
                <w:szCs w:val="24"/>
                <w:highlight w:val="none"/>
              </w:rPr>
              <w:t>本项目石料</w:t>
            </w:r>
            <w:r>
              <w:rPr>
                <w:rFonts w:hint="eastAsia" w:ascii="Times New Roman" w:eastAsia="宋体"/>
                <w:sz w:val="24"/>
                <w:szCs w:val="24"/>
                <w:highlight w:val="none"/>
              </w:rPr>
              <w:t>投</w:t>
            </w:r>
            <w:r>
              <w:rPr>
                <w:rFonts w:ascii="Times New Roman" w:eastAsia="宋体"/>
                <w:sz w:val="24"/>
                <w:szCs w:val="24"/>
                <w:highlight w:val="none"/>
              </w:rPr>
              <w:t>入进料口，石料与粉料计量后通过输送带运输至搅拌机内，同时水计量后，通过加压泵泵入搅拌机内。</w:t>
            </w:r>
          </w:p>
          <w:p>
            <w:pPr>
              <w:spacing w:line="360" w:lineRule="auto"/>
              <w:ind w:firstLine="480" w:firstLineChars="200"/>
              <w:rPr>
                <w:sz w:val="24"/>
                <w:highlight w:val="none"/>
              </w:rPr>
            </w:pPr>
            <w:r>
              <w:rPr>
                <w:sz w:val="24"/>
                <w:highlight w:val="none"/>
              </w:rPr>
              <w:t>（3）搅拌</w:t>
            </w:r>
            <w:r>
              <w:rPr>
                <w:rFonts w:hint="eastAsia"/>
                <w:sz w:val="24"/>
                <w:highlight w:val="none"/>
              </w:rPr>
              <w:t>：</w:t>
            </w:r>
            <w:r>
              <w:rPr>
                <w:sz w:val="24"/>
                <w:highlight w:val="none"/>
              </w:rPr>
              <w:t>原材料和水投料进入搅拌设施，每次搅拌所需时间为30秒</w:t>
            </w:r>
            <w:r>
              <w:rPr>
                <w:rFonts w:hint="eastAsia"/>
                <w:sz w:val="24"/>
                <w:highlight w:val="none"/>
              </w:rPr>
              <w:t>。</w:t>
            </w:r>
          </w:p>
          <w:p>
            <w:pPr>
              <w:spacing w:line="360" w:lineRule="auto"/>
              <w:ind w:firstLine="480" w:firstLineChars="200"/>
              <w:rPr>
                <w:color w:val="000000"/>
                <w:sz w:val="24"/>
                <w:highlight w:val="none"/>
              </w:rPr>
            </w:pPr>
            <w:r>
              <w:rPr>
                <w:rFonts w:hint="eastAsia"/>
                <w:sz w:val="24"/>
                <w:highlight w:val="none"/>
              </w:rPr>
              <w:t>（4）成品装车外运：</w:t>
            </w:r>
            <w:r>
              <w:rPr>
                <w:color w:val="000000"/>
                <w:sz w:val="24"/>
                <w:highlight w:val="none"/>
              </w:rPr>
              <w:t>搅拌好的成品料</w:t>
            </w:r>
            <w:r>
              <w:rPr>
                <w:rFonts w:hint="eastAsia"/>
                <w:color w:val="000000"/>
                <w:sz w:val="24"/>
                <w:highlight w:val="none"/>
              </w:rPr>
              <w:t>直接由密闭罐车外运</w:t>
            </w:r>
            <w:r>
              <w:rPr>
                <w:color w:val="000000" w:themeColor="text1"/>
                <w:sz w:val="24"/>
                <w:highlight w:val="none"/>
              </w:rPr>
              <w:t>。</w:t>
            </w:r>
          </w:p>
          <w:p>
            <w:pPr>
              <w:spacing w:line="360" w:lineRule="auto"/>
              <w:ind w:firstLine="482" w:firstLineChars="200"/>
              <w:contextualSpacing/>
              <w:rPr>
                <w:b/>
                <w:bCs/>
                <w:sz w:val="24"/>
                <w:highlight w:val="none"/>
              </w:rPr>
            </w:pPr>
            <w:r>
              <w:rPr>
                <w:rFonts w:hAnsi="宋体"/>
                <w:b/>
                <w:bCs/>
                <w:sz w:val="24"/>
                <w:highlight w:val="none"/>
              </w:rPr>
              <w:t>产排污环节分析：</w:t>
            </w:r>
          </w:p>
          <w:p>
            <w:pPr>
              <w:spacing w:line="360" w:lineRule="auto"/>
              <w:ind w:firstLine="480" w:firstLineChars="200"/>
              <w:contextualSpacing/>
              <w:rPr>
                <w:bCs/>
                <w:sz w:val="24"/>
                <w:highlight w:val="none"/>
              </w:rPr>
            </w:pPr>
            <w:r>
              <w:rPr>
                <w:sz w:val="24"/>
                <w:highlight w:val="none"/>
              </w:rPr>
              <w:t>本项目</w:t>
            </w:r>
            <w:r>
              <w:rPr>
                <w:rFonts w:hint="eastAsia"/>
                <w:sz w:val="24"/>
                <w:highlight w:val="none"/>
              </w:rPr>
              <w:t>污染物</w:t>
            </w:r>
            <w:r>
              <w:rPr>
                <w:sz w:val="24"/>
                <w:highlight w:val="none"/>
              </w:rPr>
              <w:t>主要为生产过程中产生的粉尘</w:t>
            </w:r>
            <w:r>
              <w:rPr>
                <w:rFonts w:hint="eastAsia"/>
                <w:sz w:val="24"/>
                <w:highlight w:val="none"/>
              </w:rPr>
              <w:t>；员工生活污水；设备噪声；员</w:t>
            </w:r>
            <w:r>
              <w:rPr>
                <w:sz w:val="24"/>
                <w:highlight w:val="none"/>
              </w:rPr>
              <w:t>工生活垃圾、布袋除尘器收集的粉尘</w:t>
            </w:r>
            <w:r>
              <w:rPr>
                <w:rFonts w:hAnsi="宋体"/>
                <w:bCs/>
                <w:sz w:val="24"/>
                <w:highlight w:val="none"/>
              </w:rPr>
              <w:t>。</w:t>
            </w:r>
          </w:p>
          <w:p>
            <w:pPr>
              <w:spacing w:line="360" w:lineRule="auto"/>
              <w:ind w:firstLine="480" w:firstLineChars="200"/>
              <w:contextualSpacing/>
              <w:rPr>
                <w:bCs/>
                <w:sz w:val="24"/>
                <w:highlight w:val="none"/>
              </w:rPr>
            </w:pPr>
            <w:r>
              <w:rPr>
                <w:bCs/>
                <w:sz w:val="24"/>
                <w:highlight w:val="none"/>
              </w:rPr>
              <w:t>1</w:t>
            </w:r>
            <w:r>
              <w:rPr>
                <w:rFonts w:hAnsi="宋体"/>
                <w:bCs/>
                <w:sz w:val="24"/>
                <w:highlight w:val="none"/>
              </w:rPr>
              <w:t>、废气：运输过程扬尘</w:t>
            </w:r>
            <w:r>
              <w:rPr>
                <w:rFonts w:hint="eastAsia" w:hAnsi="宋体"/>
                <w:bCs/>
                <w:sz w:val="24"/>
                <w:highlight w:val="none"/>
              </w:rPr>
              <w:t>、</w:t>
            </w:r>
            <w:r>
              <w:rPr>
                <w:rFonts w:hAnsi="宋体"/>
                <w:bCs/>
                <w:sz w:val="24"/>
                <w:highlight w:val="none"/>
              </w:rPr>
              <w:t>原</w:t>
            </w:r>
            <w:r>
              <w:rPr>
                <w:rFonts w:hint="eastAsia" w:hAnsi="宋体"/>
                <w:bCs/>
                <w:sz w:val="24"/>
                <w:highlight w:val="none"/>
              </w:rPr>
              <w:t>料堆场装卸扬尘、下料及上料粉尘、水泥储存粉尘</w:t>
            </w:r>
            <w:r>
              <w:rPr>
                <w:rFonts w:hAnsi="宋体"/>
                <w:bCs/>
                <w:sz w:val="24"/>
                <w:highlight w:val="none"/>
              </w:rPr>
              <w:t>；</w:t>
            </w:r>
          </w:p>
          <w:p>
            <w:pPr>
              <w:spacing w:line="360" w:lineRule="auto"/>
              <w:ind w:firstLine="480" w:firstLineChars="200"/>
              <w:contextualSpacing/>
              <w:rPr>
                <w:rFonts w:hAnsi="宋体"/>
                <w:bCs/>
                <w:sz w:val="24"/>
                <w:highlight w:val="none"/>
              </w:rPr>
            </w:pPr>
            <w:r>
              <w:rPr>
                <w:bCs/>
                <w:sz w:val="24"/>
                <w:highlight w:val="none"/>
              </w:rPr>
              <w:t>2</w:t>
            </w:r>
            <w:r>
              <w:rPr>
                <w:rFonts w:hAnsi="宋体"/>
                <w:bCs/>
                <w:sz w:val="24"/>
                <w:highlight w:val="none"/>
              </w:rPr>
              <w:t>、废水</w:t>
            </w:r>
            <w:r>
              <w:rPr>
                <w:rFonts w:hint="eastAsia" w:hAnsi="宋体"/>
                <w:bCs/>
                <w:sz w:val="24"/>
                <w:highlight w:val="none"/>
              </w:rPr>
              <w:t>：</w:t>
            </w:r>
            <w:r>
              <w:rPr>
                <w:rFonts w:hint="eastAsia"/>
                <w:sz w:val="24"/>
                <w:highlight w:val="none"/>
              </w:rPr>
              <w:t>员工生活污水</w:t>
            </w:r>
            <w:r>
              <w:rPr>
                <w:rFonts w:hint="eastAsia" w:hAnsi="宋体"/>
                <w:bCs/>
                <w:sz w:val="24"/>
                <w:highlight w:val="none"/>
              </w:rPr>
              <w:t>；</w:t>
            </w:r>
          </w:p>
          <w:p>
            <w:pPr>
              <w:spacing w:line="360" w:lineRule="auto"/>
              <w:ind w:firstLine="480" w:firstLineChars="200"/>
              <w:contextualSpacing/>
              <w:rPr>
                <w:rFonts w:hAnsi="宋体"/>
                <w:bCs/>
                <w:sz w:val="24"/>
                <w:highlight w:val="none"/>
              </w:rPr>
            </w:pPr>
            <w:r>
              <w:rPr>
                <w:rFonts w:hint="eastAsia" w:hAnsi="宋体"/>
                <w:bCs/>
                <w:sz w:val="24"/>
                <w:highlight w:val="none"/>
              </w:rPr>
              <w:t>3、噪声：主要噪声</w:t>
            </w:r>
            <w:r>
              <w:rPr>
                <w:rFonts w:hint="eastAsia" w:hAnsi="宋体"/>
                <w:bCs/>
                <w:sz w:val="24"/>
                <w:highlight w:val="none"/>
                <w:lang w:eastAsia="zh-CN"/>
              </w:rPr>
              <w:t>来自</w:t>
            </w:r>
            <w:bookmarkStart w:id="19" w:name="_GoBack"/>
            <w:bookmarkEnd w:id="19"/>
            <w:r>
              <w:rPr>
                <w:rFonts w:hint="eastAsia"/>
                <w:sz w:val="24"/>
                <w:highlight w:val="none"/>
              </w:rPr>
              <w:t>搅拌器</w:t>
            </w:r>
            <w:r>
              <w:rPr>
                <w:sz w:val="24"/>
                <w:highlight w:val="none"/>
              </w:rPr>
              <w:t>等设备</w:t>
            </w:r>
            <w:r>
              <w:rPr>
                <w:rFonts w:hint="eastAsia" w:hAnsi="宋体"/>
                <w:bCs/>
                <w:sz w:val="24"/>
                <w:highlight w:val="none"/>
              </w:rPr>
              <w:t>。</w:t>
            </w:r>
          </w:p>
          <w:p>
            <w:pPr>
              <w:widowControl/>
              <w:wordWrap w:val="0"/>
              <w:adjustRightInd w:val="0"/>
              <w:snapToGrid w:val="0"/>
              <w:spacing w:line="360" w:lineRule="auto"/>
              <w:ind w:firstLine="480" w:firstLineChars="200"/>
              <w:rPr>
                <w:rFonts w:hAnsi="宋体"/>
                <w:bCs/>
                <w:sz w:val="24"/>
                <w:highlight w:val="none"/>
              </w:rPr>
            </w:pPr>
            <w:r>
              <w:rPr>
                <w:rFonts w:hint="eastAsia" w:hAnsi="宋体"/>
                <w:bCs/>
                <w:sz w:val="24"/>
                <w:highlight w:val="none"/>
              </w:rPr>
              <w:t>4、固废：</w:t>
            </w:r>
            <w:r>
              <w:rPr>
                <w:rFonts w:hint="eastAsia"/>
                <w:sz w:val="24"/>
                <w:highlight w:val="none"/>
              </w:rPr>
              <w:t>员</w:t>
            </w:r>
            <w:r>
              <w:rPr>
                <w:sz w:val="24"/>
                <w:highlight w:val="none"/>
              </w:rPr>
              <w:t>工生活垃圾、布袋除尘器收集的粉尘</w:t>
            </w:r>
            <w:r>
              <w:rPr>
                <w:rFonts w:hint="eastAsia" w:hAnsi="宋体"/>
                <w:bCs/>
                <w:sz w:val="24"/>
                <w:highlight w:val="none"/>
              </w:rPr>
              <w:t>。</w:t>
            </w:r>
          </w:p>
          <w:p>
            <w:pPr>
              <w:widowControl/>
              <w:wordWrap w:val="0"/>
              <w:adjustRightInd w:val="0"/>
              <w:snapToGrid w:val="0"/>
              <w:spacing w:line="360" w:lineRule="auto"/>
              <w:ind w:firstLine="480" w:firstLineChars="200"/>
              <w:rPr>
                <w:rFonts w:hAnsi="宋体"/>
                <w:bCs/>
                <w:sz w:val="24"/>
                <w:highlight w:val="none"/>
              </w:rPr>
            </w:pPr>
          </w:p>
          <w:p>
            <w:pPr>
              <w:widowControl/>
              <w:wordWrap w:val="0"/>
              <w:adjustRightInd w:val="0"/>
              <w:snapToGrid w:val="0"/>
              <w:spacing w:line="360" w:lineRule="auto"/>
              <w:ind w:firstLine="480" w:firstLineChars="200"/>
              <w:rPr>
                <w:rFonts w:hAnsi="宋体"/>
                <w:bCs/>
                <w:sz w:val="24"/>
                <w:highlight w:val="none"/>
              </w:rPr>
            </w:pPr>
          </w:p>
          <w:p>
            <w:pPr>
              <w:widowControl/>
              <w:wordWrap w:val="0"/>
              <w:adjustRightInd w:val="0"/>
              <w:snapToGrid w:val="0"/>
              <w:spacing w:line="360" w:lineRule="auto"/>
              <w:ind w:firstLine="480" w:firstLineChars="200"/>
              <w:rPr>
                <w:rFonts w:hAnsi="宋体"/>
                <w:bCs/>
                <w:sz w:val="24"/>
                <w:highlight w:val="none"/>
              </w:rPr>
            </w:pPr>
          </w:p>
          <w:p>
            <w:pPr>
              <w:widowControl/>
              <w:wordWrap w:val="0"/>
              <w:adjustRightInd w:val="0"/>
              <w:snapToGrid w:val="0"/>
              <w:spacing w:line="360" w:lineRule="auto"/>
              <w:ind w:firstLine="480" w:firstLineChars="200"/>
              <w:rPr>
                <w:rFonts w:hAnsi="宋体"/>
                <w:bCs/>
                <w:sz w:val="24"/>
                <w:highlight w:val="none"/>
              </w:rPr>
            </w:pPr>
          </w:p>
          <w:p>
            <w:pPr>
              <w:widowControl/>
              <w:wordWrap w:val="0"/>
              <w:adjustRightInd w:val="0"/>
              <w:snapToGrid w:val="0"/>
              <w:spacing w:line="360" w:lineRule="auto"/>
              <w:ind w:firstLine="480" w:firstLineChars="200"/>
              <w:rPr>
                <w:rFonts w:hAnsi="宋体"/>
                <w:bCs/>
                <w:sz w:val="24"/>
                <w:highlight w:val="none"/>
              </w:rPr>
            </w:pPr>
          </w:p>
          <w:p>
            <w:pPr>
              <w:widowControl/>
              <w:wordWrap w:val="0"/>
              <w:adjustRightInd w:val="0"/>
              <w:snapToGrid w:val="0"/>
              <w:spacing w:line="360" w:lineRule="auto"/>
              <w:ind w:firstLine="480" w:firstLineChars="200"/>
              <w:rPr>
                <w:rFonts w:hAnsi="宋体"/>
                <w:bCs/>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Align w:val="center"/>
          </w:tcPr>
          <w:p>
            <w:pPr>
              <w:pStyle w:val="19"/>
              <w:adjustRightInd w:val="0"/>
              <w:snapToGrid w:val="0"/>
              <w:spacing w:before="0" w:beforeAutospacing="0" w:after="0" w:afterAutospacing="0"/>
              <w:jc w:val="center"/>
              <w:rPr>
                <w:rFonts w:ascii="Times New Roman" w:hAnsi="Times New Roman" w:eastAsiaTheme="minorEastAsia"/>
                <w:color w:val="000000" w:themeColor="text1"/>
                <w:szCs w:val="24"/>
                <w:highlight w:val="none"/>
              </w:rPr>
            </w:pPr>
            <w:r>
              <w:rPr>
                <w:rFonts w:ascii="Times New Roman" w:hAnsiTheme="minorEastAsia" w:eastAsiaTheme="minorEastAsia"/>
                <w:bCs/>
                <w:color w:val="000000" w:themeColor="text1"/>
                <w:kern w:val="2"/>
                <w:szCs w:val="24"/>
                <w:highlight w:val="none"/>
              </w:rPr>
              <w:t>与项目有关的原有环境污染问题</w:t>
            </w:r>
          </w:p>
        </w:tc>
        <w:tc>
          <w:tcPr>
            <w:tcW w:w="8564" w:type="dxa"/>
          </w:tcPr>
          <w:p>
            <w:pPr>
              <w:widowControl/>
              <w:spacing w:line="360" w:lineRule="auto"/>
              <w:ind w:firstLine="480" w:firstLineChars="200"/>
              <w:rPr>
                <w:rFonts w:hAnsiTheme="minorEastAsia" w:eastAsiaTheme="minorEastAsia"/>
                <w:bCs/>
                <w:color w:val="000000" w:themeColor="text1"/>
                <w:sz w:val="24"/>
                <w:highlight w:val="none"/>
              </w:rPr>
            </w:pPr>
            <w:r>
              <w:rPr>
                <w:rFonts w:hint="eastAsia" w:hAnsiTheme="minorEastAsia" w:eastAsiaTheme="minorEastAsia"/>
                <w:bCs/>
                <w:color w:val="000000" w:themeColor="text1"/>
                <w:sz w:val="24"/>
                <w:highlight w:val="none"/>
              </w:rPr>
              <w:t>本项目为新建项目，暂无与项目有关的原有环境污染问题。</w:t>
            </w:r>
          </w:p>
          <w:p>
            <w:pPr>
              <w:widowControl/>
              <w:spacing w:line="360" w:lineRule="auto"/>
              <w:ind w:firstLine="480" w:firstLineChars="200"/>
              <w:rPr>
                <w:rFonts w:hAnsiTheme="minorEastAsia" w:eastAsiaTheme="minorEastAsia"/>
                <w:bCs/>
                <w:color w:val="000000" w:themeColor="text1"/>
                <w:sz w:val="24"/>
                <w:highlight w:val="none"/>
              </w:rPr>
            </w:pPr>
          </w:p>
          <w:p>
            <w:pPr>
              <w:widowControl/>
              <w:spacing w:line="360" w:lineRule="auto"/>
              <w:ind w:firstLine="480" w:firstLineChars="200"/>
              <w:rPr>
                <w:rFonts w:hAnsiTheme="minorEastAsia" w:eastAsiaTheme="minorEastAsia"/>
                <w:bCs/>
                <w:color w:val="000000" w:themeColor="text1"/>
                <w:sz w:val="24"/>
                <w:highlight w:val="none"/>
              </w:rPr>
            </w:pPr>
          </w:p>
          <w:p>
            <w:pPr>
              <w:pStyle w:val="5"/>
              <w:rPr>
                <w:rFonts w:hAnsiTheme="minorEastAsia" w:eastAsiaTheme="minorEastAsia"/>
                <w:bCs/>
                <w:color w:val="000000" w:themeColor="text1"/>
                <w:sz w:val="24"/>
                <w:highlight w:val="none"/>
              </w:rPr>
            </w:pPr>
          </w:p>
          <w:p>
            <w:pPr>
              <w:pStyle w:val="6"/>
              <w:rPr>
                <w:rFonts w:hAnsiTheme="minorEastAsia" w:eastAsiaTheme="minorEastAsia"/>
                <w:bCs/>
                <w:color w:val="000000" w:themeColor="text1"/>
                <w:highlight w:val="none"/>
              </w:rPr>
            </w:pPr>
          </w:p>
          <w:p>
            <w:pPr>
              <w:pStyle w:val="7"/>
              <w:rPr>
                <w:rFonts w:hAnsiTheme="minorEastAsia" w:eastAsiaTheme="minorEastAsia"/>
                <w:bCs/>
                <w:color w:val="000000" w:themeColor="text1"/>
                <w:highlight w:val="none"/>
              </w:rPr>
            </w:pPr>
          </w:p>
          <w:p>
            <w:pPr>
              <w:rPr>
                <w:rFonts w:hAnsiTheme="minorEastAsia" w:eastAsiaTheme="minorEastAsia"/>
                <w:bCs/>
                <w:color w:val="000000" w:themeColor="text1"/>
                <w:sz w:val="24"/>
                <w:highlight w:val="none"/>
              </w:rPr>
            </w:pPr>
          </w:p>
          <w:p>
            <w:pPr>
              <w:pStyle w:val="31"/>
              <w:ind w:firstLine="602"/>
              <w:rPr>
                <w:color w:val="000000" w:themeColor="text1"/>
                <w:highlight w:val="none"/>
              </w:rPr>
            </w:pPr>
          </w:p>
          <w:p>
            <w:pPr>
              <w:pStyle w:val="31"/>
              <w:ind w:firstLine="602"/>
              <w:rPr>
                <w:color w:val="000000" w:themeColor="text1"/>
                <w:highlight w:val="none"/>
              </w:rPr>
            </w:pPr>
          </w:p>
          <w:p>
            <w:pPr>
              <w:pStyle w:val="31"/>
              <w:ind w:firstLine="602"/>
              <w:rPr>
                <w:color w:val="000000" w:themeColor="text1"/>
                <w:highlight w:val="none"/>
              </w:rPr>
            </w:pPr>
          </w:p>
          <w:p>
            <w:pPr>
              <w:pStyle w:val="31"/>
              <w:ind w:firstLine="602"/>
              <w:rPr>
                <w:color w:val="000000" w:themeColor="text1"/>
                <w:highlight w:val="none"/>
              </w:rPr>
            </w:pPr>
          </w:p>
          <w:p>
            <w:pPr>
              <w:pStyle w:val="31"/>
              <w:ind w:firstLine="602"/>
              <w:rPr>
                <w:color w:val="000000" w:themeColor="text1"/>
                <w:highlight w:val="none"/>
              </w:rPr>
            </w:pPr>
          </w:p>
          <w:p>
            <w:pPr>
              <w:pStyle w:val="31"/>
              <w:ind w:firstLine="602"/>
              <w:rPr>
                <w:color w:val="000000" w:themeColor="text1"/>
                <w:highlight w:val="none"/>
              </w:rPr>
            </w:pPr>
          </w:p>
          <w:p>
            <w:pPr>
              <w:pStyle w:val="31"/>
              <w:ind w:firstLine="602"/>
              <w:rPr>
                <w:color w:val="000000" w:themeColor="text1"/>
                <w:highlight w:val="none"/>
              </w:rPr>
            </w:pPr>
          </w:p>
          <w:p>
            <w:pPr>
              <w:pStyle w:val="31"/>
              <w:ind w:firstLine="602"/>
              <w:rPr>
                <w:color w:val="000000" w:themeColor="text1"/>
                <w:highlight w:val="none"/>
              </w:rPr>
            </w:pPr>
          </w:p>
          <w:p>
            <w:pPr>
              <w:pStyle w:val="31"/>
              <w:ind w:firstLine="602"/>
              <w:rPr>
                <w:color w:val="000000" w:themeColor="text1"/>
                <w:highlight w:val="none"/>
              </w:rPr>
            </w:pPr>
          </w:p>
          <w:p>
            <w:pPr>
              <w:pStyle w:val="31"/>
              <w:ind w:firstLine="602"/>
              <w:rPr>
                <w:color w:val="000000" w:themeColor="text1"/>
                <w:highlight w:val="none"/>
              </w:rPr>
            </w:pPr>
          </w:p>
          <w:p>
            <w:pPr>
              <w:rPr>
                <w:rFonts w:hAnsiTheme="minorEastAsia" w:eastAsiaTheme="minorEastAsia"/>
                <w:bCs/>
                <w:color w:val="000000" w:themeColor="text1"/>
                <w:sz w:val="24"/>
                <w:highlight w:val="none"/>
              </w:rPr>
            </w:pPr>
          </w:p>
          <w:p>
            <w:pPr>
              <w:widowControl/>
              <w:spacing w:line="360" w:lineRule="auto"/>
              <w:rPr>
                <w:rFonts w:eastAsiaTheme="minorEastAsia"/>
                <w:bCs/>
                <w:color w:val="000000" w:themeColor="text1"/>
                <w:sz w:val="24"/>
                <w:highlight w:val="none"/>
              </w:rPr>
            </w:pPr>
          </w:p>
        </w:tc>
      </w:tr>
    </w:tbl>
    <w:p>
      <w:pPr>
        <w:pStyle w:val="19"/>
        <w:jc w:val="center"/>
        <w:rPr>
          <w:rFonts w:ascii="Times New Roman" w:hAnsi="Times New Roman" w:eastAsiaTheme="minorEastAsia"/>
          <w:snapToGrid w:val="0"/>
          <w:color w:val="000000" w:themeColor="text1"/>
          <w:sz w:val="36"/>
          <w:szCs w:val="36"/>
          <w:highlight w:val="none"/>
        </w:rPr>
        <w:sectPr>
          <w:pgSz w:w="11906" w:h="16838"/>
          <w:pgMar w:top="1701" w:right="1531" w:bottom="1701" w:left="1531" w:header="851" w:footer="851" w:gutter="0"/>
          <w:cols w:space="720" w:num="1"/>
          <w:docGrid w:linePitch="312" w:charSpace="0"/>
        </w:sectPr>
      </w:pPr>
    </w:p>
    <w:p>
      <w:pPr>
        <w:pStyle w:val="19"/>
        <w:jc w:val="center"/>
        <w:outlineLvl w:val="0"/>
        <w:rPr>
          <w:rFonts w:ascii="Times New Roman" w:hAnsi="Times New Roman" w:eastAsiaTheme="minorEastAsia"/>
          <w:snapToGrid w:val="0"/>
          <w:color w:val="000000" w:themeColor="text1"/>
          <w:sz w:val="30"/>
          <w:szCs w:val="30"/>
          <w:highlight w:val="none"/>
        </w:rPr>
      </w:pPr>
      <w:bookmarkStart w:id="10" w:name="_Toc68775754"/>
      <w:r>
        <w:rPr>
          <w:rFonts w:ascii="Times New Roman" w:hAnsiTheme="minorEastAsia" w:eastAsiaTheme="minorEastAsia"/>
          <w:snapToGrid w:val="0"/>
          <w:color w:val="000000" w:themeColor="text1"/>
          <w:sz w:val="30"/>
          <w:szCs w:val="30"/>
          <w:highlight w:val="none"/>
        </w:rPr>
        <w:t>三、区域环境质量现状、环境保护目标及评价标准</w:t>
      </w:r>
      <w:bookmarkEnd w:id="10"/>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0"/>
        <w:gridCol w:w="8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dxa"/>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区域</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环境</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质量</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现状</w:t>
            </w:r>
          </w:p>
        </w:tc>
        <w:tc>
          <w:tcPr>
            <w:tcW w:w="8329" w:type="dxa"/>
            <w:vAlign w:val="center"/>
          </w:tcPr>
          <w:p>
            <w:pPr>
              <w:adjustRightInd w:val="0"/>
              <w:snapToGrid w:val="0"/>
              <w:spacing w:line="360" w:lineRule="auto"/>
              <w:ind w:firstLine="482" w:firstLineChars="200"/>
              <w:jc w:val="left"/>
              <w:rPr>
                <w:rFonts w:eastAsiaTheme="minorEastAsia"/>
                <w:b/>
                <w:bCs/>
                <w:iCs/>
                <w:color w:val="000000" w:themeColor="text1"/>
                <w:kern w:val="0"/>
                <w:sz w:val="24"/>
                <w:highlight w:val="none"/>
              </w:rPr>
            </w:pPr>
            <w:r>
              <w:rPr>
                <w:rFonts w:eastAsiaTheme="minorEastAsia"/>
                <w:b/>
                <w:bCs/>
                <w:iCs/>
                <w:color w:val="000000" w:themeColor="text1"/>
                <w:kern w:val="0"/>
                <w:sz w:val="24"/>
                <w:highlight w:val="none"/>
              </w:rPr>
              <w:t>1</w:t>
            </w:r>
            <w:r>
              <w:rPr>
                <w:rFonts w:hAnsiTheme="minorEastAsia" w:eastAsiaTheme="minorEastAsia"/>
                <w:b/>
                <w:bCs/>
                <w:iCs/>
                <w:color w:val="000000" w:themeColor="text1"/>
                <w:kern w:val="0"/>
                <w:sz w:val="24"/>
                <w:highlight w:val="none"/>
              </w:rPr>
              <w:t>、环境空气质量</w:t>
            </w:r>
          </w:p>
          <w:p>
            <w:pPr>
              <w:adjustRightInd w:val="0"/>
              <w:snapToGrid w:val="0"/>
              <w:spacing w:line="360" w:lineRule="auto"/>
              <w:ind w:firstLine="480" w:firstLineChars="200"/>
              <w:rPr>
                <w:color w:val="000000" w:themeColor="text1"/>
                <w:sz w:val="24"/>
                <w:highlight w:val="none"/>
              </w:rPr>
            </w:pPr>
            <w:r>
              <w:rPr>
                <w:bCs/>
                <w:color w:val="000000" w:themeColor="text1"/>
                <w:sz w:val="24"/>
                <w:highlight w:val="none"/>
              </w:rPr>
              <w:t>根据</w:t>
            </w:r>
            <w:r>
              <w:rPr>
                <w:rFonts w:hint="eastAsia"/>
                <w:color w:val="000000" w:themeColor="text1"/>
                <w:sz w:val="24"/>
                <w:highlight w:val="none"/>
                <w:shd w:val="clear" w:color="auto" w:fill="FFFFFF"/>
              </w:rPr>
              <w:t>《哈尔滨市生态环境质量报告书（2022年）》中相关数据，2022年哈尔滨市环境空气质量达标率84.9%，优良天数310天，重污染及以上天数10天，</w:t>
            </w:r>
            <w:r>
              <w:rPr>
                <w:color w:val="000000" w:themeColor="text1"/>
                <w:sz w:val="24"/>
                <w:highlight w:val="none"/>
                <w:shd w:val="clear" w:color="auto" w:fill="FFFFFF"/>
              </w:rPr>
              <w:t>哈尔滨市2022年SO</w:t>
            </w:r>
            <w:r>
              <w:rPr>
                <w:color w:val="000000" w:themeColor="text1"/>
                <w:sz w:val="24"/>
                <w:highlight w:val="none"/>
                <w:shd w:val="clear" w:color="auto" w:fill="FFFFFF"/>
                <w:vertAlign w:val="subscript"/>
              </w:rPr>
              <w:t>2</w:t>
            </w:r>
            <w:r>
              <w:rPr>
                <w:color w:val="000000" w:themeColor="text1"/>
                <w:sz w:val="24"/>
                <w:highlight w:val="none"/>
                <w:shd w:val="clear" w:color="auto" w:fill="FFFFFF"/>
              </w:rPr>
              <w:t>、NO</w:t>
            </w:r>
            <w:r>
              <w:rPr>
                <w:color w:val="000000" w:themeColor="text1"/>
                <w:sz w:val="24"/>
                <w:highlight w:val="none"/>
                <w:shd w:val="clear" w:color="auto" w:fill="FFFFFF"/>
                <w:vertAlign w:val="subscript"/>
              </w:rPr>
              <w:t>2</w:t>
            </w:r>
            <w:r>
              <w:rPr>
                <w:color w:val="000000" w:themeColor="text1"/>
                <w:sz w:val="24"/>
                <w:highlight w:val="none"/>
                <w:shd w:val="clear" w:color="auto" w:fill="FFFFFF"/>
              </w:rPr>
              <w:t>、PM</w:t>
            </w:r>
            <w:r>
              <w:rPr>
                <w:color w:val="000000" w:themeColor="text1"/>
                <w:sz w:val="24"/>
                <w:highlight w:val="none"/>
                <w:shd w:val="clear" w:color="auto" w:fill="FFFFFF"/>
                <w:vertAlign w:val="subscript"/>
              </w:rPr>
              <w:t>10</w:t>
            </w:r>
            <w:r>
              <w:rPr>
                <w:color w:val="000000" w:themeColor="text1"/>
                <w:sz w:val="24"/>
                <w:highlight w:val="none"/>
                <w:shd w:val="clear" w:color="auto" w:fill="FFFFFF"/>
              </w:rPr>
              <w:t>、PM</w:t>
            </w:r>
            <w:r>
              <w:rPr>
                <w:color w:val="000000" w:themeColor="text1"/>
                <w:sz w:val="24"/>
                <w:highlight w:val="none"/>
                <w:shd w:val="clear" w:color="auto" w:fill="FFFFFF"/>
                <w:vertAlign w:val="subscript"/>
              </w:rPr>
              <w:t>2.5</w:t>
            </w:r>
            <w:r>
              <w:rPr>
                <w:color w:val="000000" w:themeColor="text1"/>
                <w:sz w:val="24"/>
                <w:highlight w:val="none"/>
                <w:shd w:val="clear" w:color="auto" w:fill="FFFFFF"/>
              </w:rPr>
              <w:t>年均浓度分别为14</w:t>
            </w:r>
            <w:r>
              <w:rPr>
                <w:rFonts w:hint="default" w:ascii="Times New Roman" w:hAnsi="Times New Roman" w:cs="Times New Roman"/>
                <w:color w:val="000000" w:themeColor="text1"/>
                <w:sz w:val="24"/>
                <w:highlight w:val="none"/>
                <w:shd w:val="clear" w:color="auto" w:fill="FFFFFF"/>
                <w:lang w:eastAsia="zh-CN"/>
              </w:rPr>
              <w:t>μ</w:t>
            </w:r>
            <w:r>
              <w:rPr>
                <w:rFonts w:hint="eastAsia"/>
                <w:color w:val="000000" w:themeColor="text1"/>
                <w:sz w:val="24"/>
                <w:highlight w:val="none"/>
                <w:shd w:val="clear" w:color="auto" w:fill="FFFFFF"/>
                <w:lang w:eastAsia="zh-CN"/>
              </w:rPr>
              <w:t>g/m</w:t>
            </w:r>
            <w:r>
              <w:rPr>
                <w:rFonts w:hint="eastAsia"/>
                <w:color w:val="000000" w:themeColor="text1"/>
                <w:sz w:val="24"/>
                <w:highlight w:val="none"/>
                <w:shd w:val="clear" w:color="auto" w:fill="FFFFFF"/>
                <w:vertAlign w:val="superscript"/>
                <w:lang w:eastAsia="zh-CN"/>
              </w:rPr>
              <w:t>3</w:t>
            </w:r>
            <w:r>
              <w:rPr>
                <w:color w:val="000000" w:themeColor="text1"/>
                <w:sz w:val="24"/>
                <w:highlight w:val="none"/>
                <w:shd w:val="clear" w:color="auto" w:fill="FFFFFF"/>
              </w:rPr>
              <w:t>、27</w:t>
            </w:r>
            <w:r>
              <w:rPr>
                <w:rFonts w:hint="default" w:ascii="Times New Roman" w:hAnsi="Times New Roman" w:cs="Times New Roman"/>
                <w:color w:val="000000" w:themeColor="text1"/>
                <w:sz w:val="24"/>
                <w:highlight w:val="none"/>
                <w:shd w:val="clear" w:color="auto" w:fill="FFFFFF"/>
                <w:lang w:eastAsia="zh-CN"/>
              </w:rPr>
              <w:t>μ</w:t>
            </w:r>
            <w:r>
              <w:rPr>
                <w:rFonts w:hint="eastAsia"/>
                <w:color w:val="000000" w:themeColor="text1"/>
                <w:sz w:val="24"/>
                <w:highlight w:val="none"/>
                <w:shd w:val="clear" w:color="auto" w:fill="FFFFFF"/>
                <w:lang w:eastAsia="zh-CN"/>
              </w:rPr>
              <w:t>g/m</w:t>
            </w:r>
            <w:r>
              <w:rPr>
                <w:rFonts w:hint="eastAsia"/>
                <w:color w:val="000000" w:themeColor="text1"/>
                <w:sz w:val="24"/>
                <w:highlight w:val="none"/>
                <w:shd w:val="clear" w:color="auto" w:fill="FFFFFF"/>
                <w:vertAlign w:val="superscript"/>
                <w:lang w:eastAsia="zh-CN"/>
              </w:rPr>
              <w:t>3</w:t>
            </w:r>
            <w:r>
              <w:rPr>
                <w:color w:val="000000" w:themeColor="text1"/>
                <w:sz w:val="24"/>
                <w:highlight w:val="none"/>
                <w:shd w:val="clear" w:color="auto" w:fill="FFFFFF"/>
              </w:rPr>
              <w:t>、5</w:t>
            </w:r>
            <w:r>
              <w:rPr>
                <w:rFonts w:hint="eastAsia"/>
                <w:color w:val="000000" w:themeColor="text1"/>
                <w:sz w:val="24"/>
                <w:highlight w:val="none"/>
                <w:shd w:val="clear" w:color="auto" w:fill="FFFFFF"/>
              </w:rPr>
              <w:t>7</w:t>
            </w:r>
            <w:r>
              <w:rPr>
                <w:rFonts w:hint="default" w:ascii="Times New Roman" w:hAnsi="Times New Roman" w:cs="Times New Roman"/>
                <w:color w:val="000000" w:themeColor="text1"/>
                <w:sz w:val="24"/>
                <w:highlight w:val="none"/>
                <w:shd w:val="clear" w:color="auto" w:fill="FFFFFF"/>
                <w:lang w:eastAsia="zh-CN"/>
              </w:rPr>
              <w:t>μ</w:t>
            </w:r>
            <w:r>
              <w:rPr>
                <w:rFonts w:hint="eastAsia"/>
                <w:color w:val="000000" w:themeColor="text1"/>
                <w:sz w:val="24"/>
                <w:highlight w:val="none"/>
                <w:shd w:val="clear" w:color="auto" w:fill="FFFFFF"/>
                <w:lang w:eastAsia="zh-CN"/>
              </w:rPr>
              <w:t>g/m</w:t>
            </w:r>
            <w:r>
              <w:rPr>
                <w:rFonts w:hint="eastAsia"/>
                <w:color w:val="000000" w:themeColor="text1"/>
                <w:sz w:val="24"/>
                <w:highlight w:val="none"/>
                <w:shd w:val="clear" w:color="auto" w:fill="FFFFFF"/>
                <w:vertAlign w:val="superscript"/>
                <w:lang w:eastAsia="zh-CN"/>
              </w:rPr>
              <w:t>3</w:t>
            </w:r>
            <w:r>
              <w:rPr>
                <w:color w:val="000000" w:themeColor="text1"/>
                <w:sz w:val="24"/>
                <w:highlight w:val="none"/>
                <w:shd w:val="clear" w:color="auto" w:fill="FFFFFF"/>
              </w:rPr>
              <w:t>、3</w:t>
            </w:r>
            <w:r>
              <w:rPr>
                <w:rFonts w:hint="eastAsia"/>
                <w:color w:val="000000" w:themeColor="text1"/>
                <w:sz w:val="24"/>
                <w:highlight w:val="none"/>
                <w:shd w:val="clear" w:color="auto" w:fill="FFFFFF"/>
              </w:rPr>
              <w:t>7</w:t>
            </w:r>
            <w:r>
              <w:rPr>
                <w:rFonts w:hint="default" w:ascii="Times New Roman" w:hAnsi="Times New Roman" w:cs="Times New Roman"/>
                <w:color w:val="000000" w:themeColor="text1"/>
                <w:sz w:val="24"/>
                <w:highlight w:val="none"/>
                <w:shd w:val="clear" w:color="auto" w:fill="FFFFFF"/>
                <w:lang w:eastAsia="zh-CN"/>
              </w:rPr>
              <w:t>μ</w:t>
            </w:r>
            <w:r>
              <w:rPr>
                <w:rFonts w:hint="eastAsia"/>
                <w:color w:val="000000" w:themeColor="text1"/>
                <w:sz w:val="24"/>
                <w:highlight w:val="none"/>
                <w:shd w:val="clear" w:color="auto" w:fill="FFFFFF"/>
                <w:lang w:eastAsia="zh-CN"/>
              </w:rPr>
              <w:t>g/m</w:t>
            </w:r>
            <w:r>
              <w:rPr>
                <w:rFonts w:hint="eastAsia"/>
                <w:color w:val="000000" w:themeColor="text1"/>
                <w:sz w:val="24"/>
                <w:highlight w:val="none"/>
                <w:shd w:val="clear" w:color="auto" w:fill="FFFFFF"/>
                <w:vertAlign w:val="superscript"/>
                <w:lang w:eastAsia="zh-CN"/>
              </w:rPr>
              <w:t>3</w:t>
            </w:r>
            <w:r>
              <w:rPr>
                <w:color w:val="000000" w:themeColor="text1"/>
                <w:sz w:val="24"/>
                <w:highlight w:val="none"/>
                <w:shd w:val="clear" w:color="auto" w:fill="FFFFFF"/>
              </w:rPr>
              <w:t>；CO 24小时平均第95百分位数为1.2mg/m</w:t>
            </w:r>
            <w:r>
              <w:rPr>
                <w:color w:val="000000" w:themeColor="text1"/>
                <w:sz w:val="24"/>
                <w:highlight w:val="none"/>
                <w:shd w:val="clear" w:color="auto" w:fill="FFFFFF"/>
                <w:vertAlign w:val="superscript"/>
              </w:rPr>
              <w:t>3</w:t>
            </w:r>
            <w:r>
              <w:rPr>
                <w:color w:val="000000" w:themeColor="text1"/>
                <w:sz w:val="24"/>
                <w:highlight w:val="none"/>
                <w:shd w:val="clear" w:color="auto" w:fill="FFFFFF"/>
              </w:rPr>
              <w:t>，O</w:t>
            </w:r>
            <w:r>
              <w:rPr>
                <w:color w:val="000000" w:themeColor="text1"/>
                <w:sz w:val="24"/>
                <w:highlight w:val="none"/>
                <w:shd w:val="clear" w:color="auto" w:fill="FFFFFF"/>
                <w:vertAlign w:val="subscript"/>
              </w:rPr>
              <w:t>3</w:t>
            </w:r>
            <w:r>
              <w:rPr>
                <w:color w:val="000000" w:themeColor="text1"/>
                <w:sz w:val="24"/>
                <w:highlight w:val="none"/>
                <w:shd w:val="clear" w:color="auto" w:fill="FFFFFF"/>
              </w:rPr>
              <w:t>日最大8小时平均第90百分位数为11</w:t>
            </w:r>
            <w:r>
              <w:rPr>
                <w:rFonts w:hint="eastAsia"/>
                <w:color w:val="000000" w:themeColor="text1"/>
                <w:sz w:val="24"/>
                <w:highlight w:val="none"/>
                <w:shd w:val="clear" w:color="auto" w:fill="FFFFFF"/>
              </w:rPr>
              <w:t>6</w:t>
            </w:r>
            <w:r>
              <w:rPr>
                <w:rFonts w:hint="default" w:ascii="Times New Roman" w:hAnsi="Times New Roman" w:cs="Times New Roman"/>
                <w:color w:val="000000" w:themeColor="text1"/>
                <w:sz w:val="24"/>
                <w:highlight w:val="none"/>
                <w:shd w:val="clear" w:color="auto" w:fill="FFFFFF"/>
                <w:lang w:eastAsia="zh-CN"/>
              </w:rPr>
              <w:t>μ</w:t>
            </w:r>
            <w:r>
              <w:rPr>
                <w:rFonts w:hint="eastAsia"/>
                <w:color w:val="000000" w:themeColor="text1"/>
                <w:sz w:val="24"/>
                <w:highlight w:val="none"/>
                <w:shd w:val="clear" w:color="auto" w:fill="FFFFFF"/>
                <w:lang w:eastAsia="zh-CN"/>
              </w:rPr>
              <w:t>g/m</w:t>
            </w:r>
            <w:r>
              <w:rPr>
                <w:rFonts w:hint="eastAsia"/>
                <w:color w:val="000000" w:themeColor="text1"/>
                <w:sz w:val="24"/>
                <w:highlight w:val="none"/>
                <w:shd w:val="clear" w:color="auto" w:fill="FFFFFF"/>
                <w:vertAlign w:val="superscript"/>
                <w:lang w:eastAsia="zh-CN"/>
              </w:rPr>
              <w:t>3</w:t>
            </w:r>
            <w:r>
              <w:rPr>
                <w:color w:val="000000" w:themeColor="text1"/>
                <w:sz w:val="24"/>
                <w:highlight w:val="none"/>
                <w:shd w:val="clear" w:color="auto" w:fill="FFFFFF"/>
              </w:rPr>
              <w:t>；超过《环境空气质量标准》（GB3095-2012）中二级标准限值的污染物为PM</w:t>
            </w:r>
            <w:r>
              <w:rPr>
                <w:color w:val="000000" w:themeColor="text1"/>
                <w:sz w:val="24"/>
                <w:highlight w:val="none"/>
                <w:shd w:val="clear" w:color="auto" w:fill="FFFFFF"/>
                <w:vertAlign w:val="subscript"/>
              </w:rPr>
              <w:t>2.5</w:t>
            </w:r>
            <w:r>
              <w:rPr>
                <w:color w:val="000000" w:themeColor="text1"/>
                <w:sz w:val="24"/>
                <w:highlight w:val="none"/>
              </w:rPr>
              <w:t>。超标原因：</w:t>
            </w:r>
            <w:r>
              <w:rPr>
                <w:rFonts w:hint="eastAsia"/>
                <w:color w:val="000000" w:themeColor="text1"/>
                <w:sz w:val="24"/>
                <w:highlight w:val="none"/>
              </w:rPr>
              <w:t>为供暖期污染排放量较大与不利的气象因素叠加导致，偶有秸秆燃烧和沙尘影响</w:t>
            </w:r>
            <w:r>
              <w:rPr>
                <w:color w:val="000000" w:themeColor="text1"/>
                <w:sz w:val="24"/>
                <w:highlight w:val="none"/>
              </w:rPr>
              <w:t>。</w:t>
            </w:r>
          </w:p>
          <w:p>
            <w:pPr>
              <w:adjustRightInd w:val="0"/>
              <w:snapToGrid w:val="0"/>
              <w:spacing w:line="360" w:lineRule="auto"/>
              <w:ind w:firstLine="480" w:firstLineChars="200"/>
              <w:contextualSpacing/>
              <w:rPr>
                <w:bCs/>
                <w:color w:val="000000" w:themeColor="text1"/>
                <w:sz w:val="24"/>
                <w:highlight w:val="none"/>
              </w:rPr>
            </w:pPr>
            <w:r>
              <w:rPr>
                <w:bCs/>
                <w:color w:val="000000" w:themeColor="text1"/>
                <w:sz w:val="24"/>
                <w:highlight w:val="none"/>
              </w:rPr>
              <w:t>本项目委托哈尔滨新巨环保科技有限公司于202</w:t>
            </w:r>
            <w:r>
              <w:rPr>
                <w:rFonts w:hint="eastAsia"/>
                <w:bCs/>
                <w:color w:val="000000" w:themeColor="text1"/>
                <w:sz w:val="24"/>
                <w:highlight w:val="none"/>
                <w:lang w:val="en-US" w:eastAsia="zh-CN"/>
              </w:rPr>
              <w:t>4</w:t>
            </w:r>
            <w:r>
              <w:rPr>
                <w:bCs/>
                <w:color w:val="000000" w:themeColor="text1"/>
                <w:sz w:val="24"/>
                <w:highlight w:val="none"/>
              </w:rPr>
              <w:t>年</w:t>
            </w:r>
            <w:r>
              <w:rPr>
                <w:rFonts w:hint="eastAsia"/>
                <w:bCs/>
                <w:color w:val="000000" w:themeColor="text1"/>
                <w:sz w:val="24"/>
                <w:highlight w:val="none"/>
                <w:lang w:val="en-US" w:eastAsia="zh-CN"/>
              </w:rPr>
              <w:t>03</w:t>
            </w:r>
            <w:r>
              <w:rPr>
                <w:bCs/>
                <w:color w:val="000000" w:themeColor="text1"/>
                <w:sz w:val="24"/>
                <w:highlight w:val="none"/>
              </w:rPr>
              <w:t>月</w:t>
            </w:r>
            <w:r>
              <w:rPr>
                <w:rFonts w:hint="eastAsia"/>
                <w:bCs/>
                <w:color w:val="000000" w:themeColor="text1"/>
                <w:sz w:val="24"/>
                <w:highlight w:val="none"/>
                <w:lang w:val="en-US" w:eastAsia="zh-CN"/>
              </w:rPr>
              <w:t>27</w:t>
            </w:r>
            <w:r>
              <w:rPr>
                <w:bCs/>
                <w:color w:val="000000" w:themeColor="text1"/>
                <w:sz w:val="24"/>
                <w:highlight w:val="none"/>
              </w:rPr>
              <w:t>日~</w:t>
            </w:r>
            <w:r>
              <w:rPr>
                <w:rFonts w:hint="eastAsia"/>
                <w:bCs/>
                <w:color w:val="000000" w:themeColor="text1"/>
                <w:sz w:val="24"/>
                <w:highlight w:val="none"/>
                <w:lang w:val="en-US" w:eastAsia="zh-CN"/>
              </w:rPr>
              <w:t>29</w:t>
            </w:r>
            <w:r>
              <w:rPr>
                <w:bCs/>
                <w:color w:val="000000" w:themeColor="text1"/>
                <w:sz w:val="24"/>
                <w:highlight w:val="none"/>
              </w:rPr>
              <w:t>日对本项目厂址下风处的TSP进行现状监测。</w:t>
            </w:r>
          </w:p>
          <w:p>
            <w:pPr>
              <w:spacing w:line="360" w:lineRule="auto"/>
              <w:jc w:val="center"/>
              <w:rPr>
                <w:b/>
                <w:color w:val="000000" w:themeColor="text1"/>
                <w:kern w:val="0"/>
                <w:sz w:val="24"/>
                <w:highlight w:val="none"/>
              </w:rPr>
            </w:pPr>
            <w:r>
              <w:rPr>
                <w:rFonts w:hAnsi="宋体"/>
                <w:b/>
                <w:color w:val="000000" w:themeColor="text1"/>
                <w:kern w:val="0"/>
                <w:sz w:val="24"/>
                <w:highlight w:val="none"/>
              </w:rPr>
              <w:t>表</w:t>
            </w:r>
            <w:r>
              <w:rPr>
                <w:rFonts w:hint="eastAsia"/>
                <w:b/>
                <w:color w:val="000000" w:themeColor="text1"/>
                <w:kern w:val="0"/>
                <w:sz w:val="24"/>
                <w:highlight w:val="none"/>
              </w:rPr>
              <w:t>3</w:t>
            </w:r>
            <w:r>
              <w:rPr>
                <w:b/>
                <w:color w:val="000000" w:themeColor="text1"/>
                <w:kern w:val="0"/>
                <w:sz w:val="24"/>
                <w:highlight w:val="none"/>
              </w:rPr>
              <w:t>-</w:t>
            </w:r>
            <w:r>
              <w:rPr>
                <w:rFonts w:hint="eastAsia"/>
                <w:b/>
                <w:color w:val="000000" w:themeColor="text1"/>
                <w:kern w:val="0"/>
                <w:sz w:val="24"/>
                <w:highlight w:val="none"/>
              </w:rPr>
              <w:t>1</w:t>
            </w:r>
            <w:r>
              <w:rPr>
                <w:rFonts w:hAnsi="宋体"/>
                <w:b/>
                <w:color w:val="000000" w:themeColor="text1"/>
                <w:kern w:val="0"/>
                <w:sz w:val="24"/>
                <w:highlight w:val="none"/>
              </w:rPr>
              <w:t>其他污染物补充监测点基本信息</w:t>
            </w:r>
          </w:p>
          <w:tbl>
            <w:tblPr>
              <w:tblStyle w:val="23"/>
              <w:tblpPr w:leftFromText="180" w:rightFromText="180" w:vertAnchor="text" w:tblpY="1"/>
              <w:tblOverlap w:val="never"/>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039"/>
              <w:gridCol w:w="1164"/>
              <w:gridCol w:w="1240"/>
              <w:gridCol w:w="710"/>
              <w:gridCol w:w="1748"/>
              <w:gridCol w:w="1205"/>
              <w:gridCol w:w="137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99" w:type="pct"/>
                  <w:vMerge w:val="restart"/>
                  <w:noWrap/>
                  <w:vAlign w:val="center"/>
                </w:tcPr>
                <w:p>
                  <w:pPr>
                    <w:adjustRightInd w:val="0"/>
                    <w:snapToGrid w:val="0"/>
                    <w:spacing w:line="0" w:lineRule="atLeast"/>
                    <w:jc w:val="center"/>
                    <w:rPr>
                      <w:color w:val="000000" w:themeColor="text1"/>
                      <w:szCs w:val="21"/>
                      <w:highlight w:val="none"/>
                    </w:rPr>
                  </w:pPr>
                  <w:r>
                    <w:rPr>
                      <w:rFonts w:hAnsi="宋体"/>
                      <w:color w:val="000000" w:themeColor="text1"/>
                      <w:szCs w:val="21"/>
                      <w:highlight w:val="none"/>
                    </w:rPr>
                    <w:t>监测点名称</w:t>
                  </w:r>
                </w:p>
              </w:tc>
              <w:tc>
                <w:tcPr>
                  <w:tcW w:w="1573" w:type="pct"/>
                  <w:gridSpan w:val="2"/>
                  <w:noWrap/>
                  <w:vAlign w:val="center"/>
                </w:tcPr>
                <w:p>
                  <w:pPr>
                    <w:adjustRightInd w:val="0"/>
                    <w:snapToGrid w:val="0"/>
                    <w:spacing w:line="0" w:lineRule="atLeast"/>
                    <w:jc w:val="center"/>
                    <w:rPr>
                      <w:color w:val="000000" w:themeColor="text1"/>
                      <w:kern w:val="0"/>
                      <w:szCs w:val="21"/>
                      <w:highlight w:val="none"/>
                    </w:rPr>
                  </w:pPr>
                  <w:r>
                    <w:rPr>
                      <w:rFonts w:hAnsi="宋体"/>
                      <w:color w:val="000000" w:themeColor="text1"/>
                      <w:kern w:val="0"/>
                      <w:szCs w:val="21"/>
                      <w:highlight w:val="none"/>
                    </w:rPr>
                    <w:t>监测点坐标</w:t>
                  </w:r>
                  <w:r>
                    <w:rPr>
                      <w:color w:val="000000" w:themeColor="text1"/>
                      <w:kern w:val="0"/>
                      <w:szCs w:val="21"/>
                      <w:highlight w:val="none"/>
                    </w:rPr>
                    <w:t>/°</w:t>
                  </w:r>
                </w:p>
              </w:tc>
              <w:tc>
                <w:tcPr>
                  <w:tcW w:w="634" w:type="pct"/>
                  <w:vMerge w:val="restart"/>
                  <w:noWrap/>
                  <w:vAlign w:val="center"/>
                </w:tcPr>
                <w:p>
                  <w:pPr>
                    <w:adjustRightInd w:val="0"/>
                    <w:snapToGrid w:val="0"/>
                    <w:spacing w:line="0" w:lineRule="atLeast"/>
                    <w:jc w:val="center"/>
                    <w:rPr>
                      <w:color w:val="000000" w:themeColor="text1"/>
                      <w:kern w:val="0"/>
                      <w:szCs w:val="21"/>
                      <w:highlight w:val="none"/>
                    </w:rPr>
                  </w:pPr>
                  <w:r>
                    <w:rPr>
                      <w:rFonts w:hAnsi="宋体"/>
                      <w:color w:val="000000" w:themeColor="text1"/>
                      <w:kern w:val="0"/>
                      <w:szCs w:val="21"/>
                      <w:highlight w:val="none"/>
                    </w:rPr>
                    <w:t>监测</w:t>
                  </w:r>
                </w:p>
                <w:p>
                  <w:pPr>
                    <w:adjustRightInd w:val="0"/>
                    <w:snapToGrid w:val="0"/>
                    <w:spacing w:line="0" w:lineRule="atLeast"/>
                    <w:jc w:val="center"/>
                    <w:rPr>
                      <w:color w:val="000000" w:themeColor="text1"/>
                      <w:kern w:val="0"/>
                      <w:szCs w:val="21"/>
                      <w:highlight w:val="none"/>
                    </w:rPr>
                  </w:pPr>
                  <w:r>
                    <w:rPr>
                      <w:rFonts w:hAnsi="宋体"/>
                      <w:color w:val="000000" w:themeColor="text1"/>
                      <w:kern w:val="0"/>
                      <w:szCs w:val="21"/>
                      <w:highlight w:val="none"/>
                    </w:rPr>
                    <w:t>因子</w:t>
                  </w:r>
                </w:p>
              </w:tc>
              <w:tc>
                <w:tcPr>
                  <w:tcW w:w="851" w:type="pct"/>
                  <w:vMerge w:val="restart"/>
                  <w:noWrap/>
                  <w:vAlign w:val="center"/>
                </w:tcPr>
                <w:p>
                  <w:pPr>
                    <w:adjustRightInd w:val="0"/>
                    <w:snapToGrid w:val="0"/>
                    <w:spacing w:line="0" w:lineRule="atLeast"/>
                    <w:jc w:val="center"/>
                    <w:rPr>
                      <w:color w:val="000000" w:themeColor="text1"/>
                      <w:szCs w:val="21"/>
                      <w:highlight w:val="none"/>
                    </w:rPr>
                  </w:pPr>
                  <w:r>
                    <w:rPr>
                      <w:rFonts w:hAnsi="宋体"/>
                      <w:color w:val="000000" w:themeColor="text1"/>
                      <w:szCs w:val="21"/>
                      <w:highlight w:val="none"/>
                    </w:rPr>
                    <w:t>监测时段</w:t>
                  </w:r>
                </w:p>
              </w:tc>
              <w:tc>
                <w:tcPr>
                  <w:tcW w:w="524" w:type="pct"/>
                  <w:vMerge w:val="restart"/>
                  <w:noWrap/>
                  <w:vAlign w:val="center"/>
                </w:tcPr>
                <w:p>
                  <w:pPr>
                    <w:adjustRightInd w:val="0"/>
                    <w:snapToGrid w:val="0"/>
                    <w:spacing w:line="0" w:lineRule="atLeast"/>
                    <w:jc w:val="center"/>
                    <w:rPr>
                      <w:color w:val="000000" w:themeColor="text1"/>
                      <w:szCs w:val="21"/>
                      <w:highlight w:val="none"/>
                    </w:rPr>
                  </w:pPr>
                  <w:r>
                    <w:rPr>
                      <w:rFonts w:hAnsi="宋体"/>
                      <w:color w:val="000000" w:themeColor="text1"/>
                      <w:szCs w:val="21"/>
                      <w:highlight w:val="none"/>
                    </w:rPr>
                    <w:t>相对厂址方位</w:t>
                  </w:r>
                </w:p>
              </w:tc>
              <w:tc>
                <w:tcPr>
                  <w:tcW w:w="719" w:type="pct"/>
                  <w:vMerge w:val="restart"/>
                  <w:noWrap/>
                  <w:vAlign w:val="center"/>
                </w:tcPr>
                <w:p>
                  <w:pPr>
                    <w:adjustRightInd w:val="0"/>
                    <w:snapToGrid w:val="0"/>
                    <w:spacing w:line="0" w:lineRule="atLeast"/>
                    <w:jc w:val="center"/>
                    <w:rPr>
                      <w:color w:val="000000" w:themeColor="text1"/>
                      <w:szCs w:val="21"/>
                      <w:highlight w:val="none"/>
                    </w:rPr>
                  </w:pPr>
                  <w:r>
                    <w:rPr>
                      <w:rFonts w:hAnsi="宋体"/>
                      <w:color w:val="000000" w:themeColor="text1"/>
                      <w:szCs w:val="21"/>
                      <w:highlight w:val="none"/>
                    </w:rPr>
                    <w:t>相对厂界距离</w:t>
                  </w:r>
                  <w:r>
                    <w:rPr>
                      <w:color w:val="000000" w:themeColor="text1"/>
                      <w:szCs w:val="21"/>
                      <w:highlight w:val="none"/>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90" w:hRule="atLeast"/>
              </w:trPr>
              <w:tc>
                <w:tcPr>
                  <w:tcW w:w="699" w:type="pct"/>
                  <w:vMerge w:val="continue"/>
                  <w:noWrap/>
                  <w:vAlign w:val="center"/>
                </w:tcPr>
                <w:p>
                  <w:pPr>
                    <w:widowControl/>
                    <w:jc w:val="left"/>
                    <w:rPr>
                      <w:color w:val="000000" w:themeColor="text1"/>
                      <w:szCs w:val="21"/>
                      <w:highlight w:val="none"/>
                    </w:rPr>
                  </w:pPr>
                </w:p>
              </w:tc>
              <w:tc>
                <w:tcPr>
                  <w:tcW w:w="786" w:type="pct"/>
                  <w:noWrap/>
                  <w:vAlign w:val="center"/>
                </w:tcPr>
                <w:p>
                  <w:pPr>
                    <w:adjustRightInd w:val="0"/>
                    <w:snapToGrid w:val="0"/>
                    <w:spacing w:line="0" w:lineRule="atLeast"/>
                    <w:jc w:val="center"/>
                    <w:rPr>
                      <w:color w:val="000000" w:themeColor="text1"/>
                      <w:kern w:val="0"/>
                      <w:szCs w:val="21"/>
                      <w:highlight w:val="none"/>
                    </w:rPr>
                  </w:pPr>
                  <w:r>
                    <w:rPr>
                      <w:rFonts w:hAnsi="宋体"/>
                      <w:color w:val="000000" w:themeColor="text1"/>
                      <w:kern w:val="0"/>
                      <w:szCs w:val="21"/>
                      <w:highlight w:val="none"/>
                    </w:rPr>
                    <w:t>北纬</w:t>
                  </w:r>
                </w:p>
              </w:tc>
              <w:tc>
                <w:tcPr>
                  <w:tcW w:w="786" w:type="pct"/>
                  <w:noWrap/>
                  <w:vAlign w:val="center"/>
                </w:tcPr>
                <w:p>
                  <w:pPr>
                    <w:adjustRightInd w:val="0"/>
                    <w:snapToGrid w:val="0"/>
                    <w:spacing w:line="0" w:lineRule="atLeast"/>
                    <w:jc w:val="center"/>
                    <w:rPr>
                      <w:color w:val="000000" w:themeColor="text1"/>
                      <w:kern w:val="0"/>
                      <w:szCs w:val="21"/>
                      <w:highlight w:val="none"/>
                    </w:rPr>
                  </w:pPr>
                  <w:r>
                    <w:rPr>
                      <w:rFonts w:hAnsi="宋体"/>
                      <w:snapToGrid w:val="0"/>
                      <w:color w:val="000000" w:themeColor="text1"/>
                      <w:kern w:val="0"/>
                      <w:highlight w:val="none"/>
                    </w:rPr>
                    <w:t>东经</w:t>
                  </w:r>
                </w:p>
              </w:tc>
              <w:tc>
                <w:tcPr>
                  <w:tcW w:w="634" w:type="pct"/>
                  <w:vMerge w:val="continue"/>
                  <w:noWrap/>
                  <w:vAlign w:val="center"/>
                </w:tcPr>
                <w:p>
                  <w:pPr>
                    <w:widowControl/>
                    <w:jc w:val="left"/>
                    <w:rPr>
                      <w:color w:val="000000" w:themeColor="text1"/>
                      <w:kern w:val="0"/>
                      <w:szCs w:val="21"/>
                      <w:highlight w:val="none"/>
                    </w:rPr>
                  </w:pPr>
                </w:p>
              </w:tc>
              <w:tc>
                <w:tcPr>
                  <w:tcW w:w="851" w:type="pct"/>
                  <w:vMerge w:val="continue"/>
                  <w:noWrap/>
                  <w:vAlign w:val="center"/>
                </w:tcPr>
                <w:p>
                  <w:pPr>
                    <w:widowControl/>
                    <w:jc w:val="left"/>
                    <w:rPr>
                      <w:color w:val="000000" w:themeColor="text1"/>
                      <w:szCs w:val="21"/>
                      <w:highlight w:val="none"/>
                    </w:rPr>
                  </w:pPr>
                </w:p>
              </w:tc>
              <w:tc>
                <w:tcPr>
                  <w:tcW w:w="524" w:type="pct"/>
                  <w:vMerge w:val="continue"/>
                  <w:noWrap/>
                  <w:vAlign w:val="center"/>
                </w:tcPr>
                <w:p>
                  <w:pPr>
                    <w:widowControl/>
                    <w:jc w:val="left"/>
                    <w:rPr>
                      <w:color w:val="000000" w:themeColor="text1"/>
                      <w:szCs w:val="21"/>
                      <w:highlight w:val="none"/>
                    </w:rPr>
                  </w:pPr>
                </w:p>
              </w:tc>
              <w:tc>
                <w:tcPr>
                  <w:tcW w:w="719" w:type="pct"/>
                  <w:vMerge w:val="continue"/>
                  <w:noWrap/>
                  <w:vAlign w:val="center"/>
                </w:tcPr>
                <w:p>
                  <w:pPr>
                    <w:widowControl/>
                    <w:jc w:val="left"/>
                    <w:rPr>
                      <w:color w:val="000000" w:themeColor="text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99" w:type="pct"/>
                  <w:noWrap/>
                  <w:vAlign w:val="center"/>
                </w:tcPr>
                <w:p>
                  <w:pPr>
                    <w:adjustRightInd w:val="0"/>
                    <w:snapToGrid w:val="0"/>
                    <w:spacing w:line="0" w:lineRule="atLeast"/>
                    <w:jc w:val="center"/>
                    <w:rPr>
                      <w:color w:val="000000" w:themeColor="text1"/>
                      <w:szCs w:val="21"/>
                      <w:highlight w:val="none"/>
                    </w:rPr>
                  </w:pPr>
                  <w:r>
                    <w:rPr>
                      <w:color w:val="000000" w:themeColor="text1"/>
                      <w:szCs w:val="21"/>
                      <w:highlight w:val="none"/>
                    </w:rPr>
                    <w:t>○1</w:t>
                  </w:r>
                  <w:r>
                    <w:rPr>
                      <w:rFonts w:hAnsi="宋体"/>
                      <w:color w:val="000000" w:themeColor="text1"/>
                      <w:szCs w:val="21"/>
                      <w:highlight w:val="none"/>
                    </w:rPr>
                    <w:t>下风向</w:t>
                  </w:r>
                </w:p>
              </w:tc>
              <w:tc>
                <w:tcPr>
                  <w:tcW w:w="1275" w:type="dxa"/>
                  <w:noWrap/>
                  <w:vAlign w:val="center"/>
                </w:tcPr>
                <w:p>
                  <w:pPr>
                    <w:adjustRightInd w:val="0"/>
                    <w:snapToGrid w:val="0"/>
                    <w:spacing w:line="0" w:lineRule="atLeast"/>
                    <w:jc w:val="center"/>
                    <w:rPr>
                      <w:rFonts w:hAnsi="宋体"/>
                      <w:color w:val="000000" w:themeColor="text1"/>
                      <w:szCs w:val="21"/>
                      <w:highlight w:val="none"/>
                    </w:rPr>
                  </w:pPr>
                  <w:r>
                    <w:rPr>
                      <w:rFonts w:hint="eastAsia"/>
                      <w:highlight w:val="none"/>
                    </w:rPr>
                    <w:t>45.689935964</w:t>
                  </w:r>
                </w:p>
              </w:tc>
              <w:tc>
                <w:tcPr>
                  <w:tcW w:w="1277" w:type="dxa"/>
                  <w:noWrap/>
                  <w:vAlign w:val="center"/>
                </w:tcPr>
                <w:p>
                  <w:pPr>
                    <w:adjustRightInd w:val="0"/>
                    <w:snapToGrid w:val="0"/>
                    <w:spacing w:line="0" w:lineRule="atLeast"/>
                    <w:jc w:val="center"/>
                    <w:rPr>
                      <w:rFonts w:hAnsi="宋体"/>
                      <w:color w:val="000000" w:themeColor="text1"/>
                      <w:szCs w:val="21"/>
                      <w:highlight w:val="none"/>
                    </w:rPr>
                  </w:pPr>
                  <w:r>
                    <w:rPr>
                      <w:rFonts w:hint="eastAsia"/>
                      <w:highlight w:val="none"/>
                    </w:rPr>
                    <w:t>126.840115062</w:t>
                  </w:r>
                </w:p>
              </w:tc>
              <w:tc>
                <w:tcPr>
                  <w:tcW w:w="634" w:type="pct"/>
                  <w:noWrap/>
                  <w:vAlign w:val="center"/>
                </w:tcPr>
                <w:p>
                  <w:pPr>
                    <w:adjustRightInd w:val="0"/>
                    <w:snapToGrid w:val="0"/>
                    <w:spacing w:line="0" w:lineRule="atLeast"/>
                    <w:jc w:val="center"/>
                    <w:rPr>
                      <w:color w:val="000000" w:themeColor="text1"/>
                      <w:szCs w:val="21"/>
                      <w:highlight w:val="none"/>
                    </w:rPr>
                  </w:pPr>
                  <w:r>
                    <w:rPr>
                      <w:rFonts w:hint="eastAsia" w:hAnsi="宋体"/>
                      <w:color w:val="000000" w:themeColor="text1"/>
                      <w:kern w:val="0"/>
                      <w:szCs w:val="21"/>
                      <w:highlight w:val="none"/>
                    </w:rPr>
                    <w:t>颗粒物</w:t>
                  </w:r>
                </w:p>
              </w:tc>
              <w:tc>
                <w:tcPr>
                  <w:tcW w:w="851" w:type="pct"/>
                  <w:noWrap/>
                  <w:vAlign w:val="center"/>
                </w:tcPr>
                <w:p>
                  <w:pPr>
                    <w:adjustRightInd w:val="0"/>
                    <w:snapToGrid w:val="0"/>
                    <w:spacing w:line="0" w:lineRule="atLeast"/>
                    <w:jc w:val="center"/>
                    <w:rPr>
                      <w:rFonts w:hint="default" w:eastAsia="宋体"/>
                      <w:color w:val="000000" w:themeColor="text1"/>
                      <w:szCs w:val="21"/>
                      <w:highlight w:val="none"/>
                      <w:lang w:val="en-US" w:eastAsia="zh-CN"/>
                    </w:rPr>
                  </w:pPr>
                  <w:r>
                    <w:rPr>
                      <w:color w:val="000000" w:themeColor="text1"/>
                      <w:kern w:val="0"/>
                      <w:highlight w:val="none"/>
                    </w:rPr>
                    <w:t>202</w:t>
                  </w:r>
                  <w:r>
                    <w:rPr>
                      <w:rFonts w:hint="eastAsia"/>
                      <w:color w:val="000000" w:themeColor="text1"/>
                      <w:kern w:val="0"/>
                      <w:highlight w:val="none"/>
                      <w:lang w:val="en-US" w:eastAsia="zh-CN"/>
                    </w:rPr>
                    <w:t>4</w:t>
                  </w:r>
                  <w:r>
                    <w:rPr>
                      <w:color w:val="000000" w:themeColor="text1"/>
                      <w:kern w:val="0"/>
                      <w:highlight w:val="none"/>
                    </w:rPr>
                    <w:t>.</w:t>
                  </w:r>
                  <w:r>
                    <w:rPr>
                      <w:rFonts w:hint="eastAsia"/>
                      <w:color w:val="000000" w:themeColor="text1"/>
                      <w:kern w:val="0"/>
                      <w:highlight w:val="none"/>
                      <w:lang w:val="en-US" w:eastAsia="zh-CN"/>
                    </w:rPr>
                    <w:t>03</w:t>
                  </w:r>
                  <w:r>
                    <w:rPr>
                      <w:rFonts w:hint="eastAsia"/>
                      <w:color w:val="000000" w:themeColor="text1"/>
                      <w:kern w:val="0"/>
                      <w:highlight w:val="none"/>
                    </w:rPr>
                    <w:t>.</w:t>
                  </w:r>
                  <w:r>
                    <w:rPr>
                      <w:rFonts w:hint="eastAsia"/>
                      <w:color w:val="000000" w:themeColor="text1"/>
                      <w:kern w:val="0"/>
                      <w:highlight w:val="none"/>
                      <w:lang w:val="en-US" w:eastAsia="zh-CN"/>
                    </w:rPr>
                    <w:t>27</w:t>
                  </w:r>
                  <w:r>
                    <w:rPr>
                      <w:color w:val="000000" w:themeColor="text1"/>
                      <w:szCs w:val="21"/>
                      <w:highlight w:val="none"/>
                    </w:rPr>
                    <w:t>~202</w:t>
                  </w:r>
                  <w:r>
                    <w:rPr>
                      <w:rFonts w:hint="eastAsia"/>
                      <w:color w:val="000000" w:themeColor="text1"/>
                      <w:szCs w:val="21"/>
                      <w:highlight w:val="none"/>
                      <w:lang w:val="en-US" w:eastAsia="zh-CN"/>
                    </w:rPr>
                    <w:t>403</w:t>
                  </w:r>
                  <w:r>
                    <w:rPr>
                      <w:rFonts w:hint="eastAsia"/>
                      <w:color w:val="000000" w:themeColor="text1"/>
                      <w:szCs w:val="21"/>
                      <w:highlight w:val="none"/>
                    </w:rPr>
                    <w:t>.</w:t>
                  </w:r>
                  <w:r>
                    <w:rPr>
                      <w:rFonts w:hint="eastAsia"/>
                      <w:color w:val="000000" w:themeColor="text1"/>
                      <w:szCs w:val="21"/>
                      <w:highlight w:val="none"/>
                      <w:lang w:val="en-US" w:eastAsia="zh-CN"/>
                    </w:rPr>
                    <w:t>29</w:t>
                  </w:r>
                </w:p>
              </w:tc>
              <w:tc>
                <w:tcPr>
                  <w:tcW w:w="524" w:type="pct"/>
                  <w:noWrap/>
                  <w:vAlign w:val="center"/>
                </w:tcPr>
                <w:p>
                  <w:pPr>
                    <w:jc w:val="center"/>
                    <w:rPr>
                      <w:snapToGrid w:val="0"/>
                      <w:color w:val="000000" w:themeColor="text1"/>
                      <w:szCs w:val="21"/>
                      <w:highlight w:val="none"/>
                    </w:rPr>
                  </w:pPr>
                  <w:r>
                    <w:rPr>
                      <w:snapToGrid w:val="0"/>
                      <w:color w:val="000000" w:themeColor="text1"/>
                      <w:szCs w:val="21"/>
                      <w:highlight w:val="none"/>
                    </w:rPr>
                    <w:t>/</w:t>
                  </w:r>
                </w:p>
              </w:tc>
              <w:tc>
                <w:tcPr>
                  <w:tcW w:w="719" w:type="pct"/>
                  <w:noWrap/>
                  <w:vAlign w:val="center"/>
                </w:tcPr>
                <w:p>
                  <w:pPr>
                    <w:jc w:val="center"/>
                    <w:rPr>
                      <w:snapToGrid w:val="0"/>
                      <w:color w:val="000000" w:themeColor="text1"/>
                      <w:szCs w:val="21"/>
                      <w:highlight w:val="none"/>
                    </w:rPr>
                  </w:pPr>
                  <w:r>
                    <w:rPr>
                      <w:rFonts w:hint="eastAsia"/>
                      <w:snapToGrid w:val="0"/>
                      <w:color w:val="000000" w:themeColor="text1"/>
                      <w:szCs w:val="21"/>
                      <w:highlight w:val="none"/>
                    </w:rPr>
                    <w:t>23</w:t>
                  </w:r>
                </w:p>
              </w:tc>
            </w:tr>
          </w:tbl>
          <w:p>
            <w:pPr>
              <w:spacing w:line="360" w:lineRule="auto"/>
              <w:jc w:val="center"/>
              <w:rPr>
                <w:b/>
                <w:color w:val="000000" w:themeColor="text1"/>
                <w:kern w:val="0"/>
                <w:sz w:val="24"/>
                <w:highlight w:val="none"/>
              </w:rPr>
            </w:pPr>
            <w:r>
              <w:rPr>
                <w:rFonts w:hAnsi="宋体"/>
                <w:b/>
                <w:color w:val="000000" w:themeColor="text1"/>
                <w:kern w:val="0"/>
                <w:sz w:val="24"/>
                <w:highlight w:val="none"/>
              </w:rPr>
              <w:t>表</w:t>
            </w:r>
            <w:r>
              <w:rPr>
                <w:rFonts w:hint="eastAsia"/>
                <w:b/>
                <w:color w:val="000000" w:themeColor="text1"/>
                <w:kern w:val="0"/>
                <w:sz w:val="24"/>
                <w:highlight w:val="none"/>
              </w:rPr>
              <w:t>3</w:t>
            </w:r>
            <w:r>
              <w:rPr>
                <w:b/>
                <w:color w:val="000000" w:themeColor="text1"/>
                <w:kern w:val="0"/>
                <w:sz w:val="24"/>
                <w:highlight w:val="none"/>
              </w:rPr>
              <w:t>-</w:t>
            </w:r>
            <w:r>
              <w:rPr>
                <w:rFonts w:hint="eastAsia"/>
                <w:b/>
                <w:color w:val="000000" w:themeColor="text1"/>
                <w:kern w:val="0"/>
                <w:sz w:val="24"/>
                <w:highlight w:val="none"/>
              </w:rPr>
              <w:t>2</w:t>
            </w:r>
            <w:r>
              <w:rPr>
                <w:rFonts w:hAnsi="宋体"/>
                <w:b/>
                <w:color w:val="000000" w:themeColor="text1"/>
                <w:kern w:val="0"/>
                <w:sz w:val="24"/>
                <w:highlight w:val="none"/>
              </w:rPr>
              <w:t>其他污染物环境质量现状（监测结果）表</w:t>
            </w:r>
          </w:p>
          <w:tbl>
            <w:tblPr>
              <w:tblStyle w:val="23"/>
              <w:tblpPr w:leftFromText="180" w:rightFromText="180" w:vertAnchor="text" w:tblpXSpec="center" w:tblpY="1"/>
              <w:tblOverlap w:val="never"/>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852"/>
              <w:gridCol w:w="903"/>
              <w:gridCol w:w="548"/>
              <w:gridCol w:w="686"/>
              <w:gridCol w:w="956"/>
              <w:gridCol w:w="1399"/>
              <w:gridCol w:w="1113"/>
              <w:gridCol w:w="671"/>
              <w:gridCol w:w="65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439" w:type="pct"/>
                  <w:vMerge w:val="restar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监测点位</w:t>
                  </w:r>
                </w:p>
              </w:tc>
              <w:tc>
                <w:tcPr>
                  <w:tcW w:w="1170" w:type="pct"/>
                  <w:gridSpan w:val="2"/>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监测点坐标</w:t>
                  </w:r>
                  <w:r>
                    <w:rPr>
                      <w:color w:val="000000" w:themeColor="text1"/>
                      <w:kern w:val="0"/>
                      <w:szCs w:val="21"/>
                      <w:highlight w:val="none"/>
                    </w:rPr>
                    <w:t>/°</w:t>
                  </w:r>
                </w:p>
              </w:tc>
              <w:tc>
                <w:tcPr>
                  <w:tcW w:w="447" w:type="pct"/>
                  <w:vMerge w:val="restar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污染物</w:t>
                  </w:r>
                </w:p>
              </w:tc>
              <w:tc>
                <w:tcPr>
                  <w:tcW w:w="536" w:type="pct"/>
                  <w:vMerge w:val="restar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平均时间</w:t>
                  </w:r>
                </w:p>
              </w:tc>
              <w:tc>
                <w:tcPr>
                  <w:tcW w:w="625" w:type="pct"/>
                  <w:vMerge w:val="restar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评价</w:t>
                  </w:r>
                </w:p>
                <w:p>
                  <w:pPr>
                    <w:spacing w:line="0" w:lineRule="atLeast"/>
                    <w:jc w:val="center"/>
                    <w:rPr>
                      <w:color w:val="000000" w:themeColor="text1"/>
                      <w:kern w:val="0"/>
                      <w:szCs w:val="21"/>
                      <w:highlight w:val="none"/>
                    </w:rPr>
                  </w:pPr>
                  <w:r>
                    <w:rPr>
                      <w:rFonts w:hAnsi="宋体"/>
                      <w:color w:val="000000" w:themeColor="text1"/>
                      <w:kern w:val="0"/>
                      <w:szCs w:val="21"/>
                      <w:highlight w:val="none"/>
                    </w:rPr>
                    <w:t>标准</w:t>
                  </w:r>
                  <w:r>
                    <w:rPr>
                      <w:color w:val="000000" w:themeColor="text1"/>
                      <w:kern w:val="0"/>
                      <w:szCs w:val="21"/>
                      <w:highlight w:val="none"/>
                    </w:rPr>
                    <w:t>/</w:t>
                  </w:r>
                  <w:r>
                    <w:rPr>
                      <w:rFonts w:hint="eastAsia"/>
                      <w:color w:val="000000" w:themeColor="text1"/>
                      <w:kern w:val="0"/>
                      <w:szCs w:val="21"/>
                      <w:highlight w:val="none"/>
                    </w:rPr>
                    <w:t>（</w:t>
                  </w:r>
                  <w:r>
                    <w:rPr>
                      <w:color w:val="000000" w:themeColor="text1"/>
                      <w:kern w:val="0"/>
                      <w:szCs w:val="21"/>
                      <w:highlight w:val="none"/>
                    </w:rPr>
                    <w:t>μg/m</w:t>
                  </w:r>
                  <w:r>
                    <w:rPr>
                      <w:color w:val="000000" w:themeColor="text1"/>
                      <w:kern w:val="0"/>
                      <w:szCs w:val="21"/>
                      <w:highlight w:val="none"/>
                      <w:vertAlign w:val="superscript"/>
                    </w:rPr>
                    <w:t>3</w:t>
                  </w:r>
                  <w:r>
                    <w:rPr>
                      <w:rFonts w:hint="eastAsia"/>
                      <w:color w:val="000000" w:themeColor="text1"/>
                      <w:kern w:val="0"/>
                      <w:szCs w:val="21"/>
                      <w:highlight w:val="none"/>
                    </w:rPr>
                    <w:t>）</w:t>
                  </w:r>
                </w:p>
              </w:tc>
              <w:tc>
                <w:tcPr>
                  <w:tcW w:w="626" w:type="pct"/>
                  <w:vMerge w:val="restar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监测浓度范围</w:t>
                  </w:r>
                  <w:r>
                    <w:rPr>
                      <w:color w:val="000000" w:themeColor="text1"/>
                      <w:kern w:val="0"/>
                      <w:szCs w:val="21"/>
                      <w:highlight w:val="none"/>
                    </w:rPr>
                    <w:t>/</w:t>
                  </w:r>
                  <w:r>
                    <w:rPr>
                      <w:rFonts w:hint="eastAsia"/>
                      <w:color w:val="000000" w:themeColor="text1"/>
                      <w:kern w:val="0"/>
                      <w:szCs w:val="21"/>
                      <w:highlight w:val="none"/>
                    </w:rPr>
                    <w:t>（</w:t>
                  </w:r>
                  <w:r>
                    <w:rPr>
                      <w:color w:val="000000" w:themeColor="text1"/>
                      <w:kern w:val="0"/>
                      <w:szCs w:val="21"/>
                      <w:highlight w:val="none"/>
                    </w:rPr>
                    <w:t>μg/m</w:t>
                  </w:r>
                  <w:r>
                    <w:rPr>
                      <w:color w:val="000000" w:themeColor="text1"/>
                      <w:kern w:val="0"/>
                      <w:szCs w:val="21"/>
                      <w:highlight w:val="none"/>
                      <w:vertAlign w:val="superscript"/>
                    </w:rPr>
                    <w:t>3</w:t>
                  </w:r>
                  <w:r>
                    <w:rPr>
                      <w:rFonts w:hint="eastAsia"/>
                      <w:color w:val="000000" w:themeColor="text1"/>
                      <w:kern w:val="0"/>
                      <w:szCs w:val="21"/>
                      <w:highlight w:val="none"/>
                    </w:rPr>
                    <w:t>）</w:t>
                  </w:r>
                </w:p>
              </w:tc>
              <w:tc>
                <w:tcPr>
                  <w:tcW w:w="536" w:type="pct"/>
                  <w:vMerge w:val="restar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最大浓度占标率</w:t>
                  </w:r>
                  <w:r>
                    <w:rPr>
                      <w:color w:val="000000" w:themeColor="text1"/>
                      <w:kern w:val="0"/>
                      <w:szCs w:val="21"/>
                      <w:highlight w:val="none"/>
                    </w:rPr>
                    <w:t>/%</w:t>
                  </w:r>
                </w:p>
              </w:tc>
              <w:tc>
                <w:tcPr>
                  <w:tcW w:w="378" w:type="pct"/>
                  <w:vMerge w:val="restar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超标率</w:t>
                  </w:r>
                  <w:r>
                    <w:rPr>
                      <w:color w:val="000000" w:themeColor="text1"/>
                      <w:kern w:val="0"/>
                      <w:szCs w:val="21"/>
                      <w:highlight w:val="none"/>
                    </w:rPr>
                    <w:t>/%</w:t>
                  </w:r>
                </w:p>
              </w:tc>
              <w:tc>
                <w:tcPr>
                  <w:tcW w:w="245" w:type="pct"/>
                  <w:vMerge w:val="restar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达标情况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 w:hRule="atLeast"/>
              </w:trPr>
              <w:tc>
                <w:tcPr>
                  <w:tcW w:w="439" w:type="pct"/>
                  <w:vMerge w:val="continue"/>
                  <w:noWrap/>
                  <w:vAlign w:val="center"/>
                </w:tcPr>
                <w:p>
                  <w:pPr>
                    <w:widowControl/>
                    <w:spacing w:line="0" w:lineRule="atLeast"/>
                    <w:jc w:val="center"/>
                    <w:rPr>
                      <w:color w:val="000000" w:themeColor="text1"/>
                      <w:kern w:val="0"/>
                      <w:szCs w:val="21"/>
                      <w:highlight w:val="none"/>
                    </w:rPr>
                  </w:pPr>
                </w:p>
              </w:tc>
              <w:tc>
                <w:tcPr>
                  <w:tcW w:w="544" w:type="pc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北纬</w:t>
                  </w:r>
                </w:p>
              </w:tc>
              <w:tc>
                <w:tcPr>
                  <w:tcW w:w="625" w:type="pct"/>
                  <w:noWrap/>
                  <w:vAlign w:val="center"/>
                </w:tcPr>
                <w:p>
                  <w:pPr>
                    <w:spacing w:line="0" w:lineRule="atLeast"/>
                    <w:jc w:val="center"/>
                    <w:rPr>
                      <w:color w:val="000000" w:themeColor="text1"/>
                      <w:kern w:val="0"/>
                      <w:szCs w:val="21"/>
                      <w:highlight w:val="none"/>
                    </w:rPr>
                  </w:pPr>
                  <w:r>
                    <w:rPr>
                      <w:rFonts w:hAnsi="宋体"/>
                      <w:snapToGrid w:val="0"/>
                      <w:color w:val="000000" w:themeColor="text1"/>
                      <w:kern w:val="0"/>
                      <w:highlight w:val="none"/>
                    </w:rPr>
                    <w:t>东经</w:t>
                  </w:r>
                </w:p>
              </w:tc>
              <w:tc>
                <w:tcPr>
                  <w:tcW w:w="447" w:type="pct"/>
                  <w:vMerge w:val="continue"/>
                  <w:noWrap/>
                  <w:vAlign w:val="center"/>
                </w:tcPr>
                <w:p>
                  <w:pPr>
                    <w:widowControl/>
                    <w:spacing w:line="0" w:lineRule="atLeast"/>
                    <w:jc w:val="center"/>
                    <w:rPr>
                      <w:color w:val="000000" w:themeColor="text1"/>
                      <w:kern w:val="0"/>
                      <w:szCs w:val="21"/>
                      <w:highlight w:val="none"/>
                    </w:rPr>
                  </w:pPr>
                </w:p>
              </w:tc>
              <w:tc>
                <w:tcPr>
                  <w:tcW w:w="536" w:type="pct"/>
                  <w:vMerge w:val="continue"/>
                  <w:noWrap/>
                  <w:vAlign w:val="center"/>
                </w:tcPr>
                <w:p>
                  <w:pPr>
                    <w:widowControl/>
                    <w:spacing w:line="0" w:lineRule="atLeast"/>
                    <w:jc w:val="center"/>
                    <w:rPr>
                      <w:color w:val="000000" w:themeColor="text1"/>
                      <w:kern w:val="0"/>
                      <w:szCs w:val="21"/>
                      <w:highlight w:val="none"/>
                    </w:rPr>
                  </w:pPr>
                </w:p>
              </w:tc>
              <w:tc>
                <w:tcPr>
                  <w:tcW w:w="625" w:type="pct"/>
                  <w:vMerge w:val="continue"/>
                  <w:noWrap/>
                  <w:vAlign w:val="center"/>
                </w:tcPr>
                <w:p>
                  <w:pPr>
                    <w:widowControl/>
                    <w:spacing w:line="0" w:lineRule="atLeast"/>
                    <w:jc w:val="center"/>
                    <w:rPr>
                      <w:color w:val="000000" w:themeColor="text1"/>
                      <w:kern w:val="0"/>
                      <w:szCs w:val="21"/>
                      <w:highlight w:val="none"/>
                    </w:rPr>
                  </w:pPr>
                </w:p>
              </w:tc>
              <w:tc>
                <w:tcPr>
                  <w:tcW w:w="626" w:type="pct"/>
                  <w:vMerge w:val="continue"/>
                  <w:noWrap/>
                  <w:vAlign w:val="center"/>
                </w:tcPr>
                <w:p>
                  <w:pPr>
                    <w:widowControl/>
                    <w:spacing w:line="0" w:lineRule="atLeast"/>
                    <w:jc w:val="center"/>
                    <w:rPr>
                      <w:color w:val="000000" w:themeColor="text1"/>
                      <w:kern w:val="0"/>
                      <w:szCs w:val="21"/>
                      <w:highlight w:val="none"/>
                    </w:rPr>
                  </w:pPr>
                </w:p>
              </w:tc>
              <w:tc>
                <w:tcPr>
                  <w:tcW w:w="536" w:type="pct"/>
                  <w:vMerge w:val="continue"/>
                  <w:noWrap/>
                  <w:vAlign w:val="center"/>
                </w:tcPr>
                <w:p>
                  <w:pPr>
                    <w:widowControl/>
                    <w:spacing w:line="0" w:lineRule="atLeast"/>
                    <w:jc w:val="center"/>
                    <w:rPr>
                      <w:color w:val="000000" w:themeColor="text1"/>
                      <w:kern w:val="0"/>
                      <w:szCs w:val="21"/>
                      <w:highlight w:val="none"/>
                    </w:rPr>
                  </w:pPr>
                </w:p>
              </w:tc>
              <w:tc>
                <w:tcPr>
                  <w:tcW w:w="378" w:type="pct"/>
                  <w:vMerge w:val="continue"/>
                  <w:noWrap/>
                  <w:vAlign w:val="center"/>
                </w:tcPr>
                <w:p>
                  <w:pPr>
                    <w:widowControl/>
                    <w:spacing w:line="0" w:lineRule="atLeast"/>
                    <w:jc w:val="center"/>
                    <w:rPr>
                      <w:color w:val="000000" w:themeColor="text1"/>
                      <w:kern w:val="0"/>
                      <w:szCs w:val="21"/>
                      <w:highlight w:val="none"/>
                    </w:rPr>
                  </w:pPr>
                </w:p>
              </w:tc>
              <w:tc>
                <w:tcPr>
                  <w:tcW w:w="245" w:type="pct"/>
                  <w:vMerge w:val="continue"/>
                  <w:noWrap/>
                  <w:vAlign w:val="center"/>
                </w:tcPr>
                <w:p>
                  <w:pPr>
                    <w:widowControl/>
                    <w:spacing w:line="0" w:lineRule="atLeast"/>
                    <w:jc w:val="center"/>
                    <w:rPr>
                      <w:color w:val="000000" w:themeColor="text1"/>
                      <w:kern w:val="0"/>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39" w:type="pct"/>
                  <w:noWrap/>
                  <w:vAlign w:val="center"/>
                </w:tcPr>
                <w:p>
                  <w:pPr>
                    <w:spacing w:line="0" w:lineRule="atLeast"/>
                    <w:jc w:val="center"/>
                    <w:rPr>
                      <w:color w:val="000000" w:themeColor="text1"/>
                      <w:szCs w:val="21"/>
                      <w:highlight w:val="none"/>
                    </w:rPr>
                  </w:pPr>
                  <w:r>
                    <w:rPr>
                      <w:color w:val="000000" w:themeColor="text1"/>
                      <w:szCs w:val="21"/>
                      <w:highlight w:val="none"/>
                    </w:rPr>
                    <w:t>○1</w:t>
                  </w:r>
                  <w:r>
                    <w:rPr>
                      <w:rFonts w:hAnsi="宋体"/>
                      <w:color w:val="000000" w:themeColor="text1"/>
                      <w:szCs w:val="21"/>
                      <w:highlight w:val="none"/>
                    </w:rPr>
                    <w:t>下风向</w:t>
                  </w:r>
                </w:p>
              </w:tc>
              <w:tc>
                <w:tcPr>
                  <w:tcW w:w="1319" w:type="dxa"/>
                  <w:noWrap/>
                  <w:vAlign w:val="center"/>
                </w:tcPr>
                <w:p>
                  <w:pPr>
                    <w:adjustRightInd w:val="0"/>
                    <w:snapToGrid w:val="0"/>
                    <w:spacing w:line="0" w:lineRule="atLeast"/>
                    <w:jc w:val="center"/>
                    <w:rPr>
                      <w:snapToGrid w:val="0"/>
                      <w:color w:val="000000" w:themeColor="text1"/>
                      <w:szCs w:val="21"/>
                      <w:highlight w:val="none"/>
                    </w:rPr>
                  </w:pPr>
                  <w:r>
                    <w:rPr>
                      <w:rFonts w:hint="eastAsia"/>
                      <w:highlight w:val="none"/>
                    </w:rPr>
                    <w:t>45.689935964</w:t>
                  </w:r>
                </w:p>
              </w:tc>
              <w:tc>
                <w:tcPr>
                  <w:tcW w:w="1424" w:type="dxa"/>
                  <w:noWrap/>
                  <w:vAlign w:val="center"/>
                </w:tcPr>
                <w:p>
                  <w:pPr>
                    <w:adjustRightInd w:val="0"/>
                    <w:snapToGrid w:val="0"/>
                    <w:spacing w:line="0" w:lineRule="atLeast"/>
                    <w:jc w:val="center"/>
                    <w:rPr>
                      <w:snapToGrid w:val="0"/>
                      <w:color w:val="000000" w:themeColor="text1"/>
                      <w:szCs w:val="21"/>
                      <w:highlight w:val="none"/>
                    </w:rPr>
                  </w:pPr>
                  <w:r>
                    <w:rPr>
                      <w:rFonts w:hint="eastAsia"/>
                      <w:highlight w:val="none"/>
                    </w:rPr>
                    <w:t>126.840115062</w:t>
                  </w:r>
                </w:p>
              </w:tc>
              <w:tc>
                <w:tcPr>
                  <w:tcW w:w="447" w:type="pct"/>
                  <w:noWrap/>
                  <w:vAlign w:val="center"/>
                </w:tcPr>
                <w:p>
                  <w:pPr>
                    <w:spacing w:line="0" w:lineRule="atLeast"/>
                    <w:jc w:val="center"/>
                    <w:rPr>
                      <w:color w:val="000000" w:themeColor="text1"/>
                      <w:kern w:val="0"/>
                      <w:szCs w:val="21"/>
                      <w:highlight w:val="none"/>
                    </w:rPr>
                  </w:pPr>
                  <w:r>
                    <w:rPr>
                      <w:rFonts w:hint="eastAsia" w:hAnsi="宋体"/>
                      <w:color w:val="000000" w:themeColor="text1"/>
                      <w:kern w:val="0"/>
                      <w:szCs w:val="21"/>
                      <w:highlight w:val="none"/>
                    </w:rPr>
                    <w:t>颗粒物</w:t>
                  </w:r>
                </w:p>
              </w:tc>
              <w:tc>
                <w:tcPr>
                  <w:tcW w:w="536" w:type="pct"/>
                  <w:noWrap/>
                  <w:vAlign w:val="center"/>
                </w:tcPr>
                <w:p>
                  <w:pPr>
                    <w:spacing w:line="0" w:lineRule="atLeast"/>
                    <w:jc w:val="center"/>
                    <w:rPr>
                      <w:color w:val="000000" w:themeColor="text1"/>
                      <w:kern w:val="0"/>
                      <w:szCs w:val="21"/>
                      <w:highlight w:val="none"/>
                    </w:rPr>
                  </w:pPr>
                  <w:r>
                    <w:rPr>
                      <w:rFonts w:hint="eastAsia"/>
                      <w:color w:val="000000" w:themeColor="text1"/>
                      <w:kern w:val="0"/>
                      <w:szCs w:val="21"/>
                      <w:highlight w:val="none"/>
                    </w:rPr>
                    <w:t>24</w:t>
                  </w:r>
                  <w:r>
                    <w:rPr>
                      <w:rFonts w:hAnsi="宋体"/>
                      <w:color w:val="000000" w:themeColor="text1"/>
                      <w:kern w:val="0"/>
                      <w:szCs w:val="21"/>
                      <w:highlight w:val="none"/>
                    </w:rPr>
                    <w:t>小时值</w:t>
                  </w:r>
                </w:p>
              </w:tc>
              <w:tc>
                <w:tcPr>
                  <w:tcW w:w="625" w:type="pct"/>
                  <w:noWrap/>
                  <w:vAlign w:val="center"/>
                </w:tcPr>
                <w:p>
                  <w:pPr>
                    <w:spacing w:line="0" w:lineRule="atLeast"/>
                    <w:jc w:val="center"/>
                    <w:rPr>
                      <w:color w:val="000000" w:themeColor="text1"/>
                      <w:kern w:val="0"/>
                      <w:szCs w:val="21"/>
                      <w:highlight w:val="none"/>
                    </w:rPr>
                  </w:pPr>
                  <w:r>
                    <w:rPr>
                      <w:color w:val="000000" w:themeColor="text1"/>
                      <w:szCs w:val="21"/>
                      <w:highlight w:val="none"/>
                    </w:rPr>
                    <w:t>300</w:t>
                  </w:r>
                </w:p>
              </w:tc>
              <w:tc>
                <w:tcPr>
                  <w:tcW w:w="626" w:type="pct"/>
                  <w:noWrap/>
                  <w:vAlign w:val="center"/>
                </w:tcPr>
                <w:p>
                  <w:pPr>
                    <w:spacing w:line="0" w:lineRule="atLeast"/>
                    <w:jc w:val="center"/>
                    <w:rPr>
                      <w:color w:val="000000" w:themeColor="text1"/>
                      <w:kern w:val="0"/>
                      <w:szCs w:val="21"/>
                      <w:highlight w:val="none"/>
                    </w:rPr>
                  </w:pPr>
                  <w:r>
                    <w:rPr>
                      <w:rFonts w:hint="eastAsia"/>
                      <w:color w:val="000000" w:themeColor="text1"/>
                      <w:kern w:val="0"/>
                      <w:szCs w:val="21"/>
                      <w:highlight w:val="none"/>
                    </w:rPr>
                    <w:t>8</w:t>
                  </w:r>
                  <w:r>
                    <w:rPr>
                      <w:rFonts w:hint="eastAsia"/>
                      <w:color w:val="000000" w:themeColor="text1"/>
                      <w:kern w:val="0"/>
                      <w:szCs w:val="21"/>
                      <w:highlight w:val="none"/>
                      <w:lang w:val="en-US" w:eastAsia="zh-CN"/>
                    </w:rPr>
                    <w:t>1</w:t>
                  </w:r>
                  <w:r>
                    <w:rPr>
                      <w:rFonts w:hint="eastAsia"/>
                      <w:color w:val="000000" w:themeColor="text1"/>
                      <w:kern w:val="0"/>
                      <w:szCs w:val="21"/>
                      <w:highlight w:val="none"/>
                    </w:rPr>
                    <w:t>-83</w:t>
                  </w:r>
                </w:p>
              </w:tc>
              <w:tc>
                <w:tcPr>
                  <w:tcW w:w="536" w:type="pct"/>
                  <w:noWrap/>
                  <w:vAlign w:val="center"/>
                </w:tcPr>
                <w:p>
                  <w:pPr>
                    <w:spacing w:line="0" w:lineRule="atLeast"/>
                    <w:jc w:val="center"/>
                    <w:rPr>
                      <w:color w:val="000000" w:themeColor="text1"/>
                      <w:kern w:val="0"/>
                      <w:szCs w:val="21"/>
                      <w:highlight w:val="none"/>
                    </w:rPr>
                  </w:pPr>
                  <w:r>
                    <w:rPr>
                      <w:rFonts w:hint="eastAsia"/>
                      <w:color w:val="000000" w:themeColor="text1"/>
                      <w:kern w:val="0"/>
                      <w:szCs w:val="21"/>
                      <w:highlight w:val="none"/>
                    </w:rPr>
                    <w:t>27.7</w:t>
                  </w:r>
                </w:p>
              </w:tc>
              <w:tc>
                <w:tcPr>
                  <w:tcW w:w="378" w:type="pct"/>
                  <w:noWrap/>
                  <w:vAlign w:val="center"/>
                </w:tcPr>
                <w:p>
                  <w:pPr>
                    <w:spacing w:line="0" w:lineRule="atLeast"/>
                    <w:jc w:val="center"/>
                    <w:rPr>
                      <w:color w:val="000000" w:themeColor="text1"/>
                      <w:kern w:val="0"/>
                      <w:szCs w:val="21"/>
                      <w:highlight w:val="none"/>
                    </w:rPr>
                  </w:pPr>
                  <w:r>
                    <w:rPr>
                      <w:color w:val="000000" w:themeColor="text1"/>
                      <w:kern w:val="0"/>
                      <w:szCs w:val="21"/>
                      <w:highlight w:val="none"/>
                    </w:rPr>
                    <w:t>/</w:t>
                  </w:r>
                </w:p>
              </w:tc>
              <w:tc>
                <w:tcPr>
                  <w:tcW w:w="245" w:type="pct"/>
                  <w:noWrap/>
                  <w:vAlign w:val="center"/>
                </w:tcPr>
                <w:p>
                  <w:pPr>
                    <w:spacing w:line="0" w:lineRule="atLeast"/>
                    <w:jc w:val="center"/>
                    <w:rPr>
                      <w:color w:val="000000" w:themeColor="text1"/>
                      <w:kern w:val="0"/>
                      <w:szCs w:val="21"/>
                      <w:highlight w:val="none"/>
                    </w:rPr>
                  </w:pPr>
                  <w:r>
                    <w:rPr>
                      <w:rFonts w:hAnsi="宋体"/>
                      <w:color w:val="000000" w:themeColor="text1"/>
                      <w:kern w:val="0"/>
                      <w:szCs w:val="21"/>
                      <w:highlight w:val="none"/>
                    </w:rPr>
                    <w:t>达标</w:t>
                  </w:r>
                </w:p>
              </w:tc>
            </w:tr>
          </w:tbl>
          <w:p>
            <w:pPr>
              <w:pStyle w:val="95"/>
              <w:ind w:firstLine="480"/>
              <w:rPr>
                <w:color w:val="000000" w:themeColor="text1"/>
                <w:highlight w:val="none"/>
              </w:rPr>
            </w:pPr>
            <w:r>
              <w:rPr>
                <w:bCs/>
                <w:color w:val="000000" w:themeColor="text1"/>
                <w:sz w:val="24"/>
                <w:highlight w:val="none"/>
              </w:rPr>
              <w:t>根据检测结果，监测点TSP的监测值为</w:t>
            </w:r>
            <w:r>
              <w:rPr>
                <w:rFonts w:hint="eastAsia"/>
                <w:bCs/>
                <w:color w:val="000000" w:themeColor="text1"/>
                <w:sz w:val="24"/>
                <w:highlight w:val="none"/>
              </w:rPr>
              <w:t>0.08</w:t>
            </w:r>
            <w:r>
              <w:rPr>
                <w:rFonts w:hint="eastAsia"/>
                <w:bCs/>
                <w:color w:val="000000" w:themeColor="text1"/>
                <w:sz w:val="24"/>
                <w:highlight w:val="none"/>
                <w:lang w:val="en-US" w:eastAsia="zh-CN"/>
              </w:rPr>
              <w:t>1</w:t>
            </w:r>
            <w:r>
              <w:rPr>
                <w:rFonts w:hint="eastAsia"/>
                <w:bCs/>
                <w:color w:val="000000" w:themeColor="text1"/>
                <w:sz w:val="24"/>
                <w:highlight w:val="none"/>
              </w:rPr>
              <w:t>-0.083</w:t>
            </w:r>
            <w:r>
              <w:rPr>
                <w:bCs/>
                <w:color w:val="000000" w:themeColor="text1"/>
                <w:sz w:val="24"/>
                <w:highlight w:val="none"/>
              </w:rPr>
              <w:t>mg/m</w:t>
            </w:r>
            <w:r>
              <w:rPr>
                <w:bCs/>
                <w:color w:val="000000" w:themeColor="text1"/>
                <w:sz w:val="24"/>
                <w:highlight w:val="none"/>
                <w:vertAlign w:val="superscript"/>
              </w:rPr>
              <w:t>3</w:t>
            </w:r>
            <w:r>
              <w:rPr>
                <w:bCs/>
                <w:color w:val="000000" w:themeColor="text1"/>
                <w:sz w:val="24"/>
                <w:highlight w:val="none"/>
              </w:rPr>
              <w:t>。</w:t>
            </w:r>
            <w:r>
              <w:rPr>
                <w:bCs/>
                <w:color w:val="000000" w:themeColor="text1"/>
                <w:sz w:val="24"/>
                <w:highlight w:val="none"/>
              </w:rPr>
              <w:t>TSP浓度满足《环境空气质量标准》（GB3095</w:t>
            </w:r>
            <w:r>
              <w:rPr>
                <w:rFonts w:hint="eastAsia"/>
                <w:bCs/>
                <w:color w:val="000000" w:themeColor="text1"/>
                <w:sz w:val="24"/>
                <w:highlight w:val="none"/>
                <w:lang w:val="en-US" w:eastAsia="zh-CN"/>
              </w:rPr>
              <w:t>-</w:t>
            </w:r>
            <w:r>
              <w:rPr>
                <w:bCs/>
                <w:color w:val="000000" w:themeColor="text1"/>
                <w:sz w:val="24"/>
                <w:highlight w:val="none"/>
              </w:rPr>
              <w:t>2012）二级标准的浓度。</w:t>
            </w:r>
          </w:p>
          <w:p>
            <w:pPr>
              <w:adjustRightInd w:val="0"/>
              <w:snapToGrid w:val="0"/>
              <w:spacing w:line="360" w:lineRule="auto"/>
              <w:ind w:firstLine="482" w:firstLineChars="200"/>
              <w:jc w:val="left"/>
              <w:rPr>
                <w:rFonts w:eastAsiaTheme="minorEastAsia"/>
                <w:b/>
                <w:color w:val="000000" w:themeColor="text1"/>
                <w:kern w:val="0"/>
                <w:sz w:val="24"/>
                <w:highlight w:val="none"/>
              </w:rPr>
            </w:pPr>
            <w:r>
              <w:rPr>
                <w:rFonts w:eastAsiaTheme="minorEastAsia"/>
                <w:b/>
                <w:color w:val="000000" w:themeColor="text1"/>
                <w:kern w:val="0"/>
                <w:sz w:val="24"/>
                <w:highlight w:val="none"/>
              </w:rPr>
              <w:t>2</w:t>
            </w:r>
            <w:r>
              <w:rPr>
                <w:rFonts w:hAnsiTheme="minorEastAsia" w:eastAsiaTheme="minorEastAsia"/>
                <w:b/>
                <w:color w:val="000000" w:themeColor="text1"/>
                <w:kern w:val="0"/>
                <w:sz w:val="24"/>
                <w:highlight w:val="none"/>
              </w:rPr>
              <w:t>、地表水环境质量</w:t>
            </w:r>
          </w:p>
          <w:p>
            <w:pPr>
              <w:adjustRightInd w:val="0"/>
              <w:snapToGrid w:val="0"/>
              <w:spacing w:line="360" w:lineRule="auto"/>
              <w:ind w:firstLine="480" w:firstLineChars="200"/>
              <w:rPr>
                <w:rFonts w:hAnsiTheme="minorEastAsia" w:eastAsiaTheme="minorEastAsia"/>
                <w:bCs/>
                <w:color w:val="000000" w:themeColor="text1"/>
                <w:kern w:val="0"/>
                <w:sz w:val="24"/>
                <w:highlight w:val="none"/>
              </w:rPr>
            </w:pPr>
            <w:r>
              <w:rPr>
                <w:color w:val="000000" w:themeColor="text1"/>
                <w:sz w:val="24"/>
                <w:highlight w:val="none"/>
              </w:rPr>
              <w:t>本项目附近地表水水体为</w:t>
            </w:r>
            <w:r>
              <w:rPr>
                <w:rFonts w:hint="eastAsia"/>
                <w:color w:val="000000" w:themeColor="text1"/>
                <w:sz w:val="24"/>
                <w:highlight w:val="none"/>
              </w:rPr>
              <w:t>新立沟</w:t>
            </w:r>
            <w:r>
              <w:rPr>
                <w:color w:val="000000" w:themeColor="text1"/>
                <w:sz w:val="24"/>
                <w:highlight w:val="none"/>
              </w:rPr>
              <w:t>，</w:t>
            </w:r>
            <w:r>
              <w:rPr>
                <w:rFonts w:hint="eastAsia"/>
                <w:color w:val="000000" w:themeColor="text1"/>
                <w:sz w:val="24"/>
                <w:highlight w:val="none"/>
              </w:rPr>
              <w:t>由于该水体无相关信息，故使用其汇入水体阿什河水质信息，</w:t>
            </w:r>
            <w:r>
              <w:rPr>
                <w:color w:val="000000" w:themeColor="text1"/>
                <w:sz w:val="24"/>
                <w:highlight w:val="none"/>
              </w:rPr>
              <w:t>根据《哈尔滨市生态环境质量报告书2022年》可知，2022年</w:t>
            </w:r>
            <w:r>
              <w:rPr>
                <w:rFonts w:hint="eastAsia"/>
                <w:color w:val="000000" w:themeColor="text1"/>
                <w:sz w:val="24"/>
                <w:highlight w:val="none"/>
              </w:rPr>
              <w:t>阿什河</w:t>
            </w:r>
            <w:r>
              <w:rPr>
                <w:color w:val="000000" w:themeColor="text1"/>
                <w:sz w:val="24"/>
                <w:highlight w:val="none"/>
              </w:rPr>
              <w:t>水质</w:t>
            </w:r>
            <w:r>
              <w:rPr>
                <w:rFonts w:hint="eastAsia"/>
                <w:color w:val="000000" w:themeColor="text1"/>
                <w:sz w:val="24"/>
                <w:highlight w:val="none"/>
              </w:rPr>
              <w:t>现状</w:t>
            </w:r>
            <w:r>
              <w:rPr>
                <w:color w:val="000000" w:themeColor="text1"/>
                <w:sz w:val="24"/>
                <w:highlight w:val="none"/>
              </w:rPr>
              <w:t>符合Ⅲ类标准</w:t>
            </w:r>
            <w:r>
              <w:rPr>
                <w:color w:val="000000" w:themeColor="text1"/>
                <w:sz w:val="24"/>
                <w:highlight w:val="none"/>
                <w:shd w:val="clear" w:color="auto" w:fill="FFFFFF"/>
              </w:rPr>
              <w:t>。</w:t>
            </w:r>
          </w:p>
          <w:p>
            <w:pPr>
              <w:spacing w:line="360" w:lineRule="auto"/>
              <w:ind w:firstLine="482" w:firstLineChars="200"/>
              <w:contextualSpacing/>
              <w:jc w:val="left"/>
              <w:rPr>
                <w:rFonts w:eastAsiaTheme="minorEastAsia"/>
                <w:b/>
                <w:color w:val="000000" w:themeColor="text1"/>
                <w:kern w:val="0"/>
                <w:sz w:val="24"/>
                <w:highlight w:val="none"/>
              </w:rPr>
            </w:pPr>
            <w:r>
              <w:rPr>
                <w:rFonts w:eastAsiaTheme="minorEastAsia"/>
                <w:b/>
                <w:color w:val="000000" w:themeColor="text1"/>
                <w:kern w:val="0"/>
                <w:sz w:val="24"/>
                <w:highlight w:val="none"/>
              </w:rPr>
              <w:t>3</w:t>
            </w:r>
            <w:r>
              <w:rPr>
                <w:rFonts w:hAnsiTheme="minorEastAsia" w:eastAsiaTheme="minorEastAsia"/>
                <w:b/>
                <w:color w:val="000000" w:themeColor="text1"/>
                <w:kern w:val="0"/>
                <w:sz w:val="24"/>
                <w:highlight w:val="none"/>
              </w:rPr>
              <w:t>、声环境质量现状</w:t>
            </w:r>
          </w:p>
          <w:p>
            <w:pPr>
              <w:spacing w:line="360" w:lineRule="auto"/>
              <w:ind w:firstLine="480" w:firstLineChars="200"/>
              <w:contextualSpacing/>
              <w:jc w:val="left"/>
              <w:rPr>
                <w:rFonts w:eastAsiaTheme="minorEastAsia"/>
                <w:bCs/>
                <w:color w:val="000000" w:themeColor="text1"/>
                <w:kern w:val="0"/>
                <w:sz w:val="24"/>
                <w:highlight w:val="none"/>
              </w:rPr>
            </w:pPr>
            <w:r>
              <w:rPr>
                <w:rFonts w:hint="eastAsia" w:eastAsiaTheme="minorEastAsia"/>
                <w:color w:val="000000" w:themeColor="text1"/>
                <w:sz w:val="24"/>
                <w:highlight w:val="none"/>
              </w:rPr>
              <w:t>本项目厂区周围</w:t>
            </w:r>
            <w:r>
              <w:rPr>
                <w:rFonts w:eastAsiaTheme="minorEastAsia"/>
                <w:color w:val="000000" w:themeColor="text1"/>
                <w:sz w:val="24"/>
                <w:highlight w:val="none"/>
              </w:rPr>
              <w:t>50m</w:t>
            </w:r>
            <w:r>
              <w:rPr>
                <w:rFonts w:hint="eastAsia" w:eastAsiaTheme="minorEastAsia"/>
                <w:color w:val="000000" w:themeColor="text1"/>
                <w:sz w:val="24"/>
                <w:highlight w:val="none"/>
              </w:rPr>
              <w:t>范围内无声环境敏感点，因此未进行监测。根据《哈尔滨市生态环境质量报告书（2022年）》，2022年哈尔滨市各区区域声环境昼间时段平均等效声级在48.2-55.9分贝之间；其中香坊区昼间平均等效声级为50.2分贝。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环境</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保护</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目标</w:t>
            </w:r>
          </w:p>
        </w:tc>
        <w:tc>
          <w:tcPr>
            <w:tcW w:w="8329" w:type="dxa"/>
            <w:vAlign w:val="center"/>
          </w:tcPr>
          <w:p>
            <w:pPr>
              <w:adjustRightInd w:val="0"/>
              <w:snapToGrid w:val="0"/>
              <w:spacing w:line="360" w:lineRule="auto"/>
              <w:ind w:firstLine="480" w:firstLineChars="200"/>
              <w:jc w:val="left"/>
              <w:rPr>
                <w:rFonts w:hAnsiTheme="minorEastAsia" w:eastAsiaTheme="minorEastAsia"/>
                <w:color w:val="000000" w:themeColor="text1"/>
                <w:kern w:val="0"/>
                <w:sz w:val="24"/>
                <w:highlight w:val="none"/>
              </w:rPr>
            </w:pPr>
            <w:r>
              <w:rPr>
                <w:rFonts w:hAnsiTheme="minorEastAsia" w:eastAsiaTheme="minorEastAsia"/>
                <w:color w:val="000000" w:themeColor="text1"/>
                <w:kern w:val="0"/>
                <w:sz w:val="24"/>
                <w:highlight w:val="none"/>
              </w:rPr>
              <w:t>经调查，本项目占地范围内无自然保护区、风景名胜区等生态环境保护目标，厂界外</w:t>
            </w:r>
            <w:r>
              <w:rPr>
                <w:rFonts w:eastAsiaTheme="minorEastAsia"/>
                <w:color w:val="000000" w:themeColor="text1"/>
                <w:kern w:val="0"/>
                <w:sz w:val="24"/>
                <w:highlight w:val="none"/>
              </w:rPr>
              <w:t>500m</w:t>
            </w:r>
            <w:r>
              <w:rPr>
                <w:rFonts w:hAnsiTheme="minorEastAsia" w:eastAsiaTheme="minorEastAsia"/>
                <w:color w:val="000000" w:themeColor="text1"/>
                <w:kern w:val="0"/>
                <w:sz w:val="24"/>
                <w:highlight w:val="none"/>
              </w:rPr>
              <w:t>范围内无地下水集中式饮用水水源和热水、矿泉水、温泉等特殊地下水资源，不涉及地下水环境保护目标，项目</w:t>
            </w:r>
            <w:r>
              <w:rPr>
                <w:rFonts w:eastAsiaTheme="minorEastAsia"/>
                <w:color w:val="000000" w:themeColor="text1"/>
                <w:kern w:val="0"/>
                <w:sz w:val="24"/>
                <w:highlight w:val="none"/>
              </w:rPr>
              <w:t>50m</w:t>
            </w:r>
            <w:r>
              <w:rPr>
                <w:rFonts w:hAnsiTheme="minorEastAsia" w:eastAsiaTheme="minorEastAsia"/>
                <w:color w:val="000000" w:themeColor="text1"/>
                <w:kern w:val="0"/>
                <w:sz w:val="24"/>
                <w:highlight w:val="none"/>
              </w:rPr>
              <w:t>范围内</w:t>
            </w:r>
            <w:r>
              <w:rPr>
                <w:rFonts w:hint="eastAsia" w:hAnsiTheme="minorEastAsia" w:eastAsiaTheme="minorEastAsia"/>
                <w:color w:val="000000" w:themeColor="text1"/>
                <w:kern w:val="0"/>
                <w:sz w:val="24"/>
                <w:highlight w:val="none"/>
              </w:rPr>
              <w:t>无</w:t>
            </w:r>
            <w:r>
              <w:rPr>
                <w:rFonts w:hAnsiTheme="minorEastAsia" w:eastAsiaTheme="minorEastAsia"/>
                <w:color w:val="000000" w:themeColor="text1"/>
                <w:kern w:val="0"/>
                <w:sz w:val="24"/>
                <w:highlight w:val="none"/>
              </w:rPr>
              <w:t>声环境保护目标</w:t>
            </w:r>
            <w:r>
              <w:rPr>
                <w:rFonts w:hint="eastAsia" w:hAnsiTheme="minorEastAsia" w:eastAsiaTheme="minorEastAsia"/>
                <w:color w:val="000000" w:themeColor="text1"/>
                <w:kern w:val="0"/>
                <w:sz w:val="24"/>
                <w:highlight w:val="none"/>
              </w:rPr>
              <w:t>，</w:t>
            </w:r>
            <w:r>
              <w:rPr>
                <w:rFonts w:hAnsiTheme="minorEastAsia" w:eastAsiaTheme="minorEastAsia"/>
                <w:color w:val="000000" w:themeColor="text1"/>
                <w:kern w:val="0"/>
                <w:sz w:val="24"/>
                <w:highlight w:val="none"/>
              </w:rPr>
              <w:t>项目</w:t>
            </w:r>
            <w:r>
              <w:rPr>
                <w:rFonts w:eastAsiaTheme="minorEastAsia"/>
                <w:color w:val="000000" w:themeColor="text1"/>
                <w:kern w:val="0"/>
                <w:sz w:val="24"/>
                <w:highlight w:val="none"/>
              </w:rPr>
              <w:t>500m</w:t>
            </w:r>
            <w:r>
              <w:rPr>
                <w:rFonts w:hAnsiTheme="minorEastAsia" w:eastAsiaTheme="minorEastAsia"/>
                <w:color w:val="000000" w:themeColor="text1"/>
                <w:kern w:val="0"/>
                <w:sz w:val="24"/>
                <w:highlight w:val="none"/>
              </w:rPr>
              <w:t>范围内大气环境保护目标情况见表</w:t>
            </w:r>
            <w:r>
              <w:rPr>
                <w:rFonts w:eastAsiaTheme="minorEastAsia"/>
                <w:color w:val="000000" w:themeColor="text1"/>
                <w:kern w:val="0"/>
                <w:sz w:val="24"/>
                <w:highlight w:val="none"/>
              </w:rPr>
              <w:t>3-</w:t>
            </w:r>
            <w:r>
              <w:rPr>
                <w:rFonts w:hint="eastAsia" w:eastAsiaTheme="minorEastAsia"/>
                <w:color w:val="000000" w:themeColor="text1"/>
                <w:kern w:val="0"/>
                <w:sz w:val="24"/>
                <w:highlight w:val="none"/>
              </w:rPr>
              <w:t>3</w:t>
            </w:r>
            <w:r>
              <w:rPr>
                <w:rFonts w:hAnsiTheme="minorEastAsia" w:eastAsiaTheme="minorEastAsia"/>
                <w:color w:val="000000" w:themeColor="text1"/>
                <w:kern w:val="0"/>
                <w:sz w:val="24"/>
                <w:highlight w:val="none"/>
              </w:rPr>
              <w:t>。</w:t>
            </w:r>
          </w:p>
          <w:p>
            <w:pPr>
              <w:adjustRightInd w:val="0"/>
              <w:snapToGrid w:val="0"/>
              <w:spacing w:line="360" w:lineRule="auto"/>
              <w:jc w:val="center"/>
              <w:rPr>
                <w:rFonts w:eastAsiaTheme="minorEastAsia"/>
                <w:b/>
                <w:color w:val="000000" w:themeColor="text1"/>
                <w:kern w:val="0"/>
                <w:sz w:val="24"/>
                <w:highlight w:val="none"/>
              </w:rPr>
            </w:pPr>
            <w:r>
              <w:rPr>
                <w:rFonts w:hAnsiTheme="minorEastAsia" w:eastAsiaTheme="minorEastAsia"/>
                <w:b/>
                <w:color w:val="000000" w:themeColor="text1"/>
                <w:kern w:val="0"/>
                <w:sz w:val="24"/>
                <w:highlight w:val="none"/>
              </w:rPr>
              <w:t>表</w:t>
            </w:r>
            <w:r>
              <w:rPr>
                <w:rFonts w:eastAsiaTheme="minorEastAsia"/>
                <w:b/>
                <w:color w:val="000000" w:themeColor="text1"/>
                <w:kern w:val="0"/>
                <w:sz w:val="24"/>
                <w:highlight w:val="none"/>
              </w:rPr>
              <w:t>3-</w:t>
            </w:r>
            <w:r>
              <w:rPr>
                <w:rFonts w:hint="eastAsia" w:eastAsiaTheme="minorEastAsia"/>
                <w:b/>
                <w:color w:val="000000" w:themeColor="text1"/>
                <w:kern w:val="0"/>
                <w:sz w:val="24"/>
                <w:highlight w:val="none"/>
              </w:rPr>
              <w:t>3</w:t>
            </w:r>
            <w:r>
              <w:rPr>
                <w:rFonts w:hAnsiTheme="minorEastAsia" w:eastAsiaTheme="minorEastAsia"/>
                <w:b/>
                <w:color w:val="000000" w:themeColor="text1"/>
                <w:kern w:val="0"/>
                <w:sz w:val="24"/>
                <w:highlight w:val="none"/>
              </w:rPr>
              <w:t>环境空气保护目标一览表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1964"/>
              <w:gridCol w:w="1837"/>
              <w:gridCol w:w="18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2" w:type="pct"/>
                  <w:vMerge w:val="restart"/>
                  <w:noWrap/>
                  <w:vAlign w:val="center"/>
                </w:tcPr>
                <w:p>
                  <w:pPr>
                    <w:pStyle w:val="32"/>
                    <w:snapToGrid w:val="0"/>
                    <w:rPr>
                      <w:rFonts w:ascii="Times New Roman"/>
                      <w:color w:val="000000" w:themeColor="text1"/>
                      <w:sz w:val="21"/>
                      <w:szCs w:val="21"/>
                      <w:highlight w:val="none"/>
                    </w:rPr>
                  </w:pPr>
                  <w:r>
                    <w:rPr>
                      <w:rFonts w:ascii="Times New Roman"/>
                      <w:color w:val="000000" w:themeColor="text1"/>
                      <w:sz w:val="21"/>
                      <w:szCs w:val="21"/>
                      <w:highlight w:val="none"/>
                    </w:rPr>
                    <w:t>名称</w:t>
                  </w:r>
                </w:p>
              </w:tc>
              <w:tc>
                <w:tcPr>
                  <w:tcW w:w="1157" w:type="pct"/>
                  <w:vMerge w:val="restart"/>
                  <w:noWrap/>
                  <w:vAlign w:val="center"/>
                </w:tcPr>
                <w:p>
                  <w:pPr>
                    <w:adjustRightInd w:val="0"/>
                    <w:snapToGrid w:val="0"/>
                    <w:jc w:val="center"/>
                    <w:rPr>
                      <w:color w:val="000000" w:themeColor="text1"/>
                      <w:szCs w:val="21"/>
                      <w:highlight w:val="none"/>
                    </w:rPr>
                  </w:pPr>
                  <w:r>
                    <w:rPr>
                      <w:rFonts w:hint="eastAsia"/>
                      <w:color w:val="000000" w:themeColor="text1"/>
                      <w:szCs w:val="21"/>
                      <w:highlight w:val="none"/>
                    </w:rPr>
                    <w:t>保护对象</w:t>
                  </w:r>
                </w:p>
              </w:tc>
              <w:tc>
                <w:tcPr>
                  <w:tcW w:w="1082" w:type="pct"/>
                  <w:vMerge w:val="restart"/>
                  <w:noWrap/>
                  <w:vAlign w:val="center"/>
                </w:tcPr>
                <w:p>
                  <w:pPr>
                    <w:pStyle w:val="32"/>
                    <w:snapToGrid w:val="0"/>
                    <w:rPr>
                      <w:rFonts w:ascii="Times New Roman"/>
                      <w:color w:val="000000" w:themeColor="text1"/>
                      <w:sz w:val="21"/>
                      <w:szCs w:val="21"/>
                      <w:highlight w:val="none"/>
                    </w:rPr>
                  </w:pPr>
                  <w:r>
                    <w:rPr>
                      <w:rFonts w:ascii="Times New Roman"/>
                      <w:color w:val="000000" w:themeColor="text1"/>
                      <w:sz w:val="21"/>
                      <w:szCs w:val="21"/>
                      <w:highlight w:val="none"/>
                    </w:rPr>
                    <w:t>相对厂址方位</w:t>
                  </w:r>
                </w:p>
              </w:tc>
              <w:tc>
                <w:tcPr>
                  <w:tcW w:w="1067" w:type="pct"/>
                  <w:vMerge w:val="restart"/>
                  <w:noWrap/>
                  <w:vAlign w:val="center"/>
                </w:tcPr>
                <w:p>
                  <w:pPr>
                    <w:pStyle w:val="32"/>
                    <w:snapToGrid w:val="0"/>
                    <w:rPr>
                      <w:rFonts w:ascii="Times New Roman"/>
                      <w:color w:val="000000" w:themeColor="text1"/>
                      <w:sz w:val="21"/>
                      <w:szCs w:val="21"/>
                      <w:highlight w:val="none"/>
                    </w:rPr>
                  </w:pPr>
                  <w:r>
                    <w:rPr>
                      <w:rFonts w:ascii="Times New Roman"/>
                      <w:color w:val="000000" w:themeColor="text1"/>
                      <w:sz w:val="21"/>
                      <w:szCs w:val="21"/>
                      <w:highlight w:val="none"/>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2" w:type="pct"/>
                  <w:vMerge w:val="continue"/>
                  <w:noWrap/>
                  <w:vAlign w:val="center"/>
                </w:tcPr>
                <w:p>
                  <w:pPr>
                    <w:pStyle w:val="32"/>
                    <w:snapToGrid w:val="0"/>
                    <w:rPr>
                      <w:rFonts w:ascii="Times New Roman"/>
                      <w:color w:val="000000" w:themeColor="text1"/>
                      <w:sz w:val="21"/>
                      <w:szCs w:val="21"/>
                      <w:highlight w:val="none"/>
                    </w:rPr>
                  </w:pPr>
                </w:p>
              </w:tc>
              <w:tc>
                <w:tcPr>
                  <w:tcW w:w="1157" w:type="pct"/>
                  <w:vMerge w:val="continue"/>
                  <w:noWrap/>
                  <w:vAlign w:val="center"/>
                </w:tcPr>
                <w:p>
                  <w:pPr>
                    <w:adjustRightInd w:val="0"/>
                    <w:snapToGrid w:val="0"/>
                    <w:jc w:val="center"/>
                    <w:rPr>
                      <w:color w:val="000000" w:themeColor="text1"/>
                      <w:szCs w:val="21"/>
                      <w:highlight w:val="none"/>
                    </w:rPr>
                  </w:pPr>
                </w:p>
              </w:tc>
              <w:tc>
                <w:tcPr>
                  <w:tcW w:w="1082" w:type="pct"/>
                  <w:vMerge w:val="continue"/>
                  <w:noWrap/>
                  <w:vAlign w:val="center"/>
                </w:tcPr>
                <w:p>
                  <w:pPr>
                    <w:pStyle w:val="32"/>
                    <w:snapToGrid w:val="0"/>
                    <w:rPr>
                      <w:rFonts w:ascii="Times New Roman"/>
                      <w:color w:val="000000" w:themeColor="text1"/>
                      <w:sz w:val="21"/>
                      <w:szCs w:val="21"/>
                      <w:highlight w:val="none"/>
                    </w:rPr>
                  </w:pPr>
                </w:p>
              </w:tc>
              <w:tc>
                <w:tcPr>
                  <w:tcW w:w="1067" w:type="pct"/>
                  <w:vMerge w:val="continue"/>
                  <w:noWrap/>
                  <w:vAlign w:val="center"/>
                </w:tcPr>
                <w:p>
                  <w:pPr>
                    <w:pStyle w:val="32"/>
                    <w:snapToGrid w:val="0"/>
                    <w:rPr>
                      <w:rFonts w:ascii="Times New Roman"/>
                      <w:color w:val="000000" w:themeColor="text1"/>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2" w:type="pct"/>
                  <w:noWrap/>
                  <w:vAlign w:val="center"/>
                </w:tcPr>
                <w:p>
                  <w:pPr>
                    <w:pStyle w:val="32"/>
                    <w:snapToGrid w:val="0"/>
                    <w:rPr>
                      <w:rFonts w:eastAsia="宋体"/>
                      <w:snapToGrid w:val="0"/>
                      <w:color w:val="000000" w:themeColor="text1"/>
                      <w:sz w:val="21"/>
                      <w:szCs w:val="21"/>
                      <w:highlight w:val="none"/>
                    </w:rPr>
                  </w:pPr>
                  <w:r>
                    <w:rPr>
                      <w:rFonts w:hint="eastAsia" w:eastAsia="宋体"/>
                      <w:snapToGrid w:val="0"/>
                      <w:color w:val="000000" w:themeColor="text1"/>
                      <w:sz w:val="21"/>
                      <w:szCs w:val="21"/>
                      <w:highlight w:val="none"/>
                    </w:rPr>
                    <w:t>五队新村</w:t>
                  </w:r>
                </w:p>
              </w:tc>
              <w:tc>
                <w:tcPr>
                  <w:tcW w:w="1157" w:type="pct"/>
                  <w:vMerge w:val="restart"/>
                  <w:noWrap/>
                  <w:vAlign w:val="center"/>
                </w:tcPr>
                <w:p>
                  <w:pPr>
                    <w:adjustRightInd w:val="0"/>
                    <w:snapToGrid w:val="0"/>
                    <w:jc w:val="center"/>
                    <w:rPr>
                      <w:color w:val="000000" w:themeColor="text1"/>
                      <w:szCs w:val="21"/>
                      <w:highlight w:val="none"/>
                    </w:rPr>
                  </w:pPr>
                  <w:r>
                    <w:rPr>
                      <w:rFonts w:hint="eastAsia"/>
                      <w:color w:val="000000" w:themeColor="text1"/>
                      <w:szCs w:val="21"/>
                      <w:highlight w:val="none"/>
                    </w:rPr>
                    <w:t>村屯</w:t>
                  </w:r>
                </w:p>
              </w:tc>
              <w:tc>
                <w:tcPr>
                  <w:tcW w:w="1082" w:type="pct"/>
                  <w:noWrap/>
                  <w:vAlign w:val="center"/>
                </w:tcPr>
                <w:p>
                  <w:pPr>
                    <w:pStyle w:val="32"/>
                    <w:rPr>
                      <w:rFonts w:ascii="Times New Roman" w:eastAsia="宋体"/>
                      <w:snapToGrid w:val="0"/>
                      <w:color w:val="000000" w:themeColor="text1"/>
                      <w:sz w:val="21"/>
                      <w:szCs w:val="21"/>
                      <w:highlight w:val="none"/>
                    </w:rPr>
                  </w:pPr>
                  <w:r>
                    <w:rPr>
                      <w:rFonts w:hint="eastAsia" w:ascii="Times New Roman" w:eastAsia="宋体"/>
                      <w:snapToGrid w:val="0"/>
                      <w:color w:val="000000" w:themeColor="text1"/>
                      <w:sz w:val="21"/>
                      <w:szCs w:val="21"/>
                      <w:highlight w:val="none"/>
                    </w:rPr>
                    <w:t>NE</w:t>
                  </w:r>
                </w:p>
              </w:tc>
              <w:tc>
                <w:tcPr>
                  <w:tcW w:w="1067" w:type="pct"/>
                  <w:noWrap/>
                  <w:vAlign w:val="center"/>
                </w:tcPr>
                <w:p>
                  <w:pPr>
                    <w:pStyle w:val="32"/>
                    <w:rPr>
                      <w:rFonts w:ascii="Times New Roman" w:eastAsia="宋体"/>
                      <w:snapToGrid w:val="0"/>
                      <w:color w:val="000000" w:themeColor="text1"/>
                      <w:sz w:val="21"/>
                      <w:szCs w:val="21"/>
                      <w:highlight w:val="none"/>
                    </w:rPr>
                  </w:pPr>
                  <w:r>
                    <w:rPr>
                      <w:rFonts w:hint="eastAsia" w:ascii="Times New Roman" w:eastAsia="宋体"/>
                      <w:snapToGrid w:val="0"/>
                      <w:color w:val="000000" w:themeColor="text1"/>
                      <w:sz w:val="21"/>
                      <w:szCs w:val="21"/>
                      <w:highlight w:val="none"/>
                    </w:rPr>
                    <w:t>129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2" w:type="pct"/>
                  <w:noWrap/>
                  <w:vAlign w:val="center"/>
                </w:tcPr>
                <w:p>
                  <w:pPr>
                    <w:pStyle w:val="32"/>
                    <w:snapToGrid w:val="0"/>
                    <w:rPr>
                      <w:rFonts w:eastAsia="宋体"/>
                      <w:snapToGrid w:val="0"/>
                      <w:color w:val="000000" w:themeColor="text1"/>
                      <w:sz w:val="21"/>
                      <w:szCs w:val="21"/>
                      <w:highlight w:val="none"/>
                    </w:rPr>
                  </w:pPr>
                  <w:r>
                    <w:rPr>
                      <w:rFonts w:hint="eastAsia" w:eastAsia="宋体"/>
                      <w:snapToGrid w:val="0"/>
                      <w:color w:val="000000" w:themeColor="text1"/>
                      <w:sz w:val="21"/>
                      <w:szCs w:val="21"/>
                      <w:highlight w:val="none"/>
                    </w:rPr>
                    <w:t>翻身屯</w:t>
                  </w:r>
                </w:p>
              </w:tc>
              <w:tc>
                <w:tcPr>
                  <w:tcW w:w="1157" w:type="pct"/>
                  <w:vMerge w:val="continue"/>
                  <w:noWrap/>
                  <w:vAlign w:val="center"/>
                </w:tcPr>
                <w:p>
                  <w:pPr>
                    <w:adjustRightInd w:val="0"/>
                    <w:snapToGrid w:val="0"/>
                    <w:jc w:val="center"/>
                    <w:rPr>
                      <w:color w:val="000000" w:themeColor="text1"/>
                      <w:szCs w:val="21"/>
                      <w:highlight w:val="none"/>
                    </w:rPr>
                  </w:pPr>
                </w:p>
              </w:tc>
              <w:tc>
                <w:tcPr>
                  <w:tcW w:w="1082" w:type="pct"/>
                  <w:noWrap/>
                  <w:vAlign w:val="center"/>
                </w:tcPr>
                <w:p>
                  <w:pPr>
                    <w:pStyle w:val="32"/>
                    <w:rPr>
                      <w:rFonts w:ascii="Times New Roman" w:eastAsia="宋体"/>
                      <w:snapToGrid w:val="0"/>
                      <w:color w:val="000000" w:themeColor="text1"/>
                      <w:sz w:val="21"/>
                      <w:szCs w:val="21"/>
                      <w:highlight w:val="none"/>
                    </w:rPr>
                  </w:pPr>
                  <w:r>
                    <w:rPr>
                      <w:rFonts w:hint="eastAsia" w:ascii="Times New Roman" w:eastAsia="宋体"/>
                      <w:snapToGrid w:val="0"/>
                      <w:color w:val="000000" w:themeColor="text1"/>
                      <w:sz w:val="21"/>
                      <w:szCs w:val="21"/>
                      <w:highlight w:val="none"/>
                    </w:rPr>
                    <w:t>NE</w:t>
                  </w:r>
                </w:p>
              </w:tc>
              <w:tc>
                <w:tcPr>
                  <w:tcW w:w="1067" w:type="pct"/>
                  <w:noWrap/>
                  <w:vAlign w:val="center"/>
                </w:tcPr>
                <w:p>
                  <w:pPr>
                    <w:pStyle w:val="32"/>
                    <w:rPr>
                      <w:rFonts w:ascii="Times New Roman" w:eastAsia="宋体"/>
                      <w:snapToGrid w:val="0"/>
                      <w:color w:val="000000" w:themeColor="text1"/>
                      <w:sz w:val="21"/>
                      <w:szCs w:val="21"/>
                      <w:highlight w:val="none"/>
                    </w:rPr>
                  </w:pPr>
                  <w:r>
                    <w:rPr>
                      <w:rFonts w:hint="eastAsia" w:ascii="Times New Roman" w:eastAsia="宋体"/>
                      <w:snapToGrid w:val="0"/>
                      <w:color w:val="000000" w:themeColor="text1"/>
                      <w:sz w:val="21"/>
                      <w:szCs w:val="21"/>
                      <w:highlight w:val="none"/>
                    </w:rPr>
                    <w:t>461</w:t>
                  </w:r>
                </w:p>
              </w:tc>
            </w:tr>
          </w:tbl>
          <w:p>
            <w:pPr>
              <w:spacing w:line="360" w:lineRule="auto"/>
              <w:contextualSpacing/>
              <w:rPr>
                <w:rFonts w:eastAsiaTheme="minorEastAsia"/>
                <w:color w:val="000000" w:themeColor="text1"/>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6" w:type="dxa"/>
            <w:tcMar>
              <w:left w:w="28" w:type="dxa"/>
              <w:right w:w="28" w:type="dxa"/>
            </w:tcMar>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污染</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物排</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放控</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制标</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准</w:t>
            </w:r>
          </w:p>
        </w:tc>
        <w:tc>
          <w:tcPr>
            <w:tcW w:w="8329" w:type="dxa"/>
            <w:vAlign w:val="center"/>
          </w:tcPr>
          <w:p>
            <w:pPr>
              <w:adjustRightInd w:val="0"/>
              <w:snapToGrid w:val="0"/>
              <w:spacing w:line="360" w:lineRule="auto"/>
              <w:ind w:firstLine="482" w:firstLineChars="200"/>
              <w:jc w:val="left"/>
              <w:rPr>
                <w:rFonts w:eastAsiaTheme="minorEastAsia"/>
                <w:b/>
                <w:color w:val="000000" w:themeColor="text1"/>
                <w:kern w:val="0"/>
                <w:sz w:val="24"/>
                <w:highlight w:val="none"/>
              </w:rPr>
            </w:pPr>
            <w:r>
              <w:rPr>
                <w:rFonts w:eastAsiaTheme="minorEastAsia"/>
                <w:b/>
                <w:color w:val="000000" w:themeColor="text1"/>
                <w:kern w:val="0"/>
                <w:sz w:val="24"/>
                <w:highlight w:val="none"/>
              </w:rPr>
              <w:t>1</w:t>
            </w:r>
            <w:r>
              <w:rPr>
                <w:rFonts w:hAnsiTheme="minorEastAsia" w:eastAsiaTheme="minorEastAsia"/>
                <w:b/>
                <w:color w:val="000000" w:themeColor="text1"/>
                <w:kern w:val="0"/>
                <w:sz w:val="24"/>
                <w:highlight w:val="none"/>
              </w:rPr>
              <w:t>、废气</w:t>
            </w:r>
          </w:p>
          <w:p>
            <w:pPr>
              <w:adjustRightInd w:val="0"/>
              <w:snapToGrid w:val="0"/>
              <w:spacing w:line="360" w:lineRule="auto"/>
              <w:ind w:firstLine="480" w:firstLineChars="200"/>
              <w:jc w:val="left"/>
              <w:rPr>
                <w:rFonts w:hAnsiTheme="minorEastAsia" w:eastAsiaTheme="minorEastAsia"/>
                <w:color w:val="000000" w:themeColor="text1"/>
                <w:kern w:val="0"/>
                <w:sz w:val="24"/>
                <w:highlight w:val="none"/>
              </w:rPr>
            </w:pPr>
            <w:r>
              <w:rPr>
                <w:rFonts w:hint="eastAsia" w:hAnsiTheme="minorEastAsia" w:eastAsiaTheme="minorEastAsia"/>
                <w:color w:val="000000" w:themeColor="text1"/>
                <w:kern w:val="0"/>
                <w:sz w:val="24"/>
                <w:highlight w:val="none"/>
              </w:rPr>
              <w:t>项目粉尘排放执行《大气污染物综合排放标准》（</w:t>
            </w:r>
            <w:r>
              <w:rPr>
                <w:rFonts w:hAnsiTheme="minorEastAsia" w:eastAsiaTheme="minorEastAsia"/>
                <w:color w:val="000000" w:themeColor="text1"/>
                <w:kern w:val="0"/>
                <w:sz w:val="24"/>
                <w:highlight w:val="none"/>
              </w:rPr>
              <w:t>GB16297-1996</w:t>
            </w:r>
            <w:r>
              <w:rPr>
                <w:rFonts w:hint="eastAsia" w:hAnsiTheme="minorEastAsia" w:eastAsiaTheme="minorEastAsia"/>
                <w:color w:val="000000" w:themeColor="text1"/>
                <w:kern w:val="0"/>
                <w:sz w:val="24"/>
                <w:highlight w:val="none"/>
              </w:rPr>
              <w:t xml:space="preserve">）表 </w:t>
            </w:r>
            <w:r>
              <w:rPr>
                <w:rFonts w:hAnsiTheme="minorEastAsia" w:eastAsiaTheme="minorEastAsia"/>
                <w:color w:val="000000" w:themeColor="text1"/>
                <w:kern w:val="0"/>
                <w:sz w:val="24"/>
                <w:highlight w:val="none"/>
              </w:rPr>
              <w:t xml:space="preserve">2 </w:t>
            </w:r>
            <w:r>
              <w:rPr>
                <w:rFonts w:hint="eastAsia" w:hAnsiTheme="minorEastAsia" w:eastAsiaTheme="minorEastAsia"/>
                <w:color w:val="000000" w:themeColor="text1"/>
                <w:kern w:val="0"/>
                <w:sz w:val="24"/>
                <w:highlight w:val="none"/>
              </w:rPr>
              <w:t>中二级标准及</w:t>
            </w:r>
            <w:r>
              <w:rPr>
                <w:rFonts w:hint="eastAsia"/>
                <w:color w:val="000000" w:themeColor="text1"/>
                <w:sz w:val="24"/>
                <w:highlight w:val="none"/>
              </w:rPr>
              <w:t>无组织排放监控浓度限值</w:t>
            </w:r>
            <w:r>
              <w:rPr>
                <w:rFonts w:hint="eastAsia" w:hAnsiTheme="minorEastAsia" w:eastAsiaTheme="minorEastAsia"/>
                <w:color w:val="000000" w:themeColor="text1"/>
                <w:kern w:val="0"/>
                <w:sz w:val="24"/>
                <w:highlight w:val="none"/>
              </w:rPr>
              <w:t>；</w:t>
            </w:r>
            <w:r>
              <w:rPr>
                <w:rFonts w:hAnsiTheme="minorEastAsia" w:eastAsiaTheme="minorEastAsia"/>
                <w:color w:val="000000" w:themeColor="text1"/>
                <w:kern w:val="0"/>
                <w:sz w:val="24"/>
                <w:highlight w:val="none"/>
              </w:rPr>
              <w:t>具体标准限值见表3-</w:t>
            </w:r>
            <w:r>
              <w:rPr>
                <w:rFonts w:hint="eastAsia" w:hAnsiTheme="minorEastAsia" w:eastAsiaTheme="minorEastAsia"/>
                <w:color w:val="000000" w:themeColor="text1"/>
                <w:kern w:val="0"/>
                <w:sz w:val="24"/>
                <w:highlight w:val="none"/>
              </w:rPr>
              <w:t>4</w:t>
            </w:r>
            <w:r>
              <w:rPr>
                <w:rFonts w:hAnsiTheme="minorEastAsia" w:eastAsiaTheme="minorEastAsia"/>
                <w:color w:val="000000" w:themeColor="text1"/>
                <w:kern w:val="0"/>
                <w:sz w:val="24"/>
                <w:highlight w:val="none"/>
              </w:rPr>
              <w:t>。</w:t>
            </w:r>
          </w:p>
          <w:p>
            <w:pPr>
              <w:adjustRightInd w:val="0"/>
              <w:snapToGrid w:val="0"/>
              <w:spacing w:line="360" w:lineRule="auto"/>
              <w:jc w:val="center"/>
              <w:rPr>
                <w:rFonts w:hAnsiTheme="minorEastAsia" w:eastAsiaTheme="minorEastAsia"/>
                <w:b/>
                <w:bCs/>
                <w:color w:val="000000" w:themeColor="text1"/>
                <w:kern w:val="0"/>
                <w:sz w:val="24"/>
                <w:highlight w:val="none"/>
              </w:rPr>
            </w:pPr>
            <w:r>
              <w:rPr>
                <w:rFonts w:hAnsiTheme="minorEastAsia" w:eastAsiaTheme="minorEastAsia"/>
                <w:b/>
                <w:bCs/>
                <w:color w:val="000000" w:themeColor="text1"/>
                <w:kern w:val="0"/>
                <w:sz w:val="24"/>
                <w:highlight w:val="none"/>
              </w:rPr>
              <w:t>表</w:t>
            </w:r>
            <w:r>
              <w:rPr>
                <w:rFonts w:eastAsiaTheme="minorEastAsia"/>
                <w:b/>
                <w:bCs/>
                <w:color w:val="000000" w:themeColor="text1"/>
                <w:kern w:val="0"/>
                <w:sz w:val="24"/>
                <w:highlight w:val="none"/>
              </w:rPr>
              <w:t>3-</w:t>
            </w:r>
            <w:r>
              <w:rPr>
                <w:rFonts w:hint="eastAsia" w:eastAsiaTheme="minorEastAsia"/>
                <w:b/>
                <w:bCs/>
                <w:color w:val="000000" w:themeColor="text1"/>
                <w:kern w:val="0"/>
                <w:sz w:val="24"/>
                <w:highlight w:val="none"/>
              </w:rPr>
              <w:t>4</w:t>
            </w:r>
            <w:r>
              <w:rPr>
                <w:rFonts w:hAnsiTheme="minorEastAsia" w:eastAsiaTheme="minorEastAsia"/>
                <w:b/>
                <w:bCs/>
                <w:color w:val="000000" w:themeColor="text1"/>
                <w:kern w:val="0"/>
                <w:sz w:val="24"/>
                <w:highlight w:val="none"/>
              </w:rPr>
              <w:t>废气污染物排放标准</w:t>
            </w:r>
          </w:p>
          <w:tbl>
            <w:tblPr>
              <w:tblStyle w:val="24"/>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410"/>
              <w:gridCol w:w="1397"/>
              <w:gridCol w:w="1398"/>
              <w:gridCol w:w="1398"/>
              <w:gridCol w:w="14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463" w:type="dxa"/>
                  <w:vMerge w:val="restart"/>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污染物</w:t>
                  </w:r>
                </w:p>
              </w:tc>
              <w:tc>
                <w:tcPr>
                  <w:tcW w:w="1410" w:type="dxa"/>
                  <w:vMerge w:val="restart"/>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最高允许排</w:t>
                  </w:r>
                </w:p>
                <w:p>
                  <w:pPr>
                    <w:adjustRightInd w:val="0"/>
                    <w:snapToGrid w:val="0"/>
                    <w:jc w:val="center"/>
                    <w:rPr>
                      <w:color w:val="000000" w:themeColor="text1"/>
                      <w:szCs w:val="21"/>
                      <w:highlight w:val="none"/>
                    </w:rPr>
                  </w:pPr>
                  <w:r>
                    <w:rPr>
                      <w:rFonts w:hint="eastAsia"/>
                      <w:color w:val="000000" w:themeColor="text1"/>
                      <w:szCs w:val="21"/>
                      <w:highlight w:val="none"/>
                    </w:rPr>
                    <w:t>放浓度</w:t>
                  </w:r>
                </w:p>
                <w:p>
                  <w:pPr>
                    <w:adjustRightInd w:val="0"/>
                    <w:snapToGrid w:val="0"/>
                    <w:jc w:val="center"/>
                    <w:rPr>
                      <w:color w:val="000000" w:themeColor="text1"/>
                      <w:szCs w:val="21"/>
                      <w:highlight w:val="none"/>
                    </w:rPr>
                  </w:pPr>
                  <w:r>
                    <w:rPr>
                      <w:rFonts w:hint="eastAsia"/>
                      <w:color w:val="000000" w:themeColor="text1"/>
                      <w:szCs w:val="21"/>
                      <w:highlight w:val="none"/>
                    </w:rPr>
                    <w:t>（</w:t>
                  </w:r>
                  <w:r>
                    <w:rPr>
                      <w:color w:val="000000" w:themeColor="text1"/>
                      <w:szCs w:val="21"/>
                      <w:highlight w:val="none"/>
                    </w:rPr>
                    <w:t>mg/m</w:t>
                  </w:r>
                  <w:r>
                    <w:rPr>
                      <w:color w:val="000000" w:themeColor="text1"/>
                      <w:szCs w:val="21"/>
                      <w:highlight w:val="none"/>
                      <w:vertAlign w:val="superscript"/>
                    </w:rPr>
                    <w:t>3</w:t>
                  </w:r>
                  <w:r>
                    <w:rPr>
                      <w:rFonts w:hint="eastAsia"/>
                      <w:color w:val="000000" w:themeColor="text1"/>
                      <w:szCs w:val="21"/>
                      <w:highlight w:val="none"/>
                    </w:rPr>
                    <w:t>）</w:t>
                  </w:r>
                </w:p>
              </w:tc>
              <w:tc>
                <w:tcPr>
                  <w:tcW w:w="2795" w:type="dxa"/>
                  <w:gridSpan w:val="2"/>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最高允许排放速率（</w:t>
                  </w:r>
                  <w:r>
                    <w:rPr>
                      <w:color w:val="000000" w:themeColor="text1"/>
                      <w:szCs w:val="21"/>
                      <w:highlight w:val="none"/>
                    </w:rPr>
                    <w:t>kg/h</w:t>
                  </w:r>
                  <w:r>
                    <w:rPr>
                      <w:rFonts w:hint="eastAsia"/>
                      <w:color w:val="000000" w:themeColor="text1"/>
                      <w:szCs w:val="21"/>
                      <w:highlight w:val="none"/>
                    </w:rPr>
                    <w:t>）</w:t>
                  </w:r>
                </w:p>
              </w:tc>
              <w:tc>
                <w:tcPr>
                  <w:tcW w:w="2807" w:type="dxa"/>
                  <w:gridSpan w:val="2"/>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463" w:type="dxa"/>
                  <w:vMerge w:val="continue"/>
                  <w:tcBorders>
                    <w:tl2br w:val="nil"/>
                    <w:tr2bl w:val="nil"/>
                  </w:tcBorders>
                  <w:vAlign w:val="center"/>
                </w:tcPr>
                <w:p>
                  <w:pPr>
                    <w:adjustRightInd w:val="0"/>
                    <w:snapToGrid w:val="0"/>
                    <w:jc w:val="center"/>
                    <w:rPr>
                      <w:color w:val="000000" w:themeColor="text1"/>
                      <w:szCs w:val="21"/>
                      <w:highlight w:val="none"/>
                    </w:rPr>
                  </w:pPr>
                </w:p>
              </w:tc>
              <w:tc>
                <w:tcPr>
                  <w:tcW w:w="1410" w:type="dxa"/>
                  <w:vMerge w:val="continue"/>
                  <w:tcBorders>
                    <w:tl2br w:val="nil"/>
                    <w:tr2bl w:val="nil"/>
                  </w:tcBorders>
                  <w:vAlign w:val="center"/>
                </w:tcPr>
                <w:p>
                  <w:pPr>
                    <w:adjustRightInd w:val="0"/>
                    <w:snapToGrid w:val="0"/>
                    <w:jc w:val="center"/>
                    <w:rPr>
                      <w:color w:val="000000" w:themeColor="text1"/>
                      <w:szCs w:val="21"/>
                      <w:highlight w:val="none"/>
                    </w:rPr>
                  </w:pPr>
                </w:p>
              </w:tc>
              <w:tc>
                <w:tcPr>
                  <w:tcW w:w="1397"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排气筒</w:t>
                  </w:r>
                </w:p>
              </w:tc>
              <w:tc>
                <w:tcPr>
                  <w:tcW w:w="1398"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二级</w:t>
                  </w:r>
                </w:p>
              </w:tc>
              <w:tc>
                <w:tcPr>
                  <w:tcW w:w="1398"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监控点</w:t>
                  </w:r>
                </w:p>
              </w:tc>
              <w:tc>
                <w:tcPr>
                  <w:tcW w:w="1409"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浓度（</w:t>
                  </w:r>
                  <w:r>
                    <w:rPr>
                      <w:color w:val="000000" w:themeColor="text1"/>
                      <w:szCs w:val="21"/>
                      <w:highlight w:val="none"/>
                    </w:rPr>
                    <w:t>mg/m</w:t>
                  </w:r>
                  <w:r>
                    <w:rPr>
                      <w:rFonts w:hint="eastAsia"/>
                      <w:color w:val="000000" w:themeColor="text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63"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颗粒物</w:t>
                  </w:r>
                </w:p>
              </w:tc>
              <w:tc>
                <w:tcPr>
                  <w:tcW w:w="1410"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120</w:t>
                  </w:r>
                </w:p>
              </w:tc>
              <w:tc>
                <w:tcPr>
                  <w:tcW w:w="1397"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15</w:t>
                  </w:r>
                </w:p>
              </w:tc>
              <w:tc>
                <w:tcPr>
                  <w:tcW w:w="1398"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3.5</w:t>
                  </w:r>
                </w:p>
              </w:tc>
              <w:tc>
                <w:tcPr>
                  <w:tcW w:w="1398"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周围外浓度最高点</w:t>
                  </w:r>
                </w:p>
              </w:tc>
              <w:tc>
                <w:tcPr>
                  <w:tcW w:w="1409" w:type="dxa"/>
                  <w:tcBorders>
                    <w:tl2br w:val="nil"/>
                    <w:tr2bl w:val="nil"/>
                  </w:tcBorders>
                  <w:vAlign w:val="center"/>
                </w:tcPr>
                <w:p>
                  <w:pPr>
                    <w:adjustRightInd w:val="0"/>
                    <w:snapToGrid w:val="0"/>
                    <w:jc w:val="center"/>
                    <w:rPr>
                      <w:color w:val="000000" w:themeColor="text1"/>
                      <w:szCs w:val="21"/>
                      <w:highlight w:val="none"/>
                    </w:rPr>
                  </w:pPr>
                  <w:r>
                    <w:rPr>
                      <w:rFonts w:hint="eastAsia"/>
                      <w:color w:val="000000" w:themeColor="text1"/>
                      <w:szCs w:val="21"/>
                      <w:highlight w:val="none"/>
                    </w:rPr>
                    <w:t>1.0</w:t>
                  </w:r>
                </w:p>
              </w:tc>
            </w:tr>
          </w:tbl>
          <w:p>
            <w:pPr>
              <w:adjustRightInd w:val="0"/>
              <w:snapToGrid w:val="0"/>
              <w:spacing w:line="360" w:lineRule="auto"/>
              <w:ind w:firstLine="482" w:firstLineChars="200"/>
              <w:jc w:val="left"/>
              <w:rPr>
                <w:rFonts w:eastAsiaTheme="minorEastAsia"/>
                <w:b/>
                <w:color w:val="000000" w:themeColor="text1"/>
                <w:kern w:val="0"/>
                <w:sz w:val="24"/>
                <w:highlight w:val="none"/>
              </w:rPr>
            </w:pPr>
            <w:r>
              <w:rPr>
                <w:rFonts w:eastAsiaTheme="minorEastAsia"/>
                <w:b/>
                <w:color w:val="000000" w:themeColor="text1"/>
                <w:kern w:val="0"/>
                <w:sz w:val="24"/>
                <w:highlight w:val="none"/>
              </w:rPr>
              <w:t>2</w:t>
            </w:r>
            <w:r>
              <w:rPr>
                <w:rFonts w:hAnsiTheme="minorEastAsia" w:eastAsiaTheme="minorEastAsia"/>
                <w:b/>
                <w:color w:val="000000" w:themeColor="text1"/>
                <w:kern w:val="0"/>
                <w:sz w:val="24"/>
                <w:highlight w:val="none"/>
              </w:rPr>
              <w:t>、噪声</w:t>
            </w:r>
          </w:p>
          <w:p>
            <w:pPr>
              <w:wordWrap w:val="0"/>
              <w:spacing w:line="360" w:lineRule="auto"/>
              <w:ind w:firstLine="482"/>
              <w:rPr>
                <w:rFonts w:hAnsiTheme="minorEastAsia" w:eastAsiaTheme="minorEastAsia"/>
                <w:bCs/>
                <w:color w:val="000000" w:themeColor="text1"/>
                <w:kern w:val="0"/>
                <w:sz w:val="24"/>
                <w:highlight w:val="none"/>
              </w:rPr>
            </w:pPr>
            <w:r>
              <w:rPr>
                <w:bCs/>
                <w:color w:val="000000" w:themeColor="text1"/>
                <w:sz w:val="24"/>
                <w:highlight w:val="none"/>
              </w:rPr>
              <w:t>本项目施工期噪声执行《建筑施工场界环境噪声排放标准》（GB12523-2011）表1标准；</w:t>
            </w:r>
            <w:r>
              <w:rPr>
                <w:color w:val="000000" w:themeColor="text1"/>
                <w:sz w:val="24"/>
                <w:highlight w:val="none"/>
              </w:rPr>
              <w:t>运营期厂界噪声执行</w:t>
            </w:r>
            <w:bookmarkStart w:id="11" w:name="OLE_LINK65"/>
            <w:r>
              <w:rPr>
                <w:color w:val="000000" w:themeColor="text1"/>
                <w:sz w:val="24"/>
                <w:highlight w:val="none"/>
              </w:rPr>
              <w:t>《工业企业厂界环境噪声排放标准》（GB12348-2008）表1中2类声环境功能区标准</w:t>
            </w:r>
            <w:bookmarkEnd w:id="11"/>
            <w:r>
              <w:rPr>
                <w:color w:val="000000" w:themeColor="text1"/>
                <w:sz w:val="24"/>
                <w:highlight w:val="none"/>
              </w:rPr>
              <w:t>。</w:t>
            </w:r>
            <w:r>
              <w:rPr>
                <w:rFonts w:hAnsiTheme="minorEastAsia" w:eastAsiaTheme="minorEastAsia"/>
                <w:bCs/>
                <w:color w:val="000000" w:themeColor="text1"/>
                <w:kern w:val="0"/>
                <w:sz w:val="24"/>
                <w:highlight w:val="none"/>
              </w:rPr>
              <w:t>具体标准限值见</w:t>
            </w:r>
            <w:r>
              <w:rPr>
                <w:rFonts w:hint="eastAsia" w:hAnsiTheme="minorEastAsia" w:eastAsiaTheme="minorEastAsia"/>
                <w:bCs/>
                <w:color w:val="000000" w:themeColor="text1"/>
                <w:kern w:val="0"/>
                <w:sz w:val="24"/>
                <w:highlight w:val="none"/>
              </w:rPr>
              <w:t>下</w:t>
            </w:r>
            <w:r>
              <w:rPr>
                <w:rFonts w:hAnsiTheme="minorEastAsia" w:eastAsiaTheme="minorEastAsia"/>
                <w:bCs/>
                <w:color w:val="000000" w:themeColor="text1"/>
                <w:kern w:val="0"/>
                <w:sz w:val="24"/>
                <w:highlight w:val="none"/>
              </w:rPr>
              <w:t>表</w:t>
            </w:r>
            <w:r>
              <w:rPr>
                <w:rFonts w:hint="eastAsia" w:hAnsiTheme="minorEastAsia" w:eastAsiaTheme="minorEastAsia"/>
                <w:bCs/>
                <w:color w:val="000000" w:themeColor="text1"/>
                <w:kern w:val="0"/>
                <w:sz w:val="24"/>
                <w:highlight w:val="none"/>
              </w:rPr>
              <w:t>：</w:t>
            </w:r>
          </w:p>
          <w:p>
            <w:pPr>
              <w:adjustRightInd w:val="0"/>
              <w:snapToGrid w:val="0"/>
              <w:spacing w:line="360" w:lineRule="auto"/>
              <w:jc w:val="center"/>
              <w:rPr>
                <w:rFonts w:eastAsiaTheme="minorEastAsia"/>
                <w:b/>
                <w:bCs/>
                <w:color w:val="000000" w:themeColor="text1"/>
                <w:kern w:val="0"/>
                <w:sz w:val="24"/>
                <w:highlight w:val="none"/>
              </w:rPr>
            </w:pPr>
            <w:r>
              <w:rPr>
                <w:rFonts w:hAnsiTheme="minorEastAsia" w:eastAsiaTheme="minorEastAsia"/>
                <w:b/>
                <w:bCs/>
                <w:color w:val="000000" w:themeColor="text1"/>
                <w:kern w:val="0"/>
                <w:sz w:val="24"/>
                <w:highlight w:val="none"/>
              </w:rPr>
              <w:t>表</w:t>
            </w:r>
            <w:r>
              <w:rPr>
                <w:rFonts w:eastAsiaTheme="minorEastAsia"/>
                <w:b/>
                <w:bCs/>
                <w:color w:val="000000" w:themeColor="text1"/>
                <w:kern w:val="0"/>
                <w:sz w:val="24"/>
                <w:highlight w:val="none"/>
              </w:rPr>
              <w:t>3-</w:t>
            </w:r>
            <w:r>
              <w:rPr>
                <w:rFonts w:hint="eastAsia" w:eastAsiaTheme="minorEastAsia"/>
                <w:b/>
                <w:bCs/>
                <w:color w:val="000000" w:themeColor="text1"/>
                <w:kern w:val="0"/>
                <w:sz w:val="24"/>
                <w:highlight w:val="none"/>
              </w:rPr>
              <w:t>5</w:t>
            </w:r>
            <w:r>
              <w:rPr>
                <w:rFonts w:hAnsiTheme="minorEastAsia" w:eastAsiaTheme="minorEastAsia"/>
                <w:b/>
                <w:bCs/>
                <w:color w:val="000000" w:themeColor="text1"/>
                <w:kern w:val="0"/>
                <w:sz w:val="24"/>
                <w:highlight w:val="none"/>
              </w:rPr>
              <w:t>噪声排放标准</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587"/>
              <w:gridCol w:w="2074"/>
              <w:gridCol w:w="1751"/>
              <w:gridCol w:w="17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Align w:val="center"/>
                </w:tcPr>
                <w:p>
                  <w:pPr>
                    <w:adjustRightInd w:val="0"/>
                    <w:snapToGrid w:val="0"/>
                    <w:jc w:val="center"/>
                    <w:rPr>
                      <w:color w:val="000000" w:themeColor="text1"/>
                      <w:szCs w:val="21"/>
                      <w:highlight w:val="none"/>
                    </w:rPr>
                  </w:pPr>
                  <w:r>
                    <w:rPr>
                      <w:color w:val="000000" w:themeColor="text1"/>
                      <w:szCs w:val="21"/>
                      <w:highlight w:val="none"/>
                    </w:rPr>
                    <w:t>时段</w:t>
                  </w:r>
                </w:p>
              </w:tc>
              <w:tc>
                <w:tcPr>
                  <w:tcW w:w="935" w:type="pct"/>
                  <w:vAlign w:val="center"/>
                </w:tcPr>
                <w:p>
                  <w:pPr>
                    <w:adjustRightInd w:val="0"/>
                    <w:snapToGrid w:val="0"/>
                    <w:jc w:val="center"/>
                    <w:rPr>
                      <w:color w:val="000000" w:themeColor="text1"/>
                      <w:szCs w:val="21"/>
                      <w:highlight w:val="none"/>
                    </w:rPr>
                  </w:pPr>
                  <w:r>
                    <w:rPr>
                      <w:color w:val="000000" w:themeColor="text1"/>
                      <w:szCs w:val="21"/>
                      <w:highlight w:val="none"/>
                    </w:rPr>
                    <w:t>位置</w:t>
                  </w:r>
                </w:p>
              </w:tc>
              <w:tc>
                <w:tcPr>
                  <w:tcW w:w="1222" w:type="pct"/>
                  <w:vAlign w:val="center"/>
                </w:tcPr>
                <w:p>
                  <w:pPr>
                    <w:adjustRightInd w:val="0"/>
                    <w:snapToGrid w:val="0"/>
                    <w:jc w:val="center"/>
                    <w:rPr>
                      <w:color w:val="000000" w:themeColor="text1"/>
                      <w:szCs w:val="21"/>
                      <w:highlight w:val="none"/>
                    </w:rPr>
                  </w:pPr>
                  <w:r>
                    <w:rPr>
                      <w:color w:val="000000" w:themeColor="text1"/>
                      <w:szCs w:val="21"/>
                      <w:highlight w:val="none"/>
                    </w:rPr>
                    <w:t>单位</w:t>
                  </w:r>
                </w:p>
              </w:tc>
              <w:tc>
                <w:tcPr>
                  <w:tcW w:w="1032" w:type="pct"/>
                  <w:vAlign w:val="center"/>
                </w:tcPr>
                <w:p>
                  <w:pPr>
                    <w:adjustRightInd w:val="0"/>
                    <w:snapToGrid w:val="0"/>
                    <w:jc w:val="center"/>
                    <w:rPr>
                      <w:color w:val="000000" w:themeColor="text1"/>
                      <w:szCs w:val="21"/>
                      <w:highlight w:val="none"/>
                    </w:rPr>
                  </w:pPr>
                  <w:r>
                    <w:rPr>
                      <w:color w:val="000000" w:themeColor="text1"/>
                      <w:szCs w:val="21"/>
                      <w:highlight w:val="none"/>
                    </w:rPr>
                    <w:t>昼间</w:t>
                  </w:r>
                </w:p>
              </w:tc>
              <w:tc>
                <w:tcPr>
                  <w:tcW w:w="1032" w:type="pct"/>
                  <w:vAlign w:val="center"/>
                </w:tcPr>
                <w:p>
                  <w:pPr>
                    <w:adjustRightInd w:val="0"/>
                    <w:snapToGrid w:val="0"/>
                    <w:jc w:val="center"/>
                    <w:rPr>
                      <w:color w:val="000000" w:themeColor="text1"/>
                      <w:szCs w:val="21"/>
                      <w:highlight w:val="none"/>
                    </w:rPr>
                  </w:pPr>
                  <w:r>
                    <w:rPr>
                      <w:color w:val="000000" w:themeColor="text1"/>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Align w:val="center"/>
                </w:tcPr>
                <w:p>
                  <w:pPr>
                    <w:adjustRightInd w:val="0"/>
                    <w:snapToGrid w:val="0"/>
                    <w:jc w:val="center"/>
                    <w:rPr>
                      <w:color w:val="000000" w:themeColor="text1"/>
                      <w:szCs w:val="21"/>
                      <w:highlight w:val="none"/>
                    </w:rPr>
                  </w:pPr>
                  <w:r>
                    <w:rPr>
                      <w:color w:val="000000" w:themeColor="text1"/>
                      <w:szCs w:val="21"/>
                      <w:highlight w:val="none"/>
                    </w:rPr>
                    <w:t>施工期</w:t>
                  </w:r>
                </w:p>
              </w:tc>
              <w:tc>
                <w:tcPr>
                  <w:tcW w:w="935" w:type="pct"/>
                  <w:vAlign w:val="center"/>
                </w:tcPr>
                <w:p>
                  <w:pPr>
                    <w:adjustRightInd w:val="0"/>
                    <w:snapToGrid w:val="0"/>
                    <w:jc w:val="center"/>
                    <w:rPr>
                      <w:color w:val="000000" w:themeColor="text1"/>
                      <w:szCs w:val="21"/>
                      <w:highlight w:val="none"/>
                    </w:rPr>
                  </w:pPr>
                  <w:r>
                    <w:rPr>
                      <w:color w:val="000000" w:themeColor="text1"/>
                      <w:szCs w:val="21"/>
                      <w:highlight w:val="none"/>
                    </w:rPr>
                    <w:t>厂界四周</w:t>
                  </w:r>
                </w:p>
              </w:tc>
              <w:tc>
                <w:tcPr>
                  <w:tcW w:w="1222" w:type="pct"/>
                  <w:vAlign w:val="center"/>
                </w:tcPr>
                <w:p>
                  <w:pPr>
                    <w:adjustRightInd w:val="0"/>
                    <w:snapToGrid w:val="0"/>
                    <w:jc w:val="center"/>
                    <w:rPr>
                      <w:color w:val="000000" w:themeColor="text1"/>
                      <w:szCs w:val="21"/>
                      <w:highlight w:val="none"/>
                    </w:rPr>
                  </w:pPr>
                  <w:r>
                    <w:rPr>
                      <w:color w:val="000000" w:themeColor="text1"/>
                      <w:szCs w:val="21"/>
                      <w:highlight w:val="none"/>
                    </w:rPr>
                    <w:t>dB(A)</w:t>
                  </w:r>
                </w:p>
              </w:tc>
              <w:tc>
                <w:tcPr>
                  <w:tcW w:w="1032" w:type="pct"/>
                  <w:vAlign w:val="center"/>
                </w:tcPr>
                <w:p>
                  <w:pPr>
                    <w:adjustRightInd w:val="0"/>
                    <w:snapToGrid w:val="0"/>
                    <w:jc w:val="center"/>
                    <w:rPr>
                      <w:color w:val="000000" w:themeColor="text1"/>
                      <w:szCs w:val="21"/>
                      <w:highlight w:val="none"/>
                    </w:rPr>
                  </w:pPr>
                  <w:r>
                    <w:rPr>
                      <w:color w:val="000000" w:themeColor="text1"/>
                      <w:szCs w:val="21"/>
                      <w:highlight w:val="none"/>
                    </w:rPr>
                    <w:t>70</w:t>
                  </w:r>
                </w:p>
              </w:tc>
              <w:tc>
                <w:tcPr>
                  <w:tcW w:w="1032" w:type="pct"/>
                  <w:vAlign w:val="center"/>
                </w:tcPr>
                <w:p>
                  <w:pPr>
                    <w:adjustRightInd w:val="0"/>
                    <w:snapToGrid w:val="0"/>
                    <w:jc w:val="center"/>
                    <w:rPr>
                      <w:color w:val="000000" w:themeColor="text1"/>
                      <w:szCs w:val="21"/>
                      <w:highlight w:val="none"/>
                    </w:rPr>
                  </w:pPr>
                  <w:r>
                    <w:rPr>
                      <w:color w:val="000000" w:themeColor="text1"/>
                      <w:szCs w:val="21"/>
                      <w:highlight w:val="none"/>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79" w:type="pct"/>
                  <w:vAlign w:val="center"/>
                </w:tcPr>
                <w:p>
                  <w:pPr>
                    <w:adjustRightInd w:val="0"/>
                    <w:snapToGrid w:val="0"/>
                    <w:jc w:val="center"/>
                    <w:rPr>
                      <w:color w:val="000000" w:themeColor="text1"/>
                      <w:szCs w:val="21"/>
                      <w:highlight w:val="none"/>
                    </w:rPr>
                  </w:pPr>
                  <w:r>
                    <w:rPr>
                      <w:color w:val="000000" w:themeColor="text1"/>
                      <w:szCs w:val="21"/>
                      <w:highlight w:val="none"/>
                    </w:rPr>
                    <w:t>营运期</w:t>
                  </w:r>
                </w:p>
              </w:tc>
              <w:tc>
                <w:tcPr>
                  <w:tcW w:w="935" w:type="pct"/>
                  <w:vAlign w:val="center"/>
                </w:tcPr>
                <w:p>
                  <w:pPr>
                    <w:adjustRightInd w:val="0"/>
                    <w:snapToGrid w:val="0"/>
                    <w:jc w:val="center"/>
                    <w:rPr>
                      <w:color w:val="000000" w:themeColor="text1"/>
                      <w:szCs w:val="21"/>
                      <w:highlight w:val="none"/>
                    </w:rPr>
                  </w:pPr>
                  <w:r>
                    <w:rPr>
                      <w:color w:val="000000" w:themeColor="text1"/>
                      <w:szCs w:val="21"/>
                      <w:highlight w:val="none"/>
                    </w:rPr>
                    <w:t>厂界</w:t>
                  </w:r>
                </w:p>
              </w:tc>
              <w:tc>
                <w:tcPr>
                  <w:tcW w:w="1222" w:type="pct"/>
                  <w:vAlign w:val="center"/>
                </w:tcPr>
                <w:p>
                  <w:pPr>
                    <w:jc w:val="center"/>
                    <w:rPr>
                      <w:color w:val="000000" w:themeColor="text1"/>
                      <w:szCs w:val="21"/>
                      <w:highlight w:val="none"/>
                    </w:rPr>
                  </w:pPr>
                  <w:r>
                    <w:rPr>
                      <w:color w:val="000000" w:themeColor="text1"/>
                      <w:szCs w:val="21"/>
                      <w:highlight w:val="none"/>
                    </w:rPr>
                    <w:t>dB(A)</w:t>
                  </w:r>
                </w:p>
              </w:tc>
              <w:tc>
                <w:tcPr>
                  <w:tcW w:w="1032" w:type="pct"/>
                  <w:vAlign w:val="center"/>
                </w:tcPr>
                <w:p>
                  <w:pPr>
                    <w:adjustRightInd w:val="0"/>
                    <w:snapToGrid w:val="0"/>
                    <w:jc w:val="center"/>
                    <w:rPr>
                      <w:color w:val="000000" w:themeColor="text1"/>
                      <w:szCs w:val="21"/>
                      <w:highlight w:val="none"/>
                    </w:rPr>
                  </w:pPr>
                  <w:r>
                    <w:rPr>
                      <w:color w:val="000000" w:themeColor="text1"/>
                      <w:szCs w:val="21"/>
                      <w:highlight w:val="none"/>
                    </w:rPr>
                    <w:t>60</w:t>
                  </w:r>
                </w:p>
              </w:tc>
              <w:tc>
                <w:tcPr>
                  <w:tcW w:w="1032" w:type="pct"/>
                  <w:vAlign w:val="center"/>
                </w:tcPr>
                <w:p>
                  <w:pPr>
                    <w:adjustRightInd w:val="0"/>
                    <w:snapToGrid w:val="0"/>
                    <w:jc w:val="center"/>
                    <w:rPr>
                      <w:color w:val="000000" w:themeColor="text1"/>
                      <w:szCs w:val="21"/>
                      <w:highlight w:val="none"/>
                    </w:rPr>
                  </w:pPr>
                  <w:r>
                    <w:rPr>
                      <w:color w:val="000000" w:themeColor="text1"/>
                      <w:szCs w:val="21"/>
                      <w:highlight w:val="none"/>
                    </w:rPr>
                    <w:t>50</w:t>
                  </w:r>
                </w:p>
              </w:tc>
            </w:tr>
          </w:tbl>
          <w:p>
            <w:pPr>
              <w:spacing w:line="360" w:lineRule="auto"/>
              <w:ind w:firstLine="482" w:firstLineChars="200"/>
              <w:contextualSpacing/>
              <w:rPr>
                <w:rFonts w:eastAsiaTheme="minorEastAsia"/>
                <w:b/>
                <w:color w:val="000000" w:themeColor="text1"/>
                <w:sz w:val="24"/>
                <w:highlight w:val="none"/>
              </w:rPr>
            </w:pPr>
            <w:r>
              <w:rPr>
                <w:rFonts w:eastAsiaTheme="minorEastAsia"/>
                <w:b/>
                <w:color w:val="000000" w:themeColor="text1"/>
                <w:sz w:val="24"/>
                <w:highlight w:val="none"/>
              </w:rPr>
              <w:t>3</w:t>
            </w:r>
            <w:r>
              <w:rPr>
                <w:rFonts w:hAnsiTheme="minorEastAsia" w:eastAsiaTheme="minorEastAsia"/>
                <w:b/>
                <w:color w:val="000000" w:themeColor="text1"/>
                <w:sz w:val="24"/>
                <w:highlight w:val="none"/>
              </w:rPr>
              <w:t>、固体废物</w:t>
            </w:r>
          </w:p>
          <w:p>
            <w:pPr>
              <w:wordWrap w:val="0"/>
              <w:adjustRightInd w:val="0"/>
              <w:snapToGrid w:val="0"/>
              <w:spacing w:line="360" w:lineRule="auto"/>
              <w:ind w:firstLine="480" w:firstLineChars="200"/>
              <w:rPr>
                <w:rFonts w:hAnsiTheme="minorEastAsia" w:eastAsiaTheme="minorEastAsia"/>
                <w:color w:val="000000" w:themeColor="text1"/>
                <w:kern w:val="0"/>
                <w:sz w:val="24"/>
                <w:highlight w:val="none"/>
              </w:rPr>
            </w:pPr>
            <w:r>
              <w:rPr>
                <w:rFonts w:hint="eastAsia" w:hAnsiTheme="minorEastAsia" w:eastAsiaTheme="minorEastAsia"/>
                <w:bCs/>
                <w:color w:val="000000" w:themeColor="text1"/>
                <w:kern w:val="0"/>
                <w:sz w:val="24"/>
                <w:highlight w:val="none"/>
              </w:rPr>
              <w:t>运营期项目内产生的一般工业固废应按照《一般工业固体废物贮存和填埋污染控制标准》（</w:t>
            </w:r>
            <w:r>
              <w:rPr>
                <w:rFonts w:hAnsiTheme="minorEastAsia" w:eastAsiaTheme="minorEastAsia"/>
                <w:bCs/>
                <w:color w:val="000000" w:themeColor="text1"/>
                <w:kern w:val="0"/>
                <w:sz w:val="24"/>
                <w:highlight w:val="none"/>
              </w:rPr>
              <w:t>GB18599-2020</w:t>
            </w:r>
            <w:r>
              <w:rPr>
                <w:rFonts w:hint="eastAsia" w:hAnsiTheme="minorEastAsia" w:eastAsiaTheme="minorEastAsia"/>
                <w:bCs/>
                <w:color w:val="000000" w:themeColor="text1"/>
                <w:kern w:val="0"/>
                <w:sz w:val="24"/>
                <w:highlight w:val="none"/>
              </w:rPr>
              <w:t>）要求进行处理处置</w:t>
            </w:r>
            <w:r>
              <w:rPr>
                <w:rFonts w:hint="eastAsia" w:hAnsiTheme="minorEastAsia" w:eastAsiaTheme="minorEastAsia"/>
                <w:bCs/>
                <w:color w:val="000000" w:themeColor="text1"/>
                <w:kern w:val="0"/>
                <w:sz w:val="24"/>
                <w:highlight w:val="none"/>
                <w:lang w:eastAsia="zh-CN"/>
              </w:rPr>
              <w:t>；</w:t>
            </w:r>
            <w:r>
              <w:rPr>
                <w:rFonts w:hint="eastAsia" w:hAnsiTheme="minorEastAsia" w:eastAsiaTheme="minorEastAsia"/>
                <w:bCs/>
                <w:color w:val="000000" w:themeColor="text1"/>
                <w:kern w:val="0"/>
                <w:sz w:val="24"/>
                <w:highlight w:val="none"/>
                <w:lang w:val="en-US" w:eastAsia="zh-CN"/>
              </w:rPr>
              <w:t>固废代码执行《固体废物分类与代码目录》、《一般固体废物分类与代码》（GB/T39198-2020）</w:t>
            </w:r>
            <w:r>
              <w:rPr>
                <w:rFonts w:hint="eastAsia" w:hAnsiTheme="minorEastAsia" w:eastAsiaTheme="minorEastAsia"/>
                <w:bCs/>
                <w:color w:val="000000" w:themeColor="text1"/>
                <w:kern w:val="0"/>
                <w:sz w:val="24"/>
                <w:highlight w:val="none"/>
              </w:rPr>
              <w:t>。项目内产生的危险废物应按照《危险废物贮存污染控制标准》（</w:t>
            </w:r>
            <w:r>
              <w:rPr>
                <w:rFonts w:hAnsiTheme="minorEastAsia" w:eastAsiaTheme="minorEastAsia"/>
                <w:bCs/>
                <w:color w:val="000000" w:themeColor="text1"/>
                <w:kern w:val="0"/>
                <w:sz w:val="24"/>
                <w:highlight w:val="none"/>
              </w:rPr>
              <w:t>GB18597-2023</w:t>
            </w:r>
            <w:r>
              <w:rPr>
                <w:rFonts w:hint="eastAsia" w:hAnsiTheme="minorEastAsia" w:eastAsiaTheme="minorEastAsia"/>
                <w:bCs/>
                <w:color w:val="000000" w:themeColor="text1"/>
                <w:kern w:val="0"/>
                <w:sz w:val="24"/>
                <w:highlight w:val="none"/>
              </w:rPr>
              <w:t>）要求进行处理处置，危险废物识别标志按照《危险废物识别标志设置技术规范》（</w:t>
            </w:r>
            <w:r>
              <w:rPr>
                <w:rFonts w:hAnsiTheme="minorEastAsia" w:eastAsiaTheme="minorEastAsia"/>
                <w:bCs/>
                <w:color w:val="000000" w:themeColor="text1"/>
                <w:kern w:val="0"/>
                <w:sz w:val="24"/>
                <w:highlight w:val="none"/>
              </w:rPr>
              <w:t>HJ1276</w:t>
            </w:r>
            <w:r>
              <w:rPr>
                <w:rFonts w:hint="eastAsia" w:hAnsiTheme="minorEastAsia" w:eastAsiaTheme="minorEastAsia"/>
                <w:bCs/>
                <w:color w:val="000000" w:themeColor="text1"/>
                <w:kern w:val="0"/>
                <w:sz w:val="24"/>
                <w:highlight w:val="none"/>
              </w:rPr>
              <w:t>-</w:t>
            </w:r>
            <w:r>
              <w:rPr>
                <w:rFonts w:hAnsiTheme="minorEastAsia" w:eastAsiaTheme="minorEastAsia"/>
                <w:bCs/>
                <w:color w:val="000000" w:themeColor="text1"/>
                <w:kern w:val="0"/>
                <w:sz w:val="24"/>
                <w:highlight w:val="none"/>
              </w:rPr>
              <w:t>2022</w:t>
            </w:r>
            <w:r>
              <w:rPr>
                <w:rFonts w:hint="eastAsia" w:hAnsiTheme="minorEastAsia" w:eastAsiaTheme="minorEastAsia"/>
                <w:bCs/>
                <w:color w:val="000000" w:themeColor="text1"/>
                <w:kern w:val="0"/>
                <w:sz w:val="24"/>
                <w:highlight w:val="none"/>
              </w:rPr>
              <w:t>）要求进行设置。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4" w:hRule="atLeast"/>
          <w:jc w:val="center"/>
        </w:trPr>
        <w:tc>
          <w:tcPr>
            <w:tcW w:w="996" w:type="dxa"/>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总量</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控制</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指标</w:t>
            </w:r>
          </w:p>
        </w:tc>
        <w:tc>
          <w:tcPr>
            <w:tcW w:w="8329" w:type="dxa"/>
            <w:vAlign w:val="center"/>
          </w:tcPr>
          <w:p>
            <w:pPr>
              <w:wordWrap w:val="0"/>
              <w:spacing w:line="360" w:lineRule="auto"/>
              <w:ind w:firstLine="480" w:firstLineChars="200"/>
              <w:contextualSpacing/>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本项目总量控制指标见表3-</w:t>
            </w:r>
            <w:r>
              <w:rPr>
                <w:rFonts w:hint="eastAsia" w:hAnsiTheme="minorEastAsia" w:eastAsiaTheme="minorEastAsia"/>
                <w:color w:val="000000" w:themeColor="text1"/>
                <w:sz w:val="24"/>
                <w:highlight w:val="none"/>
              </w:rPr>
              <w:t>6</w:t>
            </w:r>
            <w:r>
              <w:rPr>
                <w:rFonts w:hAnsiTheme="minorEastAsia" w:eastAsiaTheme="minorEastAsia"/>
                <w:color w:val="000000" w:themeColor="text1"/>
                <w:sz w:val="24"/>
                <w:highlight w:val="none"/>
              </w:rPr>
              <w:t>。</w:t>
            </w:r>
          </w:p>
          <w:p>
            <w:pPr>
              <w:adjustRightInd w:val="0"/>
              <w:snapToGrid w:val="0"/>
              <w:spacing w:line="360" w:lineRule="auto"/>
              <w:jc w:val="center"/>
              <w:rPr>
                <w:rFonts w:hAnsiTheme="minorEastAsia" w:eastAsiaTheme="minorEastAsia"/>
                <w:b/>
                <w:bCs/>
                <w:color w:val="000000" w:themeColor="text1"/>
                <w:kern w:val="0"/>
                <w:sz w:val="24"/>
                <w:highlight w:val="none"/>
              </w:rPr>
            </w:pPr>
            <w:r>
              <w:rPr>
                <w:rFonts w:hAnsiTheme="minorEastAsia" w:eastAsiaTheme="minorEastAsia"/>
                <w:b/>
                <w:bCs/>
                <w:color w:val="000000" w:themeColor="text1"/>
                <w:kern w:val="0"/>
                <w:sz w:val="24"/>
                <w:highlight w:val="none"/>
              </w:rPr>
              <w:t>表3-</w:t>
            </w:r>
            <w:r>
              <w:rPr>
                <w:rFonts w:hint="eastAsia" w:hAnsiTheme="minorEastAsia" w:eastAsiaTheme="minorEastAsia"/>
                <w:b/>
                <w:bCs/>
                <w:color w:val="000000" w:themeColor="text1"/>
                <w:kern w:val="0"/>
                <w:sz w:val="24"/>
                <w:highlight w:val="none"/>
              </w:rPr>
              <w:t>6</w:t>
            </w:r>
            <w:r>
              <w:rPr>
                <w:rFonts w:hAnsiTheme="minorEastAsia" w:eastAsiaTheme="minorEastAsia"/>
                <w:b/>
                <w:bCs/>
                <w:color w:val="000000" w:themeColor="text1"/>
                <w:kern w:val="0"/>
                <w:sz w:val="24"/>
                <w:highlight w:val="none"/>
              </w:rPr>
              <w:t>总量控制指标表</w:t>
            </w:r>
          </w:p>
          <w:tbl>
            <w:tblPr>
              <w:tblStyle w:val="23"/>
              <w:tblW w:w="4971"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205"/>
              <w:gridCol w:w="2177"/>
              <w:gridCol w:w="205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492" w:type="pct"/>
                  <w:vAlign w:val="center"/>
                </w:tcPr>
                <w:p>
                  <w:pPr>
                    <w:adjustRightInd w:val="0"/>
                    <w:snapToGrid w:val="0"/>
                    <w:jc w:val="center"/>
                    <w:rPr>
                      <w:color w:val="000000" w:themeColor="text1"/>
                      <w:highlight w:val="none"/>
                    </w:rPr>
                  </w:pPr>
                  <w:r>
                    <w:rPr>
                      <w:color w:val="000000" w:themeColor="text1"/>
                      <w:highlight w:val="none"/>
                    </w:rPr>
                    <w:t>总量控制指标</w:t>
                  </w:r>
                </w:p>
              </w:tc>
              <w:tc>
                <w:tcPr>
                  <w:tcW w:w="1290" w:type="pct"/>
                  <w:tcBorders>
                    <w:right w:val="single" w:color="auto" w:sz="4" w:space="0"/>
                  </w:tcBorders>
                  <w:vAlign w:val="center"/>
                </w:tcPr>
                <w:p>
                  <w:pPr>
                    <w:adjustRightInd w:val="0"/>
                    <w:snapToGrid w:val="0"/>
                    <w:jc w:val="center"/>
                    <w:rPr>
                      <w:color w:val="000000" w:themeColor="text1"/>
                      <w:highlight w:val="none"/>
                    </w:rPr>
                  </w:pPr>
                  <w:r>
                    <w:rPr>
                      <w:color w:val="000000" w:themeColor="text1"/>
                      <w:highlight w:val="none"/>
                    </w:rPr>
                    <w:t>预测排放量</w:t>
                  </w:r>
                  <w:r>
                    <w:rPr>
                      <w:rFonts w:hint="eastAsia"/>
                      <w:color w:val="000000" w:themeColor="text1"/>
                      <w:highlight w:val="none"/>
                    </w:rPr>
                    <w:t>t/a</w:t>
                  </w:r>
                </w:p>
              </w:tc>
              <w:tc>
                <w:tcPr>
                  <w:tcW w:w="1217" w:type="pct"/>
                  <w:tcBorders>
                    <w:left w:val="single" w:color="auto" w:sz="4" w:space="0"/>
                  </w:tcBorders>
                  <w:vAlign w:val="center"/>
                </w:tcPr>
                <w:p>
                  <w:pPr>
                    <w:adjustRightInd w:val="0"/>
                    <w:snapToGrid w:val="0"/>
                    <w:jc w:val="center"/>
                    <w:rPr>
                      <w:color w:val="000000" w:themeColor="text1"/>
                      <w:highlight w:val="none"/>
                    </w:rPr>
                  </w:pPr>
                  <w:r>
                    <w:rPr>
                      <w:color w:val="000000" w:themeColor="text1"/>
                      <w:highlight w:val="none"/>
                    </w:rPr>
                    <w:t>核定排放总量</w:t>
                  </w:r>
                  <w:r>
                    <w:rPr>
                      <w:rFonts w:hint="eastAsia"/>
                      <w:color w:val="000000" w:themeColor="text1"/>
                      <w:highlight w:val="none"/>
                    </w:rPr>
                    <w:t>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42" w:hRule="atLeast"/>
                <w:jc w:val="center"/>
              </w:trPr>
              <w:tc>
                <w:tcPr>
                  <w:tcW w:w="2492" w:type="pct"/>
                  <w:vAlign w:val="center"/>
                </w:tcPr>
                <w:p>
                  <w:pPr>
                    <w:adjustRightInd w:val="0"/>
                    <w:snapToGrid w:val="0"/>
                    <w:jc w:val="center"/>
                    <w:rPr>
                      <w:color w:val="000000" w:themeColor="text1"/>
                      <w:highlight w:val="none"/>
                    </w:rPr>
                  </w:pPr>
                  <w:r>
                    <w:rPr>
                      <w:rFonts w:hint="eastAsia"/>
                      <w:color w:val="000000" w:themeColor="text1"/>
                      <w:highlight w:val="none"/>
                    </w:rPr>
                    <w:t>颗粒物</w:t>
                  </w:r>
                </w:p>
              </w:tc>
              <w:tc>
                <w:tcPr>
                  <w:tcW w:w="1290" w:type="pct"/>
                  <w:tcBorders>
                    <w:right w:val="single" w:color="auto" w:sz="4" w:space="0"/>
                  </w:tcBorders>
                  <w:vAlign w:val="center"/>
                </w:tcPr>
                <w:p>
                  <w:pPr>
                    <w:adjustRightInd w:val="0"/>
                    <w:snapToGrid w:val="0"/>
                    <w:jc w:val="center"/>
                    <w:rPr>
                      <w:rFonts w:hint="default" w:eastAsiaTheme="minorEastAsia"/>
                      <w:color w:val="000000" w:themeColor="text1"/>
                      <w:highlight w:val="none"/>
                      <w:lang w:val="en-US" w:eastAsia="zh-CN"/>
                    </w:rPr>
                  </w:pPr>
                  <w:r>
                    <w:rPr>
                      <w:rFonts w:hint="eastAsia" w:eastAsiaTheme="minorEastAsia"/>
                      <w:color w:val="000000" w:themeColor="text1"/>
                      <w:szCs w:val="21"/>
                      <w:highlight w:val="none"/>
                    </w:rPr>
                    <w:t>0.</w:t>
                  </w:r>
                  <w:r>
                    <w:rPr>
                      <w:rFonts w:hint="eastAsia" w:eastAsiaTheme="minorEastAsia"/>
                      <w:color w:val="000000" w:themeColor="text1"/>
                      <w:szCs w:val="21"/>
                      <w:highlight w:val="none"/>
                      <w:lang w:val="en-US" w:eastAsia="zh-CN"/>
                    </w:rPr>
                    <w:t>25</w:t>
                  </w:r>
                </w:p>
              </w:tc>
              <w:tc>
                <w:tcPr>
                  <w:tcW w:w="1217" w:type="pct"/>
                  <w:tcBorders>
                    <w:left w:val="single" w:color="auto" w:sz="4" w:space="0"/>
                  </w:tcBorders>
                  <w:vAlign w:val="center"/>
                </w:tcPr>
                <w:p>
                  <w:pPr>
                    <w:adjustRightInd w:val="0"/>
                    <w:snapToGrid w:val="0"/>
                    <w:jc w:val="center"/>
                    <w:rPr>
                      <w:rFonts w:hint="eastAsia" w:eastAsia="宋体"/>
                      <w:color w:val="000000" w:themeColor="text1"/>
                      <w:highlight w:val="none"/>
                      <w:lang w:eastAsia="zh-CN"/>
                    </w:rPr>
                  </w:pPr>
                  <w:r>
                    <w:rPr>
                      <w:rFonts w:hint="eastAsia"/>
                      <w:color w:val="000000" w:themeColor="text1"/>
                      <w:highlight w:val="none"/>
                      <w:lang w:val="en-US" w:eastAsia="zh-CN"/>
                    </w:rPr>
                    <w:t>1</w:t>
                  </w:r>
                  <w:r>
                    <w:rPr>
                      <w:rFonts w:hint="eastAsia"/>
                      <w:color w:val="000000" w:themeColor="text1"/>
                      <w:highlight w:val="none"/>
                    </w:rPr>
                    <w:t>.2</w:t>
                  </w:r>
                  <w:r>
                    <w:rPr>
                      <w:rFonts w:hint="eastAsia"/>
                      <w:color w:val="000000" w:themeColor="text1"/>
                      <w:highlight w:val="none"/>
                      <w:lang w:val="en-US" w:eastAsia="zh-CN"/>
                    </w:rPr>
                    <w:t>4</w:t>
                  </w:r>
                </w:p>
              </w:tc>
            </w:tr>
          </w:tbl>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p>
            <w:pPr>
              <w:pStyle w:val="31"/>
              <w:ind w:left="0" w:firstLine="0" w:firstLineChars="0"/>
              <w:jc w:val="both"/>
              <w:rPr>
                <w:color w:val="000000" w:themeColor="text1"/>
                <w:highlight w:val="none"/>
              </w:rPr>
            </w:pPr>
          </w:p>
        </w:tc>
      </w:tr>
    </w:tbl>
    <w:p>
      <w:pPr>
        <w:pStyle w:val="19"/>
        <w:jc w:val="center"/>
        <w:outlineLvl w:val="0"/>
        <w:rPr>
          <w:rFonts w:ascii="Times New Roman" w:hAnsi="Times New Roman" w:eastAsiaTheme="minorEastAsia"/>
          <w:snapToGrid w:val="0"/>
          <w:color w:val="000000" w:themeColor="text1"/>
          <w:sz w:val="30"/>
          <w:szCs w:val="30"/>
          <w:highlight w:val="none"/>
        </w:rPr>
      </w:pPr>
      <w:r>
        <w:rPr>
          <w:rFonts w:ascii="Times New Roman" w:hAnsi="Times New Roman" w:eastAsiaTheme="minorEastAsia"/>
          <w:snapToGrid w:val="0"/>
          <w:color w:val="000000" w:themeColor="text1"/>
          <w:sz w:val="36"/>
          <w:szCs w:val="36"/>
          <w:highlight w:val="none"/>
        </w:rPr>
        <w:br w:type="page"/>
      </w:r>
      <w:bookmarkStart w:id="12" w:name="_Toc68775755"/>
      <w:r>
        <w:rPr>
          <w:rFonts w:ascii="Times New Roman" w:hAnsiTheme="minorEastAsia" w:eastAsiaTheme="minorEastAsia"/>
          <w:snapToGrid w:val="0"/>
          <w:color w:val="000000" w:themeColor="text1"/>
          <w:sz w:val="30"/>
          <w:szCs w:val="30"/>
          <w:highlight w:val="none"/>
        </w:rPr>
        <w:t>四、主要环境影响和保护措施</w:t>
      </w:r>
      <w:bookmarkEnd w:id="12"/>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635" w:type="dxa"/>
            <w:tcMar>
              <w:left w:w="28" w:type="dxa"/>
              <w:right w:w="28" w:type="dxa"/>
            </w:tcMar>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施工</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期环</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境保</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护措</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施</w:t>
            </w:r>
          </w:p>
        </w:tc>
        <w:tc>
          <w:tcPr>
            <w:tcW w:w="8346" w:type="dxa"/>
            <w:vAlign w:val="center"/>
          </w:tcPr>
          <w:p>
            <w:pPr>
              <w:spacing w:beforeLines="50" w:afterLines="50"/>
              <w:ind w:firstLine="482" w:firstLineChars="200"/>
              <w:rPr>
                <w:b/>
                <w:color w:val="000000" w:themeColor="text1"/>
                <w:sz w:val="24"/>
                <w:highlight w:val="none"/>
              </w:rPr>
            </w:pPr>
            <w:r>
              <w:rPr>
                <w:b/>
                <w:color w:val="000000" w:themeColor="text1"/>
                <w:sz w:val="24"/>
                <w:highlight w:val="none"/>
              </w:rPr>
              <w:t>一、环境空气</w:t>
            </w:r>
          </w:p>
          <w:p>
            <w:pPr>
              <w:wordWrap w:val="0"/>
              <w:adjustRightInd w:val="0"/>
              <w:snapToGrid w:val="0"/>
              <w:spacing w:line="360" w:lineRule="auto"/>
              <w:ind w:firstLine="480" w:firstLineChars="200"/>
              <w:rPr>
                <w:color w:val="000000" w:themeColor="text1"/>
                <w:sz w:val="24"/>
                <w:highlight w:val="none"/>
              </w:rPr>
            </w:pPr>
            <w:r>
              <w:rPr>
                <w:color w:val="000000" w:themeColor="text1"/>
                <w:sz w:val="24"/>
                <w:highlight w:val="none"/>
              </w:rPr>
              <w:t>施工期间产生的粉尘、残土和建筑材料运输时产生的二次扬尘、运输车辆排出的汽车尾气，不仅降低空气质量，而且直接给附近行人带来不便，影响周围环境。因此，施工过程中堆积的残土、对易起尘物料加盖苫布，运输车辆装载不宜过满，需加盖苫布。施工工地必须设置围挡，适时洒水降尘，粉性物料采用封闭车辆运输等措施，防止扬尘对周围环境的污染。挖掘的土方应及时回填或运离，尽量减轻对周围环境的影响。</w:t>
            </w:r>
          </w:p>
          <w:p>
            <w:pPr>
              <w:wordWrap w:val="0"/>
              <w:adjustRightInd w:val="0"/>
              <w:snapToGrid w:val="0"/>
              <w:spacing w:line="360" w:lineRule="auto"/>
              <w:ind w:firstLine="480" w:firstLineChars="200"/>
              <w:rPr>
                <w:bCs/>
                <w:color w:val="000000" w:themeColor="text1"/>
                <w:kern w:val="0"/>
                <w:sz w:val="24"/>
                <w:highlight w:val="none"/>
              </w:rPr>
            </w:pPr>
            <w:r>
              <w:rPr>
                <w:bCs/>
                <w:color w:val="000000" w:themeColor="text1"/>
                <w:kern w:val="0"/>
                <w:sz w:val="24"/>
                <w:highlight w:val="none"/>
              </w:rPr>
              <w:t>施工场地周围外浓度最高点满足《大气污染物综合排放标准》（GB16297-1996）表2无组织排放标准。</w:t>
            </w:r>
          </w:p>
          <w:p>
            <w:pPr>
              <w:wordWrap w:val="0"/>
              <w:adjustRightInd w:val="0"/>
              <w:snapToGrid w:val="0"/>
              <w:spacing w:line="360" w:lineRule="auto"/>
              <w:ind w:firstLine="480" w:firstLineChars="200"/>
              <w:rPr>
                <w:color w:val="000000" w:themeColor="text1"/>
                <w:sz w:val="24"/>
                <w:highlight w:val="none"/>
              </w:rPr>
            </w:pPr>
            <w:r>
              <w:rPr>
                <w:color w:val="000000" w:themeColor="text1"/>
                <w:sz w:val="24"/>
                <w:highlight w:val="none"/>
              </w:rPr>
              <w:t>只要建设单位加强管理，切实落实好以上措施，就能大大降低施工扬尘产生量，不会对周围环境空气质量产生明显污染影响。</w:t>
            </w:r>
          </w:p>
          <w:p>
            <w:pPr>
              <w:spacing w:beforeLines="50" w:afterLines="50"/>
              <w:ind w:firstLine="482" w:firstLineChars="200"/>
              <w:rPr>
                <w:b/>
                <w:color w:val="000000" w:themeColor="text1"/>
                <w:sz w:val="24"/>
                <w:highlight w:val="none"/>
              </w:rPr>
            </w:pPr>
            <w:r>
              <w:rPr>
                <w:b/>
                <w:color w:val="000000" w:themeColor="text1"/>
                <w:sz w:val="24"/>
                <w:highlight w:val="none"/>
              </w:rPr>
              <w:t>二、废水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highlight w:val="none"/>
              </w:rPr>
            </w:pPr>
            <w:r>
              <w:rPr>
                <w:rFonts w:hint="eastAsia"/>
                <w:color w:val="000000" w:themeColor="text1"/>
                <w:sz w:val="24"/>
                <w:highlight w:val="none"/>
              </w:rPr>
              <w:t>施工期的废水主要为施工人员的生活污水和施工废水。施工人员30人，生</w:t>
            </w:r>
            <w:r>
              <w:rPr>
                <w:rFonts w:hint="eastAsia"/>
                <w:color w:val="000000" w:themeColor="text1"/>
                <w:sz w:val="24"/>
                <w:highlight w:val="none"/>
                <w:lang w:eastAsia="zh-CN"/>
              </w:rPr>
              <w:t>活</w:t>
            </w:r>
            <w:r>
              <w:rPr>
                <w:rFonts w:hint="eastAsia"/>
                <w:color w:val="000000" w:themeColor="text1"/>
                <w:sz w:val="24"/>
                <w:highlight w:val="none"/>
              </w:rPr>
              <w:t>污水约为1.2t/d，生活污水依托</w:t>
            </w:r>
            <w:r>
              <w:rPr>
                <w:rFonts w:hint="eastAsia"/>
                <w:color w:val="000000" w:themeColor="text1"/>
                <w:sz w:val="24"/>
                <w:highlight w:val="none"/>
                <w:lang w:val="en-US" w:eastAsia="zh-CN"/>
              </w:rPr>
              <w:t>垃圾填埋场防渗旱厕</w:t>
            </w:r>
            <w:r>
              <w:rPr>
                <w:rFonts w:hint="eastAsia"/>
                <w:color w:val="000000" w:themeColor="text1"/>
                <w:sz w:val="24"/>
                <w:highlight w:val="none"/>
              </w:rPr>
              <w:t>。施工废水产生量约为0.5t/d，经沉淀池沉淀后用于厂区降尘，不外排</w:t>
            </w:r>
            <w:r>
              <w:rPr>
                <w:color w:val="000000" w:themeColor="text1"/>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color w:val="000000" w:themeColor="text1"/>
                <w:sz w:val="24"/>
                <w:highlight w:val="none"/>
              </w:rPr>
            </w:pPr>
            <w:r>
              <w:rPr>
                <w:b/>
                <w:color w:val="000000" w:themeColor="text1"/>
                <w:sz w:val="24"/>
                <w:highlight w:val="none"/>
              </w:rPr>
              <w:t>三、噪声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highlight w:val="none"/>
              </w:rPr>
            </w:pPr>
            <w:r>
              <w:rPr>
                <w:color w:val="000000" w:themeColor="text1"/>
                <w:sz w:val="24"/>
                <w:highlight w:val="none"/>
              </w:rPr>
              <w:t>施工期间噪声主要来源于施工现场的各类机械设备和物料运输的交通噪声。在5米范围内一般为70</w:t>
            </w:r>
            <w:r>
              <w:rPr>
                <w:rFonts w:hint="eastAsia"/>
                <w:color w:val="000000" w:themeColor="text1"/>
                <w:sz w:val="24"/>
                <w:highlight w:val="none"/>
              </w:rPr>
              <w:t>-</w:t>
            </w:r>
            <w:r>
              <w:rPr>
                <w:color w:val="000000" w:themeColor="text1"/>
                <w:sz w:val="24"/>
                <w:highlight w:val="none"/>
              </w:rPr>
              <w:t>90dB(A)。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highlight w:val="none"/>
              </w:rPr>
            </w:pPr>
            <w:r>
              <w:rPr>
                <w:color w:val="000000" w:themeColor="text1"/>
                <w:sz w:val="24"/>
                <w:highlight w:val="none"/>
              </w:rPr>
              <w:t>（1）合理安排施工时间，严禁夜间施工。</w:t>
            </w:r>
          </w:p>
          <w:p>
            <w:pPr>
              <w:spacing w:line="360" w:lineRule="auto"/>
              <w:ind w:firstLine="480" w:firstLineChars="200"/>
              <w:rPr>
                <w:color w:val="000000" w:themeColor="text1"/>
                <w:sz w:val="24"/>
                <w:highlight w:val="none"/>
              </w:rPr>
            </w:pPr>
            <w:r>
              <w:rPr>
                <w:color w:val="000000" w:themeColor="text1"/>
                <w:sz w:val="24"/>
                <w:highlight w:val="none"/>
              </w:rPr>
              <w:t>（2）降低设备声级。设备选型上尽量采用低噪声设备，如以液压机械代替燃油机械，低频振捣器采用高频振捣器等；高噪声、高振动设备采取减振措施；维护不良的设备常因松动部件的振动或消声器的损坏而增加其工作噪声级，因此要对动力机械设备进行定期的维修、养护；闲置不用的设备应立即关闭。</w:t>
            </w:r>
          </w:p>
          <w:p>
            <w:pPr>
              <w:spacing w:line="360" w:lineRule="auto"/>
              <w:ind w:firstLine="480" w:firstLineChars="200"/>
              <w:rPr>
                <w:color w:val="000000" w:themeColor="text1"/>
                <w:sz w:val="24"/>
                <w:highlight w:val="none"/>
              </w:rPr>
            </w:pPr>
            <w:r>
              <w:rPr>
                <w:color w:val="000000" w:themeColor="text1"/>
                <w:sz w:val="24"/>
                <w:highlight w:val="none"/>
              </w:rPr>
              <w:t>（3）降低人为噪声。按照规定操作机械设备，在挡板、支架拆卸过程中，应遵守作业规定，减少碰撞噪声。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highlight w:val="none"/>
              </w:rPr>
            </w:pPr>
            <w:r>
              <w:rPr>
                <w:color w:val="000000" w:themeColor="text1"/>
                <w:sz w:val="24"/>
                <w:highlight w:val="none"/>
              </w:rPr>
              <w:t>选用低噪声施工机械设备，采取减振、隔声措施，夜间禁止施工，场界噪声符合《建筑施工场界环境噪声排放标准》（GB12523-2011）要求。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highlight w:val="none"/>
              </w:rPr>
            </w:pPr>
            <w:r>
              <w:rPr>
                <w:color w:val="000000" w:themeColor="text1"/>
                <w:sz w:val="24"/>
                <w:highlight w:val="none"/>
              </w:rPr>
              <w:t>上述降噪措施都是目前建筑施工单位普遍采用的措施，简单易行，只要施工单位认真执行，就能有效地减缓施工噪声的污染影响。</w:t>
            </w:r>
          </w:p>
          <w:p>
            <w:pPr>
              <w:keepNext w:val="0"/>
              <w:keepLines w:val="0"/>
              <w:pageBreakBefore w:val="0"/>
              <w:kinsoku/>
              <w:wordWrap/>
              <w:overflowPunct/>
              <w:topLinePunct w:val="0"/>
              <w:autoSpaceDE/>
              <w:autoSpaceDN/>
              <w:bidi w:val="0"/>
              <w:spacing w:line="360" w:lineRule="auto"/>
              <w:ind w:firstLine="482" w:firstLineChars="200"/>
              <w:textAlignment w:val="auto"/>
              <w:rPr>
                <w:b/>
                <w:color w:val="000000" w:themeColor="text1"/>
                <w:sz w:val="24"/>
                <w:highlight w:val="none"/>
              </w:rPr>
            </w:pPr>
            <w:r>
              <w:rPr>
                <w:b/>
                <w:color w:val="000000" w:themeColor="text1"/>
                <w:sz w:val="24"/>
                <w:highlight w:val="none"/>
              </w:rPr>
              <w:t>四、固体废物</w:t>
            </w:r>
          </w:p>
          <w:p>
            <w:pPr>
              <w:keepNext w:val="0"/>
              <w:keepLines w:val="0"/>
              <w:pageBreakBefore w:val="0"/>
              <w:kinsoku/>
              <w:wordWrap/>
              <w:overflowPunct/>
              <w:topLinePunct w:val="0"/>
              <w:autoSpaceDE/>
              <w:autoSpaceDN/>
              <w:bidi w:val="0"/>
              <w:spacing w:line="360" w:lineRule="auto"/>
              <w:ind w:firstLine="480" w:firstLineChars="200"/>
              <w:textAlignment w:val="auto"/>
              <w:rPr>
                <w:color w:val="000000" w:themeColor="text1"/>
                <w:sz w:val="24"/>
                <w:highlight w:val="none"/>
              </w:rPr>
            </w:pPr>
            <w:r>
              <w:rPr>
                <w:color w:val="000000" w:themeColor="text1"/>
                <w:sz w:val="24"/>
                <w:highlight w:val="none"/>
              </w:rPr>
              <w:t>施工期固体废物主要为建筑垃圾、施工弃土及施工人员产生的少量生活垃圾。</w:t>
            </w:r>
          </w:p>
          <w:p>
            <w:pPr>
              <w:keepNext w:val="0"/>
              <w:keepLines w:val="0"/>
              <w:pageBreakBefore w:val="0"/>
              <w:kinsoku/>
              <w:wordWrap/>
              <w:overflowPunct/>
              <w:topLinePunct w:val="0"/>
              <w:autoSpaceDE/>
              <w:autoSpaceDN/>
              <w:bidi w:val="0"/>
              <w:spacing w:line="360" w:lineRule="auto"/>
              <w:ind w:firstLine="480" w:firstLineChars="200"/>
              <w:textAlignment w:val="auto"/>
              <w:rPr>
                <w:color w:val="000000" w:themeColor="text1"/>
                <w:sz w:val="24"/>
                <w:highlight w:val="none"/>
              </w:rPr>
            </w:pPr>
            <w:r>
              <w:rPr>
                <w:color w:val="000000" w:themeColor="text1"/>
                <w:sz w:val="24"/>
                <w:highlight w:val="none"/>
              </w:rPr>
              <w:t>（1）施工过程中产生的建筑垃圾及施工弃土应及时清运，运出建筑垃圾应使用苫布遮盖，不得沿街洒落泥土，并按照市政部门批准的地点倾倒。</w:t>
            </w:r>
          </w:p>
          <w:p>
            <w:pPr>
              <w:keepNext w:val="0"/>
              <w:keepLines w:val="0"/>
              <w:pageBreakBefore w:val="0"/>
              <w:kinsoku/>
              <w:wordWrap/>
              <w:overflowPunct/>
              <w:topLinePunct w:val="0"/>
              <w:autoSpaceDE/>
              <w:autoSpaceDN/>
              <w:bidi w:val="0"/>
              <w:spacing w:line="360" w:lineRule="auto"/>
              <w:ind w:firstLine="480" w:firstLineChars="200"/>
              <w:textAlignment w:val="auto"/>
              <w:rPr>
                <w:color w:val="000000" w:themeColor="text1"/>
                <w:sz w:val="24"/>
                <w:highlight w:val="none"/>
              </w:rPr>
            </w:pPr>
            <w:r>
              <w:rPr>
                <w:color w:val="000000" w:themeColor="text1"/>
                <w:sz w:val="24"/>
                <w:highlight w:val="none"/>
              </w:rPr>
              <w:t>（2）施工人员产生的生活垃圾量较少，可设置固定垃圾箱存放，由市政部门统一清运处理，不得随意丢弃。施工期固体废物处置率100%。</w:t>
            </w:r>
          </w:p>
          <w:p>
            <w:pPr>
              <w:pStyle w:val="5"/>
              <w:keepNext w:val="0"/>
              <w:keepLines w:val="0"/>
              <w:pageBreakBefore w:val="0"/>
              <w:kinsoku/>
              <w:wordWrap/>
              <w:overflowPunct/>
              <w:topLinePunct w:val="0"/>
              <w:autoSpaceDE/>
              <w:autoSpaceDN/>
              <w:bidi w:val="0"/>
              <w:adjustRightInd w:val="0"/>
              <w:spacing w:before="0" w:after="0" w:line="360" w:lineRule="auto"/>
              <w:ind w:right="0" w:firstLine="480" w:firstLineChars="200"/>
              <w:textAlignment w:val="auto"/>
              <w:rPr>
                <w:rFonts w:eastAsiaTheme="minorEastAsia"/>
                <w:bCs/>
                <w:color w:val="000000" w:themeColor="text1"/>
                <w:sz w:val="24"/>
                <w:highlight w:val="none"/>
              </w:rPr>
            </w:pPr>
            <w:r>
              <w:rPr>
                <w:color w:val="000000" w:themeColor="text1"/>
                <w:sz w:val="24"/>
                <w:highlight w:val="none"/>
              </w:rPr>
              <w:t>综上所述，施工活动将对项目周围环境产生一定程度的不利影响，主要影响因素是施工扬尘和噪声，在采取相应的防治措施后，其影响程度将大大减轻并局限在一定范围之内，同时绝大多数不利影响将随着工程施工活动的结束而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635" w:type="dxa"/>
            <w:tcMar>
              <w:left w:w="28" w:type="dxa"/>
              <w:right w:w="28" w:type="dxa"/>
            </w:tcMar>
            <w:vAlign w:val="center"/>
          </w:tcPr>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运营</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期环</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境影</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响和</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保护</w:t>
            </w:r>
          </w:p>
          <w:p>
            <w:pPr>
              <w:adjustRightInd w:val="0"/>
              <w:snapToGrid w:val="0"/>
              <w:jc w:val="center"/>
              <w:rPr>
                <w:rFonts w:eastAsiaTheme="minorEastAsia"/>
                <w:color w:val="000000" w:themeColor="text1"/>
                <w:kern w:val="0"/>
                <w:sz w:val="24"/>
                <w:highlight w:val="none"/>
              </w:rPr>
            </w:pPr>
            <w:r>
              <w:rPr>
                <w:rFonts w:hAnsiTheme="minorEastAsia" w:eastAsiaTheme="minorEastAsia"/>
                <w:color w:val="000000" w:themeColor="text1"/>
                <w:kern w:val="0"/>
                <w:sz w:val="24"/>
                <w:highlight w:val="none"/>
              </w:rPr>
              <w:t>措施</w:t>
            </w:r>
          </w:p>
        </w:tc>
        <w:tc>
          <w:tcPr>
            <w:tcW w:w="8346" w:type="dxa"/>
            <w:vAlign w:val="center"/>
          </w:tcPr>
          <w:p>
            <w:pPr>
              <w:spacing w:line="360" w:lineRule="auto"/>
              <w:ind w:firstLine="482" w:firstLineChars="200"/>
              <w:contextualSpacing/>
              <w:rPr>
                <w:rFonts w:eastAsiaTheme="minorEastAsia"/>
                <w:b/>
                <w:bCs/>
                <w:color w:val="000000" w:themeColor="text1"/>
                <w:sz w:val="24"/>
                <w:highlight w:val="none"/>
              </w:rPr>
            </w:pPr>
            <w:r>
              <w:rPr>
                <w:rFonts w:hAnsiTheme="minorEastAsia" w:eastAsiaTheme="minorEastAsia"/>
                <w:b/>
                <w:bCs/>
                <w:color w:val="000000" w:themeColor="text1"/>
                <w:sz w:val="24"/>
                <w:highlight w:val="none"/>
              </w:rPr>
              <w:t>一、废气</w:t>
            </w:r>
          </w:p>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1</w:t>
            </w:r>
            <w:r>
              <w:rPr>
                <w:rFonts w:hAnsiTheme="minorEastAsia" w:eastAsiaTheme="minorEastAsia"/>
                <w:b/>
                <w:bCs/>
                <w:color w:val="000000" w:themeColor="text1"/>
                <w:sz w:val="24"/>
                <w:highlight w:val="none"/>
              </w:rPr>
              <w:t>、废气源强</w:t>
            </w:r>
          </w:p>
          <w:p>
            <w:pPr>
              <w:spacing w:line="360" w:lineRule="auto"/>
              <w:ind w:firstLine="480" w:firstLineChars="200"/>
              <w:contextualSpacing/>
              <w:rPr>
                <w:rFonts w:eastAsiaTheme="minorEastAsia"/>
                <w:bCs/>
                <w:color w:val="000000" w:themeColor="text1"/>
                <w:spacing w:val="-10"/>
                <w:sz w:val="24"/>
                <w:highlight w:val="none"/>
              </w:rPr>
            </w:pPr>
            <w:r>
              <w:rPr>
                <w:rFonts w:hAnsiTheme="minorEastAsia" w:eastAsiaTheme="minorEastAsia"/>
                <w:bCs/>
                <w:color w:val="000000" w:themeColor="text1"/>
                <w:sz w:val="24"/>
                <w:highlight w:val="none"/>
              </w:rPr>
              <w:t>本项目废气主要为</w:t>
            </w:r>
            <w:r>
              <w:rPr>
                <w:rFonts w:hint="eastAsia" w:hAnsiTheme="minorEastAsia" w:eastAsiaTheme="minorEastAsia"/>
                <w:bCs/>
                <w:color w:val="000000" w:themeColor="text1"/>
                <w:sz w:val="24"/>
                <w:highlight w:val="none"/>
              </w:rPr>
              <w:t>生产过程产生的粉尘</w:t>
            </w:r>
            <w:r>
              <w:rPr>
                <w:rFonts w:hAnsiTheme="minorEastAsia" w:eastAsiaTheme="minorEastAsia"/>
                <w:bCs/>
                <w:color w:val="000000" w:themeColor="text1"/>
                <w:sz w:val="24"/>
                <w:highlight w:val="none"/>
              </w:rPr>
              <w:t>。废气污染物排放情况见表4-1。</w:t>
            </w:r>
          </w:p>
          <w:p>
            <w:pPr>
              <w:adjustRightInd w:val="0"/>
              <w:snapToGrid w:val="0"/>
              <w:spacing w:line="360" w:lineRule="auto"/>
              <w:jc w:val="center"/>
              <w:rPr>
                <w:rFonts w:hAnsiTheme="minorEastAsia" w:eastAsiaTheme="minorEastAsia"/>
                <w:b/>
                <w:bCs/>
                <w:color w:val="000000" w:themeColor="text1"/>
                <w:sz w:val="24"/>
                <w:highlight w:val="none"/>
              </w:rPr>
            </w:pPr>
          </w:p>
          <w:p>
            <w:pPr>
              <w:adjustRightInd w:val="0"/>
              <w:snapToGrid w:val="0"/>
              <w:spacing w:line="360" w:lineRule="auto"/>
              <w:jc w:val="center"/>
              <w:rPr>
                <w:rFonts w:hAnsiTheme="minorEastAsia" w:eastAsiaTheme="minorEastAsia"/>
                <w:b/>
                <w:bCs/>
                <w:color w:val="000000" w:themeColor="text1"/>
                <w:sz w:val="24"/>
                <w:highlight w:val="none"/>
              </w:rPr>
            </w:pPr>
          </w:p>
          <w:p>
            <w:pPr>
              <w:adjustRightInd w:val="0"/>
              <w:snapToGrid w:val="0"/>
              <w:spacing w:line="360" w:lineRule="auto"/>
              <w:jc w:val="center"/>
              <w:rPr>
                <w:rFonts w:hAnsiTheme="minorEastAsia" w:eastAsiaTheme="minorEastAsia"/>
                <w:b/>
                <w:bCs/>
                <w:color w:val="000000" w:themeColor="text1"/>
                <w:sz w:val="24"/>
                <w:highlight w:val="none"/>
              </w:rPr>
            </w:pPr>
          </w:p>
          <w:p>
            <w:pPr>
              <w:adjustRightInd w:val="0"/>
              <w:snapToGrid w:val="0"/>
              <w:spacing w:line="360" w:lineRule="auto"/>
              <w:jc w:val="center"/>
              <w:rPr>
                <w:rFonts w:hAnsiTheme="minorEastAsia" w:eastAsiaTheme="minorEastAsia"/>
                <w:b/>
                <w:bCs/>
                <w:color w:val="000000" w:themeColor="text1"/>
                <w:sz w:val="24"/>
                <w:highlight w:val="none"/>
              </w:rPr>
            </w:pPr>
          </w:p>
          <w:p>
            <w:pPr>
              <w:adjustRightInd w:val="0"/>
              <w:snapToGrid w:val="0"/>
              <w:spacing w:line="360" w:lineRule="auto"/>
              <w:jc w:val="center"/>
              <w:rPr>
                <w:rFonts w:hAnsiTheme="minorEastAsia" w:eastAsiaTheme="minorEastAsia"/>
                <w:b/>
                <w:bCs/>
                <w:color w:val="000000" w:themeColor="text1"/>
                <w:sz w:val="24"/>
                <w:highlight w:val="none"/>
              </w:rPr>
            </w:pPr>
          </w:p>
          <w:p>
            <w:pPr>
              <w:adjustRightInd w:val="0"/>
              <w:snapToGrid w:val="0"/>
              <w:spacing w:line="360" w:lineRule="auto"/>
              <w:jc w:val="center"/>
              <w:rPr>
                <w:rFonts w:hAnsiTheme="minorEastAsia" w:eastAsiaTheme="minorEastAsia"/>
                <w:b/>
                <w:bCs/>
                <w:color w:val="000000" w:themeColor="text1"/>
                <w:sz w:val="24"/>
                <w:highlight w:val="none"/>
              </w:rPr>
            </w:pPr>
          </w:p>
          <w:p>
            <w:pPr>
              <w:adjustRightInd w:val="0"/>
              <w:snapToGrid w:val="0"/>
              <w:spacing w:line="360" w:lineRule="auto"/>
              <w:jc w:val="center"/>
              <w:rPr>
                <w:rFonts w:hAnsiTheme="minorEastAsia" w:eastAsiaTheme="minorEastAsia"/>
                <w:b/>
                <w:bCs/>
                <w:color w:val="000000" w:themeColor="text1"/>
                <w:sz w:val="24"/>
                <w:highlight w:val="none"/>
              </w:rPr>
            </w:pPr>
          </w:p>
          <w:p>
            <w:pPr>
              <w:adjustRightInd w:val="0"/>
              <w:snapToGrid w:val="0"/>
              <w:spacing w:line="360" w:lineRule="auto"/>
              <w:jc w:val="center"/>
              <w:rPr>
                <w:rFonts w:hAnsiTheme="minorEastAsia" w:eastAsiaTheme="minorEastAsia"/>
                <w:b/>
                <w:bCs/>
                <w:color w:val="000000" w:themeColor="text1"/>
                <w:sz w:val="24"/>
                <w:highlight w:val="none"/>
              </w:rPr>
            </w:pPr>
          </w:p>
          <w:p>
            <w:pPr>
              <w:adjustRightInd w:val="0"/>
              <w:snapToGrid w:val="0"/>
              <w:spacing w:line="360" w:lineRule="auto"/>
              <w:jc w:val="center"/>
              <w:rPr>
                <w:rFonts w:hAnsiTheme="minorEastAsia" w:eastAsiaTheme="minorEastAsia"/>
                <w:b/>
                <w:bCs/>
                <w:color w:val="000000" w:themeColor="text1"/>
                <w:sz w:val="24"/>
                <w:highlight w:val="none"/>
              </w:rPr>
            </w:pPr>
          </w:p>
          <w:p>
            <w:pPr>
              <w:adjustRightInd w:val="0"/>
              <w:snapToGrid w:val="0"/>
              <w:spacing w:line="360" w:lineRule="auto"/>
              <w:jc w:val="center"/>
              <w:rPr>
                <w:rFonts w:hAnsiTheme="minorEastAsia" w:eastAsiaTheme="minorEastAsia"/>
                <w:b/>
                <w:bCs/>
                <w:color w:val="000000" w:themeColor="text1"/>
                <w:sz w:val="24"/>
                <w:highlight w:val="none"/>
              </w:rPr>
            </w:pPr>
            <w:r>
              <w:rPr>
                <w:rFonts w:hAnsiTheme="minorEastAsia" w:eastAsiaTheme="minorEastAsia"/>
                <w:b/>
                <w:bCs/>
                <w:color w:val="000000" w:themeColor="text1"/>
                <w:sz w:val="24"/>
                <w:highlight w:val="none"/>
              </w:rPr>
              <w:t>表</w:t>
            </w:r>
            <w:r>
              <w:rPr>
                <w:rFonts w:eastAsiaTheme="minorEastAsia"/>
                <w:b/>
                <w:bCs/>
                <w:color w:val="000000" w:themeColor="text1"/>
                <w:sz w:val="24"/>
                <w:highlight w:val="none"/>
              </w:rPr>
              <w:t>4-1</w:t>
            </w:r>
            <w:r>
              <w:rPr>
                <w:rFonts w:hAnsiTheme="minorEastAsia" w:eastAsiaTheme="minorEastAsia"/>
                <w:b/>
                <w:bCs/>
                <w:color w:val="000000" w:themeColor="text1"/>
                <w:sz w:val="24"/>
                <w:highlight w:val="none"/>
              </w:rPr>
              <w:t>废气污染物排放情况一览表</w:t>
            </w:r>
          </w:p>
          <w:tbl>
            <w:tblPr>
              <w:tblStyle w:val="23"/>
              <w:tblW w:w="815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95"/>
              <w:gridCol w:w="376"/>
              <w:gridCol w:w="645"/>
              <w:gridCol w:w="600"/>
              <w:gridCol w:w="435"/>
              <w:gridCol w:w="945"/>
              <w:gridCol w:w="419"/>
              <w:gridCol w:w="509"/>
              <w:gridCol w:w="478"/>
              <w:gridCol w:w="681"/>
              <w:gridCol w:w="675"/>
              <w:gridCol w:w="628"/>
              <w:gridCol w:w="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产排污环节</w:t>
                  </w:r>
                </w:p>
                <w:p>
                  <w:pPr>
                    <w:autoSpaceDE w:val="0"/>
                    <w:autoSpaceDN w:val="0"/>
                    <w:contextualSpacing/>
                    <w:jc w:val="center"/>
                    <w:rPr>
                      <w:color w:val="000000" w:themeColor="text1"/>
                      <w:szCs w:val="21"/>
                      <w:highlight w:val="none"/>
                    </w:rPr>
                  </w:pPr>
                </w:p>
              </w:tc>
              <w:tc>
                <w:tcPr>
                  <w:tcW w:w="303"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污染物</w:t>
                  </w:r>
                </w:p>
                <w:p>
                  <w:pPr>
                    <w:jc w:val="center"/>
                    <w:rPr>
                      <w:color w:val="000000" w:themeColor="text1"/>
                      <w:szCs w:val="21"/>
                      <w:highlight w:val="none"/>
                    </w:rPr>
                  </w:pPr>
                </w:p>
              </w:tc>
              <w:tc>
                <w:tcPr>
                  <w:tcW w:w="230" w:type="pct"/>
                  <w:vMerge w:val="restar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排放方式</w:t>
                  </w:r>
                </w:p>
                <w:p>
                  <w:pPr>
                    <w:autoSpaceDE w:val="0"/>
                    <w:autoSpaceDN w:val="0"/>
                    <w:contextualSpacing/>
                    <w:jc w:val="center"/>
                    <w:rPr>
                      <w:color w:val="000000" w:themeColor="text1"/>
                      <w:szCs w:val="21"/>
                      <w:highlight w:val="none"/>
                    </w:rPr>
                  </w:pPr>
                </w:p>
              </w:tc>
              <w:tc>
                <w:tcPr>
                  <w:tcW w:w="1030" w:type="pct"/>
                  <w:gridSpan w:val="3"/>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污染物产生</w:t>
                  </w:r>
                </w:p>
              </w:tc>
              <w:tc>
                <w:tcPr>
                  <w:tcW w:w="1860" w:type="pct"/>
                  <w:gridSpan w:val="5"/>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治理措施</w:t>
                  </w:r>
                </w:p>
              </w:tc>
              <w:tc>
                <w:tcPr>
                  <w:tcW w:w="1139" w:type="pct"/>
                  <w:gridSpan w:val="3"/>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vMerge w:val="continue"/>
                  <w:noWrap/>
                  <w:vAlign w:val="center"/>
                </w:tcPr>
                <w:p>
                  <w:pPr>
                    <w:autoSpaceDE w:val="0"/>
                    <w:autoSpaceDN w:val="0"/>
                    <w:contextualSpacing/>
                    <w:jc w:val="center"/>
                    <w:rPr>
                      <w:color w:val="000000" w:themeColor="text1"/>
                      <w:szCs w:val="21"/>
                      <w:highlight w:val="none"/>
                    </w:rPr>
                  </w:pPr>
                </w:p>
              </w:tc>
              <w:tc>
                <w:tcPr>
                  <w:tcW w:w="303" w:type="pct"/>
                  <w:vMerge w:val="continue"/>
                  <w:noWrap/>
                  <w:vAlign w:val="center"/>
                </w:tcPr>
                <w:p>
                  <w:pPr>
                    <w:jc w:val="center"/>
                    <w:rPr>
                      <w:color w:val="000000" w:themeColor="text1"/>
                      <w:szCs w:val="21"/>
                      <w:highlight w:val="none"/>
                    </w:rPr>
                  </w:pPr>
                </w:p>
              </w:tc>
              <w:tc>
                <w:tcPr>
                  <w:tcW w:w="230" w:type="pct"/>
                  <w:vMerge w:val="continue"/>
                  <w:noWrap/>
                  <w:vAlign w:val="center"/>
                </w:tcPr>
                <w:p>
                  <w:pPr>
                    <w:autoSpaceDE w:val="0"/>
                    <w:autoSpaceDN w:val="0"/>
                    <w:contextualSpacing/>
                    <w:jc w:val="center"/>
                    <w:rPr>
                      <w:color w:val="000000" w:themeColor="text1"/>
                      <w:szCs w:val="21"/>
                      <w:highlight w:val="none"/>
                    </w:rPr>
                  </w:pPr>
                </w:p>
              </w:tc>
              <w:tc>
                <w:tcPr>
                  <w:tcW w:w="395" w:type="pct"/>
                  <w:noWrap/>
                  <w:vAlign w:val="center"/>
                </w:tcPr>
                <w:p>
                  <w:pPr>
                    <w:jc w:val="center"/>
                    <w:rPr>
                      <w:color w:val="000000" w:themeColor="text1"/>
                      <w:szCs w:val="21"/>
                      <w:highlight w:val="none"/>
                    </w:rPr>
                  </w:pPr>
                  <w:r>
                    <w:rPr>
                      <w:color w:val="000000" w:themeColor="text1"/>
                      <w:szCs w:val="21"/>
                      <w:highlight w:val="none"/>
                    </w:rPr>
                    <w:t>产生</w:t>
                  </w:r>
                </w:p>
                <w:p>
                  <w:pPr>
                    <w:jc w:val="center"/>
                    <w:rPr>
                      <w:color w:val="000000" w:themeColor="text1"/>
                      <w:szCs w:val="21"/>
                      <w:highlight w:val="none"/>
                    </w:rPr>
                  </w:pPr>
                  <w:r>
                    <w:rPr>
                      <w:color w:val="000000" w:themeColor="text1"/>
                      <w:szCs w:val="21"/>
                      <w:highlight w:val="none"/>
                    </w:rPr>
                    <w:t>浓度mg/m</w:t>
                  </w:r>
                  <w:r>
                    <w:rPr>
                      <w:color w:val="000000" w:themeColor="text1"/>
                      <w:szCs w:val="21"/>
                      <w:highlight w:val="none"/>
                      <w:vertAlign w:val="superscript"/>
                    </w:rPr>
                    <w:t>3</w:t>
                  </w:r>
                </w:p>
              </w:tc>
              <w:tc>
                <w:tcPr>
                  <w:tcW w:w="368" w:type="pct"/>
                  <w:noWrap/>
                  <w:vAlign w:val="center"/>
                </w:tcPr>
                <w:p>
                  <w:pPr>
                    <w:jc w:val="center"/>
                    <w:rPr>
                      <w:color w:val="000000" w:themeColor="text1"/>
                      <w:szCs w:val="21"/>
                      <w:highlight w:val="none"/>
                    </w:rPr>
                  </w:pPr>
                  <w:r>
                    <w:rPr>
                      <w:rFonts w:hint="eastAsia"/>
                      <w:color w:val="000000" w:themeColor="text1"/>
                      <w:szCs w:val="21"/>
                      <w:highlight w:val="none"/>
                    </w:rPr>
                    <w:t>产生速率</w:t>
                  </w:r>
                </w:p>
                <w:p>
                  <w:pPr>
                    <w:jc w:val="center"/>
                    <w:rPr>
                      <w:color w:val="000000" w:themeColor="text1"/>
                      <w:szCs w:val="21"/>
                      <w:highlight w:val="none"/>
                    </w:rPr>
                  </w:pPr>
                  <w:r>
                    <w:rPr>
                      <w:rFonts w:hint="eastAsia"/>
                      <w:color w:val="000000" w:themeColor="text1"/>
                      <w:szCs w:val="21"/>
                      <w:highlight w:val="none"/>
                    </w:rPr>
                    <w:t>kg/h</w:t>
                  </w:r>
                </w:p>
              </w:tc>
              <w:tc>
                <w:tcPr>
                  <w:tcW w:w="266" w:type="pct"/>
                  <w:noWrap/>
                  <w:vAlign w:val="center"/>
                </w:tcPr>
                <w:p>
                  <w:pPr>
                    <w:jc w:val="center"/>
                    <w:rPr>
                      <w:color w:val="000000" w:themeColor="text1"/>
                      <w:szCs w:val="21"/>
                      <w:highlight w:val="none"/>
                    </w:rPr>
                  </w:pPr>
                  <w:r>
                    <w:rPr>
                      <w:color w:val="000000" w:themeColor="text1"/>
                      <w:szCs w:val="21"/>
                      <w:highlight w:val="none"/>
                    </w:rPr>
                    <w:t>产生量</w:t>
                  </w:r>
                </w:p>
                <w:p>
                  <w:pPr>
                    <w:jc w:val="center"/>
                    <w:rPr>
                      <w:color w:val="000000" w:themeColor="text1"/>
                      <w:szCs w:val="21"/>
                      <w:highlight w:val="none"/>
                    </w:rPr>
                  </w:pPr>
                  <w:r>
                    <w:rPr>
                      <w:rFonts w:hint="eastAsia"/>
                      <w:color w:val="000000" w:themeColor="text1"/>
                      <w:szCs w:val="21"/>
                      <w:highlight w:val="none"/>
                    </w:rPr>
                    <w:t>t/a</w:t>
                  </w:r>
                </w:p>
              </w:tc>
              <w:tc>
                <w:tcPr>
                  <w:tcW w:w="579"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工艺</w:t>
                  </w:r>
                </w:p>
              </w:tc>
              <w:tc>
                <w:tcPr>
                  <w:tcW w:w="25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收集效率</w:t>
                  </w:r>
                </w:p>
              </w:tc>
              <w:tc>
                <w:tcPr>
                  <w:tcW w:w="312"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处理能力</w:t>
                  </w:r>
                </w:p>
              </w:tc>
              <w:tc>
                <w:tcPr>
                  <w:tcW w:w="293"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去除率</w:t>
                  </w:r>
                </w:p>
              </w:tc>
              <w:tc>
                <w:tcPr>
                  <w:tcW w:w="41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是否为可</w:t>
                  </w:r>
                  <w:r>
                    <w:rPr>
                      <w:rFonts w:hint="eastAsia"/>
                      <w:color w:val="000000" w:themeColor="text1"/>
                      <w:szCs w:val="21"/>
                      <w:highlight w:val="none"/>
                    </w:rPr>
                    <w:t>行</w:t>
                  </w:r>
                  <w:r>
                    <w:rPr>
                      <w:color w:val="000000" w:themeColor="text1"/>
                      <w:szCs w:val="21"/>
                      <w:highlight w:val="none"/>
                    </w:rPr>
                    <w:t>技术</w:t>
                  </w:r>
                </w:p>
              </w:tc>
              <w:tc>
                <w:tcPr>
                  <w:tcW w:w="414" w:type="pct"/>
                  <w:noWrap/>
                  <w:vAlign w:val="center"/>
                </w:tcPr>
                <w:p>
                  <w:pPr>
                    <w:jc w:val="center"/>
                    <w:rPr>
                      <w:color w:val="000000" w:themeColor="text1"/>
                      <w:szCs w:val="21"/>
                      <w:highlight w:val="none"/>
                    </w:rPr>
                  </w:pPr>
                  <w:r>
                    <w:rPr>
                      <w:rFonts w:hint="eastAsia"/>
                      <w:color w:val="000000" w:themeColor="text1"/>
                      <w:szCs w:val="21"/>
                      <w:highlight w:val="none"/>
                    </w:rPr>
                    <w:t>排放</w:t>
                  </w:r>
                </w:p>
                <w:p>
                  <w:pPr>
                    <w:jc w:val="center"/>
                    <w:rPr>
                      <w:color w:val="000000" w:themeColor="text1"/>
                      <w:szCs w:val="21"/>
                      <w:highlight w:val="none"/>
                    </w:rPr>
                  </w:pPr>
                  <w:r>
                    <w:rPr>
                      <w:color w:val="000000" w:themeColor="text1"/>
                      <w:szCs w:val="21"/>
                      <w:highlight w:val="none"/>
                    </w:rPr>
                    <w:t>浓度mg/m</w:t>
                  </w:r>
                  <w:r>
                    <w:rPr>
                      <w:color w:val="000000" w:themeColor="text1"/>
                      <w:szCs w:val="21"/>
                      <w:highlight w:val="none"/>
                      <w:vertAlign w:val="superscript"/>
                    </w:rPr>
                    <w:t>3</w:t>
                  </w:r>
                </w:p>
              </w:tc>
              <w:tc>
                <w:tcPr>
                  <w:tcW w:w="385" w:type="pct"/>
                  <w:noWrap/>
                  <w:vAlign w:val="center"/>
                </w:tcPr>
                <w:p>
                  <w:pPr>
                    <w:jc w:val="center"/>
                    <w:rPr>
                      <w:color w:val="000000" w:themeColor="text1"/>
                      <w:szCs w:val="21"/>
                      <w:highlight w:val="none"/>
                    </w:rPr>
                  </w:pPr>
                  <w:r>
                    <w:rPr>
                      <w:rFonts w:hint="eastAsia"/>
                      <w:color w:val="000000" w:themeColor="text1"/>
                      <w:szCs w:val="21"/>
                      <w:highlight w:val="none"/>
                    </w:rPr>
                    <w:t>排放速率</w:t>
                  </w:r>
                </w:p>
                <w:p>
                  <w:pPr>
                    <w:jc w:val="center"/>
                    <w:rPr>
                      <w:color w:val="000000" w:themeColor="text1"/>
                      <w:szCs w:val="21"/>
                      <w:highlight w:val="none"/>
                    </w:rPr>
                  </w:pPr>
                  <w:r>
                    <w:rPr>
                      <w:rFonts w:hint="eastAsia"/>
                      <w:color w:val="000000" w:themeColor="text1"/>
                      <w:szCs w:val="21"/>
                      <w:highlight w:val="none"/>
                    </w:rPr>
                    <w:t>kg/h</w:t>
                  </w:r>
                </w:p>
              </w:tc>
              <w:tc>
                <w:tcPr>
                  <w:tcW w:w="339" w:type="pct"/>
                  <w:noWrap/>
                  <w:vAlign w:val="center"/>
                </w:tcPr>
                <w:p>
                  <w:pPr>
                    <w:jc w:val="center"/>
                    <w:rPr>
                      <w:color w:val="000000" w:themeColor="text1"/>
                      <w:szCs w:val="21"/>
                      <w:highlight w:val="none"/>
                    </w:rPr>
                  </w:pPr>
                  <w:r>
                    <w:rPr>
                      <w:rFonts w:hint="eastAsia"/>
                      <w:color w:val="000000" w:themeColor="text1"/>
                      <w:szCs w:val="21"/>
                      <w:highlight w:val="none"/>
                    </w:rPr>
                    <w:t>排放</w:t>
                  </w:r>
                  <w:r>
                    <w:rPr>
                      <w:color w:val="000000" w:themeColor="text1"/>
                      <w:szCs w:val="21"/>
                      <w:highlight w:val="none"/>
                    </w:rPr>
                    <w:t>量</w:t>
                  </w:r>
                </w:p>
                <w:p>
                  <w:pPr>
                    <w:jc w:val="center"/>
                    <w:rPr>
                      <w:color w:val="000000" w:themeColor="text1"/>
                      <w:szCs w:val="21"/>
                      <w:highlight w:val="none"/>
                    </w:rPr>
                  </w:pPr>
                  <w:r>
                    <w:rPr>
                      <w:rFonts w:hint="eastAsia"/>
                      <w:color w:val="000000" w:themeColor="text1"/>
                      <w:szCs w:val="21"/>
                      <w:highlight w:val="none"/>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运输</w:t>
                  </w:r>
                </w:p>
              </w:tc>
              <w:tc>
                <w:tcPr>
                  <w:tcW w:w="303" w:type="pct"/>
                  <w:vMerge w:val="restart"/>
                  <w:noWrap/>
                  <w:vAlign w:val="center"/>
                </w:tcPr>
                <w:p>
                  <w:pPr>
                    <w:jc w:val="center"/>
                    <w:rPr>
                      <w:color w:val="000000" w:themeColor="text1"/>
                      <w:szCs w:val="21"/>
                      <w:highlight w:val="none"/>
                    </w:rPr>
                  </w:pPr>
                  <w:r>
                    <w:rPr>
                      <w:rFonts w:hint="eastAsia"/>
                      <w:color w:val="000000" w:themeColor="text1"/>
                      <w:szCs w:val="21"/>
                      <w:highlight w:val="none"/>
                    </w:rPr>
                    <w:t>颗粒物</w:t>
                  </w:r>
                </w:p>
              </w:tc>
              <w:tc>
                <w:tcPr>
                  <w:tcW w:w="230" w:type="pct"/>
                  <w:vMerge w:val="restar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无组织</w:t>
                  </w:r>
                </w:p>
              </w:tc>
              <w:tc>
                <w:tcPr>
                  <w:tcW w:w="395" w:type="pct"/>
                  <w:noWrap/>
                  <w:vAlign w:val="center"/>
                </w:tcPr>
                <w:p>
                  <w:pPr>
                    <w:jc w:val="center"/>
                    <w:rPr>
                      <w:color w:val="000000" w:themeColor="text1"/>
                      <w:szCs w:val="21"/>
                      <w:highlight w:val="none"/>
                    </w:rPr>
                  </w:pPr>
                  <w:r>
                    <w:rPr>
                      <w:rFonts w:hint="eastAsia"/>
                      <w:color w:val="000000" w:themeColor="text1"/>
                      <w:szCs w:val="21"/>
                      <w:highlight w:val="none"/>
                    </w:rPr>
                    <w:t>/</w:t>
                  </w:r>
                </w:p>
              </w:tc>
              <w:tc>
                <w:tcPr>
                  <w:tcW w:w="368" w:type="pct"/>
                  <w:noWrap/>
                  <w:vAlign w:val="center"/>
                </w:tcPr>
                <w:p>
                  <w:pPr>
                    <w:jc w:val="center"/>
                    <w:rPr>
                      <w:bCs/>
                      <w:color w:val="000000" w:themeColor="text1"/>
                      <w:szCs w:val="21"/>
                      <w:highlight w:val="none"/>
                    </w:rPr>
                  </w:pPr>
                  <w:r>
                    <w:rPr>
                      <w:rFonts w:hint="eastAsia"/>
                      <w:bCs/>
                      <w:color w:val="000000" w:themeColor="text1"/>
                      <w:szCs w:val="21"/>
                      <w:highlight w:val="none"/>
                    </w:rPr>
                    <w:t>0.33</w:t>
                  </w:r>
                </w:p>
              </w:tc>
              <w:tc>
                <w:tcPr>
                  <w:tcW w:w="266"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 xml:space="preserve">0.56 </w:t>
                  </w:r>
                </w:p>
              </w:tc>
              <w:tc>
                <w:tcPr>
                  <w:tcW w:w="579" w:type="pct"/>
                  <w:noWrap/>
                  <w:vAlign w:val="center"/>
                </w:tcPr>
                <w:p>
                  <w:pPr>
                    <w:spacing w:before="100" w:beforeAutospacing="1" w:after="100" w:afterAutospacing="1" w:line="0" w:lineRule="atLeast"/>
                    <w:jc w:val="center"/>
                    <w:rPr>
                      <w:rFonts w:eastAsiaTheme="minorEastAsia"/>
                      <w:bCs/>
                      <w:color w:val="000000" w:themeColor="text1"/>
                      <w:szCs w:val="21"/>
                      <w:highlight w:val="none"/>
                    </w:rPr>
                  </w:pPr>
                  <w:r>
                    <w:rPr>
                      <w:rFonts w:hint="eastAsia" w:eastAsiaTheme="minorEastAsia"/>
                      <w:bCs/>
                      <w:color w:val="000000" w:themeColor="text1"/>
                      <w:szCs w:val="21"/>
                      <w:highlight w:val="none"/>
                    </w:rPr>
                    <w:t>洒水降尘</w:t>
                  </w:r>
                </w:p>
              </w:tc>
              <w:tc>
                <w:tcPr>
                  <w:tcW w:w="257"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312"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93" w:type="pct"/>
                  <w:noWrap/>
                  <w:vAlign w:val="center"/>
                </w:tcPr>
                <w:p>
                  <w:pPr>
                    <w:jc w:val="center"/>
                    <w:rPr>
                      <w:bCs/>
                      <w:color w:val="000000" w:themeColor="text1"/>
                      <w:szCs w:val="21"/>
                      <w:highlight w:val="none"/>
                    </w:rPr>
                  </w:pPr>
                  <w:r>
                    <w:rPr>
                      <w:rFonts w:hint="eastAsia"/>
                      <w:bCs/>
                      <w:color w:val="000000" w:themeColor="text1"/>
                      <w:szCs w:val="21"/>
                      <w:highlight w:val="none"/>
                    </w:rPr>
                    <w:t>66%</w:t>
                  </w:r>
                </w:p>
              </w:tc>
              <w:tc>
                <w:tcPr>
                  <w:tcW w:w="41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是</w:t>
                  </w:r>
                </w:p>
              </w:tc>
              <w:tc>
                <w:tcPr>
                  <w:tcW w:w="414" w:type="pct"/>
                  <w:noWrap/>
                  <w:vAlign w:val="center"/>
                </w:tcPr>
                <w:p>
                  <w:pPr>
                    <w:jc w:val="center"/>
                    <w:rPr>
                      <w:color w:val="000000" w:themeColor="text1"/>
                      <w:szCs w:val="21"/>
                      <w:highlight w:val="none"/>
                    </w:rPr>
                  </w:pPr>
                  <w:r>
                    <w:rPr>
                      <w:rFonts w:hint="eastAsia"/>
                      <w:color w:val="000000" w:themeColor="text1"/>
                      <w:szCs w:val="21"/>
                      <w:highlight w:val="none"/>
                    </w:rPr>
                    <w:t>/</w:t>
                  </w:r>
                </w:p>
              </w:tc>
              <w:tc>
                <w:tcPr>
                  <w:tcW w:w="385" w:type="pct"/>
                  <w:noWrap/>
                  <w:vAlign w:val="center"/>
                </w:tcPr>
                <w:p>
                  <w:pPr>
                    <w:jc w:val="center"/>
                    <w:rPr>
                      <w:bCs/>
                      <w:color w:val="000000" w:themeColor="text1"/>
                      <w:szCs w:val="21"/>
                      <w:highlight w:val="none"/>
                    </w:rPr>
                  </w:pPr>
                  <w:r>
                    <w:rPr>
                      <w:rFonts w:hint="eastAsia"/>
                      <w:bCs/>
                      <w:color w:val="000000" w:themeColor="text1"/>
                      <w:szCs w:val="21"/>
                      <w:highlight w:val="none"/>
                    </w:rPr>
                    <w:t>0.11</w:t>
                  </w:r>
                </w:p>
              </w:tc>
              <w:tc>
                <w:tcPr>
                  <w:tcW w:w="339"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堆场</w:t>
                  </w:r>
                </w:p>
              </w:tc>
              <w:tc>
                <w:tcPr>
                  <w:tcW w:w="303" w:type="pct"/>
                  <w:vMerge w:val="continue"/>
                  <w:noWrap/>
                  <w:vAlign w:val="center"/>
                </w:tcPr>
                <w:p>
                  <w:pPr>
                    <w:jc w:val="center"/>
                    <w:rPr>
                      <w:color w:val="000000" w:themeColor="text1"/>
                      <w:szCs w:val="21"/>
                      <w:highlight w:val="none"/>
                    </w:rPr>
                  </w:pPr>
                </w:p>
              </w:tc>
              <w:tc>
                <w:tcPr>
                  <w:tcW w:w="230" w:type="pct"/>
                  <w:vMerge w:val="continue"/>
                  <w:tcBorders/>
                  <w:noWrap/>
                  <w:vAlign w:val="center"/>
                </w:tcPr>
                <w:p>
                  <w:pPr>
                    <w:autoSpaceDE w:val="0"/>
                    <w:autoSpaceDN w:val="0"/>
                    <w:contextualSpacing/>
                    <w:jc w:val="center"/>
                    <w:rPr>
                      <w:color w:val="000000" w:themeColor="text1"/>
                      <w:szCs w:val="21"/>
                      <w:highlight w:val="none"/>
                    </w:rPr>
                  </w:pPr>
                </w:p>
              </w:tc>
              <w:tc>
                <w:tcPr>
                  <w:tcW w:w="395" w:type="pct"/>
                  <w:noWrap/>
                  <w:vAlign w:val="center"/>
                </w:tcPr>
                <w:p>
                  <w:pPr>
                    <w:jc w:val="center"/>
                    <w:rPr>
                      <w:color w:val="000000" w:themeColor="text1"/>
                      <w:szCs w:val="21"/>
                      <w:highlight w:val="none"/>
                    </w:rPr>
                  </w:pPr>
                  <w:r>
                    <w:rPr>
                      <w:rFonts w:hint="eastAsia"/>
                      <w:color w:val="000000" w:themeColor="text1"/>
                      <w:szCs w:val="21"/>
                      <w:highlight w:val="none"/>
                    </w:rPr>
                    <w:t>/</w:t>
                  </w:r>
                </w:p>
              </w:tc>
              <w:tc>
                <w:tcPr>
                  <w:tcW w:w="368" w:type="pct"/>
                  <w:noWrap/>
                  <w:vAlign w:val="center"/>
                </w:tcPr>
                <w:p>
                  <w:pPr>
                    <w:jc w:val="center"/>
                    <w:rPr>
                      <w:color w:val="000000" w:themeColor="text1"/>
                      <w:szCs w:val="21"/>
                      <w:highlight w:val="none"/>
                    </w:rPr>
                  </w:pPr>
                  <w:r>
                    <w:rPr>
                      <w:rFonts w:hint="eastAsia"/>
                      <w:color w:val="000000" w:themeColor="text1"/>
                      <w:szCs w:val="21"/>
                      <w:highlight w:val="none"/>
                    </w:rPr>
                    <w:t>0.05</w:t>
                  </w:r>
                </w:p>
              </w:tc>
              <w:tc>
                <w:tcPr>
                  <w:tcW w:w="266"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0.09</w:t>
                  </w:r>
                </w:p>
              </w:tc>
              <w:tc>
                <w:tcPr>
                  <w:tcW w:w="579" w:type="pct"/>
                  <w:noWrap/>
                  <w:vAlign w:val="center"/>
                </w:tcPr>
                <w:p>
                  <w:pPr>
                    <w:spacing w:before="100" w:beforeAutospacing="1" w:after="100" w:afterAutospacing="1" w:line="0" w:lineRule="atLeast"/>
                    <w:jc w:val="center"/>
                    <w:rPr>
                      <w:bCs/>
                      <w:color w:val="000000" w:themeColor="text1"/>
                      <w:szCs w:val="21"/>
                      <w:highlight w:val="none"/>
                    </w:rPr>
                  </w:pPr>
                  <w:r>
                    <w:rPr>
                      <w:rFonts w:hint="eastAsia" w:eastAsiaTheme="minorEastAsia"/>
                      <w:bCs/>
                      <w:color w:val="000000" w:themeColor="text1"/>
                      <w:szCs w:val="21"/>
                      <w:highlight w:val="none"/>
                    </w:rPr>
                    <w:t>洒水降尘</w:t>
                  </w:r>
                </w:p>
              </w:tc>
              <w:tc>
                <w:tcPr>
                  <w:tcW w:w="257"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312"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93" w:type="pct"/>
                  <w:noWrap/>
                  <w:vAlign w:val="center"/>
                </w:tcPr>
                <w:p>
                  <w:pPr>
                    <w:jc w:val="center"/>
                    <w:rPr>
                      <w:bCs/>
                      <w:color w:val="000000" w:themeColor="text1"/>
                      <w:szCs w:val="21"/>
                      <w:highlight w:val="none"/>
                    </w:rPr>
                  </w:pPr>
                  <w:r>
                    <w:rPr>
                      <w:rFonts w:hint="eastAsia"/>
                      <w:bCs/>
                      <w:color w:val="000000" w:themeColor="text1"/>
                      <w:szCs w:val="21"/>
                      <w:highlight w:val="none"/>
                    </w:rPr>
                    <w:t>74%</w:t>
                  </w:r>
                </w:p>
              </w:tc>
              <w:tc>
                <w:tcPr>
                  <w:tcW w:w="41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是</w:t>
                  </w:r>
                </w:p>
              </w:tc>
              <w:tc>
                <w:tcPr>
                  <w:tcW w:w="414" w:type="pct"/>
                  <w:noWrap/>
                  <w:vAlign w:val="center"/>
                </w:tcPr>
                <w:p>
                  <w:pPr>
                    <w:jc w:val="center"/>
                    <w:rPr>
                      <w:color w:val="000000" w:themeColor="text1"/>
                      <w:szCs w:val="21"/>
                      <w:highlight w:val="none"/>
                    </w:rPr>
                  </w:pPr>
                  <w:r>
                    <w:rPr>
                      <w:rFonts w:hint="eastAsia"/>
                      <w:color w:val="000000" w:themeColor="text1"/>
                      <w:szCs w:val="21"/>
                      <w:highlight w:val="none"/>
                    </w:rPr>
                    <w:t>/</w:t>
                  </w:r>
                </w:p>
              </w:tc>
              <w:tc>
                <w:tcPr>
                  <w:tcW w:w="385" w:type="pct"/>
                  <w:noWrap/>
                  <w:vAlign w:val="center"/>
                </w:tcPr>
                <w:p>
                  <w:pPr>
                    <w:jc w:val="center"/>
                    <w:rPr>
                      <w:color w:val="000000" w:themeColor="text1"/>
                      <w:szCs w:val="21"/>
                      <w:highlight w:val="none"/>
                    </w:rPr>
                  </w:pPr>
                  <w:r>
                    <w:rPr>
                      <w:rFonts w:hint="eastAsia"/>
                      <w:color w:val="000000" w:themeColor="text1"/>
                      <w:szCs w:val="21"/>
                      <w:highlight w:val="none"/>
                    </w:rPr>
                    <w:t>0.01</w:t>
                  </w:r>
                </w:p>
              </w:tc>
              <w:tc>
                <w:tcPr>
                  <w:tcW w:w="339"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水泥筒仓1</w:t>
                  </w:r>
                </w:p>
              </w:tc>
              <w:tc>
                <w:tcPr>
                  <w:tcW w:w="303" w:type="pct"/>
                  <w:vMerge w:val="continue"/>
                  <w:noWrap/>
                  <w:vAlign w:val="center"/>
                </w:tcPr>
                <w:p>
                  <w:pPr>
                    <w:jc w:val="center"/>
                    <w:rPr>
                      <w:color w:val="000000" w:themeColor="text1"/>
                      <w:szCs w:val="21"/>
                      <w:highlight w:val="none"/>
                    </w:rPr>
                  </w:pPr>
                </w:p>
              </w:tc>
              <w:tc>
                <w:tcPr>
                  <w:tcW w:w="230" w:type="pct"/>
                  <w:vMerge w:val="continue"/>
                  <w:tcBorders/>
                  <w:noWrap/>
                  <w:vAlign w:val="center"/>
                </w:tcPr>
                <w:p>
                  <w:pPr>
                    <w:autoSpaceDE w:val="0"/>
                    <w:autoSpaceDN w:val="0"/>
                    <w:contextualSpacing/>
                    <w:jc w:val="center"/>
                    <w:rPr>
                      <w:color w:val="000000" w:themeColor="text1"/>
                      <w:szCs w:val="21"/>
                      <w:highlight w:val="none"/>
                    </w:rPr>
                  </w:pPr>
                </w:p>
              </w:tc>
              <w:tc>
                <w:tcPr>
                  <w:tcW w:w="395" w:type="pct"/>
                  <w:noWrap/>
                  <w:vAlign w:val="center"/>
                </w:tcPr>
                <w:p>
                  <w:pPr>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368" w:type="pct"/>
                  <w:noWrap/>
                  <w:vAlign w:val="center"/>
                </w:tcPr>
                <w:p>
                  <w:pPr>
                    <w:jc w:val="center"/>
                    <w:rPr>
                      <w:color w:val="000000" w:themeColor="text1"/>
                      <w:szCs w:val="21"/>
                      <w:highlight w:val="none"/>
                    </w:rPr>
                  </w:pPr>
                  <w:r>
                    <w:rPr>
                      <w:rFonts w:hint="eastAsia"/>
                      <w:color w:val="000000" w:themeColor="text1"/>
                      <w:szCs w:val="21"/>
                      <w:highlight w:val="none"/>
                    </w:rPr>
                    <w:t>2.4</w:t>
                  </w:r>
                </w:p>
              </w:tc>
              <w:tc>
                <w:tcPr>
                  <w:tcW w:w="266"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2.4</w:t>
                  </w:r>
                </w:p>
              </w:tc>
              <w:tc>
                <w:tcPr>
                  <w:tcW w:w="579" w:type="pct"/>
                  <w:noWrap/>
                  <w:vAlign w:val="center"/>
                </w:tcPr>
                <w:p>
                  <w:pPr>
                    <w:spacing w:before="100" w:beforeAutospacing="1" w:after="100" w:afterAutospacing="1" w:line="0" w:lineRule="atLeast"/>
                    <w:jc w:val="center"/>
                    <w:rPr>
                      <w:rFonts w:hint="eastAsia" w:eastAsiaTheme="minorEastAsia"/>
                      <w:bCs/>
                      <w:color w:val="000000" w:themeColor="text1"/>
                      <w:szCs w:val="21"/>
                      <w:highlight w:val="none"/>
                      <w:lang w:eastAsia="zh-CN"/>
                    </w:rPr>
                  </w:pPr>
                  <w:r>
                    <w:rPr>
                      <w:rFonts w:hint="eastAsia" w:eastAsiaTheme="minorEastAsia"/>
                      <w:bCs/>
                      <w:color w:val="000000" w:themeColor="text1"/>
                      <w:szCs w:val="21"/>
                      <w:highlight w:val="none"/>
                    </w:rPr>
                    <w:t>布袋除尘器</w:t>
                  </w:r>
                  <w:r>
                    <w:rPr>
                      <w:rFonts w:hint="eastAsia" w:eastAsiaTheme="minorEastAsia"/>
                      <w:bCs/>
                      <w:color w:val="000000" w:themeColor="text1"/>
                      <w:szCs w:val="21"/>
                      <w:highlight w:val="none"/>
                      <w:lang w:val="en-US" w:eastAsia="zh-CN"/>
                    </w:rPr>
                    <w:t>仓顶</w:t>
                  </w:r>
                  <w:r>
                    <w:rPr>
                      <w:rFonts w:hint="eastAsia" w:eastAsiaTheme="minorEastAsia"/>
                      <w:bCs/>
                      <w:color w:val="000000" w:themeColor="text1"/>
                      <w:szCs w:val="21"/>
                      <w:highlight w:val="none"/>
                    </w:rPr>
                    <w:t>排</w:t>
                  </w:r>
                  <w:r>
                    <w:rPr>
                      <w:rFonts w:hint="eastAsia" w:eastAsiaTheme="minorEastAsia"/>
                      <w:bCs/>
                      <w:color w:val="000000" w:themeColor="text1"/>
                      <w:szCs w:val="21"/>
                      <w:highlight w:val="none"/>
                      <w:lang w:val="en-US" w:eastAsia="zh-CN"/>
                    </w:rPr>
                    <w:t>放</w:t>
                  </w:r>
                </w:p>
              </w:tc>
              <w:tc>
                <w:tcPr>
                  <w:tcW w:w="257" w:type="pct"/>
                  <w:vMerge w:val="restart"/>
                  <w:noWrap/>
                  <w:vAlign w:val="center"/>
                </w:tcPr>
                <w:p>
                  <w:pPr>
                    <w:jc w:val="center"/>
                    <w:rPr>
                      <w:bCs/>
                      <w:color w:val="000000" w:themeColor="text1"/>
                      <w:szCs w:val="21"/>
                      <w:highlight w:val="none"/>
                    </w:rPr>
                  </w:pPr>
                  <w:r>
                    <w:rPr>
                      <w:rFonts w:hint="eastAsia"/>
                      <w:bCs/>
                      <w:color w:val="000000" w:themeColor="text1"/>
                      <w:szCs w:val="21"/>
                      <w:highlight w:val="none"/>
                    </w:rPr>
                    <w:t>100%</w:t>
                  </w:r>
                </w:p>
              </w:tc>
              <w:tc>
                <w:tcPr>
                  <w:tcW w:w="312"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93" w:type="pct"/>
                  <w:noWrap/>
                  <w:vAlign w:val="center"/>
                </w:tcPr>
                <w:p>
                  <w:pPr>
                    <w:jc w:val="center"/>
                    <w:rPr>
                      <w:rFonts w:hint="eastAsia" w:eastAsia="宋体"/>
                      <w:bCs/>
                      <w:color w:val="000000" w:themeColor="text1"/>
                      <w:szCs w:val="21"/>
                      <w:highlight w:val="none"/>
                      <w:lang w:eastAsia="zh-CN"/>
                    </w:rPr>
                  </w:pPr>
                  <w:r>
                    <w:rPr>
                      <w:rFonts w:hint="eastAsia"/>
                      <w:bCs/>
                      <w:color w:val="000000" w:themeColor="text1"/>
                      <w:szCs w:val="21"/>
                      <w:highlight w:val="none"/>
                      <w:lang w:eastAsia="zh-CN"/>
                    </w:rPr>
                    <w:t>99.7%</w:t>
                  </w:r>
                </w:p>
              </w:tc>
              <w:tc>
                <w:tcPr>
                  <w:tcW w:w="41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是</w:t>
                  </w:r>
                </w:p>
              </w:tc>
              <w:tc>
                <w:tcPr>
                  <w:tcW w:w="414" w:type="pct"/>
                  <w:noWrap/>
                  <w:vAlign w:val="center"/>
                </w:tcPr>
                <w:p>
                  <w:pPr>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385" w:type="pc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rPr>
                    <w:t>0.0</w:t>
                  </w:r>
                  <w:r>
                    <w:rPr>
                      <w:rFonts w:hint="eastAsia"/>
                      <w:color w:val="000000" w:themeColor="text1"/>
                      <w:szCs w:val="21"/>
                      <w:highlight w:val="none"/>
                      <w:lang w:val="en-US" w:eastAsia="zh-CN"/>
                    </w:rPr>
                    <w:t>07</w:t>
                  </w:r>
                </w:p>
              </w:tc>
              <w:tc>
                <w:tcPr>
                  <w:tcW w:w="339" w:type="pc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rPr>
                    <w:t>0.0</w:t>
                  </w:r>
                  <w:r>
                    <w:rPr>
                      <w:rFonts w:hint="eastAsia"/>
                      <w:color w:val="000000" w:themeColor="text1"/>
                      <w:szCs w:val="21"/>
                      <w:highlight w:val="none"/>
                      <w:lang w:val="en-US" w:eastAsia="zh-CN"/>
                    </w:rPr>
                    <w:t>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5"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水泥筒仓2</w:t>
                  </w:r>
                </w:p>
              </w:tc>
              <w:tc>
                <w:tcPr>
                  <w:tcW w:w="303" w:type="pct"/>
                  <w:vMerge w:val="continue"/>
                  <w:noWrap/>
                  <w:vAlign w:val="center"/>
                </w:tcPr>
                <w:p>
                  <w:pPr>
                    <w:jc w:val="center"/>
                    <w:rPr>
                      <w:color w:val="000000" w:themeColor="text1"/>
                      <w:szCs w:val="21"/>
                      <w:highlight w:val="none"/>
                    </w:rPr>
                  </w:pPr>
                </w:p>
              </w:tc>
              <w:tc>
                <w:tcPr>
                  <w:tcW w:w="230" w:type="pct"/>
                  <w:vMerge w:val="continue"/>
                  <w:tcBorders/>
                  <w:noWrap/>
                  <w:vAlign w:val="center"/>
                </w:tcPr>
                <w:p>
                  <w:pPr>
                    <w:autoSpaceDE w:val="0"/>
                    <w:autoSpaceDN w:val="0"/>
                    <w:contextualSpacing/>
                    <w:jc w:val="center"/>
                    <w:rPr>
                      <w:color w:val="000000" w:themeColor="text1"/>
                      <w:szCs w:val="21"/>
                      <w:highlight w:val="none"/>
                    </w:rPr>
                  </w:pPr>
                </w:p>
              </w:tc>
              <w:tc>
                <w:tcPr>
                  <w:tcW w:w="395" w:type="pct"/>
                  <w:noWrap/>
                  <w:vAlign w:val="center"/>
                </w:tcPr>
                <w:p>
                  <w:pPr>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368" w:type="pct"/>
                  <w:noWrap/>
                  <w:vAlign w:val="center"/>
                </w:tcPr>
                <w:p>
                  <w:pPr>
                    <w:jc w:val="center"/>
                    <w:rPr>
                      <w:color w:val="000000" w:themeColor="text1"/>
                      <w:szCs w:val="21"/>
                      <w:highlight w:val="none"/>
                    </w:rPr>
                  </w:pPr>
                  <w:r>
                    <w:rPr>
                      <w:rFonts w:hint="eastAsia"/>
                      <w:color w:val="000000" w:themeColor="text1"/>
                      <w:szCs w:val="21"/>
                      <w:highlight w:val="none"/>
                    </w:rPr>
                    <w:t>2.4</w:t>
                  </w:r>
                </w:p>
              </w:tc>
              <w:tc>
                <w:tcPr>
                  <w:tcW w:w="266"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2.4</w:t>
                  </w:r>
                </w:p>
              </w:tc>
              <w:tc>
                <w:tcPr>
                  <w:tcW w:w="579" w:type="pct"/>
                  <w:noWrap/>
                  <w:vAlign w:val="center"/>
                </w:tcPr>
                <w:p>
                  <w:pPr>
                    <w:spacing w:before="100" w:beforeAutospacing="1" w:after="100" w:afterAutospacing="1" w:line="0" w:lineRule="atLeast"/>
                    <w:jc w:val="center"/>
                    <w:rPr>
                      <w:rFonts w:hint="eastAsia" w:eastAsiaTheme="minorEastAsia"/>
                      <w:bCs/>
                      <w:color w:val="000000" w:themeColor="text1"/>
                      <w:szCs w:val="21"/>
                      <w:highlight w:val="none"/>
                      <w:lang w:eastAsia="zh-CN"/>
                    </w:rPr>
                  </w:pPr>
                  <w:r>
                    <w:rPr>
                      <w:rFonts w:hint="eastAsia" w:eastAsiaTheme="minorEastAsia"/>
                      <w:bCs/>
                      <w:color w:val="000000" w:themeColor="text1"/>
                      <w:szCs w:val="21"/>
                      <w:highlight w:val="none"/>
                    </w:rPr>
                    <w:t>布袋除尘器</w:t>
                  </w:r>
                  <w:r>
                    <w:rPr>
                      <w:rFonts w:hint="eastAsia" w:eastAsiaTheme="minorEastAsia"/>
                      <w:bCs/>
                      <w:color w:val="000000" w:themeColor="text1"/>
                      <w:szCs w:val="21"/>
                      <w:highlight w:val="none"/>
                      <w:lang w:val="en-US" w:eastAsia="zh-CN"/>
                    </w:rPr>
                    <w:t>仓顶排放</w:t>
                  </w:r>
                </w:p>
              </w:tc>
              <w:tc>
                <w:tcPr>
                  <w:tcW w:w="257" w:type="pct"/>
                  <w:vMerge w:val="continue"/>
                  <w:noWrap/>
                  <w:vAlign w:val="center"/>
                </w:tcPr>
                <w:p>
                  <w:pPr>
                    <w:jc w:val="center"/>
                    <w:rPr>
                      <w:bCs/>
                      <w:color w:val="000000" w:themeColor="text1"/>
                      <w:szCs w:val="21"/>
                      <w:highlight w:val="none"/>
                    </w:rPr>
                  </w:pPr>
                </w:p>
              </w:tc>
              <w:tc>
                <w:tcPr>
                  <w:tcW w:w="312"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93" w:type="pct"/>
                  <w:noWrap/>
                  <w:vAlign w:val="center"/>
                </w:tcPr>
                <w:p>
                  <w:pPr>
                    <w:jc w:val="center"/>
                    <w:rPr>
                      <w:rFonts w:hint="eastAsia" w:eastAsia="宋体"/>
                      <w:bCs/>
                      <w:color w:val="000000" w:themeColor="text1"/>
                      <w:szCs w:val="21"/>
                      <w:highlight w:val="none"/>
                      <w:lang w:eastAsia="zh-CN"/>
                    </w:rPr>
                  </w:pPr>
                  <w:r>
                    <w:rPr>
                      <w:rFonts w:hint="eastAsia"/>
                      <w:bCs/>
                      <w:color w:val="000000" w:themeColor="text1"/>
                      <w:szCs w:val="21"/>
                      <w:highlight w:val="none"/>
                      <w:lang w:eastAsia="zh-CN"/>
                    </w:rPr>
                    <w:t>99.7%</w:t>
                  </w:r>
                </w:p>
              </w:tc>
              <w:tc>
                <w:tcPr>
                  <w:tcW w:w="41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是</w:t>
                  </w:r>
                </w:p>
              </w:tc>
              <w:tc>
                <w:tcPr>
                  <w:tcW w:w="414" w:type="pct"/>
                  <w:noWrap/>
                  <w:vAlign w:val="center"/>
                </w:tcPr>
                <w:p>
                  <w:pPr>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628" w:type="dxa"/>
                  <w:noWrap/>
                  <w:vAlign w:val="center"/>
                </w:tcPr>
                <w:p>
                  <w:pPr>
                    <w:jc w:val="center"/>
                    <w:rPr>
                      <w:color w:val="000000" w:themeColor="text1"/>
                      <w:szCs w:val="21"/>
                      <w:highlight w:val="none"/>
                    </w:rPr>
                  </w:pPr>
                  <w:r>
                    <w:rPr>
                      <w:rFonts w:hint="eastAsia"/>
                      <w:color w:val="000000" w:themeColor="text1"/>
                      <w:szCs w:val="21"/>
                      <w:highlight w:val="none"/>
                    </w:rPr>
                    <w:t>0.0</w:t>
                  </w:r>
                  <w:r>
                    <w:rPr>
                      <w:rFonts w:hint="eastAsia"/>
                      <w:color w:val="000000" w:themeColor="text1"/>
                      <w:szCs w:val="21"/>
                      <w:highlight w:val="none"/>
                      <w:lang w:val="en-US" w:eastAsia="zh-CN"/>
                    </w:rPr>
                    <w:t>07</w:t>
                  </w:r>
                </w:p>
              </w:tc>
              <w:tc>
                <w:tcPr>
                  <w:tcW w:w="554" w:type="dxa"/>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0.0</w:t>
                  </w:r>
                  <w:r>
                    <w:rPr>
                      <w:rFonts w:hint="eastAsia"/>
                      <w:color w:val="000000" w:themeColor="text1"/>
                      <w:szCs w:val="21"/>
                      <w:highlight w:val="none"/>
                      <w:lang w:val="en-US" w:eastAsia="zh-CN"/>
                    </w:rPr>
                    <w:t>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35"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下料搅拌</w:t>
                  </w:r>
                </w:p>
              </w:tc>
              <w:tc>
                <w:tcPr>
                  <w:tcW w:w="303" w:type="pct"/>
                  <w:vMerge w:val="continue"/>
                  <w:noWrap/>
                  <w:vAlign w:val="center"/>
                </w:tcPr>
                <w:p>
                  <w:pPr>
                    <w:jc w:val="center"/>
                    <w:rPr>
                      <w:color w:val="000000" w:themeColor="text1"/>
                      <w:szCs w:val="21"/>
                      <w:highlight w:val="none"/>
                    </w:rPr>
                  </w:pPr>
                </w:p>
              </w:tc>
              <w:tc>
                <w:tcPr>
                  <w:tcW w:w="230"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有组织</w:t>
                  </w:r>
                </w:p>
              </w:tc>
              <w:tc>
                <w:tcPr>
                  <w:tcW w:w="395" w:type="pct"/>
                  <w:noWrap/>
                  <w:vAlign w:val="center"/>
                </w:tcPr>
                <w:p>
                  <w:pPr>
                    <w:jc w:val="center"/>
                    <w:rPr>
                      <w:color w:val="000000" w:themeColor="text1"/>
                      <w:szCs w:val="21"/>
                      <w:highlight w:val="none"/>
                    </w:rPr>
                  </w:pPr>
                  <w:r>
                    <w:rPr>
                      <w:rFonts w:hint="eastAsia"/>
                      <w:color w:val="000000" w:themeColor="text1"/>
                      <w:szCs w:val="21"/>
                      <w:highlight w:val="none"/>
                    </w:rPr>
                    <w:t>1107.1</w:t>
                  </w:r>
                </w:p>
              </w:tc>
              <w:tc>
                <w:tcPr>
                  <w:tcW w:w="368" w:type="pct"/>
                  <w:noWrap/>
                  <w:vAlign w:val="center"/>
                </w:tcPr>
                <w:p>
                  <w:pPr>
                    <w:jc w:val="center"/>
                    <w:rPr>
                      <w:color w:val="000000" w:themeColor="text1"/>
                      <w:szCs w:val="21"/>
                      <w:highlight w:val="none"/>
                    </w:rPr>
                  </w:pPr>
                  <w:r>
                    <w:rPr>
                      <w:rFonts w:hint="eastAsia"/>
                      <w:color w:val="000000" w:themeColor="text1"/>
                      <w:szCs w:val="21"/>
                      <w:highlight w:val="none"/>
                    </w:rPr>
                    <w:t>5.54</w:t>
                  </w:r>
                </w:p>
              </w:tc>
              <w:tc>
                <w:tcPr>
                  <w:tcW w:w="266"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9.3</w:t>
                  </w:r>
                </w:p>
              </w:tc>
              <w:tc>
                <w:tcPr>
                  <w:tcW w:w="579" w:type="pct"/>
                  <w:noWrap/>
                  <w:vAlign w:val="center"/>
                </w:tcPr>
                <w:p>
                  <w:pPr>
                    <w:spacing w:before="100" w:beforeAutospacing="1" w:after="100" w:afterAutospacing="1" w:line="0" w:lineRule="atLeast"/>
                    <w:jc w:val="center"/>
                    <w:rPr>
                      <w:bCs/>
                      <w:color w:val="000000" w:themeColor="text1"/>
                      <w:szCs w:val="21"/>
                      <w:highlight w:val="none"/>
                    </w:rPr>
                  </w:pPr>
                  <w:r>
                    <w:rPr>
                      <w:rFonts w:hint="eastAsia" w:eastAsiaTheme="minorEastAsia"/>
                      <w:bCs/>
                      <w:color w:val="000000" w:themeColor="text1"/>
                      <w:szCs w:val="21"/>
                      <w:highlight w:val="none"/>
                    </w:rPr>
                    <w:t>布袋除尘器+15m排气筒</w:t>
                  </w:r>
                </w:p>
              </w:tc>
              <w:tc>
                <w:tcPr>
                  <w:tcW w:w="257" w:type="pct"/>
                  <w:vMerge w:val="continue"/>
                  <w:noWrap/>
                  <w:vAlign w:val="center"/>
                </w:tcPr>
                <w:p>
                  <w:pPr>
                    <w:jc w:val="center"/>
                    <w:rPr>
                      <w:bCs/>
                      <w:color w:val="000000" w:themeColor="text1"/>
                      <w:szCs w:val="21"/>
                      <w:highlight w:val="none"/>
                    </w:rPr>
                  </w:pPr>
                </w:p>
              </w:tc>
              <w:tc>
                <w:tcPr>
                  <w:tcW w:w="312" w:type="pct"/>
                  <w:noWrap/>
                  <w:vAlign w:val="center"/>
                </w:tcPr>
                <w:p>
                  <w:pPr>
                    <w:jc w:val="center"/>
                    <w:rPr>
                      <w:bCs/>
                      <w:color w:val="000000" w:themeColor="text1"/>
                      <w:szCs w:val="21"/>
                      <w:highlight w:val="none"/>
                    </w:rPr>
                  </w:pPr>
                  <w:r>
                    <w:rPr>
                      <w:rFonts w:hint="eastAsia"/>
                      <w:bCs/>
                      <w:color w:val="000000" w:themeColor="text1"/>
                      <w:szCs w:val="21"/>
                      <w:highlight w:val="none"/>
                    </w:rPr>
                    <w:t>/</w:t>
                  </w:r>
                </w:p>
              </w:tc>
              <w:tc>
                <w:tcPr>
                  <w:tcW w:w="293" w:type="pct"/>
                  <w:noWrap/>
                  <w:vAlign w:val="center"/>
                </w:tcPr>
                <w:p>
                  <w:pPr>
                    <w:jc w:val="center"/>
                    <w:rPr>
                      <w:rFonts w:hint="eastAsia" w:eastAsia="宋体"/>
                      <w:bCs/>
                      <w:color w:val="000000" w:themeColor="text1"/>
                      <w:szCs w:val="21"/>
                      <w:highlight w:val="none"/>
                      <w:lang w:eastAsia="zh-CN"/>
                    </w:rPr>
                  </w:pPr>
                  <w:r>
                    <w:rPr>
                      <w:rFonts w:hint="eastAsia"/>
                      <w:bCs/>
                      <w:color w:val="000000" w:themeColor="text1"/>
                      <w:szCs w:val="21"/>
                      <w:highlight w:val="none"/>
                      <w:lang w:eastAsia="zh-CN"/>
                    </w:rPr>
                    <w:t>99.7%</w:t>
                  </w:r>
                </w:p>
              </w:tc>
              <w:tc>
                <w:tcPr>
                  <w:tcW w:w="41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是</w:t>
                  </w:r>
                </w:p>
              </w:tc>
              <w:tc>
                <w:tcPr>
                  <w:tcW w:w="414" w:type="pc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3.32</w:t>
                  </w:r>
                </w:p>
              </w:tc>
              <w:tc>
                <w:tcPr>
                  <w:tcW w:w="385" w:type="pct"/>
                  <w:noWrap/>
                  <w:vAlign w:val="center"/>
                </w:tcPr>
                <w:p>
                  <w:pPr>
                    <w:jc w:val="center"/>
                    <w:rPr>
                      <w:rFonts w:hint="default" w:eastAsia="宋体"/>
                      <w:color w:val="000000" w:themeColor="text1"/>
                      <w:szCs w:val="21"/>
                      <w:highlight w:val="none"/>
                      <w:lang w:val="en-US" w:eastAsia="zh-CN"/>
                    </w:rPr>
                  </w:pPr>
                  <w:r>
                    <w:rPr>
                      <w:rFonts w:hint="eastAsia"/>
                      <w:color w:val="000000" w:themeColor="text1"/>
                      <w:szCs w:val="21"/>
                      <w:highlight w:val="none"/>
                    </w:rPr>
                    <w:t>0.0</w:t>
                  </w:r>
                  <w:r>
                    <w:rPr>
                      <w:rFonts w:hint="eastAsia"/>
                      <w:color w:val="000000" w:themeColor="text1"/>
                      <w:szCs w:val="21"/>
                      <w:highlight w:val="none"/>
                      <w:lang w:val="en-US" w:eastAsia="zh-CN"/>
                    </w:rPr>
                    <w:t>17</w:t>
                  </w:r>
                </w:p>
              </w:tc>
              <w:tc>
                <w:tcPr>
                  <w:tcW w:w="339" w:type="pct"/>
                  <w:noWrap/>
                  <w:vAlign w:val="center"/>
                </w:tcPr>
                <w:p>
                  <w:pPr>
                    <w:autoSpaceDE w:val="0"/>
                    <w:autoSpaceDN w:val="0"/>
                    <w:contextualSpacing/>
                    <w:jc w:val="center"/>
                    <w:rPr>
                      <w:rFonts w:hint="default" w:eastAsia="宋体"/>
                      <w:color w:val="000000" w:themeColor="text1"/>
                      <w:szCs w:val="21"/>
                      <w:highlight w:val="none"/>
                      <w:lang w:val="en-US" w:eastAsia="zh-CN"/>
                    </w:rPr>
                  </w:pPr>
                  <w:r>
                    <w:rPr>
                      <w:rFonts w:hint="eastAsia"/>
                      <w:color w:val="000000" w:themeColor="text1"/>
                      <w:szCs w:val="21"/>
                      <w:highlight w:val="none"/>
                    </w:rPr>
                    <w:t>0.0</w:t>
                  </w:r>
                  <w:r>
                    <w:rPr>
                      <w:rFonts w:hint="eastAsia"/>
                      <w:color w:val="000000" w:themeColor="text1"/>
                      <w:szCs w:val="21"/>
                      <w:highlight w:val="none"/>
                      <w:lang w:val="en-US" w:eastAsia="zh-CN"/>
                    </w:rPr>
                    <w:t>28</w:t>
                  </w:r>
                </w:p>
              </w:tc>
            </w:tr>
          </w:tbl>
          <w:p>
            <w:pPr>
              <w:autoSpaceDE w:val="0"/>
              <w:autoSpaceDN w:val="0"/>
              <w:spacing w:line="360" w:lineRule="auto"/>
              <w:contextualSpacing/>
              <w:rPr>
                <w:rFonts w:hint="eastAsia" w:eastAsia="宋体"/>
                <w:sz w:val="24"/>
                <w:highlight w:val="none"/>
                <w:lang w:val="en-US" w:eastAsia="zh-CN"/>
              </w:rPr>
            </w:pPr>
            <w:r>
              <w:rPr>
                <w:color w:val="000000" w:themeColor="text1"/>
                <w:szCs w:val="21"/>
                <w:highlight w:val="none"/>
              </w:rPr>
              <w:t>注：</w:t>
            </w:r>
            <w:r>
              <w:rPr>
                <w:bCs/>
                <w:color w:val="000000" w:themeColor="text1"/>
                <w:szCs w:val="21"/>
                <w:highlight w:val="none"/>
              </w:rPr>
              <w:t>根据《扬尘源颗粒物排放清单编制技术指南（试行）》，未铺装道路TSP洒水控制效率为66%，堆场操作（装卸参照堆场操作）TSP洒水控制效率为74%</w:t>
            </w:r>
            <w:r>
              <w:rPr>
                <w:rFonts w:hint="eastAsia"/>
                <w:bCs/>
                <w:color w:val="000000" w:themeColor="text1"/>
                <w:szCs w:val="21"/>
                <w:highlight w:val="none"/>
                <w:lang w:eastAsia="zh-CN"/>
              </w:rPr>
              <w:t>；</w:t>
            </w:r>
            <w:r>
              <w:rPr>
                <w:rFonts w:hint="eastAsia"/>
                <w:bCs/>
                <w:color w:val="000000" w:themeColor="text1"/>
                <w:szCs w:val="21"/>
                <w:highlight w:val="none"/>
                <w:lang w:val="en-US" w:eastAsia="zh-CN"/>
              </w:rPr>
              <w:t>根据《排放源统计调查产排污核算方法和系数手册-水泥制品制造行业系数手册》，行业系数表中物料混合搅拌</w:t>
            </w:r>
            <w:r>
              <w:rPr>
                <w:rFonts w:hint="eastAsia"/>
                <w:bCs/>
                <w:color w:val="000000" w:themeColor="text1"/>
                <w:szCs w:val="21"/>
                <w:highlight w:val="none"/>
              </w:rPr>
              <w:t>袋式除尘效率为9</w:t>
            </w:r>
            <w:r>
              <w:rPr>
                <w:rFonts w:hint="eastAsia"/>
                <w:bCs/>
                <w:color w:val="000000" w:themeColor="text1"/>
                <w:szCs w:val="21"/>
                <w:highlight w:val="none"/>
                <w:lang w:val="en-US" w:eastAsia="zh-CN"/>
              </w:rPr>
              <w:t>9.7</w:t>
            </w:r>
            <w:r>
              <w:rPr>
                <w:rFonts w:hint="eastAsia"/>
                <w:bCs/>
                <w:color w:val="000000" w:themeColor="text1"/>
                <w:szCs w:val="21"/>
                <w:highlight w:val="none"/>
              </w:rPr>
              <w:t>%</w:t>
            </w:r>
            <w:r>
              <w:rPr>
                <w:bCs/>
                <w:color w:val="000000" w:themeColor="text1"/>
                <w:szCs w:val="21"/>
                <w:highlight w:val="none"/>
              </w:rPr>
              <w:t>）</w:t>
            </w:r>
            <w:r>
              <w:rPr>
                <w:rFonts w:hint="eastAsia"/>
                <w:bCs/>
                <w:color w:val="000000" w:themeColor="text1"/>
                <w:szCs w:val="21"/>
                <w:highlight w:val="none"/>
                <w:lang w:eastAsia="zh-CN"/>
              </w:rPr>
              <w:t>。</w:t>
            </w:r>
          </w:p>
          <w:p>
            <w:pPr>
              <w:spacing w:line="360" w:lineRule="auto"/>
              <w:ind w:firstLine="480" w:firstLineChars="200"/>
              <w:rPr>
                <w:sz w:val="24"/>
                <w:highlight w:val="none"/>
              </w:rPr>
            </w:pPr>
            <w:r>
              <w:rPr>
                <w:sz w:val="24"/>
                <w:highlight w:val="none"/>
              </w:rPr>
              <w:t>（</w:t>
            </w:r>
            <w:r>
              <w:rPr>
                <w:rFonts w:hint="eastAsia"/>
                <w:sz w:val="24"/>
                <w:highlight w:val="none"/>
              </w:rPr>
              <w:t>1</w:t>
            </w:r>
            <w:r>
              <w:rPr>
                <w:sz w:val="24"/>
                <w:highlight w:val="none"/>
              </w:rPr>
              <w:t>）</w:t>
            </w:r>
            <w:r>
              <w:rPr>
                <w:rFonts w:hint="eastAsia"/>
                <w:sz w:val="24"/>
                <w:highlight w:val="none"/>
              </w:rPr>
              <w:t>储料、卸料</w:t>
            </w:r>
            <w:r>
              <w:rPr>
                <w:sz w:val="24"/>
                <w:highlight w:val="none"/>
              </w:rPr>
              <w:t>粉尘</w:t>
            </w:r>
          </w:p>
          <w:p>
            <w:pPr>
              <w:spacing w:line="360" w:lineRule="auto"/>
              <w:ind w:firstLine="480" w:firstLineChars="200"/>
              <w:rPr>
                <w:rFonts w:ascii="宋体"/>
                <w:sz w:val="24"/>
                <w:highlight w:val="none"/>
              </w:rPr>
            </w:pPr>
            <w:r>
              <w:rPr>
                <w:rFonts w:ascii="宋体"/>
                <w:sz w:val="24"/>
                <w:highlight w:val="none"/>
              </w:rPr>
              <w:fldChar w:fldCharType="begin"/>
            </w:r>
            <w:r>
              <w:rPr>
                <w:rFonts w:hint="eastAsia" w:ascii="宋体"/>
                <w:sz w:val="24"/>
                <w:highlight w:val="none"/>
              </w:rPr>
              <w:instrText xml:space="preserve">= 1 \* GB3</w:instrText>
            </w:r>
            <w:r>
              <w:rPr>
                <w:rFonts w:ascii="宋体"/>
                <w:sz w:val="24"/>
                <w:highlight w:val="none"/>
              </w:rPr>
              <w:fldChar w:fldCharType="separate"/>
            </w:r>
            <w:r>
              <w:rPr>
                <w:rFonts w:hint="eastAsia" w:ascii="宋体"/>
                <w:sz w:val="24"/>
                <w:highlight w:val="none"/>
              </w:rPr>
              <w:t>①</w:t>
            </w:r>
            <w:r>
              <w:rPr>
                <w:rFonts w:ascii="宋体"/>
                <w:sz w:val="24"/>
                <w:highlight w:val="none"/>
              </w:rPr>
              <w:fldChar w:fldCharType="end"/>
            </w:r>
            <w:r>
              <w:rPr>
                <w:rFonts w:ascii="宋体"/>
                <w:sz w:val="24"/>
                <w:highlight w:val="none"/>
              </w:rPr>
              <w:t>运输过程扬尘</w:t>
            </w:r>
          </w:p>
          <w:p>
            <w:pPr>
              <w:spacing w:line="360" w:lineRule="auto"/>
              <w:ind w:firstLine="480" w:firstLineChars="200"/>
              <w:contextualSpacing/>
              <w:rPr>
                <w:color w:val="000000"/>
                <w:kern w:val="0"/>
                <w:sz w:val="24"/>
                <w:highlight w:val="none"/>
              </w:rPr>
            </w:pPr>
            <w:r>
              <w:rPr>
                <w:rFonts w:hint="eastAsia"/>
                <w:color w:val="000000"/>
                <w:kern w:val="0"/>
                <w:sz w:val="24"/>
                <w:highlight w:val="none"/>
              </w:rPr>
              <w:t>根据《扬尘源颗粒物排放清单编制技术指南（试行）》，计算本项目运输场地道路产生的粉尘公式：</w:t>
            </w:r>
          </w:p>
          <w:p>
            <w:pPr>
              <w:spacing w:line="360" w:lineRule="auto"/>
              <w:contextualSpacing/>
              <w:jc w:val="center"/>
              <w:rPr>
                <w:color w:val="000000"/>
                <w:kern w:val="0"/>
                <w:sz w:val="24"/>
                <w:highlight w:val="none"/>
              </w:rPr>
            </w:pPr>
            <w:r>
              <w:rPr>
                <w:color w:val="000000"/>
                <w:kern w:val="0"/>
                <w:sz w:val="24"/>
                <w:highlight w:val="none"/>
              </w:rPr>
              <w:drawing>
                <wp:inline distT="0" distB="0" distL="0" distR="0">
                  <wp:extent cx="3314065" cy="760730"/>
                  <wp:effectExtent l="0" t="0" r="635" b="127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noChangeArrowheads="1"/>
                          </pic:cNvPicPr>
                        </pic:nvPicPr>
                        <pic:blipFill>
                          <a:blip r:embed="rId8" cstate="print"/>
                          <a:srcRect/>
                          <a:stretch>
                            <a:fillRect/>
                          </a:stretch>
                        </pic:blipFill>
                        <pic:spPr>
                          <a:xfrm>
                            <a:off x="0" y="0"/>
                            <a:ext cx="3314065" cy="760730"/>
                          </a:xfrm>
                          <a:prstGeom prst="rect">
                            <a:avLst/>
                          </a:prstGeom>
                          <a:noFill/>
                          <a:ln w="9525">
                            <a:noFill/>
                            <a:miter lim="800000"/>
                            <a:headEnd/>
                            <a:tailEnd/>
                          </a:ln>
                        </pic:spPr>
                      </pic:pic>
                    </a:graphicData>
                  </a:graphic>
                </wp:inline>
              </w:drawing>
            </w:r>
          </w:p>
          <w:p>
            <w:pPr>
              <w:spacing w:line="360" w:lineRule="auto"/>
              <w:ind w:firstLine="480" w:firstLineChars="200"/>
              <w:contextualSpacing/>
              <w:rPr>
                <w:color w:val="000000"/>
                <w:kern w:val="0"/>
                <w:sz w:val="24"/>
                <w:highlight w:val="none"/>
              </w:rPr>
            </w:pPr>
            <w:r>
              <w:rPr>
                <w:rFonts w:hint="eastAsia"/>
                <w:color w:val="000000"/>
                <w:kern w:val="0"/>
                <w:sz w:val="24"/>
                <w:highlight w:val="none"/>
              </w:rPr>
              <w:t>式中：</w:t>
            </w:r>
            <w:r>
              <w:rPr>
                <w:color w:val="000000"/>
                <w:kern w:val="0"/>
                <w:sz w:val="24"/>
                <w:highlight w:val="none"/>
              </w:rPr>
              <w:t>E</w:t>
            </w:r>
            <w:r>
              <w:rPr>
                <w:color w:val="000000"/>
                <w:kern w:val="0"/>
                <w:sz w:val="24"/>
                <w:highlight w:val="none"/>
                <w:vertAlign w:val="subscript"/>
              </w:rPr>
              <w:t>UPi</w:t>
            </w:r>
            <w:r>
              <w:rPr>
                <w:color w:val="000000"/>
                <w:kern w:val="0"/>
                <w:sz w:val="24"/>
                <w:highlight w:val="none"/>
              </w:rPr>
              <w:t>—</w:t>
            </w:r>
            <w:r>
              <w:rPr>
                <w:rFonts w:hint="eastAsia"/>
                <w:color w:val="000000"/>
                <w:kern w:val="0"/>
                <w:sz w:val="24"/>
                <w:highlight w:val="none"/>
              </w:rPr>
              <w:t>未铺装道路扬尘中</w:t>
            </w:r>
            <w:r>
              <w:rPr>
                <w:color w:val="000000"/>
                <w:kern w:val="0"/>
                <w:sz w:val="24"/>
                <w:highlight w:val="none"/>
              </w:rPr>
              <w:t>PMi</w:t>
            </w:r>
            <w:r>
              <w:rPr>
                <w:rFonts w:hint="eastAsia"/>
                <w:color w:val="000000"/>
                <w:kern w:val="0"/>
                <w:sz w:val="24"/>
                <w:highlight w:val="none"/>
              </w:rPr>
              <w:t>排放系数，</w:t>
            </w:r>
            <w:r>
              <w:rPr>
                <w:color w:val="000000"/>
                <w:kern w:val="0"/>
                <w:sz w:val="24"/>
                <w:highlight w:val="none"/>
              </w:rPr>
              <w:t>g/km</w:t>
            </w:r>
            <w:r>
              <w:rPr>
                <w:rFonts w:hint="eastAsia"/>
                <w:color w:val="000000"/>
                <w:kern w:val="0"/>
                <w:sz w:val="24"/>
                <w:highlight w:val="none"/>
              </w:rPr>
              <w:t>；</w:t>
            </w:r>
          </w:p>
          <w:p>
            <w:pPr>
              <w:spacing w:line="360" w:lineRule="auto"/>
              <w:ind w:firstLine="480" w:firstLineChars="200"/>
              <w:contextualSpacing/>
              <w:rPr>
                <w:color w:val="000000"/>
                <w:kern w:val="0"/>
                <w:sz w:val="24"/>
                <w:highlight w:val="none"/>
              </w:rPr>
            </w:pPr>
            <w:r>
              <w:rPr>
                <w:color w:val="000000"/>
                <w:kern w:val="0"/>
                <w:sz w:val="24"/>
                <w:highlight w:val="none"/>
              </w:rPr>
              <w:t>k</w:t>
            </w:r>
            <w:r>
              <w:rPr>
                <w:color w:val="000000"/>
                <w:kern w:val="0"/>
                <w:sz w:val="24"/>
                <w:highlight w:val="none"/>
                <w:vertAlign w:val="subscript"/>
              </w:rPr>
              <w:t>i</w:t>
            </w:r>
            <w:r>
              <w:rPr>
                <w:color w:val="000000"/>
                <w:kern w:val="0"/>
                <w:sz w:val="24"/>
                <w:highlight w:val="none"/>
              </w:rPr>
              <w:t>—</w:t>
            </w:r>
            <w:r>
              <w:rPr>
                <w:rFonts w:hint="eastAsia"/>
                <w:color w:val="000000"/>
                <w:kern w:val="0"/>
                <w:sz w:val="24"/>
                <w:highlight w:val="none"/>
              </w:rPr>
              <w:t>产生的扬尘中</w:t>
            </w:r>
            <w:r>
              <w:rPr>
                <w:color w:val="000000"/>
                <w:kern w:val="0"/>
                <w:sz w:val="24"/>
                <w:highlight w:val="none"/>
              </w:rPr>
              <w:t>PMi</w:t>
            </w:r>
            <w:r>
              <w:rPr>
                <w:rFonts w:hint="eastAsia"/>
                <w:color w:val="000000"/>
                <w:kern w:val="0"/>
                <w:sz w:val="24"/>
                <w:highlight w:val="none"/>
              </w:rPr>
              <w:t>的粒度乘数，</w:t>
            </w:r>
            <w:r>
              <w:rPr>
                <w:color w:val="000000"/>
                <w:kern w:val="0"/>
                <w:sz w:val="24"/>
                <w:highlight w:val="none"/>
              </w:rPr>
              <w:t>TSP</w:t>
            </w:r>
            <w:r>
              <w:rPr>
                <w:rFonts w:hint="eastAsia"/>
                <w:color w:val="000000"/>
                <w:kern w:val="0"/>
                <w:sz w:val="24"/>
                <w:highlight w:val="none"/>
              </w:rPr>
              <w:t>取</w:t>
            </w:r>
            <w:r>
              <w:rPr>
                <w:color w:val="000000"/>
                <w:kern w:val="0"/>
                <w:sz w:val="24"/>
                <w:highlight w:val="none"/>
              </w:rPr>
              <w:t>1691.4g/km</w:t>
            </w:r>
            <w:r>
              <w:rPr>
                <w:rFonts w:hint="eastAsia"/>
                <w:color w:val="000000"/>
                <w:kern w:val="0"/>
                <w:sz w:val="24"/>
                <w:highlight w:val="none"/>
              </w:rPr>
              <w:t>；</w:t>
            </w:r>
            <w:r>
              <w:rPr>
                <w:color w:val="000000"/>
                <w:kern w:val="0"/>
                <w:sz w:val="24"/>
                <w:highlight w:val="none"/>
              </w:rPr>
              <w:t>a</w:t>
            </w:r>
            <w:r>
              <w:rPr>
                <w:rFonts w:hint="eastAsia"/>
                <w:color w:val="000000"/>
                <w:kern w:val="0"/>
                <w:sz w:val="24"/>
                <w:highlight w:val="none"/>
              </w:rPr>
              <w:t>取</w:t>
            </w:r>
            <w:r>
              <w:rPr>
                <w:color w:val="000000"/>
                <w:kern w:val="0"/>
                <w:sz w:val="24"/>
                <w:highlight w:val="none"/>
              </w:rPr>
              <w:t>0.3</w:t>
            </w:r>
            <w:r>
              <w:rPr>
                <w:rFonts w:hint="eastAsia"/>
                <w:color w:val="000000"/>
                <w:kern w:val="0"/>
                <w:sz w:val="24"/>
                <w:highlight w:val="none"/>
              </w:rPr>
              <w:t>，</w:t>
            </w:r>
            <w:r>
              <w:rPr>
                <w:color w:val="000000"/>
                <w:kern w:val="0"/>
                <w:sz w:val="24"/>
                <w:highlight w:val="none"/>
              </w:rPr>
              <w:t>b</w:t>
            </w:r>
            <w:r>
              <w:rPr>
                <w:rFonts w:hint="eastAsia"/>
                <w:color w:val="000000"/>
                <w:kern w:val="0"/>
                <w:sz w:val="24"/>
                <w:highlight w:val="none"/>
              </w:rPr>
              <w:t>取</w:t>
            </w:r>
            <w:r>
              <w:rPr>
                <w:color w:val="000000"/>
                <w:kern w:val="0"/>
                <w:sz w:val="24"/>
                <w:highlight w:val="none"/>
              </w:rPr>
              <w:t>0.3</w:t>
            </w:r>
            <w:r>
              <w:rPr>
                <w:rFonts w:hint="eastAsia"/>
                <w:color w:val="000000"/>
                <w:kern w:val="0"/>
                <w:sz w:val="24"/>
                <w:highlight w:val="none"/>
              </w:rPr>
              <w:t>；</w:t>
            </w:r>
          </w:p>
          <w:p>
            <w:pPr>
              <w:spacing w:line="360" w:lineRule="auto"/>
              <w:ind w:firstLine="480" w:firstLineChars="200"/>
              <w:contextualSpacing/>
              <w:rPr>
                <w:color w:val="000000"/>
                <w:kern w:val="0"/>
                <w:sz w:val="24"/>
                <w:highlight w:val="none"/>
              </w:rPr>
            </w:pPr>
            <w:r>
              <w:rPr>
                <w:color w:val="000000"/>
                <w:kern w:val="0"/>
                <w:sz w:val="24"/>
                <w:highlight w:val="none"/>
              </w:rPr>
              <w:t>s—</w:t>
            </w:r>
            <w:r>
              <w:rPr>
                <w:rFonts w:hint="eastAsia"/>
                <w:color w:val="000000"/>
                <w:kern w:val="0"/>
                <w:sz w:val="24"/>
                <w:highlight w:val="none"/>
              </w:rPr>
              <w:t>道路表面有效积尘率，取</w:t>
            </w:r>
            <w:r>
              <w:rPr>
                <w:color w:val="000000"/>
                <w:kern w:val="0"/>
                <w:sz w:val="24"/>
                <w:highlight w:val="none"/>
              </w:rPr>
              <w:t>40%</w:t>
            </w:r>
            <w:r>
              <w:rPr>
                <w:rFonts w:hint="eastAsia"/>
                <w:color w:val="000000"/>
                <w:kern w:val="0"/>
                <w:sz w:val="24"/>
                <w:highlight w:val="none"/>
              </w:rPr>
              <w:t>；</w:t>
            </w:r>
          </w:p>
          <w:p>
            <w:pPr>
              <w:spacing w:line="360" w:lineRule="auto"/>
              <w:ind w:firstLine="480" w:firstLineChars="200"/>
              <w:contextualSpacing/>
              <w:rPr>
                <w:color w:val="000000"/>
                <w:kern w:val="0"/>
                <w:sz w:val="24"/>
                <w:highlight w:val="none"/>
              </w:rPr>
            </w:pPr>
            <w:r>
              <w:rPr>
                <w:color w:val="000000"/>
                <w:kern w:val="0"/>
                <w:sz w:val="24"/>
                <w:highlight w:val="none"/>
              </w:rPr>
              <w:t>v—</w:t>
            </w:r>
            <w:r>
              <w:rPr>
                <w:rFonts w:hint="eastAsia"/>
                <w:color w:val="000000"/>
                <w:kern w:val="0"/>
                <w:sz w:val="24"/>
                <w:highlight w:val="none"/>
              </w:rPr>
              <w:t>平均车速，取</w:t>
            </w:r>
            <w:r>
              <w:rPr>
                <w:color w:val="000000"/>
                <w:kern w:val="0"/>
                <w:sz w:val="24"/>
                <w:highlight w:val="none"/>
              </w:rPr>
              <w:t>15km/h</w:t>
            </w:r>
            <w:r>
              <w:rPr>
                <w:rFonts w:hint="eastAsia"/>
                <w:color w:val="000000"/>
                <w:kern w:val="0"/>
                <w:sz w:val="24"/>
                <w:highlight w:val="none"/>
              </w:rPr>
              <w:t>；</w:t>
            </w:r>
          </w:p>
          <w:p>
            <w:pPr>
              <w:spacing w:line="360" w:lineRule="auto"/>
              <w:ind w:firstLine="480" w:firstLineChars="200"/>
              <w:contextualSpacing/>
              <w:rPr>
                <w:color w:val="000000"/>
                <w:kern w:val="0"/>
                <w:sz w:val="24"/>
                <w:highlight w:val="none"/>
              </w:rPr>
            </w:pPr>
            <w:r>
              <w:rPr>
                <w:color w:val="000000"/>
                <w:kern w:val="0"/>
                <w:sz w:val="24"/>
                <w:highlight w:val="none"/>
              </w:rPr>
              <w:t>M —</w:t>
            </w:r>
            <w:r>
              <w:rPr>
                <w:rFonts w:hint="eastAsia"/>
                <w:color w:val="000000"/>
                <w:kern w:val="0"/>
                <w:sz w:val="24"/>
                <w:highlight w:val="none"/>
              </w:rPr>
              <w:t>道路积尘含水率，取</w:t>
            </w:r>
            <w:r>
              <w:rPr>
                <w:color w:val="000000"/>
                <w:kern w:val="0"/>
                <w:sz w:val="24"/>
                <w:highlight w:val="none"/>
              </w:rPr>
              <w:t>10%</w:t>
            </w:r>
            <w:r>
              <w:rPr>
                <w:rFonts w:hint="eastAsia"/>
                <w:color w:val="000000"/>
                <w:kern w:val="0"/>
                <w:sz w:val="24"/>
                <w:highlight w:val="none"/>
              </w:rPr>
              <w:t>；</w:t>
            </w:r>
          </w:p>
          <w:p>
            <w:pPr>
              <w:spacing w:line="360" w:lineRule="auto"/>
              <w:ind w:firstLine="480" w:firstLineChars="200"/>
              <w:contextualSpacing/>
              <w:rPr>
                <w:color w:val="000000"/>
                <w:kern w:val="0"/>
                <w:sz w:val="24"/>
                <w:highlight w:val="none"/>
              </w:rPr>
            </w:pPr>
            <w:r>
              <w:rPr>
                <w:color w:val="000000"/>
                <w:kern w:val="0"/>
                <w:sz w:val="24"/>
                <w:highlight w:val="none"/>
              </w:rPr>
              <w:drawing>
                <wp:inline distT="0" distB="0" distL="0" distR="0">
                  <wp:extent cx="116840" cy="205105"/>
                  <wp:effectExtent l="0" t="0" r="16510" b="4445"/>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1" noChangeArrowheads="1"/>
                          </pic:cNvPicPr>
                        </pic:nvPicPr>
                        <pic:blipFill>
                          <a:blip r:embed="rId9" cstate="print"/>
                          <a:srcRect/>
                          <a:stretch>
                            <a:fillRect/>
                          </a:stretch>
                        </pic:blipFill>
                        <pic:spPr>
                          <a:xfrm>
                            <a:off x="0" y="0"/>
                            <a:ext cx="116840" cy="205105"/>
                          </a:xfrm>
                          <a:prstGeom prst="rect">
                            <a:avLst/>
                          </a:prstGeom>
                          <a:noFill/>
                          <a:ln w="9525">
                            <a:noFill/>
                            <a:miter lim="800000"/>
                            <a:headEnd/>
                            <a:tailEnd/>
                          </a:ln>
                        </pic:spPr>
                      </pic:pic>
                    </a:graphicData>
                  </a:graphic>
                </wp:inline>
              </w:drawing>
            </w:r>
            <w:r>
              <w:rPr>
                <w:color w:val="000000"/>
                <w:kern w:val="0"/>
                <w:sz w:val="24"/>
                <w:highlight w:val="none"/>
              </w:rPr>
              <w:t>—</w:t>
            </w:r>
            <w:r>
              <w:rPr>
                <w:rFonts w:hint="eastAsia"/>
                <w:color w:val="000000"/>
                <w:kern w:val="0"/>
                <w:sz w:val="24"/>
                <w:highlight w:val="none"/>
              </w:rPr>
              <w:t>污染控制技术对扬尘的去除效率，本项目采取洒水</w:t>
            </w:r>
            <w:r>
              <w:rPr>
                <w:color w:val="000000"/>
                <w:kern w:val="0"/>
                <w:sz w:val="24"/>
                <w:highlight w:val="none"/>
              </w:rPr>
              <w:t>2</w:t>
            </w:r>
            <w:r>
              <w:rPr>
                <w:rFonts w:hint="eastAsia"/>
                <w:color w:val="000000"/>
                <w:kern w:val="0"/>
                <w:sz w:val="24"/>
                <w:highlight w:val="none"/>
              </w:rPr>
              <w:t>次</w:t>
            </w:r>
            <w:r>
              <w:rPr>
                <w:color w:val="000000"/>
                <w:kern w:val="0"/>
                <w:sz w:val="24"/>
                <w:highlight w:val="none"/>
              </w:rPr>
              <w:t>/</w:t>
            </w:r>
            <w:r>
              <w:rPr>
                <w:rFonts w:hint="eastAsia"/>
                <w:color w:val="000000"/>
                <w:kern w:val="0"/>
                <w:sz w:val="24"/>
                <w:highlight w:val="none"/>
              </w:rPr>
              <w:t>天，控制效率取</w:t>
            </w:r>
            <w:r>
              <w:rPr>
                <w:color w:val="000000"/>
                <w:kern w:val="0"/>
                <w:sz w:val="24"/>
                <w:highlight w:val="none"/>
              </w:rPr>
              <w:t>66%</w:t>
            </w:r>
            <w:r>
              <w:rPr>
                <w:rFonts w:hint="eastAsia"/>
                <w:color w:val="000000"/>
                <w:kern w:val="0"/>
                <w:sz w:val="24"/>
                <w:highlight w:val="none"/>
              </w:rPr>
              <w:t>。</w:t>
            </w:r>
          </w:p>
          <w:p>
            <w:pPr>
              <w:spacing w:line="360" w:lineRule="auto"/>
              <w:ind w:firstLine="480" w:firstLineChars="200"/>
              <w:rPr>
                <w:color w:val="000000"/>
                <w:kern w:val="0"/>
                <w:sz w:val="24"/>
                <w:highlight w:val="none"/>
              </w:rPr>
            </w:pPr>
            <w:r>
              <w:rPr>
                <w:bCs/>
                <w:sz w:val="24"/>
                <w:highlight w:val="none"/>
              </w:rPr>
              <w:t>通过上式计算，E</w:t>
            </w:r>
            <w:r>
              <w:rPr>
                <w:bCs/>
                <w:sz w:val="24"/>
                <w:highlight w:val="none"/>
                <w:vertAlign w:val="subscript"/>
              </w:rPr>
              <w:t>UPi</w:t>
            </w:r>
            <w:r>
              <w:rPr>
                <w:bCs/>
                <w:sz w:val="24"/>
                <w:highlight w:val="none"/>
              </w:rPr>
              <w:t>为</w:t>
            </w:r>
            <w:r>
              <w:rPr>
                <w:rFonts w:hint="eastAsia"/>
                <w:bCs/>
                <w:sz w:val="24"/>
                <w:highlight w:val="none"/>
              </w:rPr>
              <w:t>25.23</w:t>
            </w:r>
            <w:r>
              <w:rPr>
                <w:bCs/>
                <w:sz w:val="24"/>
                <w:highlight w:val="none"/>
              </w:rPr>
              <w:t>g/km，厂区内道路长度为</w:t>
            </w:r>
            <w:r>
              <w:rPr>
                <w:rFonts w:hint="eastAsia"/>
                <w:bCs/>
                <w:sz w:val="24"/>
                <w:highlight w:val="none"/>
              </w:rPr>
              <w:t>0.5</w:t>
            </w:r>
            <w:r>
              <w:rPr>
                <w:bCs/>
                <w:sz w:val="24"/>
                <w:highlight w:val="none"/>
              </w:rPr>
              <w:t>km，</w:t>
            </w:r>
            <w:r>
              <w:rPr>
                <w:rFonts w:hint="eastAsia"/>
                <w:bCs/>
                <w:sz w:val="24"/>
                <w:highlight w:val="none"/>
              </w:rPr>
              <w:t>厂</w:t>
            </w:r>
            <w:r>
              <w:rPr>
                <w:bCs/>
                <w:sz w:val="24"/>
                <w:highlight w:val="none"/>
              </w:rPr>
              <w:t>区运输次数约为</w:t>
            </w:r>
            <w:r>
              <w:rPr>
                <w:rFonts w:hint="eastAsia"/>
                <w:bCs/>
                <w:sz w:val="24"/>
                <w:highlight w:val="none"/>
              </w:rPr>
              <w:t>15000</w:t>
            </w:r>
            <w:r>
              <w:rPr>
                <w:bCs/>
                <w:sz w:val="24"/>
                <w:highlight w:val="none"/>
              </w:rPr>
              <w:t>次/a，产生道路扬尘0.</w:t>
            </w:r>
            <w:r>
              <w:rPr>
                <w:rFonts w:hint="eastAsia"/>
                <w:bCs/>
                <w:sz w:val="24"/>
                <w:highlight w:val="none"/>
              </w:rPr>
              <w:t>19</w:t>
            </w:r>
            <w:r>
              <w:rPr>
                <w:bCs/>
                <w:sz w:val="24"/>
                <w:highlight w:val="none"/>
              </w:rPr>
              <w:t>t/a</w:t>
            </w:r>
            <w:r>
              <w:rPr>
                <w:rFonts w:hint="eastAsia"/>
                <w:color w:val="000000"/>
                <w:kern w:val="0"/>
                <w:sz w:val="24"/>
                <w:highlight w:val="none"/>
              </w:rPr>
              <w:t>，</w:t>
            </w:r>
            <w:r>
              <w:rPr>
                <w:rFonts w:hint="eastAsia"/>
                <w:color w:val="000000"/>
                <w:sz w:val="24"/>
                <w:highlight w:val="none"/>
              </w:rPr>
              <w:t>以无组织形式排放。</w:t>
            </w:r>
          </w:p>
          <w:p>
            <w:pPr>
              <w:spacing w:line="360" w:lineRule="auto"/>
              <w:ind w:firstLine="480" w:firstLineChars="200"/>
              <w:rPr>
                <w:sz w:val="24"/>
                <w:highlight w:val="none"/>
              </w:rPr>
            </w:pPr>
            <w:r>
              <w:rPr>
                <w:rFonts w:ascii="宋体"/>
                <w:sz w:val="24"/>
                <w:highlight w:val="none"/>
              </w:rPr>
              <w:fldChar w:fldCharType="begin"/>
            </w:r>
            <w:r>
              <w:rPr>
                <w:rFonts w:hint="eastAsia" w:ascii="宋体"/>
                <w:sz w:val="24"/>
                <w:highlight w:val="none"/>
              </w:rPr>
              <w:instrText xml:space="preserve">= 2 \* GB3</w:instrText>
            </w:r>
            <w:r>
              <w:rPr>
                <w:rFonts w:ascii="宋体"/>
                <w:sz w:val="24"/>
                <w:highlight w:val="none"/>
              </w:rPr>
              <w:fldChar w:fldCharType="separate"/>
            </w:r>
            <w:r>
              <w:rPr>
                <w:rFonts w:hint="eastAsia" w:ascii="宋体"/>
                <w:sz w:val="24"/>
                <w:highlight w:val="none"/>
              </w:rPr>
              <w:t>②</w:t>
            </w:r>
            <w:r>
              <w:rPr>
                <w:rFonts w:ascii="宋体"/>
                <w:sz w:val="24"/>
                <w:highlight w:val="none"/>
              </w:rPr>
              <w:fldChar w:fldCharType="end"/>
            </w:r>
            <w:r>
              <w:rPr>
                <w:rFonts w:ascii="宋体"/>
                <w:sz w:val="24"/>
                <w:highlight w:val="none"/>
              </w:rPr>
              <w:t>原</w:t>
            </w:r>
            <w:r>
              <w:rPr>
                <w:rFonts w:hint="eastAsia"/>
                <w:sz w:val="24"/>
                <w:highlight w:val="none"/>
              </w:rPr>
              <w:t>料堆场装卸扬尘</w:t>
            </w:r>
          </w:p>
          <w:p>
            <w:pPr>
              <w:adjustRightInd w:val="0"/>
              <w:snapToGrid w:val="0"/>
              <w:spacing w:line="360" w:lineRule="auto"/>
              <w:ind w:firstLine="480" w:firstLineChars="200"/>
              <w:jc w:val="left"/>
              <w:rPr>
                <w:bCs/>
                <w:sz w:val="24"/>
                <w:highlight w:val="none"/>
              </w:rPr>
            </w:pPr>
            <w:r>
              <w:rPr>
                <w:rFonts w:ascii="宋体"/>
                <w:sz w:val="24"/>
                <w:highlight w:val="none"/>
              </w:rPr>
              <w:t>原</w:t>
            </w:r>
            <w:r>
              <w:rPr>
                <w:rFonts w:hint="eastAsia"/>
                <w:sz w:val="24"/>
                <w:highlight w:val="none"/>
              </w:rPr>
              <w:t>料堆场装卸扬尘</w:t>
            </w:r>
            <w:r>
              <w:rPr>
                <w:bCs/>
                <w:sz w:val="24"/>
                <w:highlight w:val="none"/>
              </w:rPr>
              <w:t>产生情况采用交通水运研究所武汉水运工程学院提出的装车粉尘经验公式估算，经验公式为：</w:t>
            </w:r>
          </w:p>
          <w:p>
            <w:pPr>
              <w:spacing w:line="360" w:lineRule="auto"/>
              <w:rPr>
                <w:color w:val="000000"/>
                <w:sz w:val="24"/>
                <w:highlight w:val="none"/>
              </w:rPr>
            </w:pPr>
            <w:r>
              <w:rPr>
                <w:color w:val="000000"/>
                <w:sz w:val="24"/>
                <w:highlight w:val="none"/>
              </w:rPr>
              <w:drawing>
                <wp:anchor distT="0" distB="0" distL="0" distR="0" simplePos="0" relativeHeight="251662336" behindDoc="0" locked="0" layoutInCell="1" allowOverlap="1">
                  <wp:simplePos x="0" y="0"/>
                  <wp:positionH relativeFrom="column">
                    <wp:posOffset>609600</wp:posOffset>
                  </wp:positionH>
                  <wp:positionV relativeFrom="paragraph">
                    <wp:posOffset>52070</wp:posOffset>
                  </wp:positionV>
                  <wp:extent cx="2453640" cy="434340"/>
                  <wp:effectExtent l="0" t="0" r="3810" b="3810"/>
                  <wp:wrapTopAndBottom/>
                  <wp:docPr id="14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58"/>
                          <pic:cNvPicPr>
                            <a:picLocks noChangeAspect="1" noChangeArrowheads="1"/>
                          </pic:cNvPicPr>
                        </pic:nvPicPr>
                        <pic:blipFill>
                          <a:blip r:embed="rId10" cstate="print"/>
                          <a:srcRect/>
                          <a:stretch>
                            <a:fillRect/>
                          </a:stretch>
                        </pic:blipFill>
                        <pic:spPr>
                          <a:xfrm>
                            <a:off x="0" y="0"/>
                            <a:ext cx="2453640" cy="434340"/>
                          </a:xfrm>
                          <a:prstGeom prst="rect">
                            <a:avLst/>
                          </a:prstGeom>
                          <a:noFill/>
                          <a:ln w="9525">
                            <a:noFill/>
                            <a:miter lim="800000"/>
                            <a:headEnd/>
                            <a:tailEnd/>
                          </a:ln>
                        </pic:spPr>
                      </pic:pic>
                    </a:graphicData>
                  </a:graphic>
                </wp:anchor>
              </w:drawing>
            </w:r>
          </w:p>
          <w:p>
            <w:pPr>
              <w:spacing w:line="360" w:lineRule="auto"/>
              <w:ind w:firstLine="480"/>
              <w:rPr>
                <w:color w:val="000000"/>
                <w:sz w:val="24"/>
                <w:highlight w:val="none"/>
              </w:rPr>
            </w:pPr>
            <w:r>
              <w:rPr>
                <w:color w:val="000000"/>
                <w:sz w:val="24"/>
                <w:highlight w:val="none"/>
              </w:rPr>
              <w:t>式中：Q——物料装车时机械落差起尘量，kg/s；</w:t>
            </w:r>
          </w:p>
          <w:p>
            <w:pPr>
              <w:spacing w:line="360" w:lineRule="auto"/>
              <w:ind w:firstLine="480"/>
              <w:rPr>
                <w:color w:val="000000"/>
                <w:sz w:val="24"/>
                <w:highlight w:val="none"/>
              </w:rPr>
            </w:pPr>
            <w:r>
              <w:rPr>
                <w:color w:val="000000"/>
                <w:sz w:val="24"/>
                <w:highlight w:val="none"/>
              </w:rPr>
              <w:t xml:space="preserve">      H——物料落差，m；装载车与自卸车车厢间距，取0.5m；</w:t>
            </w:r>
          </w:p>
          <w:p>
            <w:pPr>
              <w:spacing w:line="360" w:lineRule="auto"/>
              <w:ind w:firstLine="480"/>
              <w:rPr>
                <w:color w:val="000000"/>
                <w:sz w:val="24"/>
                <w:highlight w:val="none"/>
              </w:rPr>
            </w:pPr>
            <w:r>
              <w:rPr>
                <w:color w:val="000000"/>
                <w:sz w:val="24"/>
                <w:highlight w:val="none"/>
              </w:rPr>
              <w:t xml:space="preserve">      μ——平均风速，m/s；</w:t>
            </w:r>
            <w:r>
              <w:rPr>
                <w:rFonts w:hint="eastAsia"/>
                <w:bCs/>
                <w:sz w:val="24"/>
                <w:highlight w:val="none"/>
              </w:rPr>
              <w:t>取</w:t>
            </w:r>
            <w:r>
              <w:rPr>
                <w:bCs/>
                <w:sz w:val="24"/>
                <w:highlight w:val="none"/>
              </w:rPr>
              <w:t>哈尔滨市年平均风速，</w:t>
            </w:r>
            <w:r>
              <w:rPr>
                <w:rFonts w:hint="eastAsia"/>
                <w:bCs/>
                <w:sz w:val="24"/>
                <w:highlight w:val="none"/>
              </w:rPr>
              <w:t>2.7</w:t>
            </w:r>
            <w:r>
              <w:rPr>
                <w:bCs/>
                <w:sz w:val="24"/>
                <w:highlight w:val="none"/>
              </w:rPr>
              <w:t>m/s</w:t>
            </w:r>
            <w:r>
              <w:rPr>
                <w:color w:val="000000"/>
                <w:sz w:val="24"/>
                <w:highlight w:val="none"/>
              </w:rPr>
              <w:t>；</w:t>
            </w:r>
          </w:p>
          <w:p>
            <w:pPr>
              <w:spacing w:line="360" w:lineRule="auto"/>
              <w:ind w:firstLine="480"/>
              <w:rPr>
                <w:color w:val="000000"/>
                <w:sz w:val="24"/>
                <w:highlight w:val="none"/>
              </w:rPr>
            </w:pPr>
            <w:r>
              <w:rPr>
                <w:color w:val="000000"/>
                <w:sz w:val="24"/>
                <w:highlight w:val="none"/>
              </w:rPr>
              <w:t xml:space="preserve">      ω——物料含水率，%；取1.5%；</w:t>
            </w:r>
          </w:p>
          <w:p>
            <w:pPr>
              <w:spacing w:line="360" w:lineRule="auto"/>
              <w:ind w:firstLine="480"/>
              <w:rPr>
                <w:color w:val="000000"/>
                <w:sz w:val="24"/>
                <w:highlight w:val="none"/>
              </w:rPr>
            </w:pPr>
            <w:r>
              <w:rPr>
                <w:color w:val="000000"/>
                <w:sz w:val="24"/>
                <w:highlight w:val="none"/>
              </w:rPr>
              <w:t xml:space="preserve">      t——物料装车所需时间，t/s；装载车容量为</w:t>
            </w:r>
            <w:r>
              <w:rPr>
                <w:rFonts w:hint="eastAsia"/>
                <w:color w:val="000000"/>
                <w:sz w:val="24"/>
                <w:highlight w:val="none"/>
              </w:rPr>
              <w:t>5</w:t>
            </w:r>
            <w:r>
              <w:rPr>
                <w:color w:val="000000"/>
                <w:sz w:val="24"/>
                <w:highlight w:val="none"/>
              </w:rPr>
              <w:t>t，每铲物料下落时间为1s，则物料装车效率为</w:t>
            </w:r>
            <w:r>
              <w:rPr>
                <w:rFonts w:hint="eastAsia"/>
                <w:color w:val="000000"/>
                <w:sz w:val="24"/>
                <w:highlight w:val="none"/>
              </w:rPr>
              <w:t>5</w:t>
            </w:r>
            <w:r>
              <w:rPr>
                <w:color w:val="000000"/>
                <w:sz w:val="24"/>
                <w:highlight w:val="none"/>
              </w:rPr>
              <w:t>t/s。</w:t>
            </w:r>
          </w:p>
          <w:p>
            <w:pPr>
              <w:spacing w:line="360" w:lineRule="auto"/>
              <w:ind w:firstLine="480" w:firstLineChars="200"/>
              <w:rPr>
                <w:sz w:val="24"/>
                <w:highlight w:val="none"/>
              </w:rPr>
            </w:pPr>
            <w:r>
              <w:rPr>
                <w:bCs/>
                <w:sz w:val="24"/>
                <w:highlight w:val="none"/>
              </w:rPr>
              <w:t>经计算铲装集堆起尘量为0.01kg/s，装载机每铲容量为5t，每铲物料下落时间为1s，项目每天装运约</w:t>
            </w:r>
            <w:r>
              <w:rPr>
                <w:rFonts w:hint="eastAsia"/>
                <w:bCs/>
                <w:sz w:val="24"/>
                <w:highlight w:val="none"/>
              </w:rPr>
              <w:t>714.3</w:t>
            </w:r>
            <w:r>
              <w:rPr>
                <w:bCs/>
                <w:sz w:val="24"/>
                <w:highlight w:val="none"/>
              </w:rPr>
              <w:t>t物料，相当于物料下落总时间为每天</w:t>
            </w:r>
            <w:r>
              <w:rPr>
                <w:rFonts w:hint="eastAsia"/>
                <w:bCs/>
                <w:sz w:val="24"/>
                <w:highlight w:val="none"/>
              </w:rPr>
              <w:t>142.9</w:t>
            </w:r>
            <w:r>
              <w:rPr>
                <w:bCs/>
                <w:sz w:val="24"/>
                <w:highlight w:val="none"/>
              </w:rPr>
              <w:t>s，全年工作2</w:t>
            </w:r>
            <w:r>
              <w:rPr>
                <w:rFonts w:hint="eastAsia"/>
                <w:bCs/>
                <w:sz w:val="24"/>
                <w:highlight w:val="none"/>
              </w:rPr>
              <w:t>1</w:t>
            </w:r>
            <w:r>
              <w:rPr>
                <w:bCs/>
                <w:sz w:val="24"/>
                <w:highlight w:val="none"/>
              </w:rPr>
              <w:t>0天，经计算得出矿区铲装每年产生粉尘量为</w:t>
            </w:r>
            <w:r>
              <w:rPr>
                <w:rFonts w:hint="eastAsia"/>
                <w:bCs/>
                <w:sz w:val="24"/>
                <w:highlight w:val="none"/>
              </w:rPr>
              <w:t>0.09</w:t>
            </w:r>
            <w:r>
              <w:rPr>
                <w:bCs/>
                <w:sz w:val="24"/>
                <w:highlight w:val="none"/>
              </w:rPr>
              <w:t>t/a，通过洒水抑尘的方式可使粉尘排放量降低</w:t>
            </w:r>
            <w:r>
              <w:rPr>
                <w:rFonts w:hint="eastAsia"/>
                <w:bCs/>
                <w:sz w:val="24"/>
                <w:highlight w:val="none"/>
              </w:rPr>
              <w:t>74</w:t>
            </w:r>
            <w:r>
              <w:rPr>
                <w:bCs/>
                <w:sz w:val="24"/>
                <w:highlight w:val="none"/>
              </w:rPr>
              <w:t>%，则集堆铲装排放的粉尘量为0.</w:t>
            </w:r>
            <w:r>
              <w:rPr>
                <w:rFonts w:hint="eastAsia"/>
                <w:bCs/>
                <w:sz w:val="24"/>
                <w:highlight w:val="none"/>
              </w:rPr>
              <w:t>02</w:t>
            </w:r>
            <w:r>
              <w:rPr>
                <w:bCs/>
                <w:sz w:val="24"/>
                <w:highlight w:val="none"/>
              </w:rPr>
              <w:t>t/a</w:t>
            </w:r>
            <w:r>
              <w:rPr>
                <w:rFonts w:hint="eastAsia"/>
                <w:color w:val="000000"/>
                <w:sz w:val="24"/>
                <w:highlight w:val="none"/>
              </w:rPr>
              <w:t>，以无组织形式排放。</w:t>
            </w:r>
          </w:p>
          <w:p>
            <w:pPr>
              <w:spacing w:line="360" w:lineRule="auto"/>
              <w:ind w:firstLine="480" w:firstLineChars="200"/>
              <w:rPr>
                <w:rFonts w:ascii="宋体"/>
                <w:sz w:val="24"/>
                <w:highlight w:val="none"/>
              </w:rPr>
            </w:pPr>
            <w:r>
              <w:rPr>
                <w:rFonts w:ascii="宋体"/>
                <w:sz w:val="24"/>
                <w:highlight w:val="none"/>
              </w:rPr>
              <w:fldChar w:fldCharType="begin"/>
            </w:r>
            <w:r>
              <w:rPr>
                <w:rFonts w:hint="eastAsia" w:ascii="宋体"/>
                <w:sz w:val="24"/>
                <w:highlight w:val="none"/>
              </w:rPr>
              <w:instrText xml:space="preserve">= 3 \* GB3</w:instrText>
            </w:r>
            <w:r>
              <w:rPr>
                <w:rFonts w:ascii="宋体"/>
                <w:sz w:val="24"/>
                <w:highlight w:val="none"/>
              </w:rPr>
              <w:fldChar w:fldCharType="separate"/>
            </w:r>
            <w:r>
              <w:rPr>
                <w:rFonts w:hint="eastAsia" w:ascii="宋体"/>
                <w:sz w:val="24"/>
                <w:highlight w:val="none"/>
              </w:rPr>
              <w:t>③</w:t>
            </w:r>
            <w:r>
              <w:rPr>
                <w:rFonts w:ascii="宋体"/>
                <w:sz w:val="24"/>
                <w:highlight w:val="none"/>
              </w:rPr>
              <w:fldChar w:fldCharType="end"/>
            </w:r>
            <w:r>
              <w:rPr>
                <w:rFonts w:ascii="宋体"/>
                <w:sz w:val="24"/>
                <w:highlight w:val="none"/>
              </w:rPr>
              <w:t>原料堆场存储粉尘</w:t>
            </w:r>
          </w:p>
          <w:p>
            <w:pPr>
              <w:spacing w:line="360" w:lineRule="auto"/>
              <w:ind w:firstLine="480" w:firstLineChars="200"/>
              <w:rPr>
                <w:rFonts w:ascii="宋体"/>
                <w:sz w:val="24"/>
                <w:highlight w:val="none"/>
              </w:rPr>
            </w:pPr>
            <w:r>
              <w:rPr>
                <w:rFonts w:hint="eastAsia" w:ascii="宋体"/>
                <w:sz w:val="24"/>
                <w:highlight w:val="none"/>
              </w:rPr>
              <w:t>原料堆场储料为石料，粉尘含量较少，采用苫布全密闭遮盖、洒水抑尘等措施，可有效减少粉尘排放，对周围环境影响较小，故本项目仅定性分析。</w:t>
            </w:r>
          </w:p>
          <w:p>
            <w:pPr>
              <w:spacing w:line="360" w:lineRule="auto"/>
              <w:ind w:firstLine="480" w:firstLineChars="200"/>
              <w:rPr>
                <w:sz w:val="24"/>
                <w:highlight w:val="none"/>
              </w:rPr>
            </w:pPr>
            <w:r>
              <w:rPr>
                <w:rFonts w:hint="eastAsia" w:ascii="宋体"/>
                <w:sz w:val="24"/>
                <w:highlight w:val="none"/>
              </w:rPr>
              <w:fldChar w:fldCharType="begin"/>
            </w:r>
            <w:r>
              <w:rPr>
                <w:rFonts w:hint="eastAsia" w:ascii="宋体"/>
                <w:sz w:val="24"/>
                <w:highlight w:val="none"/>
              </w:rPr>
              <w:instrText xml:space="preserve"> = 4 \* GB3 </w:instrText>
            </w:r>
            <w:r>
              <w:rPr>
                <w:rFonts w:hint="eastAsia" w:ascii="宋体"/>
                <w:sz w:val="24"/>
                <w:highlight w:val="none"/>
              </w:rPr>
              <w:fldChar w:fldCharType="separate"/>
            </w:r>
            <w:r>
              <w:rPr>
                <w:rFonts w:hint="eastAsia" w:ascii="宋体"/>
                <w:sz w:val="24"/>
                <w:highlight w:val="none"/>
              </w:rPr>
              <w:t>④</w:t>
            </w:r>
            <w:r>
              <w:rPr>
                <w:rFonts w:hint="eastAsia" w:ascii="宋体"/>
                <w:sz w:val="24"/>
                <w:highlight w:val="none"/>
              </w:rPr>
              <w:fldChar w:fldCharType="end"/>
            </w:r>
            <w:r>
              <w:rPr>
                <w:rFonts w:hint="eastAsia" w:ascii="宋体"/>
                <w:sz w:val="24"/>
                <w:highlight w:val="none"/>
              </w:rPr>
              <w:t>水泥筒仓粉尘</w:t>
            </w:r>
          </w:p>
          <w:p>
            <w:pPr>
              <w:spacing w:line="360" w:lineRule="auto"/>
              <w:ind w:firstLine="480" w:firstLineChars="200"/>
              <w:rPr>
                <w:sz w:val="24"/>
                <w:highlight w:val="none"/>
              </w:rPr>
            </w:pPr>
            <w:r>
              <w:rPr>
                <w:sz w:val="24"/>
                <w:highlight w:val="none"/>
              </w:rPr>
              <w:t>根据《逸散性工业粉尘控制技术》表</w:t>
            </w:r>
            <w:r>
              <w:rPr>
                <w:rFonts w:hint="eastAsia"/>
                <w:sz w:val="24"/>
                <w:highlight w:val="none"/>
              </w:rPr>
              <w:t>22-1中贮仓排气（卸料）粉尘逸散性系数</w:t>
            </w:r>
            <w:r>
              <w:rPr>
                <w:sz w:val="24"/>
                <w:highlight w:val="none"/>
              </w:rPr>
              <w:t>0.12kg/t</w:t>
            </w:r>
            <w:r>
              <w:rPr>
                <w:rFonts w:hint="eastAsia"/>
                <w:sz w:val="24"/>
                <w:highlight w:val="none"/>
              </w:rPr>
              <w:t>，</w:t>
            </w:r>
            <w:r>
              <w:rPr>
                <w:sz w:val="24"/>
                <w:highlight w:val="none"/>
              </w:rPr>
              <w:t>本项目水泥量为</w:t>
            </w:r>
            <w:r>
              <w:rPr>
                <w:rFonts w:hint="eastAsia"/>
                <w:sz w:val="24"/>
                <w:highlight w:val="none"/>
              </w:rPr>
              <w:t>4万</w:t>
            </w:r>
            <w:r>
              <w:rPr>
                <w:sz w:val="24"/>
                <w:highlight w:val="none"/>
              </w:rPr>
              <w:t>t/a</w:t>
            </w:r>
            <w:r>
              <w:rPr>
                <w:rFonts w:hint="eastAsia"/>
                <w:sz w:val="24"/>
                <w:highlight w:val="none"/>
              </w:rPr>
              <w:t>，设置两座水泥筒仓，</w:t>
            </w:r>
            <w:r>
              <w:rPr>
                <w:sz w:val="24"/>
                <w:highlight w:val="none"/>
              </w:rPr>
              <w:t>则</w:t>
            </w:r>
            <w:r>
              <w:rPr>
                <w:rFonts w:hint="eastAsia"/>
                <w:sz w:val="24"/>
                <w:highlight w:val="none"/>
              </w:rPr>
              <w:t>单座</w:t>
            </w:r>
            <w:r>
              <w:rPr>
                <w:sz w:val="24"/>
                <w:highlight w:val="none"/>
              </w:rPr>
              <w:t>水泥筒仓粉尘产生量为</w:t>
            </w:r>
            <w:r>
              <w:rPr>
                <w:rFonts w:hint="eastAsia"/>
                <w:sz w:val="24"/>
                <w:highlight w:val="none"/>
              </w:rPr>
              <w:t>2.4</w:t>
            </w:r>
            <w:r>
              <w:rPr>
                <w:sz w:val="24"/>
                <w:highlight w:val="none"/>
              </w:rPr>
              <w:t>t/a，</w:t>
            </w:r>
            <w:r>
              <w:rPr>
                <w:rFonts w:hint="eastAsia"/>
                <w:sz w:val="24"/>
                <w:highlight w:val="none"/>
              </w:rPr>
              <w:t>水泥</w:t>
            </w:r>
            <w:r>
              <w:rPr>
                <w:sz w:val="24"/>
                <w:highlight w:val="none"/>
              </w:rPr>
              <w:t>年转运时间为</w:t>
            </w:r>
            <w:r>
              <w:rPr>
                <w:rFonts w:hint="eastAsia"/>
                <w:sz w:val="24"/>
                <w:highlight w:val="none"/>
              </w:rPr>
              <w:t>1000h，</w:t>
            </w:r>
            <w:r>
              <w:rPr>
                <w:sz w:val="24"/>
                <w:highlight w:val="none"/>
              </w:rPr>
              <w:t>产生速率为</w:t>
            </w:r>
            <w:r>
              <w:rPr>
                <w:rFonts w:hint="eastAsia"/>
                <w:sz w:val="24"/>
                <w:highlight w:val="none"/>
              </w:rPr>
              <w:t>2.4</w:t>
            </w:r>
            <w:r>
              <w:rPr>
                <w:sz w:val="24"/>
                <w:highlight w:val="none"/>
              </w:rPr>
              <w:t>kg/h</w:t>
            </w:r>
            <w:r>
              <w:rPr>
                <w:rFonts w:hint="eastAsia"/>
                <w:sz w:val="24"/>
                <w:highlight w:val="none"/>
              </w:rPr>
              <w:t>。粉尘经仓顶布袋除尘器处理后仓顶排放，则单座水泥筒仓</w:t>
            </w:r>
            <w:r>
              <w:rPr>
                <w:sz w:val="24"/>
                <w:highlight w:val="none"/>
              </w:rPr>
              <w:t>排放量为</w:t>
            </w:r>
            <w:r>
              <w:rPr>
                <w:rFonts w:hint="eastAsia"/>
                <w:sz w:val="24"/>
                <w:highlight w:val="none"/>
              </w:rPr>
              <w:t>0.0</w:t>
            </w:r>
            <w:r>
              <w:rPr>
                <w:rFonts w:hint="eastAsia"/>
                <w:sz w:val="24"/>
                <w:highlight w:val="none"/>
                <w:lang w:val="en-US" w:eastAsia="zh-CN"/>
              </w:rPr>
              <w:t>07</w:t>
            </w:r>
            <w:r>
              <w:rPr>
                <w:rFonts w:hint="eastAsia"/>
                <w:sz w:val="24"/>
                <w:highlight w:val="none"/>
              </w:rPr>
              <w:t>t/a，</w:t>
            </w:r>
            <w:r>
              <w:rPr>
                <w:sz w:val="24"/>
                <w:highlight w:val="none"/>
              </w:rPr>
              <w:t>排放速率为</w:t>
            </w:r>
            <w:r>
              <w:rPr>
                <w:rFonts w:hint="eastAsia"/>
                <w:sz w:val="24"/>
                <w:highlight w:val="none"/>
                <w:lang w:val="en-US" w:eastAsia="zh-CN"/>
              </w:rPr>
              <w:t>0.007</w:t>
            </w:r>
            <w:r>
              <w:rPr>
                <w:sz w:val="24"/>
                <w:highlight w:val="none"/>
              </w:rPr>
              <w:t>kg/h</w:t>
            </w:r>
            <w:r>
              <w:rPr>
                <w:rFonts w:hint="eastAsia"/>
                <w:sz w:val="24"/>
                <w:highlight w:val="none"/>
              </w:rPr>
              <w:t>。</w:t>
            </w:r>
          </w:p>
          <w:p>
            <w:pPr>
              <w:spacing w:line="360" w:lineRule="auto"/>
              <w:ind w:left="420" w:leftChars="200"/>
              <w:rPr>
                <w:sz w:val="24"/>
                <w:highlight w:val="none"/>
              </w:rPr>
            </w:pPr>
            <w:r>
              <w:rPr>
                <w:rFonts w:hint="eastAsia"/>
                <w:sz w:val="24"/>
                <w:highlight w:val="none"/>
              </w:rPr>
              <w:t>（2）下料、搅拌粉尘</w:t>
            </w:r>
          </w:p>
          <w:p>
            <w:pPr>
              <w:spacing w:line="360" w:lineRule="auto"/>
              <w:ind w:firstLine="480" w:firstLineChars="200"/>
              <w:rPr>
                <w:sz w:val="24"/>
                <w:highlight w:val="none"/>
              </w:rPr>
            </w:pPr>
            <w:r>
              <w:rPr>
                <w:rFonts w:hint="eastAsia"/>
                <w:sz w:val="24"/>
                <w:highlight w:val="none"/>
              </w:rPr>
              <w:t>本项目砂子、砾石提升以搅拌机配套的皮带输送方式完成，水泥则以压缩空气吹入散装水泥筒仓，辅以螺旋输送机给水泥秤供料，称重完的物料直接进入搅拌机进行搅拌。各生产工序均采用电脑集中控制，原料的输送、投料和搅拌均为封闭式。</w:t>
            </w:r>
          </w:p>
          <w:p>
            <w:pPr>
              <w:spacing w:line="360" w:lineRule="auto"/>
              <w:ind w:firstLine="480" w:firstLineChars="200"/>
              <w:rPr>
                <w:sz w:val="24"/>
                <w:highlight w:val="none"/>
              </w:rPr>
            </w:pPr>
            <w:r>
              <w:rPr>
                <w:rFonts w:hint="eastAsia"/>
                <w:sz w:val="24"/>
                <w:highlight w:val="none"/>
              </w:rPr>
              <w:t>根据《逸散性工业粉尘控制技术》表</w:t>
            </w:r>
            <w:r>
              <w:rPr>
                <w:sz w:val="24"/>
                <w:highlight w:val="none"/>
              </w:rPr>
              <w:t xml:space="preserve">22-1 </w:t>
            </w:r>
            <w:r>
              <w:rPr>
                <w:rFonts w:hint="eastAsia"/>
                <w:sz w:val="24"/>
                <w:highlight w:val="none"/>
              </w:rPr>
              <w:t>中贮仓排气（卸料）粉尘逸散性系数</w:t>
            </w:r>
            <w:r>
              <w:rPr>
                <w:sz w:val="24"/>
                <w:highlight w:val="none"/>
              </w:rPr>
              <w:t>0.12kg/t</w:t>
            </w:r>
            <w:r>
              <w:rPr>
                <w:rFonts w:hint="eastAsia"/>
                <w:sz w:val="24"/>
                <w:highlight w:val="none"/>
              </w:rPr>
              <w:t>，装水泥、砂子和砾石进称量斗（装料）粉尘逸散性系数（装料）</w:t>
            </w:r>
            <w:r>
              <w:rPr>
                <w:sz w:val="24"/>
                <w:highlight w:val="none"/>
              </w:rPr>
              <w:t>0.01kg/t</w:t>
            </w:r>
            <w:r>
              <w:rPr>
                <w:rFonts w:hint="eastAsia"/>
                <w:sz w:val="24"/>
                <w:highlight w:val="none"/>
              </w:rPr>
              <w:t>，装水泥、砂子和砾石进搅拌机（装料）粉尘逸散性系数</w:t>
            </w:r>
            <w:r>
              <w:rPr>
                <w:sz w:val="24"/>
                <w:highlight w:val="none"/>
              </w:rPr>
              <w:t>0.02kg/t</w:t>
            </w:r>
            <w:r>
              <w:rPr>
                <w:rFonts w:hint="eastAsia"/>
                <w:sz w:val="24"/>
                <w:highlight w:val="none"/>
              </w:rPr>
              <w:t>进行计算，项目水泥用量为40</w:t>
            </w:r>
            <w:r>
              <w:rPr>
                <w:sz w:val="24"/>
                <w:highlight w:val="none"/>
              </w:rPr>
              <w:t>000t/a</w:t>
            </w:r>
            <w:r>
              <w:rPr>
                <w:rFonts w:hint="eastAsia"/>
                <w:sz w:val="24"/>
                <w:highlight w:val="none"/>
              </w:rPr>
              <w:t>，水泥、砂子和砾石总用量为150</w:t>
            </w:r>
            <w:r>
              <w:rPr>
                <w:sz w:val="24"/>
                <w:highlight w:val="none"/>
              </w:rPr>
              <w:t>000t/a</w:t>
            </w:r>
            <w:r>
              <w:rPr>
                <w:rFonts w:hint="eastAsia"/>
                <w:sz w:val="24"/>
                <w:highlight w:val="none"/>
              </w:rPr>
              <w:t>，则下料及搅拌工序产生粉尘量为9.3</w:t>
            </w:r>
            <w:r>
              <w:rPr>
                <w:sz w:val="24"/>
                <w:highlight w:val="none"/>
              </w:rPr>
              <w:t>t/a</w:t>
            </w:r>
            <w:r>
              <w:rPr>
                <w:rFonts w:hint="eastAsia"/>
                <w:sz w:val="24"/>
                <w:highlight w:val="none"/>
              </w:rPr>
              <w:t>。除尘系统风机风量不低于5</w:t>
            </w:r>
            <w:r>
              <w:rPr>
                <w:sz w:val="24"/>
                <w:highlight w:val="none"/>
              </w:rPr>
              <w:t>000m</w:t>
            </w:r>
            <w:r>
              <w:rPr>
                <w:sz w:val="24"/>
                <w:highlight w:val="none"/>
                <w:vertAlign w:val="superscript"/>
              </w:rPr>
              <w:t>3</w:t>
            </w:r>
            <w:r>
              <w:rPr>
                <w:sz w:val="24"/>
                <w:highlight w:val="none"/>
              </w:rPr>
              <w:t>/h</w:t>
            </w:r>
            <w:r>
              <w:rPr>
                <w:rFonts w:hint="eastAsia"/>
                <w:sz w:val="24"/>
                <w:highlight w:val="none"/>
              </w:rPr>
              <w:t>，除尘效率</w:t>
            </w:r>
            <w:r>
              <w:rPr>
                <w:rFonts w:hint="eastAsia"/>
                <w:sz w:val="24"/>
                <w:highlight w:val="none"/>
                <w:lang w:eastAsia="zh-CN"/>
              </w:rPr>
              <w:t>99.7%</w:t>
            </w:r>
            <w:r>
              <w:rPr>
                <w:rFonts w:hint="eastAsia"/>
                <w:sz w:val="24"/>
                <w:highlight w:val="none"/>
              </w:rPr>
              <w:t>，则下料及搅拌粉尘产生浓度1107.1</w:t>
            </w:r>
            <w:r>
              <w:rPr>
                <w:sz w:val="24"/>
                <w:highlight w:val="none"/>
              </w:rPr>
              <w:t>mg/m</w:t>
            </w:r>
            <w:r>
              <w:rPr>
                <w:sz w:val="24"/>
                <w:highlight w:val="none"/>
                <w:vertAlign w:val="superscript"/>
              </w:rPr>
              <w:t>3</w:t>
            </w:r>
            <w:r>
              <w:rPr>
                <w:rFonts w:hint="eastAsia"/>
                <w:sz w:val="24"/>
                <w:highlight w:val="none"/>
              </w:rPr>
              <w:t>，排放量为0.0</w:t>
            </w:r>
            <w:r>
              <w:rPr>
                <w:rFonts w:hint="eastAsia"/>
                <w:sz w:val="24"/>
                <w:highlight w:val="none"/>
                <w:lang w:val="en-US" w:eastAsia="zh-CN"/>
              </w:rPr>
              <w:t>28</w:t>
            </w:r>
            <w:r>
              <w:rPr>
                <w:sz w:val="24"/>
                <w:highlight w:val="none"/>
              </w:rPr>
              <w:t>t/a</w:t>
            </w:r>
            <w:r>
              <w:rPr>
                <w:rFonts w:hint="eastAsia"/>
                <w:sz w:val="24"/>
                <w:highlight w:val="none"/>
              </w:rPr>
              <w:t>，排放浓度为</w:t>
            </w:r>
            <w:r>
              <w:rPr>
                <w:rFonts w:hint="eastAsia"/>
                <w:sz w:val="24"/>
                <w:highlight w:val="none"/>
                <w:lang w:val="en-US" w:eastAsia="zh-CN"/>
              </w:rPr>
              <w:t>3.32</w:t>
            </w:r>
            <w:r>
              <w:rPr>
                <w:sz w:val="24"/>
                <w:highlight w:val="none"/>
              </w:rPr>
              <w:t>mg/m</w:t>
            </w:r>
            <w:r>
              <w:rPr>
                <w:sz w:val="24"/>
                <w:highlight w:val="none"/>
                <w:vertAlign w:val="superscript"/>
              </w:rPr>
              <w:t>3</w:t>
            </w:r>
            <w:r>
              <w:rPr>
                <w:rFonts w:hint="eastAsia"/>
                <w:sz w:val="24"/>
                <w:highlight w:val="none"/>
              </w:rPr>
              <w:t>，排放速率为</w:t>
            </w:r>
            <w:r>
              <w:rPr>
                <w:sz w:val="24"/>
                <w:highlight w:val="none"/>
              </w:rPr>
              <w:t>0.</w:t>
            </w:r>
            <w:r>
              <w:rPr>
                <w:rFonts w:hint="eastAsia"/>
                <w:sz w:val="24"/>
                <w:highlight w:val="none"/>
                <w:lang w:val="en-US" w:eastAsia="zh-CN"/>
              </w:rPr>
              <w:t>017</w:t>
            </w:r>
            <w:r>
              <w:rPr>
                <w:sz w:val="24"/>
                <w:highlight w:val="none"/>
              </w:rPr>
              <w:t>kg/h</w:t>
            </w:r>
            <w:r>
              <w:rPr>
                <w:rFonts w:hint="eastAsia"/>
                <w:sz w:val="24"/>
                <w:highlight w:val="none"/>
              </w:rPr>
              <w:t>。</w:t>
            </w:r>
          </w:p>
          <w:p>
            <w:pPr>
              <w:pStyle w:val="66"/>
              <w:spacing w:line="240" w:lineRule="auto"/>
              <w:contextualSpacing/>
              <w:rPr>
                <w:rFonts w:ascii="Times New Roman" w:hAnsi="Times New Roman" w:eastAsia="宋体"/>
                <w:b/>
                <w:color w:val="000000" w:themeColor="text1"/>
                <w:highlight w:val="none"/>
              </w:rPr>
            </w:pPr>
            <w:r>
              <w:rPr>
                <w:rFonts w:ascii="Times New Roman" w:hAnsi="Times New Roman" w:eastAsia="宋体"/>
                <w:b/>
                <w:color w:val="000000" w:themeColor="text1"/>
                <w:highlight w:val="none"/>
              </w:rPr>
              <w:t>表4-</w:t>
            </w:r>
            <w:r>
              <w:rPr>
                <w:rFonts w:hint="eastAsia" w:ascii="Times New Roman" w:hAnsi="Times New Roman" w:eastAsia="宋体"/>
                <w:b/>
                <w:color w:val="000000" w:themeColor="text1"/>
                <w:highlight w:val="none"/>
              </w:rPr>
              <w:t>3</w:t>
            </w:r>
            <w:r>
              <w:rPr>
                <w:rFonts w:ascii="Times New Roman" w:hAnsi="Times New Roman" w:eastAsia="宋体"/>
                <w:b/>
                <w:color w:val="000000" w:themeColor="text1"/>
                <w:highlight w:val="none"/>
              </w:rPr>
              <w:t xml:space="preserve"> 废气排放口基本情况一览表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37"/>
              <w:gridCol w:w="940"/>
              <w:gridCol w:w="970"/>
              <w:gridCol w:w="940"/>
              <w:gridCol w:w="1221"/>
              <w:gridCol w:w="21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59"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编号</w:t>
                  </w:r>
                </w:p>
              </w:tc>
              <w:tc>
                <w:tcPr>
                  <w:tcW w:w="63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排放口名称</w:t>
                  </w:r>
                </w:p>
              </w:tc>
              <w:tc>
                <w:tcPr>
                  <w:tcW w:w="578"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高度/m</w:t>
                  </w:r>
                </w:p>
              </w:tc>
              <w:tc>
                <w:tcPr>
                  <w:tcW w:w="596"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内径/m</w:t>
                  </w:r>
                </w:p>
              </w:tc>
              <w:tc>
                <w:tcPr>
                  <w:tcW w:w="578"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温度/℃</w:t>
                  </w:r>
                </w:p>
              </w:tc>
              <w:tc>
                <w:tcPr>
                  <w:tcW w:w="751"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类型</w:t>
                  </w:r>
                </w:p>
              </w:tc>
              <w:tc>
                <w:tcPr>
                  <w:tcW w:w="129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地理坐标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9"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DA00</w:t>
                  </w:r>
                  <w:r>
                    <w:rPr>
                      <w:rFonts w:hint="eastAsia"/>
                      <w:color w:val="000000" w:themeColor="text1"/>
                      <w:szCs w:val="21"/>
                      <w:highlight w:val="none"/>
                    </w:rPr>
                    <w:t>1</w:t>
                  </w:r>
                </w:p>
              </w:tc>
              <w:tc>
                <w:tcPr>
                  <w:tcW w:w="637"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排气筒</w:t>
                  </w:r>
                </w:p>
              </w:tc>
              <w:tc>
                <w:tcPr>
                  <w:tcW w:w="578" w:type="pct"/>
                  <w:noWrap/>
                  <w:vAlign w:val="center"/>
                </w:tcPr>
                <w:p>
                  <w:pPr>
                    <w:autoSpaceDE w:val="0"/>
                    <w:autoSpaceDN w:val="0"/>
                    <w:contextualSpacing/>
                    <w:jc w:val="center"/>
                    <w:rPr>
                      <w:color w:val="000000" w:themeColor="text1"/>
                      <w:szCs w:val="21"/>
                      <w:highlight w:val="none"/>
                    </w:rPr>
                  </w:pPr>
                  <w:r>
                    <w:rPr>
                      <w:rFonts w:hint="eastAsia"/>
                      <w:color w:val="000000" w:themeColor="text1"/>
                      <w:szCs w:val="21"/>
                      <w:highlight w:val="none"/>
                    </w:rPr>
                    <w:t>15</w:t>
                  </w:r>
                </w:p>
              </w:tc>
              <w:tc>
                <w:tcPr>
                  <w:tcW w:w="596"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0.</w:t>
                  </w:r>
                  <w:r>
                    <w:rPr>
                      <w:rFonts w:hint="eastAsia"/>
                      <w:color w:val="000000" w:themeColor="text1"/>
                      <w:szCs w:val="21"/>
                      <w:highlight w:val="none"/>
                    </w:rPr>
                    <w:t>5</w:t>
                  </w:r>
                  <w:r>
                    <w:rPr>
                      <w:color w:val="000000" w:themeColor="text1"/>
                      <w:szCs w:val="21"/>
                      <w:highlight w:val="none"/>
                    </w:rPr>
                    <w:t>0</w:t>
                  </w:r>
                </w:p>
              </w:tc>
              <w:tc>
                <w:tcPr>
                  <w:tcW w:w="578" w:type="pct"/>
                  <w:noWrap/>
                  <w:vAlign w:val="center"/>
                </w:tcPr>
                <w:p>
                  <w:pPr>
                    <w:jc w:val="center"/>
                    <w:rPr>
                      <w:color w:val="000000" w:themeColor="text1"/>
                      <w:szCs w:val="21"/>
                      <w:highlight w:val="none"/>
                    </w:rPr>
                  </w:pPr>
                  <w:r>
                    <w:rPr>
                      <w:rFonts w:hint="eastAsia"/>
                      <w:color w:val="000000" w:themeColor="text1"/>
                      <w:szCs w:val="21"/>
                      <w:highlight w:val="none"/>
                    </w:rPr>
                    <w:t>常温</w:t>
                  </w:r>
                </w:p>
              </w:tc>
              <w:tc>
                <w:tcPr>
                  <w:tcW w:w="751"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一般排放口</w:t>
                  </w:r>
                </w:p>
              </w:tc>
              <w:tc>
                <w:tcPr>
                  <w:tcW w:w="1297" w:type="pct"/>
                  <w:noWrap/>
                  <w:vAlign w:val="center"/>
                </w:tcPr>
                <w:p>
                  <w:pPr>
                    <w:autoSpaceDE w:val="0"/>
                    <w:autoSpaceDN w:val="0"/>
                    <w:contextualSpacing/>
                    <w:jc w:val="center"/>
                    <w:rPr>
                      <w:color w:val="000000" w:themeColor="text1"/>
                      <w:szCs w:val="21"/>
                      <w:highlight w:val="none"/>
                    </w:rPr>
                  </w:pPr>
                  <w:r>
                    <w:rPr>
                      <w:color w:val="000000" w:themeColor="text1"/>
                      <w:szCs w:val="21"/>
                      <w:highlight w:val="none"/>
                    </w:rPr>
                    <w:t>经度</w:t>
                  </w:r>
                  <w:r>
                    <w:rPr>
                      <w:rFonts w:hint="eastAsia"/>
                      <w:color w:val="000000" w:themeColor="text1"/>
                      <w:szCs w:val="21"/>
                      <w:highlight w:val="none"/>
                    </w:rPr>
                    <w:t>：</w:t>
                  </w:r>
                  <w:r>
                    <w:rPr>
                      <w:color w:val="000000" w:themeColor="text1"/>
                      <w:szCs w:val="21"/>
                      <w:highlight w:val="none"/>
                    </w:rPr>
                    <w:t>126.840238590</w:t>
                  </w:r>
                </w:p>
                <w:p>
                  <w:pPr>
                    <w:autoSpaceDE w:val="0"/>
                    <w:autoSpaceDN w:val="0"/>
                    <w:contextualSpacing/>
                    <w:jc w:val="center"/>
                    <w:rPr>
                      <w:color w:val="000000" w:themeColor="text1"/>
                      <w:szCs w:val="21"/>
                      <w:highlight w:val="none"/>
                    </w:rPr>
                  </w:pPr>
                  <w:r>
                    <w:rPr>
                      <w:color w:val="000000" w:themeColor="text1"/>
                      <w:szCs w:val="21"/>
                      <w:highlight w:val="none"/>
                    </w:rPr>
                    <w:t>纬度</w:t>
                  </w:r>
                  <w:r>
                    <w:rPr>
                      <w:rFonts w:hint="eastAsia"/>
                      <w:color w:val="000000" w:themeColor="text1"/>
                      <w:szCs w:val="21"/>
                      <w:highlight w:val="none"/>
                    </w:rPr>
                    <w:t>：</w:t>
                  </w:r>
                  <w:r>
                    <w:rPr>
                      <w:color w:val="000000" w:themeColor="text1"/>
                      <w:szCs w:val="21"/>
                      <w:highlight w:val="none"/>
                    </w:rPr>
                    <w:t>45.688932703</w:t>
                  </w:r>
                </w:p>
              </w:tc>
            </w:tr>
          </w:tbl>
          <w:p>
            <w:pPr>
              <w:widowControl/>
              <w:numPr>
                <w:ilvl w:val="0"/>
                <w:numId w:val="2"/>
              </w:numPr>
              <w:wordWrap w:val="0"/>
              <w:adjustRightInd w:val="0"/>
              <w:snapToGrid w:val="0"/>
              <w:spacing w:line="360" w:lineRule="auto"/>
              <w:ind w:firstLine="482" w:firstLineChars="200"/>
              <w:jc w:val="left"/>
              <w:rPr>
                <w:rFonts w:hAnsiTheme="minorEastAsia" w:eastAsiaTheme="minorEastAsia"/>
                <w:b/>
                <w:bCs/>
                <w:color w:val="000000" w:themeColor="text1"/>
                <w:sz w:val="24"/>
                <w:highlight w:val="none"/>
              </w:rPr>
            </w:pPr>
            <w:r>
              <w:rPr>
                <w:rFonts w:hint="eastAsia" w:hAnsiTheme="minorEastAsia" w:eastAsiaTheme="minorEastAsia"/>
                <w:b/>
                <w:bCs/>
                <w:color w:val="000000" w:themeColor="text1"/>
                <w:sz w:val="24"/>
                <w:highlight w:val="none"/>
              </w:rPr>
              <w:t>非正常工况</w:t>
            </w:r>
          </w:p>
          <w:p>
            <w:pPr>
              <w:widowControl/>
              <w:wordWrap w:val="0"/>
              <w:adjustRightInd w:val="0"/>
              <w:snapToGrid w:val="0"/>
              <w:spacing w:line="360" w:lineRule="auto"/>
              <w:ind w:firstLine="480" w:firstLineChars="200"/>
              <w:jc w:val="left"/>
              <w:rPr>
                <w:b/>
                <w:color w:val="000000" w:themeColor="text1"/>
                <w:highlight w:val="none"/>
              </w:rPr>
            </w:pPr>
            <w:r>
              <w:rPr>
                <w:rFonts w:hint="eastAsia"/>
                <w:color w:val="000000" w:themeColor="text1"/>
                <w:sz w:val="24"/>
                <w:highlight w:val="none"/>
              </w:rPr>
              <w:t>非正常排放情况考虑有组织废气设施发生故障，废气污染物未经处理就直接排放的情景。除尘器破损时，效率按50%计；本项目采用废气设施在故障等情况发生时，应立即停产，非正常排放时间</w:t>
            </w:r>
            <w:r>
              <w:rPr>
                <w:color w:val="000000" w:themeColor="text1"/>
                <w:sz w:val="24"/>
                <w:highlight w:val="none"/>
              </w:rPr>
              <w:t>1h</w:t>
            </w:r>
            <w:r>
              <w:rPr>
                <w:rFonts w:hint="eastAsia"/>
                <w:color w:val="000000" w:themeColor="text1"/>
                <w:sz w:val="24"/>
                <w:highlight w:val="none"/>
              </w:rPr>
              <w:t>计算，非正常排放量核算见下表：</w:t>
            </w:r>
          </w:p>
          <w:p>
            <w:pPr>
              <w:pStyle w:val="65"/>
              <w:spacing w:line="240" w:lineRule="auto"/>
              <w:ind w:firstLine="0" w:firstLineChars="0"/>
              <w:contextualSpacing/>
              <w:jc w:val="center"/>
              <w:rPr>
                <w:b/>
                <w:color w:val="000000" w:themeColor="text1"/>
                <w:highlight w:val="none"/>
              </w:rPr>
            </w:pPr>
          </w:p>
          <w:p>
            <w:pPr>
              <w:pStyle w:val="65"/>
              <w:spacing w:line="240" w:lineRule="auto"/>
              <w:ind w:firstLine="0" w:firstLineChars="0"/>
              <w:contextualSpacing/>
              <w:jc w:val="center"/>
              <w:rPr>
                <w:b/>
                <w:color w:val="000000" w:themeColor="text1"/>
                <w:highlight w:val="none"/>
              </w:rPr>
            </w:pPr>
          </w:p>
          <w:p>
            <w:pPr>
              <w:pStyle w:val="65"/>
              <w:spacing w:line="240" w:lineRule="auto"/>
              <w:ind w:firstLine="0" w:firstLineChars="0"/>
              <w:contextualSpacing/>
              <w:jc w:val="center"/>
              <w:rPr>
                <w:b/>
                <w:color w:val="000000" w:themeColor="text1"/>
                <w:highlight w:val="none"/>
              </w:rPr>
            </w:pPr>
          </w:p>
          <w:p>
            <w:pPr>
              <w:pStyle w:val="65"/>
              <w:spacing w:line="240" w:lineRule="auto"/>
              <w:ind w:firstLine="0" w:firstLineChars="0"/>
              <w:contextualSpacing/>
              <w:jc w:val="center"/>
              <w:rPr>
                <w:b/>
                <w:color w:val="000000" w:themeColor="text1"/>
                <w:highlight w:val="none"/>
              </w:rPr>
            </w:pPr>
          </w:p>
          <w:p>
            <w:pPr>
              <w:pStyle w:val="65"/>
              <w:spacing w:line="240" w:lineRule="auto"/>
              <w:ind w:firstLine="0" w:firstLineChars="0"/>
              <w:contextualSpacing/>
              <w:jc w:val="center"/>
              <w:rPr>
                <w:b/>
                <w:color w:val="000000" w:themeColor="text1"/>
                <w:highlight w:val="none"/>
              </w:rPr>
            </w:pPr>
          </w:p>
          <w:p>
            <w:pPr>
              <w:pStyle w:val="65"/>
              <w:spacing w:line="240" w:lineRule="auto"/>
              <w:ind w:firstLine="0" w:firstLineChars="0"/>
              <w:contextualSpacing/>
              <w:jc w:val="center"/>
              <w:rPr>
                <w:b/>
                <w:color w:val="000000" w:themeColor="text1"/>
                <w:highlight w:val="none"/>
              </w:rPr>
            </w:pPr>
          </w:p>
          <w:p>
            <w:pPr>
              <w:pStyle w:val="65"/>
              <w:spacing w:line="240" w:lineRule="auto"/>
              <w:ind w:firstLine="0" w:firstLineChars="0"/>
              <w:contextualSpacing/>
              <w:jc w:val="center"/>
              <w:rPr>
                <w:rStyle w:val="28"/>
                <w:kern w:val="0"/>
                <w:szCs w:val="20"/>
                <w:highlight w:val="none"/>
              </w:rPr>
            </w:pPr>
            <w:r>
              <w:rPr>
                <w:b/>
                <w:color w:val="000000" w:themeColor="text1"/>
                <w:highlight w:val="none"/>
              </w:rPr>
              <w:t>表4-</w:t>
            </w:r>
            <w:r>
              <w:rPr>
                <w:rFonts w:hint="eastAsia"/>
                <w:b/>
                <w:color w:val="000000" w:themeColor="text1"/>
                <w:highlight w:val="none"/>
              </w:rPr>
              <w:t>3</w:t>
            </w:r>
            <w:r>
              <w:rPr>
                <w:b/>
                <w:color w:val="000000" w:themeColor="text1"/>
                <w:highlight w:val="none"/>
              </w:rPr>
              <w:t xml:space="preserve"> 非正常排放参数表</w:t>
            </w:r>
          </w:p>
          <w:tbl>
            <w:tblPr>
              <w:tblStyle w:val="23"/>
              <w:tblW w:w="814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1526"/>
              <w:gridCol w:w="825"/>
              <w:gridCol w:w="1050"/>
              <w:gridCol w:w="915"/>
              <w:gridCol w:w="829"/>
              <w:gridCol w:w="761"/>
              <w:gridCol w:w="116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661" w:type="pct"/>
                  <w:tcBorders>
                    <w:tl2br w:val="nil"/>
                    <w:tr2bl w:val="nil"/>
                  </w:tcBorders>
                  <w:noWrap/>
                  <w:vAlign w:val="center"/>
                </w:tcPr>
                <w:p>
                  <w:pPr>
                    <w:pStyle w:val="65"/>
                    <w:spacing w:line="240" w:lineRule="auto"/>
                    <w:ind w:firstLine="0" w:firstLineChars="0"/>
                    <w:jc w:val="center"/>
                    <w:rPr>
                      <w:color w:val="000000" w:themeColor="text1"/>
                      <w:sz w:val="21"/>
                      <w:szCs w:val="21"/>
                      <w:highlight w:val="none"/>
                    </w:rPr>
                  </w:pPr>
                  <w:r>
                    <w:rPr>
                      <w:color w:val="000000" w:themeColor="text1"/>
                      <w:sz w:val="21"/>
                      <w:szCs w:val="21"/>
                      <w:highlight w:val="none"/>
                    </w:rPr>
                    <w:t>非正常排放源</w:t>
                  </w:r>
                </w:p>
              </w:tc>
              <w:tc>
                <w:tcPr>
                  <w:tcW w:w="936" w:type="pct"/>
                  <w:tcBorders>
                    <w:tl2br w:val="nil"/>
                    <w:tr2bl w:val="nil"/>
                  </w:tcBorders>
                  <w:noWrap/>
                  <w:vAlign w:val="center"/>
                </w:tcPr>
                <w:p>
                  <w:pPr>
                    <w:pStyle w:val="65"/>
                    <w:spacing w:line="240" w:lineRule="auto"/>
                    <w:ind w:firstLine="0" w:firstLineChars="0"/>
                    <w:jc w:val="center"/>
                    <w:rPr>
                      <w:color w:val="000000" w:themeColor="text1"/>
                      <w:sz w:val="21"/>
                      <w:szCs w:val="21"/>
                      <w:highlight w:val="none"/>
                    </w:rPr>
                  </w:pPr>
                  <w:r>
                    <w:rPr>
                      <w:color w:val="000000" w:themeColor="text1"/>
                      <w:sz w:val="21"/>
                      <w:szCs w:val="21"/>
                      <w:highlight w:val="none"/>
                    </w:rPr>
                    <w:t>非正常排放原因</w:t>
                  </w:r>
                </w:p>
              </w:tc>
              <w:tc>
                <w:tcPr>
                  <w:tcW w:w="506" w:type="pct"/>
                  <w:tcBorders>
                    <w:tl2br w:val="nil"/>
                    <w:tr2bl w:val="nil"/>
                  </w:tcBorders>
                  <w:noWrap/>
                  <w:vAlign w:val="center"/>
                </w:tcPr>
                <w:p>
                  <w:pPr>
                    <w:pStyle w:val="65"/>
                    <w:spacing w:line="240" w:lineRule="auto"/>
                    <w:ind w:firstLine="0" w:firstLineChars="0"/>
                    <w:jc w:val="center"/>
                    <w:rPr>
                      <w:color w:val="000000" w:themeColor="text1"/>
                      <w:sz w:val="21"/>
                      <w:szCs w:val="21"/>
                      <w:highlight w:val="none"/>
                    </w:rPr>
                  </w:pPr>
                  <w:r>
                    <w:rPr>
                      <w:color w:val="000000" w:themeColor="text1"/>
                      <w:sz w:val="21"/>
                      <w:szCs w:val="21"/>
                      <w:highlight w:val="none"/>
                    </w:rPr>
                    <w:t>污染物</w:t>
                  </w:r>
                </w:p>
              </w:tc>
              <w:tc>
                <w:tcPr>
                  <w:tcW w:w="644" w:type="pct"/>
                  <w:tcBorders>
                    <w:tl2br w:val="nil"/>
                    <w:tr2bl w:val="nil"/>
                  </w:tcBorders>
                  <w:noWrap/>
                  <w:vAlign w:val="center"/>
                </w:tcPr>
                <w:p>
                  <w:pPr>
                    <w:pStyle w:val="65"/>
                    <w:spacing w:line="240" w:lineRule="auto"/>
                    <w:ind w:firstLine="0" w:firstLineChars="0"/>
                    <w:jc w:val="center"/>
                    <w:rPr>
                      <w:rFonts w:hint="default" w:eastAsia="宋体"/>
                      <w:color w:val="000000" w:themeColor="text1"/>
                      <w:sz w:val="21"/>
                      <w:szCs w:val="21"/>
                      <w:highlight w:val="none"/>
                      <w:lang w:val="en-US" w:eastAsia="zh-CN"/>
                    </w:rPr>
                  </w:pPr>
                  <w:r>
                    <w:rPr>
                      <w:color w:val="000000" w:themeColor="text1"/>
                      <w:sz w:val="21"/>
                      <w:szCs w:val="21"/>
                      <w:highlight w:val="none"/>
                    </w:rPr>
                    <w:t>非正常排放</w:t>
                  </w:r>
                  <w:r>
                    <w:rPr>
                      <w:rFonts w:hint="eastAsia"/>
                      <w:color w:val="000000" w:themeColor="text1"/>
                      <w:sz w:val="21"/>
                      <w:szCs w:val="21"/>
                      <w:highlight w:val="none"/>
                      <w:lang w:val="en-US" w:eastAsia="zh-CN"/>
                    </w:rPr>
                    <w:t>浓度mg</w:t>
                  </w:r>
                  <w:r>
                    <w:rPr>
                      <w:color w:val="000000" w:themeColor="text1"/>
                      <w:sz w:val="21"/>
                      <w:szCs w:val="21"/>
                      <w:highlight w:val="none"/>
                    </w:rPr>
                    <w:t>/</w:t>
                  </w:r>
                  <w:r>
                    <w:rPr>
                      <w:rFonts w:hint="eastAsia"/>
                      <w:color w:val="000000" w:themeColor="text1"/>
                      <w:sz w:val="21"/>
                      <w:szCs w:val="21"/>
                      <w:highlight w:val="none"/>
                      <w:lang w:val="en-US" w:eastAsia="zh-CN"/>
                    </w:rPr>
                    <w:t>m</w:t>
                  </w:r>
                  <w:r>
                    <w:rPr>
                      <w:rFonts w:hint="eastAsia"/>
                      <w:color w:val="000000" w:themeColor="text1"/>
                      <w:sz w:val="21"/>
                      <w:szCs w:val="21"/>
                      <w:highlight w:val="none"/>
                      <w:vertAlign w:val="superscript"/>
                      <w:lang w:val="en-US" w:eastAsia="zh-CN"/>
                    </w:rPr>
                    <w:t>3</w:t>
                  </w:r>
                </w:p>
              </w:tc>
              <w:tc>
                <w:tcPr>
                  <w:tcW w:w="561" w:type="pct"/>
                  <w:tcBorders>
                    <w:tl2br w:val="nil"/>
                    <w:tr2bl w:val="nil"/>
                  </w:tcBorders>
                  <w:noWrap/>
                  <w:vAlign w:val="center"/>
                </w:tcPr>
                <w:p>
                  <w:pPr>
                    <w:pStyle w:val="65"/>
                    <w:spacing w:line="240" w:lineRule="auto"/>
                    <w:ind w:firstLine="0" w:firstLineChars="0"/>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非正常排放量t/a</w:t>
                  </w:r>
                </w:p>
              </w:tc>
              <w:tc>
                <w:tcPr>
                  <w:tcW w:w="508" w:type="pct"/>
                  <w:tcBorders>
                    <w:tl2br w:val="nil"/>
                    <w:tr2bl w:val="nil"/>
                  </w:tcBorders>
                  <w:noWrap/>
                  <w:vAlign w:val="center"/>
                </w:tcPr>
                <w:p>
                  <w:pPr>
                    <w:pStyle w:val="65"/>
                    <w:spacing w:line="240" w:lineRule="auto"/>
                    <w:ind w:firstLine="0" w:firstLineChars="0"/>
                    <w:jc w:val="center"/>
                    <w:rPr>
                      <w:color w:val="000000" w:themeColor="text1"/>
                      <w:sz w:val="21"/>
                      <w:szCs w:val="21"/>
                      <w:highlight w:val="none"/>
                    </w:rPr>
                  </w:pPr>
                  <w:r>
                    <w:rPr>
                      <w:color w:val="000000" w:themeColor="text1"/>
                      <w:sz w:val="21"/>
                      <w:szCs w:val="21"/>
                      <w:highlight w:val="none"/>
                    </w:rPr>
                    <w:t>单次持续时间/h</w:t>
                  </w:r>
                </w:p>
              </w:tc>
              <w:tc>
                <w:tcPr>
                  <w:tcW w:w="467" w:type="pct"/>
                  <w:tcBorders>
                    <w:tl2br w:val="nil"/>
                    <w:tr2bl w:val="nil"/>
                  </w:tcBorders>
                  <w:noWrap/>
                  <w:vAlign w:val="center"/>
                </w:tcPr>
                <w:p>
                  <w:pPr>
                    <w:pStyle w:val="65"/>
                    <w:spacing w:line="240" w:lineRule="auto"/>
                    <w:ind w:firstLine="0" w:firstLineChars="0"/>
                    <w:jc w:val="center"/>
                    <w:rPr>
                      <w:color w:val="000000" w:themeColor="text1"/>
                      <w:sz w:val="21"/>
                      <w:szCs w:val="21"/>
                      <w:highlight w:val="none"/>
                    </w:rPr>
                  </w:pPr>
                  <w:r>
                    <w:rPr>
                      <w:color w:val="000000" w:themeColor="text1"/>
                      <w:sz w:val="21"/>
                      <w:szCs w:val="21"/>
                      <w:highlight w:val="none"/>
                    </w:rPr>
                    <w:t>年发生频次/次</w:t>
                  </w:r>
                </w:p>
              </w:tc>
              <w:tc>
                <w:tcPr>
                  <w:tcW w:w="712" w:type="pct"/>
                  <w:tcBorders>
                    <w:tl2br w:val="nil"/>
                    <w:tr2bl w:val="nil"/>
                  </w:tcBorders>
                  <w:noWrap/>
                  <w:vAlign w:val="center"/>
                </w:tcPr>
                <w:p>
                  <w:pPr>
                    <w:spacing w:line="0" w:lineRule="atLeast"/>
                    <w:contextualSpacing/>
                    <w:jc w:val="center"/>
                    <w:rPr>
                      <w:color w:val="000000" w:themeColor="text1"/>
                      <w:kern w:val="0"/>
                      <w:szCs w:val="21"/>
                      <w:highlight w:val="none"/>
                    </w:rPr>
                  </w:pPr>
                  <w:r>
                    <w:rPr>
                      <w:color w:val="000000" w:themeColor="text1"/>
                      <w:kern w:val="0"/>
                      <w:szCs w:val="21"/>
                      <w:highlight w:val="none"/>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61" w:type="pct"/>
                  <w:tcBorders>
                    <w:tl2br w:val="nil"/>
                    <w:tr2bl w:val="nil"/>
                  </w:tcBorders>
                  <w:noWrap/>
                  <w:vAlign w:val="center"/>
                </w:tcPr>
                <w:p>
                  <w:pPr>
                    <w:autoSpaceDE w:val="0"/>
                    <w:autoSpaceDN w:val="0"/>
                    <w:contextualSpacing/>
                    <w:jc w:val="center"/>
                    <w:rPr>
                      <w:rFonts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rPr>
                    <w:t>生产线</w:t>
                  </w:r>
                </w:p>
              </w:tc>
              <w:tc>
                <w:tcPr>
                  <w:tcW w:w="936" w:type="pct"/>
                  <w:vMerge w:val="restart"/>
                  <w:tcBorders>
                    <w:tl2br w:val="nil"/>
                    <w:tr2bl w:val="nil"/>
                  </w:tcBorders>
                  <w:noWrap/>
                  <w:vAlign w:val="center"/>
                </w:tcPr>
                <w:p>
                  <w:pPr>
                    <w:pStyle w:val="65"/>
                    <w:spacing w:line="240" w:lineRule="auto"/>
                    <w:ind w:firstLine="0" w:firstLineChars="0"/>
                    <w:rPr>
                      <w:sz w:val="21"/>
                      <w:szCs w:val="21"/>
                      <w:highlight w:val="none"/>
                    </w:rPr>
                  </w:pPr>
                  <w:r>
                    <w:rPr>
                      <w:sz w:val="21"/>
                      <w:szCs w:val="21"/>
                      <w:highlight w:val="none"/>
                    </w:rPr>
                    <w:t>生产设施开停机等非正常情况下，造成环保设备不能正常运转</w:t>
                  </w:r>
                </w:p>
              </w:tc>
              <w:tc>
                <w:tcPr>
                  <w:tcW w:w="506" w:type="pct"/>
                  <w:vMerge w:val="restart"/>
                  <w:tcBorders>
                    <w:tl2br w:val="nil"/>
                    <w:tr2bl w:val="nil"/>
                  </w:tcBorders>
                  <w:noWrap/>
                  <w:vAlign w:val="center"/>
                </w:tcPr>
                <w:p>
                  <w:pPr>
                    <w:pStyle w:val="65"/>
                    <w:spacing w:line="240" w:lineRule="auto"/>
                    <w:ind w:firstLine="0" w:firstLineChars="0"/>
                    <w:jc w:val="center"/>
                    <w:rPr>
                      <w:sz w:val="21"/>
                      <w:szCs w:val="21"/>
                      <w:highlight w:val="none"/>
                    </w:rPr>
                  </w:pPr>
                  <w:r>
                    <w:rPr>
                      <w:color w:val="000000" w:themeColor="text1"/>
                      <w:sz w:val="21"/>
                      <w:szCs w:val="21"/>
                      <w:highlight w:val="none"/>
                    </w:rPr>
                    <w:t>颗粒物</w:t>
                  </w:r>
                </w:p>
              </w:tc>
              <w:tc>
                <w:tcPr>
                  <w:tcW w:w="644" w:type="pct"/>
                  <w:tcBorders>
                    <w:tl2br w:val="nil"/>
                    <w:tr2bl w:val="nil"/>
                  </w:tcBorders>
                  <w:noWrap/>
                  <w:vAlign w:val="center"/>
                </w:tcPr>
                <w:p>
                  <w:pPr>
                    <w:pStyle w:val="92"/>
                    <w:widowControl/>
                    <w:kinsoku w:val="0"/>
                    <w:overflowPunct w:val="0"/>
                    <w:autoSpaceDE w:val="0"/>
                    <w:autoSpaceDN w:val="0"/>
                    <w:adjustRightInd w:val="0"/>
                    <w:snapToGrid w:val="0"/>
                    <w:rPr>
                      <w:rFonts w:hint="default" w:eastAsia="宋体"/>
                      <w:szCs w:val="21"/>
                      <w:highlight w:val="none"/>
                      <w:lang w:val="en-US" w:eastAsia="zh-CN"/>
                    </w:rPr>
                  </w:pPr>
                  <w:r>
                    <w:rPr>
                      <w:rFonts w:hint="eastAsia"/>
                      <w:szCs w:val="21"/>
                      <w:highlight w:val="none"/>
                      <w:lang w:val="en-US" w:eastAsia="zh-CN"/>
                    </w:rPr>
                    <w:t>553.6</w:t>
                  </w:r>
                </w:p>
              </w:tc>
              <w:tc>
                <w:tcPr>
                  <w:tcW w:w="561" w:type="pct"/>
                  <w:tcBorders>
                    <w:tl2br w:val="nil"/>
                    <w:tr2bl w:val="nil"/>
                  </w:tcBorders>
                  <w:noWrap/>
                  <w:vAlign w:val="center"/>
                </w:tcPr>
                <w:p>
                  <w:pPr>
                    <w:pStyle w:val="92"/>
                    <w:widowControl/>
                    <w:kinsoku w:val="0"/>
                    <w:overflowPunct w:val="0"/>
                    <w:autoSpaceDE w:val="0"/>
                    <w:autoSpaceDN w:val="0"/>
                    <w:adjustRightInd w:val="0"/>
                    <w:snapToGrid w:val="0"/>
                    <w:rPr>
                      <w:rFonts w:hint="default" w:eastAsia="宋体"/>
                      <w:szCs w:val="21"/>
                      <w:highlight w:val="none"/>
                      <w:lang w:val="en-US" w:eastAsia="zh-CN"/>
                    </w:rPr>
                  </w:pPr>
                  <w:r>
                    <w:rPr>
                      <w:rFonts w:hint="eastAsia"/>
                      <w:szCs w:val="21"/>
                      <w:highlight w:val="none"/>
                      <w:lang w:val="en-US" w:eastAsia="zh-CN"/>
                    </w:rPr>
                    <w:t>0.003</w:t>
                  </w:r>
                </w:p>
              </w:tc>
              <w:tc>
                <w:tcPr>
                  <w:tcW w:w="508" w:type="pct"/>
                  <w:vMerge w:val="restart"/>
                  <w:tcBorders>
                    <w:tl2br w:val="nil"/>
                    <w:tr2bl w:val="nil"/>
                  </w:tcBorders>
                  <w:noWrap/>
                  <w:vAlign w:val="center"/>
                </w:tcPr>
                <w:p>
                  <w:pPr>
                    <w:pStyle w:val="65"/>
                    <w:spacing w:line="240" w:lineRule="auto"/>
                    <w:ind w:firstLine="0" w:firstLineChars="0"/>
                    <w:jc w:val="center"/>
                    <w:rPr>
                      <w:sz w:val="21"/>
                      <w:szCs w:val="21"/>
                      <w:highlight w:val="none"/>
                    </w:rPr>
                  </w:pPr>
                  <w:r>
                    <w:rPr>
                      <w:sz w:val="21"/>
                      <w:szCs w:val="21"/>
                      <w:highlight w:val="none"/>
                    </w:rPr>
                    <w:t>＜1</w:t>
                  </w:r>
                </w:p>
              </w:tc>
              <w:tc>
                <w:tcPr>
                  <w:tcW w:w="467" w:type="pct"/>
                  <w:vMerge w:val="restart"/>
                  <w:tcBorders>
                    <w:tl2br w:val="nil"/>
                    <w:tr2bl w:val="nil"/>
                  </w:tcBorders>
                  <w:noWrap/>
                  <w:vAlign w:val="center"/>
                </w:tcPr>
                <w:p>
                  <w:pPr>
                    <w:pStyle w:val="65"/>
                    <w:spacing w:line="240" w:lineRule="auto"/>
                    <w:ind w:firstLine="0" w:firstLineChars="0"/>
                    <w:jc w:val="center"/>
                    <w:rPr>
                      <w:rFonts w:hint="default" w:eastAsia="宋体"/>
                      <w:sz w:val="21"/>
                      <w:szCs w:val="21"/>
                      <w:highlight w:val="none"/>
                      <w:lang w:val="en-US" w:eastAsia="zh-CN"/>
                    </w:rPr>
                  </w:pPr>
                  <w:r>
                    <w:rPr>
                      <w:sz w:val="21"/>
                      <w:szCs w:val="21"/>
                      <w:highlight w:val="none"/>
                    </w:rPr>
                    <w:t>1</w:t>
                  </w:r>
                  <w:r>
                    <w:rPr>
                      <w:rFonts w:hint="eastAsia"/>
                      <w:sz w:val="21"/>
                      <w:szCs w:val="21"/>
                      <w:highlight w:val="none"/>
                      <w:lang w:val="en-US" w:eastAsia="zh-CN"/>
                    </w:rPr>
                    <w:t xml:space="preserve">  </w:t>
                  </w:r>
                </w:p>
              </w:tc>
              <w:tc>
                <w:tcPr>
                  <w:tcW w:w="712" w:type="pct"/>
                  <w:vMerge w:val="restart"/>
                  <w:tcBorders>
                    <w:tl2br w:val="nil"/>
                    <w:tr2bl w:val="nil"/>
                  </w:tcBorders>
                  <w:noWrap/>
                  <w:vAlign w:val="center"/>
                </w:tcPr>
                <w:p>
                  <w:pPr>
                    <w:spacing w:line="0" w:lineRule="atLeast"/>
                    <w:contextualSpacing/>
                    <w:jc w:val="center"/>
                    <w:rPr>
                      <w:rFonts w:hint="default" w:eastAsia="宋体"/>
                      <w:color w:val="000000" w:themeColor="text1"/>
                      <w:kern w:val="0"/>
                      <w:szCs w:val="21"/>
                      <w:highlight w:val="none"/>
                      <w:lang w:val="en-US" w:eastAsia="zh-CN"/>
                    </w:rPr>
                  </w:pPr>
                  <w:r>
                    <w:rPr>
                      <w:color w:val="000000" w:themeColor="text1"/>
                      <w:kern w:val="0"/>
                      <w:szCs w:val="21"/>
                      <w:highlight w:val="none"/>
                    </w:rPr>
                    <w:t>及时检修，加强维护</w:t>
                  </w:r>
                  <w:r>
                    <w:rPr>
                      <w:rFonts w:hint="eastAsia"/>
                      <w:color w:val="000000" w:themeColor="text1"/>
                      <w:kern w:val="0"/>
                      <w:szCs w:val="21"/>
                      <w:highlight w:val="none"/>
                      <w:lang w:eastAsia="zh-CN"/>
                    </w:rPr>
                    <w:t>，</w:t>
                  </w:r>
                  <w:r>
                    <w:rPr>
                      <w:rFonts w:hint="eastAsia"/>
                      <w:color w:val="000000" w:themeColor="text1"/>
                      <w:kern w:val="0"/>
                      <w:szCs w:val="21"/>
                      <w:highlight w:val="none"/>
                      <w:lang w:val="en-US" w:eastAsia="zh-CN"/>
                    </w:rPr>
                    <w:t>设备故障时立即停止生产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61" w:type="pct"/>
                  <w:tcBorders>
                    <w:tl2br w:val="nil"/>
                    <w:tr2bl w:val="nil"/>
                  </w:tcBorders>
                  <w:noWrap/>
                  <w:vAlign w:val="center"/>
                </w:tcPr>
                <w:p>
                  <w:pPr>
                    <w:autoSpaceDE w:val="0"/>
                    <w:autoSpaceDN w:val="0"/>
                    <w:contextualSpacing/>
                    <w:jc w:val="center"/>
                    <w:rPr>
                      <w:rFonts w:hint="eastAsia"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rPr>
                    <w:t>水泥筒仓1</w:t>
                  </w:r>
                </w:p>
              </w:tc>
              <w:tc>
                <w:tcPr>
                  <w:tcW w:w="936" w:type="pct"/>
                  <w:vMerge w:val="continue"/>
                  <w:tcBorders>
                    <w:tl2br w:val="nil"/>
                    <w:tr2bl w:val="nil"/>
                  </w:tcBorders>
                  <w:noWrap/>
                  <w:vAlign w:val="center"/>
                </w:tcPr>
                <w:p>
                  <w:pPr>
                    <w:pStyle w:val="65"/>
                    <w:spacing w:line="240" w:lineRule="auto"/>
                    <w:ind w:firstLine="0" w:firstLineChars="0"/>
                    <w:rPr>
                      <w:sz w:val="21"/>
                      <w:szCs w:val="21"/>
                      <w:highlight w:val="none"/>
                    </w:rPr>
                  </w:pPr>
                </w:p>
              </w:tc>
              <w:tc>
                <w:tcPr>
                  <w:tcW w:w="506" w:type="pct"/>
                  <w:vMerge w:val="continue"/>
                  <w:tcBorders>
                    <w:tl2br w:val="nil"/>
                    <w:tr2bl w:val="nil"/>
                  </w:tcBorders>
                  <w:noWrap/>
                  <w:vAlign w:val="center"/>
                </w:tcPr>
                <w:p>
                  <w:pPr>
                    <w:pStyle w:val="65"/>
                    <w:spacing w:line="240" w:lineRule="auto"/>
                    <w:ind w:firstLine="0" w:firstLineChars="0"/>
                    <w:jc w:val="center"/>
                    <w:rPr>
                      <w:rFonts w:hint="eastAsia"/>
                      <w:sz w:val="21"/>
                      <w:szCs w:val="21"/>
                      <w:highlight w:val="none"/>
                    </w:rPr>
                  </w:pPr>
                </w:p>
              </w:tc>
              <w:tc>
                <w:tcPr>
                  <w:tcW w:w="644" w:type="pct"/>
                  <w:tcBorders>
                    <w:tl2br w:val="nil"/>
                    <w:tr2bl w:val="nil"/>
                  </w:tcBorders>
                  <w:noWrap/>
                  <w:vAlign w:val="center"/>
                </w:tcPr>
                <w:p>
                  <w:pPr>
                    <w:pStyle w:val="92"/>
                    <w:widowControl/>
                    <w:kinsoku w:val="0"/>
                    <w:overflowPunct w:val="0"/>
                    <w:autoSpaceDE w:val="0"/>
                    <w:autoSpaceDN w:val="0"/>
                    <w:adjustRightInd w:val="0"/>
                    <w:snapToGrid w:val="0"/>
                    <w:rPr>
                      <w:rFonts w:hint="default"/>
                      <w:szCs w:val="21"/>
                      <w:highlight w:val="none"/>
                      <w:lang w:val="en-US" w:eastAsia="zh-CN"/>
                    </w:rPr>
                  </w:pPr>
                  <w:r>
                    <w:rPr>
                      <w:rFonts w:hint="eastAsia"/>
                      <w:szCs w:val="21"/>
                      <w:highlight w:val="none"/>
                      <w:lang w:val="en-US" w:eastAsia="zh-CN"/>
                    </w:rPr>
                    <w:t>/</w:t>
                  </w:r>
                </w:p>
              </w:tc>
              <w:tc>
                <w:tcPr>
                  <w:tcW w:w="561" w:type="pct"/>
                  <w:tcBorders>
                    <w:tl2br w:val="nil"/>
                    <w:tr2bl w:val="nil"/>
                  </w:tcBorders>
                  <w:noWrap/>
                  <w:vAlign w:val="center"/>
                </w:tcPr>
                <w:p>
                  <w:pPr>
                    <w:pStyle w:val="92"/>
                    <w:widowControl/>
                    <w:kinsoku w:val="0"/>
                    <w:overflowPunct w:val="0"/>
                    <w:autoSpaceDE w:val="0"/>
                    <w:autoSpaceDN w:val="0"/>
                    <w:adjustRightInd w:val="0"/>
                    <w:snapToGrid w:val="0"/>
                    <w:rPr>
                      <w:rFonts w:hint="default"/>
                      <w:szCs w:val="21"/>
                      <w:highlight w:val="none"/>
                      <w:lang w:val="en-US" w:eastAsia="zh-CN"/>
                    </w:rPr>
                  </w:pPr>
                  <w:r>
                    <w:rPr>
                      <w:rFonts w:hint="eastAsia"/>
                      <w:szCs w:val="21"/>
                      <w:highlight w:val="none"/>
                      <w:lang w:val="en-US" w:eastAsia="zh-CN"/>
                    </w:rPr>
                    <w:t>0.0012</w:t>
                  </w:r>
                </w:p>
              </w:tc>
              <w:tc>
                <w:tcPr>
                  <w:tcW w:w="508" w:type="pct"/>
                  <w:vMerge w:val="continue"/>
                  <w:tcBorders>
                    <w:tl2br w:val="nil"/>
                    <w:tr2bl w:val="nil"/>
                  </w:tcBorders>
                  <w:noWrap/>
                  <w:vAlign w:val="center"/>
                </w:tcPr>
                <w:p>
                  <w:pPr>
                    <w:pStyle w:val="65"/>
                    <w:spacing w:line="240" w:lineRule="auto"/>
                    <w:ind w:firstLine="0" w:firstLineChars="0"/>
                    <w:jc w:val="center"/>
                    <w:rPr>
                      <w:sz w:val="21"/>
                      <w:szCs w:val="21"/>
                      <w:highlight w:val="none"/>
                    </w:rPr>
                  </w:pPr>
                </w:p>
              </w:tc>
              <w:tc>
                <w:tcPr>
                  <w:tcW w:w="467" w:type="pct"/>
                  <w:vMerge w:val="continue"/>
                  <w:tcBorders>
                    <w:tl2br w:val="nil"/>
                    <w:tr2bl w:val="nil"/>
                  </w:tcBorders>
                  <w:noWrap/>
                  <w:vAlign w:val="center"/>
                </w:tcPr>
                <w:p>
                  <w:pPr>
                    <w:pStyle w:val="65"/>
                    <w:spacing w:line="240" w:lineRule="auto"/>
                    <w:ind w:firstLine="0" w:firstLineChars="0"/>
                    <w:jc w:val="center"/>
                    <w:rPr>
                      <w:sz w:val="21"/>
                      <w:szCs w:val="21"/>
                      <w:highlight w:val="none"/>
                    </w:rPr>
                  </w:pPr>
                </w:p>
              </w:tc>
              <w:tc>
                <w:tcPr>
                  <w:tcW w:w="712" w:type="pct"/>
                  <w:vMerge w:val="continue"/>
                  <w:tcBorders>
                    <w:tl2br w:val="nil"/>
                    <w:tr2bl w:val="nil"/>
                  </w:tcBorders>
                  <w:noWrap/>
                  <w:vAlign w:val="center"/>
                </w:tcPr>
                <w:p>
                  <w:pPr>
                    <w:spacing w:line="0" w:lineRule="atLeast"/>
                    <w:contextualSpacing/>
                    <w:jc w:val="center"/>
                    <w:rPr>
                      <w:color w:val="000000" w:themeColor="text1"/>
                      <w:kern w:val="0"/>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61" w:type="pct"/>
                  <w:tcBorders>
                    <w:tl2br w:val="nil"/>
                    <w:tr2bl w:val="nil"/>
                  </w:tcBorders>
                  <w:noWrap/>
                  <w:vAlign w:val="center"/>
                </w:tcPr>
                <w:p>
                  <w:pPr>
                    <w:autoSpaceDE w:val="0"/>
                    <w:autoSpaceDN w:val="0"/>
                    <w:contextualSpacing/>
                    <w:jc w:val="center"/>
                    <w:rPr>
                      <w:rFonts w:hint="default"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Cs w:val="21"/>
                      <w:highlight w:val="none"/>
                    </w:rPr>
                    <w:t>水泥筒仓2</w:t>
                  </w:r>
                </w:p>
              </w:tc>
              <w:tc>
                <w:tcPr>
                  <w:tcW w:w="936" w:type="pct"/>
                  <w:vMerge w:val="continue"/>
                  <w:tcBorders>
                    <w:tl2br w:val="nil"/>
                    <w:tr2bl w:val="nil"/>
                  </w:tcBorders>
                  <w:noWrap/>
                  <w:vAlign w:val="center"/>
                </w:tcPr>
                <w:p>
                  <w:pPr>
                    <w:pStyle w:val="65"/>
                    <w:spacing w:line="240" w:lineRule="auto"/>
                    <w:ind w:firstLine="0" w:firstLineChars="0"/>
                    <w:rPr>
                      <w:sz w:val="21"/>
                      <w:szCs w:val="21"/>
                      <w:highlight w:val="none"/>
                    </w:rPr>
                  </w:pPr>
                </w:p>
              </w:tc>
              <w:tc>
                <w:tcPr>
                  <w:tcW w:w="506" w:type="pct"/>
                  <w:vMerge w:val="continue"/>
                  <w:tcBorders>
                    <w:tl2br w:val="nil"/>
                    <w:tr2bl w:val="nil"/>
                  </w:tcBorders>
                  <w:noWrap/>
                  <w:vAlign w:val="center"/>
                </w:tcPr>
                <w:p>
                  <w:pPr>
                    <w:pStyle w:val="65"/>
                    <w:spacing w:line="240" w:lineRule="auto"/>
                    <w:ind w:firstLine="0" w:firstLineChars="0"/>
                    <w:jc w:val="center"/>
                    <w:rPr>
                      <w:rFonts w:hint="eastAsia" w:eastAsia="宋体"/>
                      <w:sz w:val="21"/>
                      <w:szCs w:val="21"/>
                      <w:highlight w:val="none"/>
                      <w:lang w:val="en-US" w:eastAsia="zh-CN"/>
                    </w:rPr>
                  </w:pPr>
                </w:p>
              </w:tc>
              <w:tc>
                <w:tcPr>
                  <w:tcW w:w="644" w:type="pct"/>
                  <w:tcBorders>
                    <w:tl2br w:val="nil"/>
                    <w:tr2bl w:val="nil"/>
                  </w:tcBorders>
                  <w:noWrap/>
                  <w:vAlign w:val="center"/>
                </w:tcPr>
                <w:p>
                  <w:pPr>
                    <w:pStyle w:val="92"/>
                    <w:widowControl/>
                    <w:kinsoku w:val="0"/>
                    <w:overflowPunct w:val="0"/>
                    <w:autoSpaceDE w:val="0"/>
                    <w:autoSpaceDN w:val="0"/>
                    <w:adjustRightInd w:val="0"/>
                    <w:snapToGrid w:val="0"/>
                    <w:rPr>
                      <w:rFonts w:hint="default"/>
                      <w:szCs w:val="21"/>
                      <w:highlight w:val="none"/>
                      <w:lang w:val="en-US" w:eastAsia="zh-CN"/>
                    </w:rPr>
                  </w:pPr>
                  <w:r>
                    <w:rPr>
                      <w:rFonts w:hint="eastAsia"/>
                      <w:szCs w:val="21"/>
                      <w:highlight w:val="none"/>
                      <w:lang w:val="en-US" w:eastAsia="zh-CN"/>
                    </w:rPr>
                    <w:t>/</w:t>
                  </w:r>
                </w:p>
              </w:tc>
              <w:tc>
                <w:tcPr>
                  <w:tcW w:w="561" w:type="pct"/>
                  <w:tcBorders>
                    <w:tl2br w:val="nil"/>
                    <w:tr2bl w:val="nil"/>
                  </w:tcBorders>
                  <w:noWrap/>
                  <w:vAlign w:val="center"/>
                </w:tcPr>
                <w:p>
                  <w:pPr>
                    <w:pStyle w:val="92"/>
                    <w:widowControl/>
                    <w:kinsoku w:val="0"/>
                    <w:overflowPunct w:val="0"/>
                    <w:autoSpaceDE w:val="0"/>
                    <w:autoSpaceDN w:val="0"/>
                    <w:adjustRightInd w:val="0"/>
                    <w:snapToGrid w:val="0"/>
                    <w:rPr>
                      <w:rFonts w:hint="default"/>
                      <w:szCs w:val="21"/>
                      <w:highlight w:val="none"/>
                      <w:lang w:val="en-US" w:eastAsia="zh-CN"/>
                    </w:rPr>
                  </w:pPr>
                  <w:r>
                    <w:rPr>
                      <w:rFonts w:hint="eastAsia"/>
                      <w:szCs w:val="21"/>
                      <w:highlight w:val="none"/>
                      <w:lang w:val="en-US" w:eastAsia="zh-CN"/>
                    </w:rPr>
                    <w:t>0.0012</w:t>
                  </w:r>
                </w:p>
              </w:tc>
              <w:tc>
                <w:tcPr>
                  <w:tcW w:w="508" w:type="pct"/>
                  <w:vMerge w:val="continue"/>
                  <w:tcBorders>
                    <w:tl2br w:val="nil"/>
                    <w:tr2bl w:val="nil"/>
                  </w:tcBorders>
                  <w:noWrap/>
                  <w:vAlign w:val="center"/>
                </w:tcPr>
                <w:p>
                  <w:pPr>
                    <w:pStyle w:val="65"/>
                    <w:spacing w:line="240" w:lineRule="auto"/>
                    <w:ind w:firstLine="0" w:firstLineChars="0"/>
                    <w:jc w:val="center"/>
                    <w:rPr>
                      <w:sz w:val="21"/>
                      <w:szCs w:val="21"/>
                      <w:highlight w:val="none"/>
                    </w:rPr>
                  </w:pPr>
                </w:p>
              </w:tc>
              <w:tc>
                <w:tcPr>
                  <w:tcW w:w="467" w:type="pct"/>
                  <w:vMerge w:val="continue"/>
                  <w:tcBorders>
                    <w:tl2br w:val="nil"/>
                    <w:tr2bl w:val="nil"/>
                  </w:tcBorders>
                  <w:noWrap/>
                  <w:vAlign w:val="center"/>
                </w:tcPr>
                <w:p>
                  <w:pPr>
                    <w:pStyle w:val="65"/>
                    <w:spacing w:line="240" w:lineRule="auto"/>
                    <w:ind w:firstLine="0" w:firstLineChars="0"/>
                    <w:jc w:val="center"/>
                    <w:rPr>
                      <w:sz w:val="21"/>
                      <w:szCs w:val="21"/>
                      <w:highlight w:val="none"/>
                    </w:rPr>
                  </w:pPr>
                </w:p>
              </w:tc>
              <w:tc>
                <w:tcPr>
                  <w:tcW w:w="712" w:type="pct"/>
                  <w:vMerge w:val="continue"/>
                  <w:tcBorders>
                    <w:tl2br w:val="nil"/>
                    <w:tr2bl w:val="nil"/>
                  </w:tcBorders>
                  <w:noWrap/>
                  <w:vAlign w:val="center"/>
                </w:tcPr>
                <w:p>
                  <w:pPr>
                    <w:spacing w:line="0" w:lineRule="atLeast"/>
                    <w:contextualSpacing/>
                    <w:jc w:val="center"/>
                    <w:rPr>
                      <w:color w:val="000000" w:themeColor="text1"/>
                      <w:kern w:val="0"/>
                      <w:szCs w:val="21"/>
                      <w:highlight w:val="none"/>
                    </w:rPr>
                  </w:pPr>
                </w:p>
              </w:tc>
            </w:tr>
          </w:tbl>
          <w:p>
            <w:pPr>
              <w:spacing w:line="360" w:lineRule="auto"/>
              <w:ind w:firstLine="482" w:firstLineChars="200"/>
              <w:contextualSpacing/>
              <w:rPr>
                <w:rFonts w:eastAsiaTheme="minorEastAsia"/>
                <w:b/>
                <w:bCs/>
                <w:color w:val="000000" w:themeColor="text1"/>
                <w:sz w:val="24"/>
                <w:highlight w:val="none"/>
              </w:rPr>
            </w:pPr>
            <w:r>
              <w:rPr>
                <w:rFonts w:hint="eastAsia" w:eastAsiaTheme="minorEastAsia"/>
                <w:b/>
                <w:color w:val="000000" w:themeColor="text1"/>
                <w:sz w:val="24"/>
                <w:highlight w:val="none"/>
              </w:rPr>
              <w:t>3</w:t>
            </w:r>
            <w:r>
              <w:rPr>
                <w:rFonts w:hAnsiTheme="minorEastAsia" w:eastAsiaTheme="minorEastAsia"/>
                <w:b/>
                <w:color w:val="000000" w:themeColor="text1"/>
                <w:sz w:val="24"/>
                <w:highlight w:val="none"/>
              </w:rPr>
              <w:t>、</w:t>
            </w:r>
            <w:r>
              <w:rPr>
                <w:rFonts w:hAnsiTheme="minorEastAsia" w:eastAsiaTheme="minorEastAsia"/>
                <w:b/>
                <w:bCs/>
                <w:color w:val="000000" w:themeColor="text1"/>
                <w:sz w:val="24"/>
                <w:highlight w:val="none"/>
              </w:rPr>
              <w:t>监测要求</w:t>
            </w:r>
          </w:p>
          <w:p>
            <w:pPr>
              <w:autoSpaceDE w:val="0"/>
              <w:autoSpaceDN w:val="0"/>
              <w:spacing w:line="360" w:lineRule="auto"/>
              <w:ind w:firstLine="480" w:firstLineChars="200"/>
              <w:contextualSpacing/>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本项目应根据《排污许可证申请与核发技术规范</w:t>
            </w:r>
            <w:r>
              <w:rPr>
                <w:rFonts w:hint="eastAsia" w:hAnsiTheme="minorEastAsia" w:eastAsiaTheme="minorEastAsia"/>
                <w:color w:val="000000" w:themeColor="text1"/>
                <w:sz w:val="24"/>
                <w:highlight w:val="none"/>
              </w:rPr>
              <w:t xml:space="preserve"> 总则</w:t>
            </w:r>
            <w:r>
              <w:rPr>
                <w:rFonts w:hAnsiTheme="minorEastAsia" w:eastAsiaTheme="minorEastAsia"/>
                <w:color w:val="000000" w:themeColor="text1"/>
                <w:sz w:val="24"/>
                <w:highlight w:val="none"/>
              </w:rPr>
              <w:t>》（</w:t>
            </w:r>
            <w:r>
              <w:rPr>
                <w:rFonts w:eastAsiaTheme="minorEastAsia"/>
                <w:color w:val="000000" w:themeColor="text1"/>
                <w:sz w:val="24"/>
                <w:highlight w:val="none"/>
              </w:rPr>
              <w:t>HJ</w:t>
            </w:r>
            <w:r>
              <w:rPr>
                <w:rFonts w:hint="eastAsia" w:eastAsiaTheme="minorEastAsia"/>
                <w:color w:val="000000" w:themeColor="text1"/>
                <w:sz w:val="24"/>
                <w:highlight w:val="none"/>
              </w:rPr>
              <w:t>942-2018</w:t>
            </w:r>
            <w:r>
              <w:rPr>
                <w:rFonts w:hAnsiTheme="minorEastAsia" w:eastAsiaTheme="minorEastAsia"/>
                <w:color w:val="000000" w:themeColor="text1"/>
                <w:sz w:val="24"/>
                <w:highlight w:val="none"/>
              </w:rPr>
              <w:t>）定期进行自行监测，监测计划如下：</w:t>
            </w:r>
          </w:p>
          <w:p>
            <w:pPr>
              <w:spacing w:line="360" w:lineRule="auto"/>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4-</w:t>
            </w:r>
            <w:r>
              <w:rPr>
                <w:rFonts w:hint="eastAsia" w:eastAsiaTheme="minorEastAsia"/>
                <w:b/>
                <w:color w:val="000000" w:themeColor="text1"/>
                <w:sz w:val="24"/>
                <w:highlight w:val="none"/>
              </w:rPr>
              <w:t>4</w:t>
            </w:r>
            <w:r>
              <w:rPr>
                <w:rFonts w:hAnsiTheme="minorEastAsia" w:eastAsiaTheme="minorEastAsia"/>
                <w:b/>
                <w:color w:val="000000" w:themeColor="text1"/>
                <w:sz w:val="24"/>
                <w:highlight w:val="none"/>
              </w:rPr>
              <w:t>废气监测方案</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85"/>
              <w:gridCol w:w="1620"/>
              <w:gridCol w:w="1155"/>
              <w:gridCol w:w="29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6" w:type="pct"/>
                  <w:tcBorders>
                    <w:tl2br w:val="nil"/>
                    <w:tr2bl w:val="nil"/>
                  </w:tcBorders>
                  <w:shd w:val="clear" w:color="auto" w:fill="auto"/>
                  <w:noWrap/>
                  <w:vAlign w:val="center"/>
                </w:tcPr>
                <w:p>
                  <w:pPr>
                    <w:pStyle w:val="81"/>
                    <w:rPr>
                      <w:color w:val="000000" w:themeColor="text1"/>
                      <w:highlight w:val="none"/>
                    </w:rPr>
                  </w:pPr>
                  <w:r>
                    <w:rPr>
                      <w:color w:val="000000" w:themeColor="text1"/>
                      <w:highlight w:val="none"/>
                    </w:rPr>
                    <w:t>类别</w:t>
                  </w:r>
                </w:p>
              </w:tc>
              <w:tc>
                <w:tcPr>
                  <w:tcW w:w="1099" w:type="pct"/>
                  <w:tcBorders>
                    <w:tl2br w:val="nil"/>
                    <w:tr2bl w:val="nil"/>
                  </w:tcBorders>
                  <w:shd w:val="clear" w:color="auto" w:fill="auto"/>
                  <w:noWrap/>
                  <w:vAlign w:val="center"/>
                </w:tcPr>
                <w:p>
                  <w:pPr>
                    <w:pStyle w:val="81"/>
                    <w:rPr>
                      <w:color w:val="000000" w:themeColor="text1"/>
                      <w:highlight w:val="none"/>
                    </w:rPr>
                  </w:pPr>
                  <w:r>
                    <w:rPr>
                      <w:color w:val="000000" w:themeColor="text1"/>
                      <w:highlight w:val="none"/>
                    </w:rPr>
                    <w:t>监测点位</w:t>
                  </w:r>
                </w:p>
              </w:tc>
              <w:tc>
                <w:tcPr>
                  <w:tcW w:w="997" w:type="pct"/>
                  <w:tcBorders>
                    <w:tl2br w:val="nil"/>
                    <w:tr2bl w:val="nil"/>
                  </w:tcBorders>
                  <w:shd w:val="clear" w:color="auto" w:fill="auto"/>
                  <w:noWrap/>
                  <w:vAlign w:val="center"/>
                </w:tcPr>
                <w:p>
                  <w:pPr>
                    <w:pStyle w:val="81"/>
                    <w:rPr>
                      <w:color w:val="000000" w:themeColor="text1"/>
                      <w:highlight w:val="none"/>
                    </w:rPr>
                  </w:pPr>
                  <w:r>
                    <w:rPr>
                      <w:color w:val="000000" w:themeColor="text1"/>
                      <w:highlight w:val="none"/>
                    </w:rPr>
                    <w:t>监测项目</w:t>
                  </w:r>
                </w:p>
              </w:tc>
              <w:tc>
                <w:tcPr>
                  <w:tcW w:w="711" w:type="pct"/>
                  <w:tcBorders>
                    <w:tl2br w:val="nil"/>
                    <w:tr2bl w:val="nil"/>
                  </w:tcBorders>
                  <w:shd w:val="clear" w:color="auto" w:fill="auto"/>
                  <w:noWrap/>
                  <w:vAlign w:val="center"/>
                </w:tcPr>
                <w:p>
                  <w:pPr>
                    <w:pStyle w:val="81"/>
                    <w:rPr>
                      <w:color w:val="000000" w:themeColor="text1"/>
                      <w:highlight w:val="none"/>
                    </w:rPr>
                  </w:pPr>
                  <w:r>
                    <w:rPr>
                      <w:color w:val="000000" w:themeColor="text1"/>
                      <w:highlight w:val="none"/>
                    </w:rPr>
                    <w:t>监测频次</w:t>
                  </w:r>
                </w:p>
              </w:tc>
              <w:tc>
                <w:tcPr>
                  <w:tcW w:w="1785" w:type="pct"/>
                  <w:tcBorders>
                    <w:tl2br w:val="nil"/>
                    <w:tr2bl w:val="nil"/>
                  </w:tcBorders>
                  <w:shd w:val="clear" w:color="auto" w:fill="auto"/>
                  <w:noWrap/>
                  <w:vAlign w:val="center"/>
                </w:tcPr>
                <w:p>
                  <w:pPr>
                    <w:pStyle w:val="81"/>
                    <w:rPr>
                      <w:color w:val="000000" w:themeColor="text1"/>
                      <w:highlight w:val="none"/>
                    </w:rPr>
                  </w:pPr>
                  <w:r>
                    <w:rPr>
                      <w:rFonts w:hint="eastAsia"/>
                      <w:color w:val="000000" w:themeColor="text1"/>
                      <w:highlight w:val="none"/>
                    </w:rPr>
                    <w:t>执行</w:t>
                  </w:r>
                  <w:r>
                    <w:rPr>
                      <w:color w:val="000000" w:themeColor="text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6" w:type="pct"/>
                  <w:vMerge w:val="restart"/>
                  <w:tcBorders>
                    <w:tl2br w:val="nil"/>
                    <w:tr2bl w:val="nil"/>
                  </w:tcBorders>
                  <w:shd w:val="clear" w:color="auto" w:fill="auto"/>
                  <w:noWrap/>
                  <w:vAlign w:val="center"/>
                </w:tcPr>
                <w:p>
                  <w:pPr>
                    <w:pStyle w:val="81"/>
                    <w:rPr>
                      <w:color w:val="000000" w:themeColor="text1"/>
                      <w:highlight w:val="none"/>
                    </w:rPr>
                  </w:pPr>
                  <w:r>
                    <w:rPr>
                      <w:rFonts w:hint="eastAsia"/>
                      <w:color w:val="000000" w:themeColor="text1"/>
                      <w:highlight w:val="none"/>
                    </w:rPr>
                    <w:t>废气</w:t>
                  </w:r>
                </w:p>
              </w:tc>
              <w:tc>
                <w:tcPr>
                  <w:tcW w:w="1099" w:type="pct"/>
                  <w:tcBorders>
                    <w:tl2br w:val="nil"/>
                    <w:tr2bl w:val="nil"/>
                  </w:tcBorders>
                  <w:shd w:val="clear" w:color="auto" w:fill="auto"/>
                  <w:noWrap/>
                  <w:vAlign w:val="center"/>
                </w:tcPr>
                <w:p>
                  <w:pPr>
                    <w:pStyle w:val="81"/>
                    <w:rPr>
                      <w:color w:val="000000" w:themeColor="text1"/>
                      <w:highlight w:val="none"/>
                    </w:rPr>
                  </w:pPr>
                  <w:r>
                    <w:rPr>
                      <w:rFonts w:hint="eastAsia"/>
                      <w:color w:val="000000" w:themeColor="text1"/>
                      <w:highlight w:val="none"/>
                    </w:rPr>
                    <w:t>厂界</w:t>
                  </w:r>
                </w:p>
              </w:tc>
              <w:tc>
                <w:tcPr>
                  <w:tcW w:w="997" w:type="pct"/>
                  <w:tcBorders>
                    <w:tl2br w:val="nil"/>
                    <w:tr2bl w:val="nil"/>
                  </w:tcBorders>
                  <w:shd w:val="clear" w:color="auto" w:fill="auto"/>
                  <w:noWrap/>
                  <w:vAlign w:val="center"/>
                </w:tcPr>
                <w:p>
                  <w:pPr>
                    <w:pStyle w:val="81"/>
                    <w:rPr>
                      <w:color w:val="000000" w:themeColor="text1"/>
                      <w:highlight w:val="none"/>
                    </w:rPr>
                  </w:pPr>
                  <w:r>
                    <w:rPr>
                      <w:rFonts w:hint="eastAsia"/>
                      <w:color w:val="000000" w:themeColor="text1"/>
                      <w:highlight w:val="none"/>
                    </w:rPr>
                    <w:t>颗粒物</w:t>
                  </w:r>
                </w:p>
              </w:tc>
              <w:tc>
                <w:tcPr>
                  <w:tcW w:w="711" w:type="pct"/>
                  <w:vMerge w:val="restart"/>
                  <w:tcBorders>
                    <w:tl2br w:val="nil"/>
                    <w:tr2bl w:val="nil"/>
                  </w:tcBorders>
                  <w:shd w:val="clear" w:color="auto" w:fill="auto"/>
                  <w:noWrap/>
                  <w:vAlign w:val="center"/>
                </w:tcPr>
                <w:p>
                  <w:pPr>
                    <w:pStyle w:val="81"/>
                    <w:rPr>
                      <w:color w:val="000000" w:themeColor="text1"/>
                      <w:highlight w:val="none"/>
                    </w:rPr>
                  </w:pPr>
                  <w:r>
                    <w:rPr>
                      <w:rFonts w:hint="eastAsia"/>
                      <w:color w:val="000000" w:themeColor="text1"/>
                      <w:highlight w:val="none"/>
                    </w:rPr>
                    <w:t>1次/年</w:t>
                  </w:r>
                </w:p>
              </w:tc>
              <w:tc>
                <w:tcPr>
                  <w:tcW w:w="1785" w:type="pct"/>
                  <w:vMerge w:val="restart"/>
                  <w:tcBorders>
                    <w:tl2br w:val="nil"/>
                    <w:tr2bl w:val="nil"/>
                  </w:tcBorders>
                  <w:shd w:val="clear" w:color="auto" w:fill="auto"/>
                  <w:noWrap/>
                  <w:vAlign w:val="center"/>
                </w:tcPr>
                <w:p>
                  <w:pPr>
                    <w:pStyle w:val="81"/>
                    <w:rPr>
                      <w:color w:val="000000" w:themeColor="text1"/>
                      <w:highlight w:val="none"/>
                    </w:rPr>
                  </w:pPr>
                  <w:r>
                    <w:rPr>
                      <w:rFonts w:hint="eastAsia"/>
                      <w:color w:val="000000" w:themeColor="text1"/>
                      <w:highlight w:val="none"/>
                    </w:rPr>
                    <w:t>《大气污染物综合排放标准》（GB16297-1996）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6" w:type="pct"/>
                  <w:vMerge w:val="continue"/>
                  <w:tcBorders>
                    <w:tl2br w:val="nil"/>
                    <w:tr2bl w:val="nil"/>
                  </w:tcBorders>
                  <w:shd w:val="clear" w:color="auto" w:fill="auto"/>
                  <w:noWrap/>
                  <w:vAlign w:val="center"/>
                </w:tcPr>
                <w:p>
                  <w:pPr>
                    <w:pStyle w:val="81"/>
                    <w:rPr>
                      <w:color w:val="000000" w:themeColor="text1"/>
                      <w:highlight w:val="none"/>
                    </w:rPr>
                  </w:pPr>
                </w:p>
              </w:tc>
              <w:tc>
                <w:tcPr>
                  <w:tcW w:w="1099" w:type="pct"/>
                  <w:tcBorders>
                    <w:tl2br w:val="nil"/>
                    <w:tr2bl w:val="nil"/>
                  </w:tcBorders>
                  <w:shd w:val="clear" w:color="auto" w:fill="auto"/>
                  <w:noWrap/>
                  <w:vAlign w:val="center"/>
                </w:tcPr>
                <w:p>
                  <w:pPr>
                    <w:pStyle w:val="81"/>
                    <w:rPr>
                      <w:color w:val="000000" w:themeColor="text1"/>
                      <w:highlight w:val="none"/>
                    </w:rPr>
                  </w:pPr>
                  <w:r>
                    <w:rPr>
                      <w:rFonts w:hint="eastAsia"/>
                      <w:color w:val="000000" w:themeColor="text1"/>
                      <w:highlight w:val="none"/>
                    </w:rPr>
                    <w:t>DA001</w:t>
                  </w:r>
                </w:p>
              </w:tc>
              <w:tc>
                <w:tcPr>
                  <w:tcW w:w="997" w:type="pct"/>
                  <w:tcBorders>
                    <w:tl2br w:val="nil"/>
                    <w:tr2bl w:val="nil"/>
                  </w:tcBorders>
                  <w:shd w:val="clear" w:color="auto" w:fill="auto"/>
                  <w:noWrap/>
                  <w:vAlign w:val="center"/>
                </w:tcPr>
                <w:p>
                  <w:pPr>
                    <w:pStyle w:val="81"/>
                    <w:rPr>
                      <w:color w:val="000000" w:themeColor="text1"/>
                      <w:highlight w:val="none"/>
                    </w:rPr>
                  </w:pPr>
                  <w:r>
                    <w:rPr>
                      <w:rFonts w:hint="eastAsia"/>
                      <w:color w:val="000000" w:themeColor="text1"/>
                      <w:highlight w:val="none"/>
                    </w:rPr>
                    <w:t>颗粒物</w:t>
                  </w:r>
                </w:p>
              </w:tc>
              <w:tc>
                <w:tcPr>
                  <w:tcW w:w="711" w:type="pct"/>
                  <w:vMerge w:val="continue"/>
                  <w:tcBorders>
                    <w:tl2br w:val="nil"/>
                    <w:tr2bl w:val="nil"/>
                  </w:tcBorders>
                  <w:shd w:val="clear" w:color="auto" w:fill="auto"/>
                  <w:noWrap/>
                  <w:vAlign w:val="center"/>
                </w:tcPr>
                <w:p>
                  <w:pPr>
                    <w:pStyle w:val="81"/>
                    <w:rPr>
                      <w:color w:val="000000" w:themeColor="text1"/>
                      <w:highlight w:val="none"/>
                    </w:rPr>
                  </w:pPr>
                </w:p>
              </w:tc>
              <w:tc>
                <w:tcPr>
                  <w:tcW w:w="1785" w:type="pct"/>
                  <w:vMerge w:val="continue"/>
                  <w:tcBorders>
                    <w:tl2br w:val="nil"/>
                    <w:tr2bl w:val="nil"/>
                  </w:tcBorders>
                  <w:shd w:val="clear" w:color="auto" w:fill="auto"/>
                  <w:noWrap/>
                  <w:vAlign w:val="center"/>
                </w:tcPr>
                <w:p>
                  <w:pPr>
                    <w:pStyle w:val="81"/>
                    <w:rPr>
                      <w:color w:val="000000" w:themeColor="text1"/>
                      <w:highlight w:val="none"/>
                    </w:rPr>
                  </w:pPr>
                </w:p>
              </w:tc>
            </w:tr>
          </w:tbl>
          <w:p>
            <w:pPr>
              <w:spacing w:line="360" w:lineRule="auto"/>
              <w:ind w:firstLine="482" w:firstLineChars="200"/>
              <w:contextualSpacing/>
              <w:rPr>
                <w:rStyle w:val="28"/>
                <w:color w:val="000000" w:themeColor="text1"/>
                <w:kern w:val="0"/>
                <w:szCs w:val="20"/>
                <w:highlight w:val="none"/>
              </w:rPr>
            </w:pPr>
            <w:r>
              <w:rPr>
                <w:rFonts w:hint="eastAsia" w:eastAsiaTheme="minorEastAsia"/>
                <w:b/>
                <w:bCs/>
                <w:color w:val="000000" w:themeColor="text1"/>
                <w:sz w:val="24"/>
                <w:highlight w:val="none"/>
              </w:rPr>
              <w:t>4</w:t>
            </w:r>
            <w:r>
              <w:rPr>
                <w:rFonts w:hAnsiTheme="minorEastAsia" w:eastAsiaTheme="minorEastAsia"/>
                <w:b/>
                <w:bCs/>
                <w:color w:val="000000" w:themeColor="text1"/>
                <w:sz w:val="24"/>
                <w:highlight w:val="none"/>
              </w:rPr>
              <w:t>、达标排放分析</w:t>
            </w:r>
            <w:r>
              <w:rPr>
                <w:rFonts w:hint="eastAsia" w:hAnsiTheme="minorEastAsia" w:eastAsiaTheme="minorEastAsia"/>
                <w:b/>
                <w:bCs/>
                <w:color w:val="000000" w:themeColor="text1"/>
                <w:sz w:val="24"/>
                <w:highlight w:val="none"/>
              </w:rPr>
              <w:t>及可行性技术分析</w:t>
            </w:r>
          </w:p>
          <w:p>
            <w:pPr>
              <w:spacing w:line="360" w:lineRule="auto"/>
              <w:ind w:firstLine="480" w:firstLineChars="200"/>
              <w:contextualSpacing/>
              <w:rPr>
                <w:rStyle w:val="28"/>
                <w:color w:val="000000" w:themeColor="text1"/>
                <w:kern w:val="0"/>
                <w:szCs w:val="20"/>
                <w:highlight w:val="none"/>
              </w:rPr>
            </w:pPr>
            <w:r>
              <w:rPr>
                <w:rFonts w:hint="eastAsia" w:eastAsiaTheme="minorEastAsia"/>
                <w:bCs/>
                <w:color w:val="000000" w:themeColor="text1"/>
                <w:sz w:val="24"/>
                <w:highlight w:val="none"/>
              </w:rPr>
              <w:t>根据《排污许可证申请与核发技术规范 陶瓷砖瓦工业》（HJ954-2018）表33，生产过程中破碎机、搅拌机、成型机、其他废气收集装置等对应排放口的可行性技术为湿法作业或采用袋式除尘等技术，本项目运输及堆场扬尘采取洒水降尘，水泥筒仓废气及上料搅拌废气均经布袋除尘器处理后由排气筒排放，均属于可行性技术。</w:t>
            </w:r>
          </w:p>
          <w:p>
            <w:pPr>
              <w:spacing w:line="360" w:lineRule="auto"/>
              <w:ind w:firstLine="480" w:firstLineChars="200"/>
              <w:contextualSpacing/>
              <w:rPr>
                <w:bCs/>
                <w:sz w:val="24"/>
                <w:highlight w:val="none"/>
              </w:rPr>
            </w:pPr>
            <w:r>
              <w:rPr>
                <w:rFonts w:hint="eastAsia"/>
                <w:bCs/>
                <w:sz w:val="24"/>
                <w:highlight w:val="none"/>
              </w:rPr>
              <w:t>本项目</w:t>
            </w:r>
            <w:r>
              <w:rPr>
                <w:rFonts w:hint="eastAsia"/>
                <w:sz w:val="24"/>
                <w:highlight w:val="none"/>
              </w:rPr>
              <w:t>水泥储运产生的粉尘经仓顶布袋除尘器处理后</w:t>
            </w:r>
            <w:r>
              <w:rPr>
                <w:rFonts w:hint="eastAsia"/>
                <w:sz w:val="24"/>
                <w:highlight w:val="none"/>
                <w:lang w:val="en-US" w:eastAsia="zh-CN"/>
              </w:rPr>
              <w:t>仓顶</w:t>
            </w:r>
            <w:r>
              <w:rPr>
                <w:rFonts w:hint="eastAsia"/>
                <w:sz w:val="24"/>
                <w:highlight w:val="none"/>
              </w:rPr>
              <w:t>排放</w:t>
            </w:r>
            <w:r>
              <w:rPr>
                <w:rFonts w:hint="eastAsia"/>
                <w:bCs/>
                <w:sz w:val="24"/>
                <w:highlight w:val="none"/>
              </w:rPr>
              <w:t>；</w:t>
            </w:r>
            <w:r>
              <w:rPr>
                <w:rFonts w:hint="eastAsia"/>
                <w:sz w:val="24"/>
                <w:highlight w:val="none"/>
              </w:rPr>
              <w:t>上料仓及搅拌器整体封闭，生产过程产生的废气经布袋除尘器处理后由15m高排气筒排放，</w:t>
            </w:r>
            <w:r>
              <w:rPr>
                <w:rFonts w:hint="eastAsia"/>
                <w:bCs/>
                <w:sz w:val="24"/>
                <w:highlight w:val="none"/>
              </w:rPr>
              <w:t>经计算单个水泥筒仓颗粒物排放速率为0.0</w:t>
            </w:r>
            <w:r>
              <w:rPr>
                <w:rFonts w:hint="eastAsia"/>
                <w:bCs/>
                <w:sz w:val="24"/>
                <w:highlight w:val="none"/>
                <w:lang w:val="en-US" w:eastAsia="zh-CN"/>
              </w:rPr>
              <w:t>07</w:t>
            </w:r>
            <w:r>
              <w:rPr>
                <w:rFonts w:hint="eastAsia"/>
                <w:bCs/>
                <w:sz w:val="24"/>
                <w:highlight w:val="none"/>
              </w:rPr>
              <w:t>kg/h；生产过程颗粒物排放速率为0.0</w:t>
            </w:r>
            <w:r>
              <w:rPr>
                <w:rFonts w:hint="eastAsia"/>
                <w:bCs/>
                <w:sz w:val="24"/>
                <w:highlight w:val="none"/>
                <w:lang w:val="en-US" w:eastAsia="zh-CN"/>
              </w:rPr>
              <w:t>17</w:t>
            </w:r>
            <w:r>
              <w:rPr>
                <w:rFonts w:hint="eastAsia"/>
                <w:bCs/>
                <w:sz w:val="24"/>
                <w:highlight w:val="none"/>
              </w:rPr>
              <w:t>kg/h，排放浓度为</w:t>
            </w:r>
            <w:r>
              <w:rPr>
                <w:rFonts w:hint="eastAsia"/>
                <w:bCs/>
                <w:sz w:val="24"/>
                <w:highlight w:val="none"/>
                <w:lang w:val="en-US" w:eastAsia="zh-CN"/>
              </w:rPr>
              <w:t>3</w:t>
            </w:r>
            <w:r>
              <w:rPr>
                <w:rFonts w:hint="eastAsia"/>
                <w:bCs/>
                <w:sz w:val="24"/>
                <w:highlight w:val="none"/>
              </w:rPr>
              <w:t>.</w:t>
            </w:r>
            <w:r>
              <w:rPr>
                <w:rFonts w:hint="eastAsia"/>
                <w:bCs/>
                <w:sz w:val="24"/>
                <w:highlight w:val="none"/>
                <w:lang w:val="en-US" w:eastAsia="zh-CN"/>
              </w:rPr>
              <w:t>32</w:t>
            </w:r>
            <w:r>
              <w:rPr>
                <w:rFonts w:hint="eastAsia"/>
                <w:bCs/>
                <w:sz w:val="24"/>
                <w:highlight w:val="none"/>
              </w:rPr>
              <w:t>mg/m</w:t>
            </w:r>
            <w:r>
              <w:rPr>
                <w:rFonts w:hint="eastAsia"/>
                <w:bCs/>
                <w:sz w:val="24"/>
                <w:highlight w:val="none"/>
                <w:vertAlign w:val="superscript"/>
              </w:rPr>
              <w:t>3</w:t>
            </w:r>
            <w:r>
              <w:rPr>
                <w:rFonts w:hint="eastAsia"/>
                <w:bCs/>
                <w:sz w:val="24"/>
                <w:highlight w:val="none"/>
              </w:rPr>
              <w:t>。均能满足</w:t>
            </w:r>
            <w:r>
              <w:rPr>
                <w:rFonts w:hint="eastAsia" w:hAnsiTheme="minorEastAsia" w:eastAsiaTheme="minorEastAsia"/>
                <w:color w:val="000000" w:themeColor="text1"/>
                <w:kern w:val="0"/>
                <w:sz w:val="24"/>
                <w:highlight w:val="none"/>
              </w:rPr>
              <w:t>《大气污染物综合排放标准》（</w:t>
            </w:r>
            <w:r>
              <w:rPr>
                <w:rFonts w:hAnsiTheme="minorEastAsia" w:eastAsiaTheme="minorEastAsia"/>
                <w:color w:val="000000" w:themeColor="text1"/>
                <w:kern w:val="0"/>
                <w:sz w:val="24"/>
                <w:highlight w:val="none"/>
              </w:rPr>
              <w:t>GB16297-1996</w:t>
            </w:r>
            <w:r>
              <w:rPr>
                <w:rFonts w:hint="eastAsia" w:hAnsiTheme="minorEastAsia" w:eastAsiaTheme="minorEastAsia"/>
                <w:color w:val="000000" w:themeColor="text1"/>
                <w:kern w:val="0"/>
                <w:sz w:val="24"/>
                <w:highlight w:val="none"/>
              </w:rPr>
              <w:t xml:space="preserve">）表 </w:t>
            </w:r>
            <w:r>
              <w:rPr>
                <w:rFonts w:hAnsiTheme="minorEastAsia" w:eastAsiaTheme="minorEastAsia"/>
                <w:color w:val="000000" w:themeColor="text1"/>
                <w:kern w:val="0"/>
                <w:sz w:val="24"/>
                <w:highlight w:val="none"/>
              </w:rPr>
              <w:t xml:space="preserve">2 </w:t>
            </w:r>
            <w:r>
              <w:rPr>
                <w:rFonts w:hint="eastAsia" w:hAnsiTheme="minorEastAsia" w:eastAsiaTheme="minorEastAsia"/>
                <w:color w:val="000000" w:themeColor="text1"/>
                <w:kern w:val="0"/>
                <w:sz w:val="24"/>
                <w:highlight w:val="none"/>
              </w:rPr>
              <w:t>中二级标准。</w:t>
            </w:r>
          </w:p>
          <w:p>
            <w:pPr>
              <w:spacing w:line="360" w:lineRule="auto"/>
              <w:ind w:firstLine="480" w:firstLineChars="200"/>
              <w:contextualSpacing/>
              <w:rPr>
                <w:rFonts w:eastAsiaTheme="minorEastAsia"/>
                <w:color w:val="000000" w:themeColor="text1"/>
                <w:sz w:val="24"/>
                <w:highlight w:val="none"/>
              </w:rPr>
            </w:pPr>
            <w:r>
              <w:rPr>
                <w:sz w:val="24"/>
                <w:highlight w:val="none"/>
              </w:rPr>
              <w:t>本项目</w:t>
            </w:r>
            <w:r>
              <w:rPr>
                <w:rFonts w:hint="eastAsia"/>
                <w:sz w:val="24"/>
                <w:highlight w:val="none"/>
              </w:rPr>
              <w:t>物料装卸洒水降尘，原料堆场石料用苫布遮盖，水泥采用封闭式罐车运入厂区，原料的输送、计量及投料均为封闭式，厂内道路及时清扫，采取洒水降尘等措施</w:t>
            </w:r>
            <w:r>
              <w:rPr>
                <w:sz w:val="24"/>
                <w:highlight w:val="none"/>
              </w:rPr>
              <w:t>减少了</w:t>
            </w:r>
            <w:r>
              <w:rPr>
                <w:rFonts w:hint="eastAsia"/>
                <w:sz w:val="24"/>
                <w:highlight w:val="none"/>
              </w:rPr>
              <w:t>无</w:t>
            </w:r>
            <w:r>
              <w:rPr>
                <w:sz w:val="24"/>
                <w:highlight w:val="none"/>
              </w:rPr>
              <w:t>组织粉尘对环境的影响。</w:t>
            </w:r>
            <w:r>
              <w:rPr>
                <w:rFonts w:hint="eastAsia"/>
                <w:bCs/>
                <w:sz w:val="24"/>
                <w:highlight w:val="none"/>
              </w:rPr>
              <w:t>项目所在区域气象扩散条件较好，经大气扩散后对环</w:t>
            </w:r>
            <w:r>
              <w:rPr>
                <w:rFonts w:hint="eastAsia"/>
                <w:bCs/>
                <w:sz w:val="24"/>
                <w:highlight w:val="none"/>
                <w:lang w:eastAsia="zh-CN"/>
              </w:rPr>
              <w:t>境影</w:t>
            </w:r>
            <w:r>
              <w:rPr>
                <w:rFonts w:hint="eastAsia"/>
                <w:bCs/>
                <w:sz w:val="24"/>
                <w:highlight w:val="none"/>
              </w:rPr>
              <w:t>响较小。厂界颗粒物浓度可满足</w:t>
            </w:r>
            <w:r>
              <w:rPr>
                <w:rFonts w:hint="eastAsia" w:hAnsiTheme="minorEastAsia" w:eastAsiaTheme="minorEastAsia"/>
                <w:color w:val="000000" w:themeColor="text1"/>
                <w:kern w:val="0"/>
                <w:sz w:val="24"/>
                <w:highlight w:val="none"/>
              </w:rPr>
              <w:t>《大气污染物综合排放标准》（</w:t>
            </w:r>
            <w:r>
              <w:rPr>
                <w:rFonts w:hAnsiTheme="minorEastAsia" w:eastAsiaTheme="minorEastAsia"/>
                <w:color w:val="000000" w:themeColor="text1"/>
                <w:kern w:val="0"/>
                <w:sz w:val="24"/>
                <w:highlight w:val="none"/>
              </w:rPr>
              <w:t>GB16297-1996</w:t>
            </w:r>
            <w:r>
              <w:rPr>
                <w:rFonts w:hint="eastAsia" w:hAnsiTheme="minorEastAsia" w:eastAsiaTheme="minorEastAsia"/>
                <w:color w:val="000000" w:themeColor="text1"/>
                <w:kern w:val="0"/>
                <w:sz w:val="24"/>
                <w:highlight w:val="none"/>
              </w:rPr>
              <w:t>）</w:t>
            </w:r>
            <w:r>
              <w:rPr>
                <w:rFonts w:hint="eastAsia"/>
                <w:color w:val="000000" w:themeColor="text1"/>
                <w:sz w:val="24"/>
                <w:highlight w:val="none"/>
              </w:rPr>
              <w:t>无组织排放监控浓度限值</w:t>
            </w:r>
            <w:r>
              <w:rPr>
                <w:rFonts w:hint="eastAsia" w:eastAsiaTheme="minorEastAsia"/>
                <w:color w:val="000000" w:themeColor="text1"/>
                <w:sz w:val="24"/>
                <w:highlight w:val="none"/>
              </w:rPr>
              <w:t>。</w:t>
            </w:r>
          </w:p>
          <w:p>
            <w:pPr>
              <w:spacing w:line="360" w:lineRule="auto"/>
              <w:ind w:firstLine="480" w:firstLineChars="200"/>
              <w:contextualSpacing/>
              <w:rPr>
                <w:rFonts w:eastAsiaTheme="minorEastAsia"/>
                <w:color w:val="000000" w:themeColor="text1"/>
                <w:sz w:val="24"/>
                <w:highlight w:val="none"/>
              </w:rPr>
            </w:pPr>
            <w:r>
              <w:rPr>
                <w:rFonts w:hint="eastAsia" w:eastAsiaTheme="minorEastAsia"/>
                <w:color w:val="000000" w:themeColor="text1"/>
                <w:sz w:val="24"/>
                <w:highlight w:val="none"/>
              </w:rPr>
              <w:t>综上所述，项目采取以上治理措施后，项目废气排放源强较低，可实现达标排放，对周边大气环境保护目标环境影响很小。</w:t>
            </w:r>
          </w:p>
          <w:p>
            <w:pPr>
              <w:numPr>
                <w:ilvl w:val="0"/>
                <w:numId w:val="3"/>
              </w:numPr>
              <w:spacing w:line="360" w:lineRule="auto"/>
              <w:ind w:firstLine="482" w:firstLineChars="200"/>
              <w:contextualSpacing/>
              <w:rPr>
                <w:rFonts w:hAnsiTheme="minorEastAsia" w:eastAsiaTheme="minorEastAsia"/>
                <w:b/>
                <w:bCs/>
                <w:color w:val="000000" w:themeColor="text1"/>
                <w:sz w:val="24"/>
                <w:highlight w:val="none"/>
              </w:rPr>
            </w:pPr>
            <w:r>
              <w:rPr>
                <w:rFonts w:hAnsiTheme="minorEastAsia" w:eastAsiaTheme="minorEastAsia"/>
                <w:b/>
                <w:bCs/>
                <w:color w:val="000000" w:themeColor="text1"/>
                <w:sz w:val="24"/>
                <w:highlight w:val="none"/>
              </w:rPr>
              <w:t>废水</w:t>
            </w:r>
          </w:p>
          <w:p>
            <w:pPr>
              <w:spacing w:line="360" w:lineRule="auto"/>
              <w:ind w:firstLine="482" w:firstLineChars="200"/>
              <w:contextualSpacing/>
              <w:rPr>
                <w:color w:val="000000" w:themeColor="text1"/>
                <w:highlight w:val="none"/>
              </w:rPr>
            </w:pPr>
            <w:r>
              <w:rPr>
                <w:b/>
                <w:color w:val="000000" w:themeColor="text1"/>
                <w:sz w:val="24"/>
                <w:highlight w:val="none"/>
              </w:rPr>
              <w:t>1、废水源强</w:t>
            </w:r>
          </w:p>
          <w:p>
            <w:pPr>
              <w:spacing w:line="360" w:lineRule="auto"/>
              <w:ind w:firstLine="480" w:firstLineChars="200"/>
              <w:contextualSpacing/>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 xml:space="preserve">本项目生产用水为洒水降尘用水及搅拌用水，最终蒸发消耗及进入到产品中，故不产生生产废水；生活污水排放量为25.2t/a，参考《给排水设计手册》（第五册城镇排水）典型生活污水水质，项目生活污水中各主要污染物浓度按 </w:t>
            </w:r>
            <w:r>
              <w:rPr>
                <w:rFonts w:hAnsiTheme="minorEastAsia" w:eastAsiaTheme="minorEastAsia"/>
                <w:color w:val="000000" w:themeColor="text1"/>
                <w:sz w:val="24"/>
                <w:highlight w:val="none"/>
              </w:rPr>
              <w:t>COD</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400mg/L</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BOD</w:t>
            </w:r>
            <w:r>
              <w:rPr>
                <w:rFonts w:hAnsiTheme="minorEastAsia" w:eastAsiaTheme="minorEastAsia"/>
                <w:color w:val="000000" w:themeColor="text1"/>
                <w:sz w:val="24"/>
                <w:highlight w:val="none"/>
                <w:vertAlign w:val="subscript"/>
              </w:rPr>
              <w:t>5</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200mg/L</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SS</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220mg/L</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NH</w:t>
            </w:r>
            <w:r>
              <w:rPr>
                <w:rFonts w:hAnsiTheme="minorEastAsia" w:eastAsiaTheme="minorEastAsia"/>
                <w:color w:val="000000" w:themeColor="text1"/>
                <w:sz w:val="24"/>
                <w:highlight w:val="none"/>
                <w:vertAlign w:val="subscript"/>
              </w:rPr>
              <w:t>3</w:t>
            </w:r>
            <w:r>
              <w:rPr>
                <w:rFonts w:hAnsiTheme="minorEastAsia" w:eastAsiaTheme="minorEastAsia"/>
                <w:color w:val="000000" w:themeColor="text1"/>
                <w:sz w:val="24"/>
                <w:highlight w:val="none"/>
              </w:rPr>
              <w:t>-N</w:t>
            </w:r>
            <w:r>
              <w:rPr>
                <w:rFonts w:hint="eastAsia" w:hAnsiTheme="minorEastAsia" w:eastAsiaTheme="minorEastAsia"/>
                <w:color w:val="000000" w:themeColor="text1"/>
                <w:sz w:val="24"/>
                <w:highlight w:val="none"/>
              </w:rPr>
              <w:t>：</w:t>
            </w:r>
            <w:r>
              <w:rPr>
                <w:rFonts w:hAnsiTheme="minorEastAsia" w:eastAsiaTheme="minorEastAsia"/>
                <w:color w:val="000000" w:themeColor="text1"/>
                <w:sz w:val="24"/>
                <w:highlight w:val="none"/>
              </w:rPr>
              <w:t>35mg/L</w:t>
            </w:r>
            <w:r>
              <w:rPr>
                <w:rFonts w:hint="eastAsia" w:hAnsiTheme="minorEastAsia" w:eastAsiaTheme="minorEastAsia"/>
                <w:color w:val="000000" w:themeColor="text1"/>
                <w:sz w:val="24"/>
                <w:highlight w:val="none"/>
              </w:rPr>
              <w:t>计算。本项目生活污水</w:t>
            </w:r>
            <w:r>
              <w:rPr>
                <w:rFonts w:hAnsiTheme="minorEastAsia" w:eastAsiaTheme="minorEastAsia"/>
                <w:color w:val="000000" w:themeColor="text1"/>
                <w:sz w:val="24"/>
                <w:highlight w:val="none"/>
              </w:rPr>
              <w:t>排入</w:t>
            </w:r>
            <w:r>
              <w:rPr>
                <w:rFonts w:hint="eastAsia" w:hAnsiTheme="minorEastAsia" w:eastAsiaTheme="minorEastAsia"/>
                <w:color w:val="000000" w:themeColor="text1"/>
                <w:sz w:val="24"/>
                <w:highlight w:val="none"/>
              </w:rPr>
              <w:t>防渗旱厕</w:t>
            </w:r>
            <w:r>
              <w:rPr>
                <w:rFonts w:hAnsiTheme="minorEastAsia" w:eastAsiaTheme="minorEastAsia"/>
                <w:color w:val="000000" w:themeColor="text1"/>
                <w:sz w:val="24"/>
                <w:highlight w:val="none"/>
              </w:rPr>
              <w:t>，</w:t>
            </w:r>
            <w:r>
              <w:rPr>
                <w:rFonts w:hint="eastAsia" w:hAnsiTheme="minorEastAsia" w:eastAsiaTheme="minorEastAsia"/>
                <w:color w:val="000000" w:themeColor="text1"/>
                <w:sz w:val="24"/>
                <w:highlight w:val="none"/>
              </w:rPr>
              <w:t>定期清掏外运堆肥</w:t>
            </w:r>
            <w:r>
              <w:rPr>
                <w:rFonts w:hAnsiTheme="minorEastAsia" w:eastAsiaTheme="minorEastAsia"/>
                <w:color w:val="000000" w:themeColor="text1"/>
                <w:sz w:val="24"/>
                <w:highlight w:val="none"/>
              </w:rPr>
              <w:t>。</w:t>
            </w:r>
            <w:r>
              <w:rPr>
                <w:rFonts w:hint="eastAsia" w:hAnsiTheme="minorEastAsia" w:eastAsiaTheme="minorEastAsia"/>
                <w:color w:val="000000" w:themeColor="text1"/>
                <w:sz w:val="24"/>
                <w:highlight w:val="none"/>
              </w:rPr>
              <w:t>项目生活污水各污染物产生及排放源强情况见下表：</w:t>
            </w:r>
          </w:p>
          <w:p>
            <w:pPr>
              <w:pStyle w:val="66"/>
              <w:spacing w:line="360" w:lineRule="auto"/>
              <w:contextualSpacing/>
              <w:rPr>
                <w:rFonts w:ascii="Times New Roman" w:hAnsiTheme="minorEastAsia" w:eastAsiaTheme="minorEastAsia"/>
                <w:b/>
                <w:color w:val="000000" w:themeColor="text1"/>
                <w:highlight w:val="none"/>
              </w:rPr>
            </w:pPr>
            <w:r>
              <w:rPr>
                <w:rFonts w:ascii="Times New Roman" w:hAnsiTheme="minorEastAsia" w:eastAsiaTheme="minorEastAsia"/>
                <w:b/>
                <w:color w:val="000000" w:themeColor="text1"/>
                <w:highlight w:val="none"/>
              </w:rPr>
              <w:t>表</w:t>
            </w:r>
            <w:r>
              <w:rPr>
                <w:rFonts w:ascii="Times New Roman" w:hAnsi="Times New Roman" w:eastAsiaTheme="minorEastAsia"/>
                <w:b/>
                <w:color w:val="000000" w:themeColor="text1"/>
                <w:highlight w:val="none"/>
              </w:rPr>
              <w:t>4-</w:t>
            </w:r>
            <w:r>
              <w:rPr>
                <w:rFonts w:hint="eastAsia" w:ascii="Times New Roman" w:hAnsi="Times New Roman" w:eastAsiaTheme="minorEastAsia"/>
                <w:b/>
                <w:color w:val="000000" w:themeColor="text1"/>
                <w:highlight w:val="none"/>
              </w:rPr>
              <w:t>5</w:t>
            </w:r>
            <w:r>
              <w:rPr>
                <w:rFonts w:ascii="Times New Roman" w:hAnsiTheme="minorEastAsia" w:eastAsiaTheme="minorEastAsia"/>
                <w:b/>
                <w:color w:val="000000" w:themeColor="text1"/>
                <w:highlight w:val="none"/>
              </w:rPr>
              <w:t>废水污染源源强核算结果及相关参数一览表</w:t>
            </w:r>
          </w:p>
          <w:tbl>
            <w:tblPr>
              <w:tblStyle w:val="23"/>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2"/>
              <w:gridCol w:w="774"/>
              <w:gridCol w:w="927"/>
              <w:gridCol w:w="870"/>
              <w:gridCol w:w="751"/>
              <w:gridCol w:w="525"/>
              <w:gridCol w:w="585"/>
              <w:gridCol w:w="884"/>
              <w:gridCol w:w="1015"/>
              <w:gridCol w:w="773"/>
              <w:gridCol w:w="5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restart"/>
                  <w:tcBorders>
                    <w:tl2br w:val="nil"/>
                    <w:tr2bl w:val="nil"/>
                  </w:tcBorders>
                  <w:vAlign w:val="center"/>
                </w:tcPr>
                <w:p>
                  <w:pPr>
                    <w:pStyle w:val="93"/>
                    <w:rPr>
                      <w:color w:val="000000" w:themeColor="text1"/>
                      <w:szCs w:val="21"/>
                      <w:highlight w:val="none"/>
                    </w:rPr>
                  </w:pPr>
                  <w:bookmarkStart w:id="13" w:name="_Hlk523068116"/>
                  <w:r>
                    <w:rPr>
                      <w:color w:val="000000" w:themeColor="text1"/>
                      <w:szCs w:val="21"/>
                      <w:highlight w:val="none"/>
                    </w:rPr>
                    <w:t>污染源</w:t>
                  </w:r>
                </w:p>
              </w:tc>
              <w:tc>
                <w:tcPr>
                  <w:tcW w:w="476" w:type="pct"/>
                  <w:vMerge w:val="restart"/>
                  <w:tcBorders>
                    <w:tl2br w:val="nil"/>
                    <w:tr2bl w:val="nil"/>
                  </w:tcBorders>
                  <w:vAlign w:val="center"/>
                </w:tcPr>
                <w:p>
                  <w:pPr>
                    <w:pStyle w:val="93"/>
                    <w:rPr>
                      <w:color w:val="000000" w:themeColor="text1"/>
                      <w:szCs w:val="21"/>
                      <w:highlight w:val="none"/>
                    </w:rPr>
                  </w:pPr>
                  <w:r>
                    <w:rPr>
                      <w:color w:val="000000" w:themeColor="text1"/>
                      <w:szCs w:val="21"/>
                      <w:highlight w:val="none"/>
                    </w:rPr>
                    <w:t>污染物</w:t>
                  </w:r>
                </w:p>
              </w:tc>
              <w:tc>
                <w:tcPr>
                  <w:tcW w:w="1567" w:type="pct"/>
                  <w:gridSpan w:val="3"/>
                  <w:tcBorders>
                    <w:tl2br w:val="nil"/>
                    <w:tr2bl w:val="nil"/>
                  </w:tcBorders>
                  <w:vAlign w:val="center"/>
                </w:tcPr>
                <w:p>
                  <w:pPr>
                    <w:pStyle w:val="93"/>
                    <w:rPr>
                      <w:color w:val="000000" w:themeColor="text1"/>
                      <w:szCs w:val="21"/>
                      <w:highlight w:val="none"/>
                    </w:rPr>
                  </w:pPr>
                  <w:r>
                    <w:rPr>
                      <w:color w:val="000000" w:themeColor="text1"/>
                      <w:szCs w:val="21"/>
                      <w:highlight w:val="none"/>
                    </w:rPr>
                    <w:t>污染物产生</w:t>
                  </w:r>
                </w:p>
              </w:tc>
              <w:tc>
                <w:tcPr>
                  <w:tcW w:w="683" w:type="pct"/>
                  <w:gridSpan w:val="2"/>
                  <w:tcBorders>
                    <w:tl2br w:val="nil"/>
                    <w:tr2bl w:val="nil"/>
                  </w:tcBorders>
                  <w:vAlign w:val="center"/>
                </w:tcPr>
                <w:p>
                  <w:pPr>
                    <w:pStyle w:val="93"/>
                    <w:rPr>
                      <w:color w:val="000000" w:themeColor="text1"/>
                      <w:szCs w:val="21"/>
                      <w:highlight w:val="none"/>
                    </w:rPr>
                  </w:pPr>
                  <w:r>
                    <w:rPr>
                      <w:color w:val="000000" w:themeColor="text1"/>
                      <w:szCs w:val="21"/>
                      <w:highlight w:val="none"/>
                    </w:rPr>
                    <w:t>治理措施</w:t>
                  </w:r>
                </w:p>
              </w:tc>
              <w:tc>
                <w:tcPr>
                  <w:tcW w:w="1645" w:type="pct"/>
                  <w:gridSpan w:val="3"/>
                  <w:tcBorders>
                    <w:tl2br w:val="nil"/>
                    <w:tr2bl w:val="nil"/>
                  </w:tcBorders>
                  <w:vAlign w:val="center"/>
                </w:tcPr>
                <w:p>
                  <w:pPr>
                    <w:pStyle w:val="93"/>
                    <w:rPr>
                      <w:color w:val="000000" w:themeColor="text1"/>
                      <w:szCs w:val="21"/>
                      <w:highlight w:val="none"/>
                    </w:rPr>
                  </w:pPr>
                  <w:r>
                    <w:rPr>
                      <w:color w:val="000000" w:themeColor="text1"/>
                      <w:szCs w:val="21"/>
                      <w:highlight w:val="none"/>
                    </w:rPr>
                    <w:t>污染物排放</w:t>
                  </w:r>
                </w:p>
              </w:tc>
              <w:tc>
                <w:tcPr>
                  <w:tcW w:w="336" w:type="pct"/>
                  <w:vMerge w:val="restart"/>
                  <w:tcBorders>
                    <w:tl2br w:val="nil"/>
                    <w:tr2bl w:val="nil"/>
                  </w:tcBorders>
                  <w:vAlign w:val="center"/>
                </w:tcPr>
                <w:p>
                  <w:pPr>
                    <w:pStyle w:val="93"/>
                    <w:rPr>
                      <w:color w:val="000000" w:themeColor="text1"/>
                      <w:szCs w:val="21"/>
                      <w:highlight w:val="none"/>
                    </w:rPr>
                  </w:pPr>
                  <w:r>
                    <w:rPr>
                      <w:color w:val="000000" w:themeColor="text1"/>
                      <w:szCs w:val="21"/>
                      <w:highlight w:val="none"/>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3"/>
                    <w:rPr>
                      <w:color w:val="000000" w:themeColor="text1"/>
                      <w:szCs w:val="21"/>
                      <w:highlight w:val="none"/>
                    </w:rPr>
                  </w:pPr>
                </w:p>
              </w:tc>
              <w:tc>
                <w:tcPr>
                  <w:tcW w:w="476" w:type="pct"/>
                  <w:vMerge w:val="continue"/>
                  <w:tcBorders>
                    <w:tl2br w:val="nil"/>
                    <w:tr2bl w:val="nil"/>
                  </w:tcBorders>
                  <w:vAlign w:val="center"/>
                </w:tcPr>
                <w:p>
                  <w:pPr>
                    <w:pStyle w:val="93"/>
                    <w:rPr>
                      <w:color w:val="000000" w:themeColor="text1"/>
                      <w:szCs w:val="21"/>
                      <w:highlight w:val="none"/>
                    </w:rPr>
                  </w:pPr>
                </w:p>
              </w:tc>
              <w:tc>
                <w:tcPr>
                  <w:tcW w:w="570" w:type="pct"/>
                  <w:tcBorders>
                    <w:tl2br w:val="nil"/>
                    <w:tr2bl w:val="nil"/>
                  </w:tcBorders>
                  <w:vAlign w:val="center"/>
                </w:tcPr>
                <w:p>
                  <w:pPr>
                    <w:pStyle w:val="93"/>
                    <w:rPr>
                      <w:color w:val="000000" w:themeColor="text1"/>
                      <w:szCs w:val="21"/>
                      <w:highlight w:val="none"/>
                    </w:rPr>
                  </w:pPr>
                  <w:r>
                    <w:rPr>
                      <w:color w:val="000000" w:themeColor="text1"/>
                      <w:szCs w:val="21"/>
                      <w:highlight w:val="none"/>
                    </w:rPr>
                    <w:t>产生废水/m</w:t>
                  </w:r>
                  <w:r>
                    <w:rPr>
                      <w:color w:val="000000" w:themeColor="text1"/>
                      <w:szCs w:val="21"/>
                      <w:highlight w:val="none"/>
                      <w:vertAlign w:val="superscript"/>
                    </w:rPr>
                    <w:t>3</w:t>
                  </w:r>
                  <w:r>
                    <w:rPr>
                      <w:color w:val="000000" w:themeColor="text1"/>
                      <w:szCs w:val="21"/>
                      <w:highlight w:val="none"/>
                    </w:rPr>
                    <w:t>/a</w:t>
                  </w:r>
                </w:p>
              </w:tc>
              <w:tc>
                <w:tcPr>
                  <w:tcW w:w="535" w:type="pct"/>
                  <w:tcBorders>
                    <w:tl2br w:val="nil"/>
                    <w:tr2bl w:val="nil"/>
                  </w:tcBorders>
                  <w:vAlign w:val="center"/>
                </w:tcPr>
                <w:p>
                  <w:pPr>
                    <w:pStyle w:val="93"/>
                    <w:rPr>
                      <w:color w:val="000000" w:themeColor="text1"/>
                      <w:szCs w:val="21"/>
                      <w:highlight w:val="none"/>
                    </w:rPr>
                  </w:pPr>
                  <w:r>
                    <w:rPr>
                      <w:color w:val="000000" w:themeColor="text1"/>
                      <w:szCs w:val="21"/>
                      <w:highlight w:val="none"/>
                    </w:rPr>
                    <w:t>产生浓度/mg/L</w:t>
                  </w:r>
                </w:p>
              </w:tc>
              <w:tc>
                <w:tcPr>
                  <w:tcW w:w="461" w:type="pct"/>
                  <w:tcBorders>
                    <w:tl2br w:val="nil"/>
                    <w:tr2bl w:val="nil"/>
                  </w:tcBorders>
                  <w:vAlign w:val="center"/>
                </w:tcPr>
                <w:p>
                  <w:pPr>
                    <w:pStyle w:val="93"/>
                    <w:rPr>
                      <w:color w:val="000000" w:themeColor="text1"/>
                      <w:szCs w:val="21"/>
                      <w:highlight w:val="none"/>
                    </w:rPr>
                  </w:pPr>
                  <w:r>
                    <w:rPr>
                      <w:color w:val="000000" w:themeColor="text1"/>
                      <w:szCs w:val="21"/>
                      <w:highlight w:val="none"/>
                    </w:rPr>
                    <w:t>产生量/t/a</w:t>
                  </w:r>
                </w:p>
              </w:tc>
              <w:tc>
                <w:tcPr>
                  <w:tcW w:w="323" w:type="pct"/>
                  <w:tcBorders>
                    <w:tl2br w:val="nil"/>
                    <w:tr2bl w:val="nil"/>
                  </w:tcBorders>
                  <w:vAlign w:val="center"/>
                </w:tcPr>
                <w:p>
                  <w:pPr>
                    <w:pStyle w:val="93"/>
                    <w:rPr>
                      <w:color w:val="000000" w:themeColor="text1"/>
                      <w:szCs w:val="21"/>
                      <w:highlight w:val="none"/>
                    </w:rPr>
                  </w:pPr>
                  <w:r>
                    <w:rPr>
                      <w:color w:val="000000" w:themeColor="text1"/>
                      <w:szCs w:val="21"/>
                      <w:highlight w:val="none"/>
                    </w:rPr>
                    <w:t>工艺</w:t>
                  </w:r>
                </w:p>
              </w:tc>
              <w:tc>
                <w:tcPr>
                  <w:tcW w:w="360" w:type="pct"/>
                  <w:tcBorders>
                    <w:tl2br w:val="nil"/>
                    <w:tr2bl w:val="nil"/>
                  </w:tcBorders>
                  <w:vAlign w:val="center"/>
                </w:tcPr>
                <w:p>
                  <w:pPr>
                    <w:pStyle w:val="93"/>
                    <w:rPr>
                      <w:color w:val="000000" w:themeColor="text1"/>
                      <w:szCs w:val="21"/>
                      <w:highlight w:val="none"/>
                    </w:rPr>
                  </w:pPr>
                  <w:r>
                    <w:rPr>
                      <w:color w:val="000000" w:themeColor="text1"/>
                      <w:szCs w:val="21"/>
                      <w:highlight w:val="none"/>
                    </w:rPr>
                    <w:t>效率%</w:t>
                  </w:r>
                </w:p>
              </w:tc>
              <w:tc>
                <w:tcPr>
                  <w:tcW w:w="544" w:type="pct"/>
                  <w:tcBorders>
                    <w:tl2br w:val="nil"/>
                    <w:tr2bl w:val="nil"/>
                  </w:tcBorders>
                  <w:vAlign w:val="center"/>
                </w:tcPr>
                <w:p>
                  <w:pPr>
                    <w:pStyle w:val="93"/>
                    <w:rPr>
                      <w:color w:val="000000" w:themeColor="text1"/>
                      <w:szCs w:val="21"/>
                      <w:highlight w:val="none"/>
                    </w:rPr>
                  </w:pPr>
                  <w:r>
                    <w:rPr>
                      <w:color w:val="000000" w:themeColor="text1"/>
                      <w:szCs w:val="21"/>
                      <w:highlight w:val="none"/>
                    </w:rPr>
                    <w:t>排放废水/t/a</w:t>
                  </w:r>
                </w:p>
              </w:tc>
              <w:tc>
                <w:tcPr>
                  <w:tcW w:w="625" w:type="pct"/>
                  <w:tcBorders>
                    <w:tl2br w:val="nil"/>
                    <w:tr2bl w:val="nil"/>
                  </w:tcBorders>
                  <w:vAlign w:val="center"/>
                </w:tcPr>
                <w:p>
                  <w:pPr>
                    <w:pStyle w:val="93"/>
                    <w:rPr>
                      <w:color w:val="000000" w:themeColor="text1"/>
                      <w:szCs w:val="21"/>
                      <w:highlight w:val="none"/>
                    </w:rPr>
                  </w:pPr>
                  <w:r>
                    <w:rPr>
                      <w:color w:val="000000" w:themeColor="text1"/>
                      <w:szCs w:val="21"/>
                      <w:highlight w:val="none"/>
                    </w:rPr>
                    <w:t>排放浓度/mg/L</w:t>
                  </w:r>
                </w:p>
              </w:tc>
              <w:tc>
                <w:tcPr>
                  <w:tcW w:w="475" w:type="pct"/>
                  <w:tcBorders>
                    <w:tl2br w:val="nil"/>
                    <w:tr2bl w:val="nil"/>
                  </w:tcBorders>
                  <w:vAlign w:val="center"/>
                </w:tcPr>
                <w:p>
                  <w:pPr>
                    <w:pStyle w:val="93"/>
                    <w:rPr>
                      <w:color w:val="000000" w:themeColor="text1"/>
                      <w:szCs w:val="21"/>
                      <w:highlight w:val="none"/>
                    </w:rPr>
                  </w:pPr>
                  <w:r>
                    <w:rPr>
                      <w:color w:val="000000" w:themeColor="text1"/>
                      <w:szCs w:val="21"/>
                      <w:highlight w:val="none"/>
                    </w:rPr>
                    <w:t>排放量/t/a</w:t>
                  </w:r>
                </w:p>
              </w:tc>
              <w:tc>
                <w:tcPr>
                  <w:tcW w:w="336" w:type="pct"/>
                  <w:vMerge w:val="continue"/>
                  <w:tcBorders>
                    <w:tl2br w:val="nil"/>
                    <w:tr2bl w:val="nil"/>
                  </w:tcBorders>
                  <w:vAlign w:val="center"/>
                </w:tcPr>
                <w:p>
                  <w:pPr>
                    <w:pStyle w:val="93"/>
                    <w:rPr>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290" w:type="pct"/>
                  <w:vMerge w:val="restart"/>
                  <w:tcBorders>
                    <w:tl2br w:val="nil"/>
                    <w:tr2bl w:val="nil"/>
                  </w:tcBorders>
                  <w:vAlign w:val="center"/>
                </w:tcPr>
                <w:p>
                  <w:pPr>
                    <w:pStyle w:val="93"/>
                    <w:rPr>
                      <w:color w:val="000000" w:themeColor="text1"/>
                      <w:szCs w:val="21"/>
                      <w:highlight w:val="none"/>
                    </w:rPr>
                  </w:pPr>
                  <w:r>
                    <w:rPr>
                      <w:color w:val="000000" w:themeColor="text1"/>
                      <w:szCs w:val="21"/>
                      <w:highlight w:val="none"/>
                    </w:rPr>
                    <w:t>生活污水</w:t>
                  </w:r>
                </w:p>
              </w:tc>
              <w:tc>
                <w:tcPr>
                  <w:tcW w:w="476" w:type="pc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pH</w:t>
                  </w:r>
                </w:p>
              </w:tc>
              <w:tc>
                <w:tcPr>
                  <w:tcW w:w="570" w:type="pct"/>
                  <w:vMerge w:val="restar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1320</w:t>
                  </w:r>
                </w:p>
              </w:tc>
              <w:tc>
                <w:tcPr>
                  <w:tcW w:w="535" w:type="pc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6.5~7.5（无量纲）</w:t>
                  </w:r>
                </w:p>
              </w:tc>
              <w:tc>
                <w:tcPr>
                  <w:tcW w:w="461" w:type="pc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w:t>
                  </w:r>
                </w:p>
              </w:tc>
              <w:tc>
                <w:tcPr>
                  <w:tcW w:w="323" w:type="pct"/>
                  <w:vMerge w:val="restar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w:t>
                  </w:r>
                </w:p>
              </w:tc>
              <w:tc>
                <w:tcPr>
                  <w:tcW w:w="360" w:type="pct"/>
                  <w:vMerge w:val="restart"/>
                  <w:tcBorders>
                    <w:tl2br w:val="nil"/>
                    <w:tr2bl w:val="nil"/>
                  </w:tcBorders>
                  <w:vAlign w:val="center"/>
                </w:tcPr>
                <w:p>
                  <w:pPr>
                    <w:pStyle w:val="93"/>
                    <w:rPr>
                      <w:color w:val="000000" w:themeColor="text1"/>
                      <w:szCs w:val="21"/>
                      <w:highlight w:val="none"/>
                    </w:rPr>
                  </w:pPr>
                  <w:r>
                    <w:rPr>
                      <w:color w:val="000000" w:themeColor="text1"/>
                      <w:szCs w:val="21"/>
                      <w:highlight w:val="none"/>
                    </w:rPr>
                    <w:t>/</w:t>
                  </w:r>
                </w:p>
              </w:tc>
              <w:tc>
                <w:tcPr>
                  <w:tcW w:w="544" w:type="pct"/>
                  <w:vMerge w:val="restar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w:t>
                  </w:r>
                </w:p>
              </w:tc>
              <w:tc>
                <w:tcPr>
                  <w:tcW w:w="625" w:type="pct"/>
                  <w:tcBorders>
                    <w:tl2br w:val="nil"/>
                    <w:tr2bl w:val="nil"/>
                  </w:tcBorders>
                  <w:vAlign w:val="center"/>
                </w:tcPr>
                <w:p>
                  <w:pPr>
                    <w:jc w:val="center"/>
                    <w:rPr>
                      <w:color w:val="000000" w:themeColor="text1"/>
                      <w:szCs w:val="21"/>
                      <w:highlight w:val="none"/>
                    </w:rPr>
                  </w:pPr>
                  <w:r>
                    <w:rPr>
                      <w:rFonts w:hint="eastAsia"/>
                      <w:color w:val="000000" w:themeColor="text1"/>
                      <w:szCs w:val="21"/>
                      <w:highlight w:val="none"/>
                    </w:rPr>
                    <w:t>/</w:t>
                  </w:r>
                </w:p>
              </w:tc>
              <w:tc>
                <w:tcPr>
                  <w:tcW w:w="475" w:type="pct"/>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rPr>
                    <w:t>/</w:t>
                  </w:r>
                </w:p>
              </w:tc>
              <w:tc>
                <w:tcPr>
                  <w:tcW w:w="336" w:type="pct"/>
                  <w:vMerge w:val="restart"/>
                  <w:tcBorders>
                    <w:tl2br w:val="nil"/>
                    <w:tr2bl w:val="nil"/>
                  </w:tcBorders>
                  <w:vAlign w:val="center"/>
                </w:tcPr>
                <w:p>
                  <w:pPr>
                    <w:pStyle w:val="84"/>
                    <w:rPr>
                      <w:color w:val="000000" w:themeColor="text1"/>
                      <w:sz w:val="21"/>
                      <w:szCs w:val="21"/>
                      <w:highlight w:val="none"/>
                    </w:rPr>
                  </w:pPr>
                  <w:r>
                    <w:rPr>
                      <w:rFonts w:hint="eastAsia"/>
                      <w:color w:val="000000" w:themeColor="text1"/>
                      <w:sz w:val="21"/>
                      <w:szCs w:val="21"/>
                      <w:highlight w:val="none"/>
                    </w:rPr>
                    <w:t>1680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3"/>
                    <w:rPr>
                      <w:color w:val="000000" w:themeColor="text1"/>
                      <w:szCs w:val="21"/>
                      <w:highlight w:val="none"/>
                    </w:rPr>
                  </w:pPr>
                </w:p>
              </w:tc>
              <w:tc>
                <w:tcPr>
                  <w:tcW w:w="476" w:type="pct"/>
                  <w:tcBorders>
                    <w:tl2br w:val="nil"/>
                    <w:tr2bl w:val="nil"/>
                  </w:tcBorders>
                  <w:vAlign w:val="center"/>
                </w:tcPr>
                <w:p>
                  <w:pPr>
                    <w:pStyle w:val="93"/>
                    <w:rPr>
                      <w:color w:val="000000" w:themeColor="text1"/>
                      <w:szCs w:val="21"/>
                      <w:highlight w:val="none"/>
                    </w:rPr>
                  </w:pPr>
                  <w:r>
                    <w:rPr>
                      <w:color w:val="000000" w:themeColor="text1"/>
                      <w:szCs w:val="21"/>
                      <w:highlight w:val="none"/>
                    </w:rPr>
                    <w:t>COD</w:t>
                  </w:r>
                </w:p>
              </w:tc>
              <w:tc>
                <w:tcPr>
                  <w:tcW w:w="570" w:type="pct"/>
                  <w:vMerge w:val="continue"/>
                  <w:tcBorders>
                    <w:tl2br w:val="nil"/>
                    <w:tr2bl w:val="nil"/>
                  </w:tcBorders>
                  <w:vAlign w:val="center"/>
                </w:tcPr>
                <w:p>
                  <w:pPr>
                    <w:pStyle w:val="93"/>
                    <w:rPr>
                      <w:color w:val="000000" w:themeColor="text1"/>
                      <w:szCs w:val="21"/>
                      <w:highlight w:val="none"/>
                    </w:rPr>
                  </w:pPr>
                </w:p>
              </w:tc>
              <w:tc>
                <w:tcPr>
                  <w:tcW w:w="535" w:type="pc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4</w:t>
                  </w:r>
                  <w:r>
                    <w:rPr>
                      <w:color w:val="000000" w:themeColor="text1"/>
                      <w:szCs w:val="21"/>
                      <w:highlight w:val="none"/>
                    </w:rPr>
                    <w:t>00</w:t>
                  </w:r>
                </w:p>
              </w:tc>
              <w:tc>
                <w:tcPr>
                  <w:tcW w:w="461" w:type="pct"/>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rPr>
                    <w:t>0.01</w:t>
                  </w:r>
                </w:p>
              </w:tc>
              <w:tc>
                <w:tcPr>
                  <w:tcW w:w="323" w:type="pct"/>
                  <w:vMerge w:val="continue"/>
                  <w:tcBorders>
                    <w:tl2br w:val="nil"/>
                    <w:tr2bl w:val="nil"/>
                  </w:tcBorders>
                  <w:vAlign w:val="center"/>
                </w:tcPr>
                <w:p>
                  <w:pPr>
                    <w:pStyle w:val="93"/>
                    <w:rPr>
                      <w:color w:val="000000" w:themeColor="text1"/>
                      <w:szCs w:val="21"/>
                      <w:highlight w:val="none"/>
                    </w:rPr>
                  </w:pPr>
                </w:p>
              </w:tc>
              <w:tc>
                <w:tcPr>
                  <w:tcW w:w="360" w:type="pct"/>
                  <w:vMerge w:val="continue"/>
                  <w:tcBorders>
                    <w:tl2br w:val="nil"/>
                    <w:tr2bl w:val="nil"/>
                  </w:tcBorders>
                  <w:vAlign w:val="center"/>
                </w:tcPr>
                <w:p>
                  <w:pPr>
                    <w:pStyle w:val="93"/>
                    <w:rPr>
                      <w:color w:val="000000" w:themeColor="text1"/>
                      <w:szCs w:val="21"/>
                      <w:highlight w:val="none"/>
                    </w:rPr>
                  </w:pPr>
                </w:p>
              </w:tc>
              <w:tc>
                <w:tcPr>
                  <w:tcW w:w="544" w:type="pct"/>
                  <w:vMerge w:val="continue"/>
                  <w:tcBorders>
                    <w:tl2br w:val="nil"/>
                    <w:tr2bl w:val="nil"/>
                  </w:tcBorders>
                  <w:vAlign w:val="center"/>
                </w:tcPr>
                <w:p>
                  <w:pPr>
                    <w:pStyle w:val="93"/>
                    <w:rPr>
                      <w:color w:val="000000" w:themeColor="text1"/>
                      <w:szCs w:val="21"/>
                      <w:highlight w:val="none"/>
                    </w:rPr>
                  </w:pPr>
                </w:p>
              </w:tc>
              <w:tc>
                <w:tcPr>
                  <w:tcW w:w="1016" w:type="dxa"/>
                  <w:tcBorders>
                    <w:tl2br w:val="nil"/>
                    <w:tr2bl w:val="nil"/>
                  </w:tcBorders>
                  <w:vAlign w:val="center"/>
                </w:tcPr>
                <w:p>
                  <w:pPr>
                    <w:jc w:val="center"/>
                    <w:rPr>
                      <w:color w:val="000000" w:themeColor="text1"/>
                      <w:szCs w:val="21"/>
                      <w:highlight w:val="none"/>
                    </w:rPr>
                  </w:pPr>
                  <w:r>
                    <w:rPr>
                      <w:rFonts w:hint="eastAsia"/>
                      <w:color w:val="000000" w:themeColor="text1"/>
                      <w:szCs w:val="21"/>
                      <w:highlight w:val="none"/>
                    </w:rPr>
                    <w:t>/</w:t>
                  </w:r>
                </w:p>
              </w:tc>
              <w:tc>
                <w:tcPr>
                  <w:tcW w:w="772" w:type="dxa"/>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rPr>
                    <w:t>/</w:t>
                  </w:r>
                </w:p>
              </w:tc>
              <w:tc>
                <w:tcPr>
                  <w:tcW w:w="336" w:type="pct"/>
                  <w:vMerge w:val="continue"/>
                  <w:tcBorders>
                    <w:tl2br w:val="nil"/>
                    <w:tr2bl w:val="nil"/>
                  </w:tcBorders>
                  <w:vAlign w:val="center"/>
                </w:tcPr>
                <w:p>
                  <w:pPr>
                    <w:pStyle w:val="84"/>
                    <w:rPr>
                      <w:color w:val="000000" w:themeColor="text1"/>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3"/>
                    <w:rPr>
                      <w:color w:val="000000" w:themeColor="text1"/>
                      <w:szCs w:val="21"/>
                      <w:highlight w:val="none"/>
                    </w:rPr>
                  </w:pPr>
                </w:p>
              </w:tc>
              <w:tc>
                <w:tcPr>
                  <w:tcW w:w="476" w:type="pct"/>
                  <w:tcBorders>
                    <w:tl2br w:val="nil"/>
                    <w:tr2bl w:val="nil"/>
                  </w:tcBorders>
                  <w:vAlign w:val="center"/>
                </w:tcPr>
                <w:p>
                  <w:pPr>
                    <w:pStyle w:val="93"/>
                    <w:rPr>
                      <w:color w:val="000000" w:themeColor="text1"/>
                      <w:szCs w:val="21"/>
                      <w:highlight w:val="none"/>
                    </w:rPr>
                  </w:pPr>
                  <w:r>
                    <w:rPr>
                      <w:color w:val="000000" w:themeColor="text1"/>
                      <w:szCs w:val="21"/>
                      <w:highlight w:val="none"/>
                    </w:rPr>
                    <w:t>NH</w:t>
                  </w:r>
                  <w:r>
                    <w:rPr>
                      <w:color w:val="000000" w:themeColor="text1"/>
                      <w:szCs w:val="21"/>
                      <w:highlight w:val="none"/>
                      <w:vertAlign w:val="subscript"/>
                    </w:rPr>
                    <w:t>3</w:t>
                  </w:r>
                  <w:r>
                    <w:rPr>
                      <w:color w:val="000000" w:themeColor="text1"/>
                      <w:szCs w:val="21"/>
                      <w:highlight w:val="none"/>
                    </w:rPr>
                    <w:t>-N</w:t>
                  </w:r>
                </w:p>
              </w:tc>
              <w:tc>
                <w:tcPr>
                  <w:tcW w:w="570" w:type="pct"/>
                  <w:vMerge w:val="continue"/>
                  <w:tcBorders>
                    <w:tl2br w:val="nil"/>
                    <w:tr2bl w:val="nil"/>
                  </w:tcBorders>
                  <w:vAlign w:val="center"/>
                </w:tcPr>
                <w:p>
                  <w:pPr>
                    <w:pStyle w:val="93"/>
                    <w:rPr>
                      <w:color w:val="000000" w:themeColor="text1"/>
                      <w:szCs w:val="21"/>
                      <w:highlight w:val="none"/>
                    </w:rPr>
                  </w:pPr>
                </w:p>
              </w:tc>
              <w:tc>
                <w:tcPr>
                  <w:tcW w:w="535" w:type="pc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35</w:t>
                  </w:r>
                </w:p>
              </w:tc>
              <w:tc>
                <w:tcPr>
                  <w:tcW w:w="461" w:type="pct"/>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rPr>
                    <w:t>0.0009</w:t>
                  </w:r>
                </w:p>
              </w:tc>
              <w:tc>
                <w:tcPr>
                  <w:tcW w:w="323" w:type="pct"/>
                  <w:vMerge w:val="continue"/>
                  <w:tcBorders>
                    <w:tl2br w:val="nil"/>
                    <w:tr2bl w:val="nil"/>
                  </w:tcBorders>
                  <w:vAlign w:val="center"/>
                </w:tcPr>
                <w:p>
                  <w:pPr>
                    <w:pStyle w:val="93"/>
                    <w:rPr>
                      <w:color w:val="000000" w:themeColor="text1"/>
                      <w:szCs w:val="21"/>
                      <w:highlight w:val="none"/>
                    </w:rPr>
                  </w:pPr>
                </w:p>
              </w:tc>
              <w:tc>
                <w:tcPr>
                  <w:tcW w:w="360" w:type="pct"/>
                  <w:vMerge w:val="continue"/>
                  <w:tcBorders>
                    <w:tl2br w:val="nil"/>
                    <w:tr2bl w:val="nil"/>
                  </w:tcBorders>
                  <w:vAlign w:val="center"/>
                </w:tcPr>
                <w:p>
                  <w:pPr>
                    <w:pStyle w:val="93"/>
                    <w:rPr>
                      <w:color w:val="000000" w:themeColor="text1"/>
                      <w:szCs w:val="21"/>
                      <w:highlight w:val="none"/>
                    </w:rPr>
                  </w:pPr>
                </w:p>
              </w:tc>
              <w:tc>
                <w:tcPr>
                  <w:tcW w:w="544" w:type="pct"/>
                  <w:vMerge w:val="continue"/>
                  <w:tcBorders>
                    <w:tl2br w:val="nil"/>
                    <w:tr2bl w:val="nil"/>
                  </w:tcBorders>
                  <w:vAlign w:val="center"/>
                </w:tcPr>
                <w:p>
                  <w:pPr>
                    <w:pStyle w:val="93"/>
                    <w:rPr>
                      <w:color w:val="000000" w:themeColor="text1"/>
                      <w:szCs w:val="21"/>
                      <w:highlight w:val="none"/>
                    </w:rPr>
                  </w:pPr>
                </w:p>
              </w:tc>
              <w:tc>
                <w:tcPr>
                  <w:tcW w:w="1016" w:type="dxa"/>
                  <w:tcBorders>
                    <w:tl2br w:val="nil"/>
                    <w:tr2bl w:val="nil"/>
                  </w:tcBorders>
                  <w:vAlign w:val="center"/>
                </w:tcPr>
                <w:p>
                  <w:pPr>
                    <w:jc w:val="center"/>
                    <w:rPr>
                      <w:color w:val="000000" w:themeColor="text1"/>
                      <w:szCs w:val="21"/>
                      <w:highlight w:val="none"/>
                    </w:rPr>
                  </w:pPr>
                  <w:r>
                    <w:rPr>
                      <w:rFonts w:hint="eastAsia"/>
                      <w:color w:val="000000" w:themeColor="text1"/>
                      <w:szCs w:val="21"/>
                      <w:highlight w:val="none"/>
                    </w:rPr>
                    <w:t>/</w:t>
                  </w:r>
                </w:p>
              </w:tc>
              <w:tc>
                <w:tcPr>
                  <w:tcW w:w="772" w:type="dxa"/>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rPr>
                    <w:t>/</w:t>
                  </w:r>
                </w:p>
              </w:tc>
              <w:tc>
                <w:tcPr>
                  <w:tcW w:w="336" w:type="pct"/>
                  <w:vMerge w:val="continue"/>
                  <w:tcBorders>
                    <w:tl2br w:val="nil"/>
                    <w:tr2bl w:val="nil"/>
                  </w:tcBorders>
                  <w:vAlign w:val="center"/>
                </w:tcPr>
                <w:p>
                  <w:pPr>
                    <w:pStyle w:val="84"/>
                    <w:rPr>
                      <w:color w:val="000000" w:themeColor="text1"/>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3"/>
                    <w:rPr>
                      <w:color w:val="000000" w:themeColor="text1"/>
                      <w:szCs w:val="21"/>
                      <w:highlight w:val="none"/>
                    </w:rPr>
                  </w:pPr>
                </w:p>
              </w:tc>
              <w:tc>
                <w:tcPr>
                  <w:tcW w:w="476" w:type="pct"/>
                  <w:tcBorders>
                    <w:tl2br w:val="nil"/>
                    <w:tr2bl w:val="nil"/>
                  </w:tcBorders>
                  <w:vAlign w:val="center"/>
                </w:tcPr>
                <w:p>
                  <w:pPr>
                    <w:pStyle w:val="93"/>
                    <w:rPr>
                      <w:color w:val="000000" w:themeColor="text1"/>
                      <w:szCs w:val="21"/>
                      <w:highlight w:val="none"/>
                    </w:rPr>
                  </w:pPr>
                  <w:r>
                    <w:rPr>
                      <w:color w:val="000000" w:themeColor="text1"/>
                      <w:szCs w:val="21"/>
                      <w:highlight w:val="none"/>
                    </w:rPr>
                    <w:t>BOD</w:t>
                  </w:r>
                  <w:r>
                    <w:rPr>
                      <w:color w:val="000000" w:themeColor="text1"/>
                      <w:szCs w:val="21"/>
                      <w:highlight w:val="none"/>
                      <w:vertAlign w:val="subscript"/>
                    </w:rPr>
                    <w:t>5</w:t>
                  </w:r>
                </w:p>
              </w:tc>
              <w:tc>
                <w:tcPr>
                  <w:tcW w:w="570" w:type="pct"/>
                  <w:vMerge w:val="continue"/>
                  <w:tcBorders>
                    <w:tl2br w:val="nil"/>
                    <w:tr2bl w:val="nil"/>
                  </w:tcBorders>
                  <w:vAlign w:val="center"/>
                </w:tcPr>
                <w:p>
                  <w:pPr>
                    <w:pStyle w:val="93"/>
                    <w:rPr>
                      <w:color w:val="000000" w:themeColor="text1"/>
                      <w:szCs w:val="21"/>
                      <w:highlight w:val="none"/>
                    </w:rPr>
                  </w:pPr>
                </w:p>
              </w:tc>
              <w:tc>
                <w:tcPr>
                  <w:tcW w:w="535" w:type="pc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200</w:t>
                  </w:r>
                </w:p>
              </w:tc>
              <w:tc>
                <w:tcPr>
                  <w:tcW w:w="461" w:type="pct"/>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rPr>
                    <w:t>0.005</w:t>
                  </w:r>
                </w:p>
              </w:tc>
              <w:tc>
                <w:tcPr>
                  <w:tcW w:w="323" w:type="pct"/>
                  <w:vMerge w:val="continue"/>
                  <w:tcBorders>
                    <w:tl2br w:val="nil"/>
                    <w:tr2bl w:val="nil"/>
                  </w:tcBorders>
                  <w:vAlign w:val="center"/>
                </w:tcPr>
                <w:p>
                  <w:pPr>
                    <w:pStyle w:val="93"/>
                    <w:rPr>
                      <w:color w:val="000000" w:themeColor="text1"/>
                      <w:szCs w:val="21"/>
                      <w:highlight w:val="none"/>
                    </w:rPr>
                  </w:pPr>
                </w:p>
              </w:tc>
              <w:tc>
                <w:tcPr>
                  <w:tcW w:w="360" w:type="pct"/>
                  <w:vMerge w:val="continue"/>
                  <w:tcBorders>
                    <w:tl2br w:val="nil"/>
                    <w:tr2bl w:val="nil"/>
                  </w:tcBorders>
                  <w:vAlign w:val="center"/>
                </w:tcPr>
                <w:p>
                  <w:pPr>
                    <w:pStyle w:val="93"/>
                    <w:rPr>
                      <w:color w:val="000000" w:themeColor="text1"/>
                      <w:szCs w:val="21"/>
                      <w:highlight w:val="none"/>
                    </w:rPr>
                  </w:pPr>
                </w:p>
              </w:tc>
              <w:tc>
                <w:tcPr>
                  <w:tcW w:w="544" w:type="pct"/>
                  <w:vMerge w:val="continue"/>
                  <w:tcBorders>
                    <w:tl2br w:val="nil"/>
                    <w:tr2bl w:val="nil"/>
                  </w:tcBorders>
                  <w:vAlign w:val="center"/>
                </w:tcPr>
                <w:p>
                  <w:pPr>
                    <w:pStyle w:val="93"/>
                    <w:rPr>
                      <w:color w:val="000000" w:themeColor="text1"/>
                      <w:szCs w:val="21"/>
                      <w:highlight w:val="none"/>
                    </w:rPr>
                  </w:pPr>
                </w:p>
              </w:tc>
              <w:tc>
                <w:tcPr>
                  <w:tcW w:w="1016" w:type="dxa"/>
                  <w:tcBorders>
                    <w:tl2br w:val="nil"/>
                    <w:tr2bl w:val="nil"/>
                  </w:tcBorders>
                  <w:vAlign w:val="center"/>
                </w:tcPr>
                <w:p>
                  <w:pPr>
                    <w:jc w:val="center"/>
                    <w:rPr>
                      <w:color w:val="000000" w:themeColor="text1"/>
                      <w:szCs w:val="21"/>
                      <w:highlight w:val="none"/>
                    </w:rPr>
                  </w:pPr>
                  <w:r>
                    <w:rPr>
                      <w:rFonts w:hint="eastAsia"/>
                      <w:color w:val="000000" w:themeColor="text1"/>
                      <w:szCs w:val="21"/>
                      <w:highlight w:val="none"/>
                    </w:rPr>
                    <w:t>/</w:t>
                  </w:r>
                </w:p>
              </w:tc>
              <w:tc>
                <w:tcPr>
                  <w:tcW w:w="772" w:type="dxa"/>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rPr>
                    <w:t>/</w:t>
                  </w:r>
                </w:p>
              </w:tc>
              <w:tc>
                <w:tcPr>
                  <w:tcW w:w="336" w:type="pct"/>
                  <w:vMerge w:val="continue"/>
                  <w:tcBorders>
                    <w:tl2br w:val="nil"/>
                    <w:tr2bl w:val="nil"/>
                  </w:tcBorders>
                  <w:vAlign w:val="center"/>
                </w:tcPr>
                <w:p>
                  <w:pPr>
                    <w:pStyle w:val="84"/>
                    <w:rPr>
                      <w:color w:val="000000" w:themeColor="text1"/>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jc w:val="center"/>
              </w:trPr>
              <w:tc>
                <w:tcPr>
                  <w:tcW w:w="290" w:type="pct"/>
                  <w:vMerge w:val="continue"/>
                  <w:tcBorders>
                    <w:tl2br w:val="nil"/>
                    <w:tr2bl w:val="nil"/>
                  </w:tcBorders>
                  <w:vAlign w:val="center"/>
                </w:tcPr>
                <w:p>
                  <w:pPr>
                    <w:pStyle w:val="93"/>
                    <w:rPr>
                      <w:color w:val="000000" w:themeColor="text1"/>
                      <w:szCs w:val="21"/>
                      <w:highlight w:val="none"/>
                    </w:rPr>
                  </w:pPr>
                </w:p>
              </w:tc>
              <w:tc>
                <w:tcPr>
                  <w:tcW w:w="476" w:type="pct"/>
                  <w:tcBorders>
                    <w:tl2br w:val="nil"/>
                    <w:tr2bl w:val="nil"/>
                  </w:tcBorders>
                  <w:vAlign w:val="center"/>
                </w:tcPr>
                <w:p>
                  <w:pPr>
                    <w:pStyle w:val="93"/>
                    <w:rPr>
                      <w:color w:val="000000" w:themeColor="text1"/>
                      <w:szCs w:val="21"/>
                      <w:highlight w:val="none"/>
                    </w:rPr>
                  </w:pPr>
                  <w:r>
                    <w:rPr>
                      <w:color w:val="000000" w:themeColor="text1"/>
                      <w:szCs w:val="21"/>
                      <w:highlight w:val="none"/>
                    </w:rPr>
                    <w:t>SS</w:t>
                  </w:r>
                </w:p>
              </w:tc>
              <w:tc>
                <w:tcPr>
                  <w:tcW w:w="570" w:type="pct"/>
                  <w:vMerge w:val="continue"/>
                  <w:tcBorders>
                    <w:tl2br w:val="nil"/>
                    <w:tr2bl w:val="nil"/>
                  </w:tcBorders>
                  <w:vAlign w:val="center"/>
                </w:tcPr>
                <w:p>
                  <w:pPr>
                    <w:pStyle w:val="93"/>
                    <w:rPr>
                      <w:color w:val="000000" w:themeColor="text1"/>
                      <w:szCs w:val="21"/>
                      <w:highlight w:val="none"/>
                    </w:rPr>
                  </w:pPr>
                </w:p>
              </w:tc>
              <w:tc>
                <w:tcPr>
                  <w:tcW w:w="535" w:type="pct"/>
                  <w:tcBorders>
                    <w:tl2br w:val="nil"/>
                    <w:tr2bl w:val="nil"/>
                  </w:tcBorders>
                  <w:vAlign w:val="center"/>
                </w:tcPr>
                <w:p>
                  <w:pPr>
                    <w:pStyle w:val="93"/>
                    <w:rPr>
                      <w:color w:val="000000" w:themeColor="text1"/>
                      <w:szCs w:val="21"/>
                      <w:highlight w:val="none"/>
                    </w:rPr>
                  </w:pPr>
                  <w:r>
                    <w:rPr>
                      <w:rFonts w:hint="eastAsia"/>
                      <w:color w:val="000000" w:themeColor="text1"/>
                      <w:szCs w:val="21"/>
                      <w:highlight w:val="none"/>
                    </w:rPr>
                    <w:t>220</w:t>
                  </w:r>
                </w:p>
              </w:tc>
              <w:tc>
                <w:tcPr>
                  <w:tcW w:w="461" w:type="pct"/>
                  <w:tcBorders>
                    <w:tl2br w:val="nil"/>
                    <w:tr2bl w:val="nil"/>
                  </w:tcBorders>
                  <w:vAlign w:val="center"/>
                </w:tcPr>
                <w:p>
                  <w:pPr>
                    <w:jc w:val="center"/>
                    <w:textAlignment w:val="center"/>
                    <w:rPr>
                      <w:color w:val="000000" w:themeColor="text1"/>
                      <w:szCs w:val="21"/>
                      <w:highlight w:val="none"/>
                    </w:rPr>
                  </w:pPr>
                  <w:r>
                    <w:rPr>
                      <w:rFonts w:hint="eastAsia"/>
                      <w:color w:val="000000" w:themeColor="text1"/>
                      <w:szCs w:val="21"/>
                      <w:highlight w:val="none"/>
                    </w:rPr>
                    <w:t>0.006</w:t>
                  </w:r>
                </w:p>
              </w:tc>
              <w:tc>
                <w:tcPr>
                  <w:tcW w:w="323" w:type="pct"/>
                  <w:vMerge w:val="continue"/>
                  <w:tcBorders>
                    <w:tl2br w:val="nil"/>
                    <w:tr2bl w:val="nil"/>
                  </w:tcBorders>
                  <w:vAlign w:val="center"/>
                </w:tcPr>
                <w:p>
                  <w:pPr>
                    <w:pStyle w:val="93"/>
                    <w:rPr>
                      <w:color w:val="000000" w:themeColor="text1"/>
                      <w:szCs w:val="21"/>
                      <w:highlight w:val="none"/>
                    </w:rPr>
                  </w:pPr>
                </w:p>
              </w:tc>
              <w:tc>
                <w:tcPr>
                  <w:tcW w:w="360" w:type="pct"/>
                  <w:vMerge w:val="continue"/>
                  <w:tcBorders>
                    <w:tl2br w:val="nil"/>
                    <w:tr2bl w:val="nil"/>
                  </w:tcBorders>
                  <w:vAlign w:val="center"/>
                </w:tcPr>
                <w:p>
                  <w:pPr>
                    <w:pStyle w:val="93"/>
                    <w:rPr>
                      <w:color w:val="000000" w:themeColor="text1"/>
                      <w:szCs w:val="21"/>
                      <w:highlight w:val="none"/>
                    </w:rPr>
                  </w:pPr>
                </w:p>
              </w:tc>
              <w:tc>
                <w:tcPr>
                  <w:tcW w:w="544" w:type="pct"/>
                  <w:vMerge w:val="continue"/>
                  <w:tcBorders>
                    <w:tl2br w:val="nil"/>
                    <w:tr2bl w:val="nil"/>
                  </w:tcBorders>
                  <w:vAlign w:val="center"/>
                </w:tcPr>
                <w:p>
                  <w:pPr>
                    <w:pStyle w:val="93"/>
                    <w:rPr>
                      <w:color w:val="000000" w:themeColor="text1"/>
                      <w:szCs w:val="21"/>
                      <w:highlight w:val="none"/>
                    </w:rPr>
                  </w:pPr>
                </w:p>
              </w:tc>
              <w:tc>
                <w:tcPr>
                  <w:tcW w:w="1016" w:type="dxa"/>
                  <w:tcBorders>
                    <w:tl2br w:val="nil"/>
                    <w:tr2bl w:val="nil"/>
                  </w:tcBorders>
                  <w:vAlign w:val="center"/>
                </w:tcPr>
                <w:p>
                  <w:pPr>
                    <w:jc w:val="center"/>
                    <w:rPr>
                      <w:color w:val="000000" w:themeColor="text1"/>
                      <w:szCs w:val="21"/>
                      <w:highlight w:val="none"/>
                    </w:rPr>
                  </w:pPr>
                  <w:r>
                    <w:rPr>
                      <w:rFonts w:hint="eastAsia"/>
                      <w:color w:val="000000" w:themeColor="text1"/>
                      <w:szCs w:val="21"/>
                      <w:highlight w:val="none"/>
                    </w:rPr>
                    <w:t>/</w:t>
                  </w:r>
                </w:p>
              </w:tc>
              <w:tc>
                <w:tcPr>
                  <w:tcW w:w="772" w:type="dxa"/>
                  <w:tcBorders>
                    <w:tl2br w:val="nil"/>
                    <w:tr2bl w:val="nil"/>
                  </w:tcBorders>
                  <w:vAlign w:val="center"/>
                </w:tcPr>
                <w:p>
                  <w:pPr>
                    <w:jc w:val="center"/>
                    <w:textAlignment w:val="center"/>
                    <w:rPr>
                      <w:b/>
                      <w:bCs/>
                      <w:color w:val="000000" w:themeColor="text1"/>
                      <w:szCs w:val="21"/>
                      <w:highlight w:val="none"/>
                    </w:rPr>
                  </w:pPr>
                  <w:r>
                    <w:rPr>
                      <w:rFonts w:hint="eastAsia"/>
                      <w:color w:val="000000" w:themeColor="text1"/>
                      <w:szCs w:val="21"/>
                      <w:highlight w:val="none"/>
                    </w:rPr>
                    <w:t>/</w:t>
                  </w:r>
                </w:p>
              </w:tc>
              <w:tc>
                <w:tcPr>
                  <w:tcW w:w="336" w:type="pct"/>
                  <w:vMerge w:val="continue"/>
                  <w:tcBorders>
                    <w:tl2br w:val="nil"/>
                    <w:tr2bl w:val="nil"/>
                  </w:tcBorders>
                  <w:vAlign w:val="center"/>
                </w:tcPr>
                <w:p>
                  <w:pPr>
                    <w:pStyle w:val="84"/>
                    <w:rPr>
                      <w:color w:val="000000" w:themeColor="text1"/>
                      <w:sz w:val="21"/>
                      <w:szCs w:val="21"/>
                      <w:highlight w:val="none"/>
                    </w:rPr>
                  </w:pPr>
                </w:p>
              </w:tc>
            </w:tr>
            <w:bookmarkEnd w:id="13"/>
          </w:tbl>
          <w:p>
            <w:pPr>
              <w:spacing w:line="360" w:lineRule="auto"/>
              <w:ind w:firstLine="480" w:firstLineChars="200"/>
              <w:jc w:val="left"/>
              <w:rPr>
                <w:rFonts w:hAnsiTheme="minorEastAsia" w:eastAsiaTheme="minorEastAsia"/>
                <w:color w:val="000000" w:themeColor="text1"/>
                <w:sz w:val="24"/>
                <w:highlight w:val="none"/>
              </w:rPr>
            </w:pPr>
            <w:r>
              <w:rPr>
                <w:color w:val="000000" w:themeColor="text1"/>
                <w:sz w:val="24"/>
                <w:highlight w:val="none"/>
              </w:rPr>
              <w:t>本项目生活污水经防渗</w:t>
            </w:r>
            <w:r>
              <w:rPr>
                <w:rFonts w:hint="eastAsia"/>
                <w:color w:val="000000" w:themeColor="text1"/>
                <w:sz w:val="24"/>
                <w:highlight w:val="none"/>
              </w:rPr>
              <w:t>旱厕收集</w:t>
            </w:r>
            <w:r>
              <w:rPr>
                <w:color w:val="000000" w:themeColor="text1"/>
                <w:sz w:val="24"/>
                <w:highlight w:val="none"/>
              </w:rPr>
              <w:t>后定期清掏堆肥，</w:t>
            </w:r>
            <w:r>
              <w:rPr>
                <w:rFonts w:hint="eastAsia"/>
                <w:color w:val="000000" w:themeColor="text1"/>
                <w:sz w:val="24"/>
                <w:highlight w:val="none"/>
              </w:rPr>
              <w:t>生产用水部分进入产品，降尘用水全部蒸发消耗不外排，</w:t>
            </w:r>
            <w:r>
              <w:rPr>
                <w:color w:val="000000" w:themeColor="text1"/>
                <w:sz w:val="24"/>
                <w:highlight w:val="none"/>
              </w:rPr>
              <w:t>废水利用措施合理且可行。本项目运营过程中产生的废水能够很好处理，不会污染周边地表水环境，故本项目废水处理措施可行的</w:t>
            </w:r>
            <w:r>
              <w:rPr>
                <w:rFonts w:hint="eastAsia" w:hAnsiTheme="minorEastAsia" w:eastAsiaTheme="minorEastAsia"/>
                <w:color w:val="000000" w:themeColor="text1"/>
                <w:sz w:val="24"/>
                <w:highlight w:val="none"/>
              </w:rPr>
              <w:t>。</w:t>
            </w:r>
          </w:p>
          <w:p>
            <w:pPr>
              <w:spacing w:line="360" w:lineRule="auto"/>
              <w:ind w:firstLine="482" w:firstLineChars="200"/>
              <w:contextualSpacing/>
              <w:rPr>
                <w:rFonts w:eastAsiaTheme="minorEastAsia"/>
                <w:b/>
                <w:bCs/>
                <w:color w:val="000000" w:themeColor="text1"/>
                <w:sz w:val="24"/>
                <w:highlight w:val="none"/>
              </w:rPr>
            </w:pPr>
            <w:r>
              <w:rPr>
                <w:rFonts w:hAnsiTheme="minorEastAsia" w:eastAsiaTheme="minorEastAsia"/>
                <w:b/>
                <w:bCs/>
                <w:color w:val="000000" w:themeColor="text1"/>
                <w:sz w:val="24"/>
                <w:highlight w:val="none"/>
              </w:rPr>
              <w:t>三、噪声</w:t>
            </w:r>
          </w:p>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1</w:t>
            </w:r>
            <w:r>
              <w:rPr>
                <w:rFonts w:hAnsiTheme="minorEastAsia" w:eastAsiaTheme="minorEastAsia"/>
                <w:b/>
                <w:bCs/>
                <w:color w:val="000000" w:themeColor="text1"/>
                <w:sz w:val="24"/>
                <w:highlight w:val="none"/>
              </w:rPr>
              <w:t>、噪声源强</w:t>
            </w:r>
          </w:p>
          <w:p>
            <w:pPr>
              <w:pStyle w:val="59"/>
              <w:spacing w:beforeLines="0" w:afterLines="0" w:line="360" w:lineRule="auto"/>
              <w:ind w:firstLine="480"/>
              <w:rPr>
                <w:rFonts w:hAnsiTheme="minorEastAsia" w:eastAsiaTheme="minorEastAsia"/>
                <w:b/>
                <w:color w:val="000000" w:themeColor="text1"/>
                <w:highlight w:val="none"/>
              </w:rPr>
            </w:pPr>
            <w:r>
              <w:rPr>
                <w:rFonts w:hAnsiTheme="minorEastAsia" w:eastAsiaTheme="minorEastAsia"/>
                <w:color w:val="000000" w:themeColor="text1"/>
                <w:highlight w:val="none"/>
              </w:rPr>
              <w:t>本项目的噪声主要为</w:t>
            </w:r>
            <w:r>
              <w:rPr>
                <w:rFonts w:hint="eastAsia" w:hAnsiTheme="minorEastAsia" w:eastAsiaTheme="minorEastAsia"/>
                <w:color w:val="000000" w:themeColor="text1"/>
                <w:highlight w:val="none"/>
              </w:rPr>
              <w:t>项目生产设备</w:t>
            </w:r>
            <w:r>
              <w:rPr>
                <w:rFonts w:hAnsiTheme="minorEastAsia" w:eastAsiaTheme="minorEastAsia"/>
                <w:color w:val="000000" w:themeColor="text1"/>
                <w:highlight w:val="none"/>
              </w:rPr>
              <w:t>运行时产生的噪声，噪声源强见表</w:t>
            </w:r>
            <w:r>
              <w:rPr>
                <w:rFonts w:eastAsiaTheme="minorEastAsia"/>
                <w:color w:val="000000" w:themeColor="text1"/>
                <w:highlight w:val="none"/>
              </w:rPr>
              <w:t>4-</w:t>
            </w:r>
            <w:r>
              <w:rPr>
                <w:rFonts w:hint="eastAsia" w:eastAsiaTheme="minorEastAsia"/>
                <w:color w:val="000000" w:themeColor="text1"/>
                <w:highlight w:val="none"/>
              </w:rPr>
              <w:t>6</w:t>
            </w:r>
            <w:r>
              <w:rPr>
                <w:rFonts w:hAnsiTheme="minorEastAsia" w:eastAsiaTheme="minorEastAsia"/>
                <w:color w:val="000000" w:themeColor="text1"/>
                <w:highlight w:val="none"/>
              </w:rPr>
              <w:t>。</w:t>
            </w:r>
          </w:p>
          <w:p>
            <w:pPr>
              <w:spacing w:line="360" w:lineRule="auto"/>
              <w:jc w:val="center"/>
              <w:rPr>
                <w:rFonts w:hAnsiTheme="minorEastAsia" w:eastAsiaTheme="minorEastAsia"/>
                <w:b/>
                <w:color w:val="000000" w:themeColor="text1"/>
                <w:sz w:val="24"/>
                <w:highlight w:val="none"/>
              </w:rPr>
            </w:pPr>
          </w:p>
          <w:p>
            <w:pPr>
              <w:spacing w:line="360" w:lineRule="auto"/>
              <w:jc w:val="center"/>
              <w:rPr>
                <w:rFonts w:hAnsiTheme="minorEastAsia" w:eastAsiaTheme="minorEastAsia"/>
                <w:b/>
                <w:color w:val="000000" w:themeColor="text1"/>
                <w:sz w:val="24"/>
                <w:highlight w:val="none"/>
              </w:rPr>
            </w:pPr>
          </w:p>
          <w:p>
            <w:pPr>
              <w:spacing w:line="360" w:lineRule="auto"/>
              <w:jc w:val="center"/>
              <w:rPr>
                <w:rFonts w:hAnsiTheme="minorEastAsia" w:eastAsiaTheme="minorEastAsia"/>
                <w:b/>
                <w:color w:val="000000" w:themeColor="text1"/>
                <w:sz w:val="24"/>
                <w:highlight w:val="none"/>
              </w:rPr>
            </w:pPr>
          </w:p>
          <w:p>
            <w:pPr>
              <w:spacing w:line="360" w:lineRule="auto"/>
              <w:jc w:val="center"/>
              <w:rPr>
                <w:rFonts w:hAnsiTheme="minorEastAsia" w:eastAsiaTheme="minorEastAsia"/>
                <w:b/>
                <w:color w:val="000000" w:themeColor="text1"/>
                <w:sz w:val="24"/>
                <w:highlight w:val="none"/>
              </w:rPr>
            </w:pPr>
          </w:p>
          <w:p>
            <w:pPr>
              <w:spacing w:line="360" w:lineRule="auto"/>
              <w:jc w:val="center"/>
              <w:rPr>
                <w:rFonts w:hAnsiTheme="minorEastAsia" w:eastAsiaTheme="minorEastAsia"/>
                <w:b/>
                <w:color w:val="000000" w:themeColor="text1"/>
                <w:sz w:val="24"/>
                <w:highlight w:val="none"/>
              </w:rPr>
            </w:pPr>
            <w:r>
              <w:rPr>
                <w:rFonts w:hAnsiTheme="minorEastAsia" w:eastAsiaTheme="minorEastAsia"/>
                <w:b/>
                <w:color w:val="000000" w:themeColor="text1"/>
                <w:sz w:val="24"/>
                <w:highlight w:val="none"/>
              </w:rPr>
              <w:t>表4-</w:t>
            </w:r>
            <w:r>
              <w:rPr>
                <w:rFonts w:hint="eastAsia" w:hAnsiTheme="minorEastAsia" w:eastAsiaTheme="minorEastAsia"/>
                <w:b/>
                <w:color w:val="000000" w:themeColor="text1"/>
                <w:sz w:val="24"/>
                <w:highlight w:val="none"/>
              </w:rPr>
              <w:t>6</w:t>
            </w:r>
            <w:r>
              <w:rPr>
                <w:rFonts w:hAnsiTheme="minorEastAsia" w:eastAsiaTheme="minorEastAsia"/>
                <w:b/>
                <w:color w:val="000000" w:themeColor="text1"/>
                <w:sz w:val="24"/>
                <w:highlight w:val="none"/>
              </w:rPr>
              <w:t>噪声污染源源强核算结果及相关参数一览表</w:t>
            </w:r>
          </w:p>
          <w:tbl>
            <w:tblPr>
              <w:tblStyle w:val="23"/>
              <w:tblpPr w:leftFromText="180" w:rightFromText="180" w:vertAnchor="text" w:tblpXSpec="center" w:tblpY="1"/>
              <w:tblOverlap w:val="never"/>
              <w:tblW w:w="81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35"/>
              <w:gridCol w:w="735"/>
              <w:gridCol w:w="1050"/>
              <w:gridCol w:w="1305"/>
              <w:gridCol w:w="840"/>
              <w:gridCol w:w="1065"/>
              <w:gridCol w:w="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noWrap/>
                  <w:vAlign w:val="center"/>
                </w:tcPr>
                <w:p>
                  <w:pPr>
                    <w:spacing w:line="0" w:lineRule="atLeast"/>
                    <w:contextualSpacing/>
                    <w:jc w:val="center"/>
                    <w:rPr>
                      <w:color w:val="000000" w:themeColor="text1"/>
                      <w:szCs w:val="21"/>
                      <w:highlight w:val="none"/>
                    </w:rPr>
                  </w:pPr>
                  <w:r>
                    <w:rPr>
                      <w:color w:val="000000" w:themeColor="text1"/>
                      <w:szCs w:val="21"/>
                      <w:highlight w:val="none"/>
                    </w:rPr>
                    <w:t>工序/生产线</w:t>
                  </w:r>
                </w:p>
              </w:tc>
              <w:tc>
                <w:tcPr>
                  <w:tcW w:w="1335" w:type="dxa"/>
                  <w:noWrap/>
                  <w:vAlign w:val="center"/>
                </w:tcPr>
                <w:p>
                  <w:pPr>
                    <w:spacing w:line="0" w:lineRule="atLeast"/>
                    <w:contextualSpacing/>
                    <w:jc w:val="center"/>
                    <w:rPr>
                      <w:color w:val="000000" w:themeColor="text1"/>
                      <w:szCs w:val="21"/>
                      <w:highlight w:val="none"/>
                    </w:rPr>
                  </w:pPr>
                  <w:r>
                    <w:rPr>
                      <w:color w:val="000000" w:themeColor="text1"/>
                      <w:szCs w:val="21"/>
                      <w:highlight w:val="none"/>
                    </w:rPr>
                    <w:t>噪声源</w:t>
                  </w:r>
                </w:p>
              </w:tc>
              <w:tc>
                <w:tcPr>
                  <w:tcW w:w="735" w:type="dxa"/>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个数</w:t>
                  </w:r>
                </w:p>
              </w:tc>
              <w:tc>
                <w:tcPr>
                  <w:tcW w:w="1050" w:type="dxa"/>
                  <w:noWrap/>
                  <w:vAlign w:val="center"/>
                </w:tcPr>
                <w:p>
                  <w:pPr>
                    <w:spacing w:line="0" w:lineRule="atLeast"/>
                    <w:contextualSpacing/>
                    <w:jc w:val="center"/>
                    <w:rPr>
                      <w:color w:val="000000" w:themeColor="text1"/>
                      <w:szCs w:val="21"/>
                      <w:highlight w:val="none"/>
                    </w:rPr>
                  </w:pPr>
                  <w:r>
                    <w:rPr>
                      <w:color w:val="000000" w:themeColor="text1"/>
                      <w:szCs w:val="21"/>
                      <w:highlight w:val="none"/>
                    </w:rPr>
                    <w:t>噪声源强/dB(A)</w:t>
                  </w:r>
                </w:p>
              </w:tc>
              <w:tc>
                <w:tcPr>
                  <w:tcW w:w="1305" w:type="dxa"/>
                  <w:noWrap/>
                  <w:vAlign w:val="center"/>
                </w:tcPr>
                <w:p>
                  <w:pPr>
                    <w:spacing w:line="0" w:lineRule="atLeast"/>
                    <w:contextualSpacing/>
                    <w:jc w:val="center"/>
                    <w:rPr>
                      <w:color w:val="000000" w:themeColor="text1"/>
                      <w:szCs w:val="21"/>
                      <w:highlight w:val="none"/>
                    </w:rPr>
                  </w:pPr>
                  <w:r>
                    <w:rPr>
                      <w:color w:val="000000" w:themeColor="text1"/>
                      <w:szCs w:val="21"/>
                      <w:highlight w:val="none"/>
                    </w:rPr>
                    <w:t>降噪措施</w:t>
                  </w:r>
                </w:p>
              </w:tc>
              <w:tc>
                <w:tcPr>
                  <w:tcW w:w="840" w:type="dxa"/>
                  <w:noWrap/>
                  <w:vAlign w:val="center"/>
                </w:tcPr>
                <w:p>
                  <w:pPr>
                    <w:contextualSpacing/>
                    <w:jc w:val="center"/>
                    <w:rPr>
                      <w:color w:val="000000" w:themeColor="text1"/>
                      <w:szCs w:val="21"/>
                      <w:highlight w:val="none"/>
                    </w:rPr>
                  </w:pPr>
                  <w:r>
                    <w:rPr>
                      <w:color w:val="000000" w:themeColor="text1"/>
                      <w:szCs w:val="21"/>
                      <w:highlight w:val="none"/>
                    </w:rPr>
                    <w:t>降噪</w:t>
                  </w:r>
                </w:p>
                <w:p>
                  <w:pPr>
                    <w:contextualSpacing/>
                    <w:jc w:val="center"/>
                    <w:rPr>
                      <w:color w:val="000000" w:themeColor="text1"/>
                      <w:szCs w:val="21"/>
                      <w:highlight w:val="none"/>
                    </w:rPr>
                  </w:pPr>
                  <w:r>
                    <w:rPr>
                      <w:color w:val="000000" w:themeColor="text1"/>
                      <w:szCs w:val="21"/>
                      <w:highlight w:val="none"/>
                    </w:rPr>
                    <w:t>效果/dB(A)</w:t>
                  </w:r>
                </w:p>
              </w:tc>
              <w:tc>
                <w:tcPr>
                  <w:tcW w:w="1065" w:type="dxa"/>
                  <w:noWrap/>
                  <w:vAlign w:val="center"/>
                </w:tcPr>
                <w:p>
                  <w:pPr>
                    <w:spacing w:line="0" w:lineRule="atLeast"/>
                    <w:contextualSpacing/>
                    <w:jc w:val="center"/>
                    <w:rPr>
                      <w:color w:val="000000" w:themeColor="text1"/>
                      <w:szCs w:val="21"/>
                      <w:highlight w:val="none"/>
                    </w:rPr>
                  </w:pPr>
                  <w:r>
                    <w:rPr>
                      <w:color w:val="000000" w:themeColor="text1"/>
                      <w:szCs w:val="21"/>
                      <w:highlight w:val="none"/>
                    </w:rPr>
                    <w:t>噪声排放强度/dB(A)</w:t>
                  </w:r>
                </w:p>
              </w:tc>
              <w:tc>
                <w:tcPr>
                  <w:tcW w:w="702" w:type="dxa"/>
                  <w:noWrap/>
                  <w:vAlign w:val="center"/>
                </w:tcPr>
                <w:p>
                  <w:pPr>
                    <w:spacing w:line="0" w:lineRule="atLeast"/>
                    <w:contextualSpacing/>
                    <w:jc w:val="center"/>
                    <w:rPr>
                      <w:color w:val="000000" w:themeColor="text1"/>
                      <w:szCs w:val="21"/>
                      <w:highlight w:val="none"/>
                    </w:rPr>
                  </w:pPr>
                  <w:r>
                    <w:rPr>
                      <w:color w:val="000000" w:themeColor="text1"/>
                      <w:szCs w:val="21"/>
                      <w:highlight w:val="none"/>
                    </w:rPr>
                    <w:t>持续时间/h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restart"/>
                  <w:shd w:val="clear" w:color="auto" w:fill="auto"/>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生产线</w:t>
                  </w:r>
                </w:p>
              </w:tc>
              <w:tc>
                <w:tcPr>
                  <w:tcW w:w="1335" w:type="dxa"/>
                  <w:shd w:val="clear" w:color="auto" w:fill="auto"/>
                  <w:noWrap/>
                  <w:vAlign w:val="center"/>
                </w:tcPr>
                <w:p>
                  <w:pPr>
                    <w:widowControl/>
                    <w:contextualSpacing/>
                    <w:jc w:val="center"/>
                    <w:textAlignment w:val="center"/>
                    <w:rPr>
                      <w:color w:val="000000" w:themeColor="text1"/>
                      <w:kern w:val="0"/>
                      <w:szCs w:val="21"/>
                      <w:highlight w:val="none"/>
                    </w:rPr>
                  </w:pPr>
                  <w:r>
                    <w:rPr>
                      <w:color w:val="000000" w:themeColor="text1"/>
                      <w:szCs w:val="21"/>
                      <w:highlight w:val="none"/>
                    </w:rPr>
                    <w:t>搅拌器</w:t>
                  </w:r>
                </w:p>
              </w:tc>
              <w:tc>
                <w:tcPr>
                  <w:tcW w:w="735" w:type="dxa"/>
                  <w:shd w:val="clear" w:color="auto" w:fill="FFFFFF"/>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1</w:t>
                  </w:r>
                </w:p>
              </w:tc>
              <w:tc>
                <w:tcPr>
                  <w:tcW w:w="1050" w:type="dxa"/>
                  <w:shd w:val="clear" w:color="auto" w:fill="FFFFFF"/>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85</w:t>
                  </w:r>
                </w:p>
              </w:tc>
              <w:tc>
                <w:tcPr>
                  <w:tcW w:w="1305" w:type="dxa"/>
                  <w:vMerge w:val="restart"/>
                  <w:noWrap/>
                  <w:vAlign w:val="center"/>
                </w:tcPr>
                <w:p>
                  <w:pPr>
                    <w:spacing w:line="0" w:lineRule="atLeast"/>
                    <w:contextualSpacing/>
                    <w:jc w:val="center"/>
                    <w:rPr>
                      <w:color w:val="000000" w:themeColor="text1"/>
                      <w:szCs w:val="21"/>
                      <w:highlight w:val="none"/>
                    </w:rPr>
                  </w:pPr>
                  <w:r>
                    <w:rPr>
                      <w:rFonts w:hAnsiTheme="minorEastAsia" w:eastAsiaTheme="minorEastAsia"/>
                      <w:color w:val="000000" w:themeColor="text1"/>
                      <w:szCs w:val="21"/>
                      <w:highlight w:val="none"/>
                    </w:rPr>
                    <w:t>选用低噪声设备，基础减振、隔声措施</w:t>
                  </w:r>
                </w:p>
              </w:tc>
              <w:tc>
                <w:tcPr>
                  <w:tcW w:w="840" w:type="dxa"/>
                  <w:vMerge w:val="restart"/>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20</w:t>
                  </w:r>
                </w:p>
              </w:tc>
              <w:tc>
                <w:tcPr>
                  <w:tcW w:w="1065" w:type="dxa"/>
                  <w:tcBorders>
                    <w:top w:val="single" w:color="auto" w:sz="4" w:space="0"/>
                  </w:tcBorders>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65</w:t>
                  </w:r>
                </w:p>
              </w:tc>
              <w:tc>
                <w:tcPr>
                  <w:tcW w:w="702" w:type="dxa"/>
                  <w:vMerge w:val="restart"/>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1680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shd w:val="clear" w:color="auto" w:fill="auto"/>
                  <w:noWrap/>
                  <w:vAlign w:val="center"/>
                </w:tcPr>
                <w:p>
                  <w:pPr>
                    <w:spacing w:line="0" w:lineRule="atLeast"/>
                    <w:contextualSpacing/>
                    <w:jc w:val="center"/>
                    <w:rPr>
                      <w:color w:val="000000" w:themeColor="text1"/>
                      <w:szCs w:val="21"/>
                      <w:highlight w:val="none"/>
                    </w:rPr>
                  </w:pPr>
                </w:p>
              </w:tc>
              <w:tc>
                <w:tcPr>
                  <w:tcW w:w="1335" w:type="dxa"/>
                  <w:shd w:val="clear" w:color="auto" w:fill="auto"/>
                  <w:noWrap/>
                  <w:vAlign w:val="center"/>
                </w:tcPr>
                <w:p>
                  <w:pPr>
                    <w:widowControl/>
                    <w:contextualSpacing/>
                    <w:jc w:val="center"/>
                    <w:textAlignment w:val="center"/>
                    <w:rPr>
                      <w:rFonts w:ascii="宋体" w:hAnsi="宋体" w:cs="宋体"/>
                      <w:bCs/>
                      <w:szCs w:val="21"/>
                      <w:highlight w:val="none"/>
                    </w:rPr>
                  </w:pPr>
                  <w:r>
                    <w:rPr>
                      <w:color w:val="000000" w:themeColor="text1"/>
                      <w:szCs w:val="21"/>
                      <w:highlight w:val="none"/>
                    </w:rPr>
                    <w:t>传送带</w:t>
                  </w:r>
                </w:p>
              </w:tc>
              <w:tc>
                <w:tcPr>
                  <w:tcW w:w="735" w:type="dxa"/>
                  <w:shd w:val="clear" w:color="auto" w:fill="FFFFFF"/>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10</w:t>
                  </w:r>
                </w:p>
              </w:tc>
              <w:tc>
                <w:tcPr>
                  <w:tcW w:w="1050" w:type="dxa"/>
                  <w:shd w:val="clear" w:color="auto" w:fill="FFFFFF"/>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75</w:t>
                  </w:r>
                </w:p>
              </w:tc>
              <w:tc>
                <w:tcPr>
                  <w:tcW w:w="1305" w:type="dxa"/>
                  <w:vMerge w:val="continue"/>
                  <w:noWrap/>
                  <w:vAlign w:val="center"/>
                </w:tcPr>
                <w:p>
                  <w:pPr>
                    <w:spacing w:line="0" w:lineRule="atLeast"/>
                    <w:contextualSpacing/>
                    <w:jc w:val="center"/>
                    <w:rPr>
                      <w:color w:val="000000" w:themeColor="text1"/>
                      <w:szCs w:val="21"/>
                      <w:highlight w:val="none"/>
                    </w:rPr>
                  </w:pPr>
                </w:p>
              </w:tc>
              <w:tc>
                <w:tcPr>
                  <w:tcW w:w="840" w:type="dxa"/>
                  <w:vMerge w:val="continue"/>
                  <w:noWrap/>
                  <w:vAlign w:val="center"/>
                </w:tcPr>
                <w:p>
                  <w:pPr>
                    <w:spacing w:line="0" w:lineRule="atLeast"/>
                    <w:contextualSpacing/>
                    <w:jc w:val="center"/>
                    <w:rPr>
                      <w:color w:val="000000" w:themeColor="text1"/>
                      <w:szCs w:val="21"/>
                      <w:highlight w:val="none"/>
                    </w:rPr>
                  </w:pPr>
                </w:p>
              </w:tc>
              <w:tc>
                <w:tcPr>
                  <w:tcW w:w="1065" w:type="dxa"/>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55</w:t>
                  </w:r>
                </w:p>
              </w:tc>
              <w:tc>
                <w:tcPr>
                  <w:tcW w:w="702" w:type="dxa"/>
                  <w:vMerge w:val="continue"/>
                  <w:noWrap/>
                  <w:vAlign w:val="center"/>
                </w:tcPr>
                <w:p>
                  <w:pPr>
                    <w:spacing w:line="0" w:lineRule="atLeast"/>
                    <w:contextualSpacing/>
                    <w:jc w:val="center"/>
                    <w:rPr>
                      <w:color w:val="000000" w:themeColor="text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shd w:val="clear" w:color="auto" w:fill="auto"/>
                  <w:noWrap/>
                  <w:vAlign w:val="center"/>
                </w:tcPr>
                <w:p>
                  <w:pPr>
                    <w:spacing w:line="0" w:lineRule="atLeast"/>
                    <w:contextualSpacing/>
                    <w:jc w:val="center"/>
                    <w:rPr>
                      <w:color w:val="000000" w:themeColor="text1"/>
                      <w:szCs w:val="21"/>
                      <w:highlight w:val="none"/>
                    </w:rPr>
                  </w:pPr>
                </w:p>
              </w:tc>
              <w:tc>
                <w:tcPr>
                  <w:tcW w:w="1335" w:type="dxa"/>
                  <w:shd w:val="clear" w:color="auto" w:fill="auto"/>
                  <w:noWrap/>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风机</w:t>
                  </w:r>
                </w:p>
              </w:tc>
              <w:tc>
                <w:tcPr>
                  <w:tcW w:w="735" w:type="dxa"/>
                  <w:shd w:val="clear" w:color="auto" w:fill="FFFFFF"/>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1</w:t>
                  </w:r>
                </w:p>
              </w:tc>
              <w:tc>
                <w:tcPr>
                  <w:tcW w:w="1050" w:type="dxa"/>
                  <w:shd w:val="clear" w:color="auto" w:fill="FFFFFF"/>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80</w:t>
                  </w:r>
                </w:p>
              </w:tc>
              <w:tc>
                <w:tcPr>
                  <w:tcW w:w="1305" w:type="dxa"/>
                  <w:vMerge w:val="continue"/>
                  <w:noWrap/>
                  <w:vAlign w:val="center"/>
                </w:tcPr>
                <w:p>
                  <w:pPr>
                    <w:spacing w:line="0" w:lineRule="atLeast"/>
                    <w:contextualSpacing/>
                    <w:jc w:val="center"/>
                    <w:rPr>
                      <w:color w:val="000000" w:themeColor="text1"/>
                      <w:szCs w:val="21"/>
                      <w:highlight w:val="none"/>
                    </w:rPr>
                  </w:pPr>
                </w:p>
              </w:tc>
              <w:tc>
                <w:tcPr>
                  <w:tcW w:w="840" w:type="dxa"/>
                  <w:vMerge w:val="continue"/>
                  <w:noWrap/>
                  <w:vAlign w:val="center"/>
                </w:tcPr>
                <w:p>
                  <w:pPr>
                    <w:spacing w:line="0" w:lineRule="atLeast"/>
                    <w:contextualSpacing/>
                    <w:jc w:val="center"/>
                    <w:rPr>
                      <w:color w:val="000000" w:themeColor="text1"/>
                      <w:szCs w:val="21"/>
                      <w:highlight w:val="none"/>
                    </w:rPr>
                  </w:pPr>
                </w:p>
              </w:tc>
              <w:tc>
                <w:tcPr>
                  <w:tcW w:w="1065" w:type="dxa"/>
                  <w:noWrap/>
                  <w:vAlign w:val="center"/>
                </w:tcPr>
                <w:p>
                  <w:pPr>
                    <w:spacing w:line="0" w:lineRule="atLeast"/>
                    <w:contextualSpacing/>
                    <w:jc w:val="center"/>
                    <w:rPr>
                      <w:color w:val="000000" w:themeColor="text1"/>
                      <w:szCs w:val="21"/>
                      <w:highlight w:val="none"/>
                    </w:rPr>
                  </w:pPr>
                  <w:r>
                    <w:rPr>
                      <w:rFonts w:hint="eastAsia"/>
                      <w:color w:val="000000" w:themeColor="text1"/>
                      <w:szCs w:val="21"/>
                      <w:highlight w:val="none"/>
                    </w:rPr>
                    <w:t>60</w:t>
                  </w:r>
                </w:p>
              </w:tc>
              <w:tc>
                <w:tcPr>
                  <w:tcW w:w="702" w:type="dxa"/>
                  <w:vMerge w:val="continue"/>
                  <w:noWrap/>
                  <w:vAlign w:val="center"/>
                </w:tcPr>
                <w:p>
                  <w:pPr>
                    <w:spacing w:line="0" w:lineRule="atLeast"/>
                    <w:contextualSpacing/>
                    <w:jc w:val="center"/>
                    <w:rPr>
                      <w:color w:val="000000" w:themeColor="text1"/>
                      <w:szCs w:val="21"/>
                      <w:highlight w:val="none"/>
                    </w:rPr>
                  </w:pPr>
                </w:p>
              </w:tc>
            </w:tr>
          </w:tbl>
          <w:p>
            <w:pPr>
              <w:spacing w:line="360" w:lineRule="auto"/>
              <w:ind w:firstLine="482" w:firstLineChars="200"/>
              <w:contextualSpacing/>
              <w:rPr>
                <w:rFonts w:hAnsiTheme="minorEastAsia" w:eastAsiaTheme="minorEastAsia"/>
                <w:b/>
                <w:bCs/>
                <w:color w:val="000000" w:themeColor="text1"/>
                <w:sz w:val="24"/>
                <w:highlight w:val="none"/>
              </w:rPr>
            </w:pPr>
            <w:r>
              <w:rPr>
                <w:rFonts w:hAnsiTheme="minorEastAsia" w:eastAsiaTheme="minorEastAsia"/>
                <w:b/>
                <w:bCs/>
                <w:color w:val="000000" w:themeColor="text1"/>
                <w:sz w:val="24"/>
                <w:highlight w:val="none"/>
              </w:rPr>
              <w:t>2、噪声达标分析</w:t>
            </w:r>
          </w:p>
          <w:p>
            <w:pPr>
              <w:spacing w:line="360" w:lineRule="auto"/>
              <w:ind w:firstLine="480" w:firstLineChars="200"/>
              <w:rPr>
                <w:color w:val="000000" w:themeColor="text1"/>
                <w:sz w:val="24"/>
                <w:highlight w:val="none"/>
              </w:rPr>
            </w:pPr>
            <w:r>
              <w:rPr>
                <w:color w:val="000000" w:themeColor="text1"/>
                <w:sz w:val="24"/>
                <w:highlight w:val="none"/>
              </w:rPr>
              <w:t>项目采取以下措施进行噪声控制：</w:t>
            </w:r>
          </w:p>
          <w:p>
            <w:pPr>
              <w:spacing w:line="360" w:lineRule="auto"/>
              <w:ind w:firstLine="480" w:firstLineChars="200"/>
              <w:rPr>
                <w:color w:val="000000" w:themeColor="text1"/>
                <w:sz w:val="24"/>
                <w:highlight w:val="none"/>
              </w:rPr>
            </w:pPr>
            <w:r>
              <w:rPr>
                <w:color w:val="000000" w:themeColor="text1"/>
                <w:sz w:val="24"/>
                <w:highlight w:val="none"/>
              </w:rPr>
              <w:t>①本项目选用先进的低噪设备，从声源上降低设备本身噪声；</w:t>
            </w:r>
          </w:p>
          <w:p>
            <w:pPr>
              <w:spacing w:line="360" w:lineRule="auto"/>
              <w:ind w:firstLine="480" w:firstLineChars="200"/>
              <w:rPr>
                <w:color w:val="000000" w:themeColor="text1"/>
                <w:sz w:val="24"/>
                <w:highlight w:val="none"/>
              </w:rPr>
            </w:pPr>
            <w:r>
              <w:rPr>
                <w:color w:val="000000" w:themeColor="text1"/>
                <w:sz w:val="24"/>
                <w:highlight w:val="none"/>
              </w:rPr>
              <w:t>②机械加工设备安装时首先设置减震槽</w:t>
            </w:r>
            <w:r>
              <w:rPr>
                <w:rFonts w:hint="eastAsia"/>
                <w:color w:val="000000" w:themeColor="text1"/>
                <w:sz w:val="24"/>
                <w:highlight w:val="none"/>
              </w:rPr>
              <w:t>、减震垫</w:t>
            </w:r>
            <w:r>
              <w:rPr>
                <w:color w:val="000000" w:themeColor="text1"/>
                <w:sz w:val="24"/>
                <w:highlight w:val="none"/>
              </w:rPr>
              <w:t>，以降低有关设备运行时所产生的</w:t>
            </w:r>
            <w:r>
              <w:rPr>
                <w:rFonts w:hint="eastAsia"/>
                <w:color w:val="000000" w:themeColor="text1"/>
                <w:sz w:val="24"/>
                <w:highlight w:val="none"/>
              </w:rPr>
              <w:t>振动</w:t>
            </w:r>
            <w:r>
              <w:rPr>
                <w:color w:val="000000" w:themeColor="text1"/>
                <w:sz w:val="24"/>
                <w:highlight w:val="none"/>
              </w:rPr>
              <w:t>噪声；</w:t>
            </w:r>
          </w:p>
          <w:p>
            <w:pPr>
              <w:pStyle w:val="85"/>
              <w:jc w:val="both"/>
              <w:rPr>
                <w:rFonts w:ascii="Times New Roman" w:hAnsi="Times New Roman"/>
                <w:color w:val="000000" w:themeColor="text1"/>
                <w:highlight w:val="none"/>
              </w:rPr>
            </w:pPr>
            <w:r>
              <w:rPr>
                <w:color w:val="000000" w:themeColor="text1"/>
                <w:sz w:val="24"/>
                <w:highlight w:val="none"/>
              </w:rPr>
              <w:t>③</w:t>
            </w:r>
            <w:r>
              <w:rPr>
                <w:rFonts w:ascii="Times New Roman" w:hAnsi="Times New Roman"/>
                <w:color w:val="000000" w:themeColor="text1"/>
                <w:highlight w:val="none"/>
              </w:rPr>
              <w:t>应做好机械设备的维修和保养工作，确保其处于良好的工作状态，从而降低噪声的产生。</w:t>
            </w:r>
          </w:p>
          <w:p>
            <w:pPr>
              <w:spacing w:line="360" w:lineRule="auto"/>
              <w:ind w:firstLine="480" w:firstLineChars="200"/>
              <w:rPr>
                <w:rFonts w:eastAsiaTheme="minorEastAsia"/>
                <w:color w:val="000000" w:themeColor="text1"/>
                <w:sz w:val="24"/>
                <w:highlight w:val="none"/>
              </w:rPr>
            </w:pPr>
            <w:r>
              <w:rPr>
                <w:rFonts w:hint="eastAsia" w:hAnsiTheme="minorEastAsia" w:eastAsiaTheme="minorEastAsia"/>
                <w:color w:val="000000" w:themeColor="text1"/>
                <w:sz w:val="24"/>
                <w:highlight w:val="none"/>
              </w:rPr>
              <w:t>本项目</w:t>
            </w:r>
            <w:r>
              <w:rPr>
                <w:rFonts w:hAnsiTheme="minorEastAsia" w:eastAsiaTheme="minorEastAsia"/>
                <w:color w:val="000000" w:themeColor="text1"/>
                <w:sz w:val="24"/>
                <w:highlight w:val="none"/>
              </w:rPr>
              <w:t>选择《环境影响评价技术导则声环境》</w:t>
            </w:r>
            <w:r>
              <w:rPr>
                <w:rFonts w:hint="eastAsia" w:eastAsiaTheme="minorEastAsia"/>
                <w:color w:val="000000" w:themeColor="text1"/>
                <w:sz w:val="24"/>
                <w:highlight w:val="none"/>
              </w:rPr>
              <w:t>（</w:t>
            </w:r>
            <w:r>
              <w:rPr>
                <w:rFonts w:eastAsiaTheme="minorEastAsia"/>
                <w:color w:val="000000" w:themeColor="text1"/>
                <w:sz w:val="24"/>
                <w:highlight w:val="none"/>
              </w:rPr>
              <w:t>HJ2.4-2021</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声级计算模型，具体模式如下：</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1</w:t>
            </w:r>
            <w:r>
              <w:rPr>
                <w:rFonts w:hAnsiTheme="minorEastAsia" w:eastAsiaTheme="minorEastAsia"/>
                <w:color w:val="000000" w:themeColor="text1"/>
                <w:sz w:val="24"/>
                <w:highlight w:val="none"/>
              </w:rPr>
              <w:t>）由建设项目自身声源在预测点产生的声级计算公式：</w:t>
            </w:r>
          </w:p>
          <w:p>
            <w:pPr>
              <w:spacing w:line="360" w:lineRule="auto"/>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1837690" cy="466090"/>
                  <wp:effectExtent l="0" t="0" r="0" b="10795"/>
                  <wp:docPr id="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1"/>
                          <pic:cNvPicPr>
                            <a:picLocks noChangeAspect="1" noChangeArrowheads="1"/>
                          </pic:cNvPicPr>
                        </pic:nvPicPr>
                        <pic:blipFill>
                          <a:blip r:embed="rId11" cstate="print"/>
                          <a:srcRect/>
                          <a:stretch>
                            <a:fillRect/>
                          </a:stretch>
                        </pic:blipFill>
                        <pic:spPr>
                          <a:xfrm>
                            <a:off x="0" y="0"/>
                            <a:ext cx="1837690" cy="466090"/>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eqg</w:t>
            </w:r>
            <w:r>
              <w:rPr>
                <w:rFonts w:eastAsiaTheme="minorEastAsia"/>
                <w:color w:val="000000" w:themeColor="text1"/>
                <w:sz w:val="24"/>
                <w:highlight w:val="none"/>
              </w:rPr>
              <w:t>——</w:t>
            </w:r>
            <w:r>
              <w:rPr>
                <w:rFonts w:hAnsiTheme="minorEastAsia" w:eastAsiaTheme="minorEastAsia"/>
                <w:color w:val="000000" w:themeColor="text1"/>
                <w:sz w:val="24"/>
                <w:highlight w:val="none"/>
              </w:rPr>
              <w:t>噪声贡献值，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T——</w:t>
            </w:r>
            <w:r>
              <w:rPr>
                <w:rFonts w:hAnsiTheme="minorEastAsia" w:eastAsiaTheme="minorEastAsia"/>
                <w:color w:val="000000" w:themeColor="text1"/>
                <w:sz w:val="24"/>
                <w:highlight w:val="none"/>
              </w:rPr>
              <w:t>预测计算的时间段，</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t</w:t>
            </w:r>
            <w:r>
              <w:rPr>
                <w:rFonts w:eastAsiaTheme="minorEastAsia"/>
                <w:color w:val="000000" w:themeColor="text1"/>
                <w:sz w:val="24"/>
                <w:highlight w:val="none"/>
                <w:vertAlign w:val="subscript"/>
              </w:rPr>
              <w:t>i</w:t>
            </w:r>
            <w:r>
              <w:rPr>
                <w:rFonts w:eastAsiaTheme="minorEastAsia"/>
                <w:color w:val="000000" w:themeColor="text1"/>
                <w:sz w:val="24"/>
                <w:highlight w:val="none"/>
              </w:rPr>
              <w:t>——i</w:t>
            </w:r>
            <w:r>
              <w:rPr>
                <w:rFonts w:hAnsiTheme="minorEastAsia" w:eastAsiaTheme="minorEastAsia"/>
                <w:color w:val="000000" w:themeColor="text1"/>
                <w:sz w:val="24"/>
                <w:highlight w:val="none"/>
              </w:rPr>
              <w:t>声源在</w:t>
            </w:r>
            <w:r>
              <w:rPr>
                <w:rFonts w:eastAsiaTheme="minorEastAsia"/>
                <w:color w:val="000000" w:themeColor="text1"/>
                <w:sz w:val="24"/>
                <w:highlight w:val="none"/>
              </w:rPr>
              <w:t>T</w:t>
            </w:r>
            <w:r>
              <w:rPr>
                <w:rFonts w:hAnsiTheme="minorEastAsia" w:eastAsiaTheme="minorEastAsia"/>
                <w:color w:val="000000" w:themeColor="text1"/>
                <w:sz w:val="24"/>
                <w:highlight w:val="none"/>
              </w:rPr>
              <w:t>时段内的运行时间，</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Ai</w:t>
            </w:r>
            <w:r>
              <w:rPr>
                <w:rFonts w:eastAsiaTheme="minorEastAsia"/>
                <w:color w:val="000000" w:themeColor="text1"/>
                <w:sz w:val="24"/>
                <w:highlight w:val="none"/>
              </w:rPr>
              <w:t>——i</w:t>
            </w:r>
            <w:r>
              <w:rPr>
                <w:rFonts w:hAnsiTheme="minorEastAsia" w:eastAsiaTheme="minorEastAsia"/>
                <w:color w:val="000000" w:themeColor="text1"/>
                <w:sz w:val="24"/>
                <w:highlight w:val="none"/>
              </w:rPr>
              <w:t>声源在预测点产生的等效连续</w:t>
            </w:r>
            <w:r>
              <w:rPr>
                <w:rFonts w:eastAsiaTheme="minorEastAsia"/>
                <w:color w:val="000000" w:themeColor="text1"/>
                <w:sz w:val="24"/>
                <w:highlight w:val="none"/>
              </w:rPr>
              <w:t>A</w:t>
            </w:r>
            <w:r>
              <w:rPr>
                <w:rFonts w:hAnsiTheme="minorEastAsia" w:eastAsiaTheme="minorEastAsia"/>
                <w:color w:val="000000" w:themeColor="text1"/>
                <w:sz w:val="24"/>
                <w:highlight w:val="none"/>
              </w:rPr>
              <w:t>声级，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2</w:t>
            </w:r>
            <w:r>
              <w:rPr>
                <w:rFonts w:hAnsiTheme="minorEastAsia" w:eastAsiaTheme="minorEastAsia"/>
                <w:color w:val="000000" w:themeColor="text1"/>
                <w:sz w:val="24"/>
                <w:highlight w:val="none"/>
              </w:rPr>
              <w:t>）预测点的贡献值和背景值按能量叠加方法计算得到的声级计算公式：</w:t>
            </w:r>
          </w:p>
          <w:p>
            <w:pPr>
              <w:spacing w:line="360" w:lineRule="auto"/>
              <w:ind w:firstLine="480" w:firstLineChars="200"/>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2087880" cy="284480"/>
                  <wp:effectExtent l="0" t="0" r="0" b="1270"/>
                  <wp:docPr id="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2"/>
                          <pic:cNvPicPr>
                            <a:picLocks noChangeAspect="1" noChangeArrowheads="1"/>
                          </pic:cNvPicPr>
                        </pic:nvPicPr>
                        <pic:blipFill>
                          <a:blip r:embed="rId12" cstate="print"/>
                          <a:srcRect/>
                          <a:stretch>
                            <a:fillRect/>
                          </a:stretch>
                        </pic:blipFill>
                        <pic:spPr>
                          <a:xfrm>
                            <a:off x="0" y="0"/>
                            <a:ext cx="2087880" cy="284480"/>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eq</w:t>
            </w:r>
            <w:r>
              <w:rPr>
                <w:rFonts w:eastAsiaTheme="minorEastAsia"/>
                <w:color w:val="000000" w:themeColor="text1"/>
                <w:sz w:val="24"/>
                <w:highlight w:val="none"/>
              </w:rPr>
              <w:t>——</w:t>
            </w:r>
            <w:r>
              <w:rPr>
                <w:rFonts w:hAnsiTheme="minorEastAsia" w:eastAsiaTheme="minorEastAsia"/>
                <w:color w:val="000000" w:themeColor="text1"/>
                <w:sz w:val="24"/>
                <w:highlight w:val="none"/>
              </w:rPr>
              <w:t>预测点的噪声预测值，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eqg</w:t>
            </w:r>
            <w:r>
              <w:rPr>
                <w:rFonts w:eastAsiaTheme="minorEastAsia"/>
                <w:color w:val="000000" w:themeColor="text1"/>
                <w:sz w:val="24"/>
                <w:highlight w:val="none"/>
              </w:rPr>
              <w:t>——</w:t>
            </w:r>
            <w:r>
              <w:rPr>
                <w:rFonts w:hAnsiTheme="minorEastAsia" w:eastAsiaTheme="minorEastAsia"/>
                <w:color w:val="000000" w:themeColor="text1"/>
                <w:sz w:val="24"/>
                <w:highlight w:val="none"/>
              </w:rPr>
              <w:t>建设项目声源</w:t>
            </w:r>
            <w:r>
              <w:rPr>
                <w:rFonts w:hint="eastAsia" w:hAnsiTheme="minorEastAsia" w:eastAsiaTheme="minorEastAsia"/>
                <w:color w:val="000000" w:themeColor="text1"/>
                <w:sz w:val="24"/>
                <w:highlight w:val="none"/>
              </w:rPr>
              <w:t>在</w:t>
            </w:r>
            <w:r>
              <w:rPr>
                <w:rFonts w:hAnsiTheme="minorEastAsia" w:eastAsiaTheme="minorEastAsia"/>
                <w:color w:val="000000" w:themeColor="text1"/>
                <w:sz w:val="24"/>
                <w:highlight w:val="none"/>
              </w:rPr>
              <w:t>预测点产生的噪声贡献值，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eqb</w:t>
            </w:r>
            <w:r>
              <w:rPr>
                <w:rFonts w:eastAsiaTheme="minorEastAsia"/>
                <w:color w:val="000000" w:themeColor="text1"/>
                <w:sz w:val="24"/>
                <w:highlight w:val="none"/>
              </w:rPr>
              <w:t>——</w:t>
            </w:r>
            <w:r>
              <w:rPr>
                <w:rFonts w:hAnsiTheme="minorEastAsia" w:eastAsiaTheme="minorEastAsia"/>
                <w:color w:val="000000" w:themeColor="text1"/>
                <w:sz w:val="24"/>
                <w:highlight w:val="none"/>
              </w:rPr>
              <w:t>预测点的背景噪声值，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3</w:t>
            </w:r>
            <w:r>
              <w:rPr>
                <w:rFonts w:hAnsiTheme="minorEastAsia" w:eastAsiaTheme="minorEastAsia"/>
                <w:color w:val="000000" w:themeColor="text1"/>
                <w:sz w:val="24"/>
                <w:highlight w:val="none"/>
              </w:rPr>
              <w:t>）室内声源等效室外声源功率级计算</w:t>
            </w:r>
          </w:p>
          <w:p>
            <w:pPr>
              <w:spacing w:line="360" w:lineRule="auto"/>
              <w:jc w:val="center"/>
              <w:rPr>
                <w:color w:val="000000" w:themeColor="text1"/>
                <w:sz w:val="24"/>
                <w:highlight w:val="none"/>
              </w:rPr>
            </w:pPr>
            <w:r>
              <w:rPr>
                <w:color w:val="000000" w:themeColor="text1"/>
                <w:highlight w:val="none"/>
              </w:rPr>
              <w:fldChar w:fldCharType="begin"/>
            </w:r>
            <w:r>
              <w:rPr>
                <w:color w:val="000000" w:themeColor="text1"/>
                <w:highlight w:val="none"/>
              </w:rPr>
              <w:instrText xml:space="preserve"> INCLUDEPICTURE "C:\\Users\\ADMINI~1\\AppData\\Local\\Temp\\ksohtml7248\\wps1.jpg" \* MERGEFORMATINET </w:instrText>
            </w:r>
            <w:r>
              <w:rPr>
                <w:color w:val="000000" w:themeColor="text1"/>
                <w:highlight w:val="none"/>
              </w:rPr>
              <w:fldChar w:fldCharType="separate"/>
            </w:r>
            <w:r>
              <w:rPr>
                <w:color w:val="000000" w:themeColor="text1"/>
                <w:highlight w:val="none"/>
              </w:rPr>
              <w:drawing>
                <wp:inline distT="0" distB="0" distL="114300" distR="114300">
                  <wp:extent cx="2485390" cy="608965"/>
                  <wp:effectExtent l="0" t="0" r="10160" b="635"/>
                  <wp:docPr id="1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wps1"/>
                          <pic:cNvPicPr>
                            <a:picLocks noChangeAspect="1"/>
                          </pic:cNvPicPr>
                        </pic:nvPicPr>
                        <pic:blipFill>
                          <a:blip r:embed="rId13"/>
                          <a:stretch>
                            <a:fillRect/>
                          </a:stretch>
                        </pic:blipFill>
                        <pic:spPr>
                          <a:xfrm>
                            <a:off x="0" y="0"/>
                            <a:ext cx="2485390" cy="608965"/>
                          </a:xfrm>
                          <a:prstGeom prst="rect">
                            <a:avLst/>
                          </a:prstGeom>
                          <a:noFill/>
                          <a:ln>
                            <a:noFill/>
                          </a:ln>
                        </pic:spPr>
                      </pic:pic>
                    </a:graphicData>
                  </a:graphic>
                </wp:inline>
              </w:drawing>
            </w:r>
            <w:r>
              <w:rPr>
                <w:color w:val="000000" w:themeColor="text1"/>
                <w:highlight w:val="none"/>
              </w:rPr>
              <w:fldChar w:fldCharType="end"/>
            </w:r>
          </w:p>
          <w:p>
            <w:pPr>
              <w:spacing w:line="360" w:lineRule="auto"/>
              <w:ind w:firstLine="480" w:firstLineChars="200"/>
              <w:rPr>
                <w:color w:val="000000" w:themeColor="text1"/>
                <w:sz w:val="24"/>
                <w:highlight w:val="none"/>
              </w:rPr>
            </w:pPr>
            <w:r>
              <w:rPr>
                <w:color w:val="000000" w:themeColor="text1"/>
                <w:sz w:val="24"/>
                <w:highlight w:val="none"/>
              </w:rPr>
              <w:t>式中：L</w:t>
            </w:r>
            <w:r>
              <w:rPr>
                <w:color w:val="000000" w:themeColor="text1"/>
                <w:sz w:val="24"/>
                <w:highlight w:val="none"/>
                <w:vertAlign w:val="subscript"/>
              </w:rPr>
              <w:t>p1</w:t>
            </w:r>
            <w:r>
              <w:rPr>
                <w:color w:val="000000" w:themeColor="text1"/>
                <w:sz w:val="24"/>
                <w:highlight w:val="none"/>
              </w:rPr>
              <w:t>—靠近开口处（或窗户）室内某倍频带的声压级或A声级，dB；</w:t>
            </w:r>
          </w:p>
          <w:p>
            <w:pPr>
              <w:spacing w:line="360" w:lineRule="auto"/>
              <w:ind w:firstLine="1200" w:firstLineChars="500"/>
              <w:rPr>
                <w:color w:val="000000" w:themeColor="text1"/>
                <w:sz w:val="24"/>
                <w:highlight w:val="none"/>
              </w:rPr>
            </w:pPr>
            <w:r>
              <w:rPr>
                <w:color w:val="000000" w:themeColor="text1"/>
                <w:sz w:val="24"/>
                <w:highlight w:val="none"/>
              </w:rPr>
              <w:t>L</w:t>
            </w:r>
            <w:r>
              <w:rPr>
                <w:color w:val="000000" w:themeColor="text1"/>
                <w:sz w:val="24"/>
                <w:highlight w:val="none"/>
                <w:vertAlign w:val="subscript"/>
              </w:rPr>
              <w:t>w</w:t>
            </w:r>
            <w:r>
              <w:rPr>
                <w:color w:val="000000" w:themeColor="text1"/>
                <w:sz w:val="24"/>
                <w:highlight w:val="none"/>
              </w:rPr>
              <w:t>——点声源声功率级（A计权或倍频带），dB；</w:t>
            </w:r>
          </w:p>
          <w:p>
            <w:pPr>
              <w:spacing w:line="360" w:lineRule="auto"/>
              <w:ind w:firstLine="1200" w:firstLineChars="500"/>
              <w:rPr>
                <w:color w:val="000000" w:themeColor="text1"/>
                <w:sz w:val="24"/>
                <w:highlight w:val="none"/>
              </w:rPr>
            </w:pPr>
            <w:r>
              <w:rPr>
                <w:color w:val="000000" w:themeColor="text1"/>
                <w:sz w:val="24"/>
                <w:highlight w:val="none"/>
              </w:rPr>
              <w:t>Q——指向性因数；通常对无指向性声源，当声源放在房间中心时，Q=1；当放在一面墙的中心时，Q=2；当放在两面墙夹角处时，Q=4；当放在三面墙夹角处时，Q=8；本次Q值取2；</w:t>
            </w:r>
          </w:p>
          <w:p>
            <w:pPr>
              <w:spacing w:line="360" w:lineRule="auto"/>
              <w:ind w:firstLine="1200" w:firstLineChars="500"/>
              <w:rPr>
                <w:color w:val="000000" w:themeColor="text1"/>
                <w:sz w:val="24"/>
                <w:highlight w:val="none"/>
              </w:rPr>
            </w:pPr>
            <w:r>
              <w:rPr>
                <w:color w:val="000000" w:themeColor="text1"/>
                <w:sz w:val="24"/>
                <w:highlight w:val="none"/>
              </w:rPr>
              <w:t>R—房间常数：R=Sα/（1-α），S为房间内表面面积，m</w:t>
            </w:r>
            <w:r>
              <w:rPr>
                <w:color w:val="000000" w:themeColor="text1"/>
                <w:sz w:val="24"/>
                <w:highlight w:val="none"/>
                <w:vertAlign w:val="superscript"/>
              </w:rPr>
              <w:t>2</w:t>
            </w:r>
            <w:r>
              <w:rPr>
                <w:color w:val="000000" w:themeColor="text1"/>
                <w:sz w:val="24"/>
                <w:highlight w:val="none"/>
              </w:rPr>
              <w:t>；α为平均吸声系数；</w:t>
            </w:r>
          </w:p>
          <w:p>
            <w:pPr>
              <w:spacing w:line="360" w:lineRule="auto"/>
              <w:ind w:firstLine="1200" w:firstLineChars="500"/>
              <w:rPr>
                <w:color w:val="000000" w:themeColor="text1"/>
                <w:sz w:val="24"/>
                <w:highlight w:val="none"/>
              </w:rPr>
            </w:pPr>
            <w:r>
              <w:rPr>
                <w:color w:val="000000" w:themeColor="text1"/>
                <w:sz w:val="24"/>
                <w:highlight w:val="none"/>
              </w:rPr>
              <w:t>r—声源到靠近围护结构某点处的距离，m。</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然后计算出所有室内声源在围护结构处产生的</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倍频带叠加声压级：</w:t>
            </w:r>
          </w:p>
          <w:p>
            <w:pPr>
              <w:spacing w:line="360" w:lineRule="auto"/>
              <w:ind w:firstLine="480" w:firstLineChars="200"/>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2548890" cy="582295"/>
                  <wp:effectExtent l="0" t="0" r="3810" b="8255"/>
                  <wp:docPr id="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1"/>
                          <pic:cNvPicPr>
                            <a:picLocks noChangeAspect="1" noChangeArrowheads="1"/>
                          </pic:cNvPicPr>
                        </pic:nvPicPr>
                        <pic:blipFill>
                          <a:blip r:embed="rId14" cstate="print"/>
                          <a:srcRect/>
                          <a:stretch>
                            <a:fillRect/>
                          </a:stretch>
                        </pic:blipFill>
                        <pic:spPr>
                          <a:xfrm>
                            <a:off x="0" y="0"/>
                            <a:ext cx="2575642" cy="588795"/>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p1i</w:t>
            </w:r>
            <w:r>
              <w:rPr>
                <w:rFonts w:hAnsiTheme="minorEastAsia" w:eastAsiaTheme="minorEastAsia"/>
                <w:color w:val="000000" w:themeColor="text1"/>
                <w:sz w:val="24"/>
                <w:highlight w:val="none"/>
              </w:rPr>
              <w:t>（</w:t>
            </w:r>
            <w:r>
              <w:rPr>
                <w:rFonts w:eastAsiaTheme="minorEastAsia"/>
                <w:color w:val="000000" w:themeColor="text1"/>
                <w:sz w:val="24"/>
                <w:highlight w:val="none"/>
              </w:rPr>
              <w:t>T</w:t>
            </w:r>
            <w:r>
              <w:rPr>
                <w:rFonts w:hAnsiTheme="minorEastAsia" w:eastAsiaTheme="minorEastAsia"/>
                <w:color w:val="000000" w:themeColor="text1"/>
                <w:sz w:val="24"/>
                <w:highlight w:val="none"/>
              </w:rPr>
              <w:t>）</w:t>
            </w:r>
            <w:r>
              <w:rPr>
                <w:rFonts w:eastAsiaTheme="minorEastAsia"/>
                <w:color w:val="000000" w:themeColor="text1"/>
                <w:sz w:val="24"/>
                <w:highlight w:val="none"/>
              </w:rPr>
              <w:t>—</w:t>
            </w:r>
            <w:r>
              <w:rPr>
                <w:rFonts w:hAnsiTheme="minorEastAsia" w:eastAsiaTheme="minorEastAsia"/>
                <w:color w:val="000000" w:themeColor="text1"/>
                <w:sz w:val="24"/>
                <w:highlight w:val="none"/>
              </w:rPr>
              <w:t>靠近围护结构处室内</w:t>
            </w:r>
            <w:r>
              <w:rPr>
                <w:rFonts w:eastAsiaTheme="minorEastAsia"/>
                <w:color w:val="000000" w:themeColor="text1"/>
                <w:sz w:val="24"/>
                <w:highlight w:val="none"/>
              </w:rPr>
              <w:t>N</w:t>
            </w:r>
            <w:r>
              <w:rPr>
                <w:rFonts w:hAnsiTheme="minorEastAsia" w:eastAsiaTheme="minorEastAsia"/>
                <w:color w:val="000000" w:themeColor="text1"/>
                <w:sz w:val="24"/>
                <w:highlight w:val="none"/>
              </w:rPr>
              <w:t>个声源</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倍频带的叠加声压级，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p1ij</w:t>
            </w:r>
            <w:r>
              <w:rPr>
                <w:rFonts w:eastAsiaTheme="minorEastAsia"/>
                <w:color w:val="000000" w:themeColor="text1"/>
                <w:sz w:val="24"/>
                <w:highlight w:val="none"/>
              </w:rPr>
              <w:t>—</w:t>
            </w:r>
            <w:r>
              <w:rPr>
                <w:rFonts w:hAnsiTheme="minorEastAsia" w:eastAsiaTheme="minorEastAsia"/>
                <w:color w:val="000000" w:themeColor="text1"/>
                <w:sz w:val="24"/>
                <w:highlight w:val="none"/>
              </w:rPr>
              <w:t>室内</w:t>
            </w:r>
            <w:r>
              <w:rPr>
                <w:rFonts w:eastAsiaTheme="minorEastAsia"/>
                <w:color w:val="000000" w:themeColor="text1"/>
                <w:sz w:val="24"/>
                <w:highlight w:val="none"/>
              </w:rPr>
              <w:t>j</w:t>
            </w:r>
            <w:r>
              <w:rPr>
                <w:rFonts w:hAnsiTheme="minorEastAsia" w:eastAsiaTheme="minorEastAsia"/>
                <w:color w:val="000000" w:themeColor="text1"/>
                <w:sz w:val="24"/>
                <w:highlight w:val="none"/>
              </w:rPr>
              <w:t>声源</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倍频带的声压级，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N—</w:t>
            </w:r>
            <w:r>
              <w:rPr>
                <w:rFonts w:hAnsiTheme="minorEastAsia" w:eastAsiaTheme="minorEastAsia"/>
                <w:color w:val="000000" w:themeColor="text1"/>
                <w:sz w:val="24"/>
                <w:highlight w:val="none"/>
              </w:rPr>
              <w:t>室内声源总数。</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在室内近似为扩散声场时，计算出靠近室外围护结构处的声压级：</w:t>
            </w:r>
          </w:p>
          <w:p>
            <w:pPr>
              <w:spacing w:line="360" w:lineRule="auto"/>
              <w:ind w:firstLine="480" w:firstLineChars="200"/>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2339340" cy="269875"/>
                  <wp:effectExtent l="0" t="0" r="3810" b="15875"/>
                  <wp:docPr id="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2"/>
                          <pic:cNvPicPr>
                            <a:picLocks noChangeAspect="1" noChangeArrowheads="1"/>
                          </pic:cNvPicPr>
                        </pic:nvPicPr>
                        <pic:blipFill>
                          <a:blip r:embed="rId15" cstate="print"/>
                          <a:srcRect/>
                          <a:stretch>
                            <a:fillRect/>
                          </a:stretch>
                        </pic:blipFill>
                        <pic:spPr>
                          <a:xfrm>
                            <a:off x="0" y="0"/>
                            <a:ext cx="2378245" cy="274492"/>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2pi</w:t>
            </w:r>
            <w:r>
              <w:rPr>
                <w:rFonts w:hAnsiTheme="minorEastAsia" w:eastAsiaTheme="minorEastAsia"/>
                <w:color w:val="000000" w:themeColor="text1"/>
                <w:sz w:val="24"/>
                <w:highlight w:val="none"/>
              </w:rPr>
              <w:t>（</w:t>
            </w:r>
            <w:r>
              <w:rPr>
                <w:rFonts w:eastAsiaTheme="minorEastAsia"/>
                <w:color w:val="000000" w:themeColor="text1"/>
                <w:sz w:val="24"/>
                <w:highlight w:val="none"/>
              </w:rPr>
              <w:t>T</w:t>
            </w:r>
            <w:r>
              <w:rPr>
                <w:rFonts w:hAnsiTheme="minorEastAsia" w:eastAsiaTheme="minorEastAsia"/>
                <w:color w:val="000000" w:themeColor="text1"/>
                <w:sz w:val="24"/>
                <w:highlight w:val="none"/>
              </w:rPr>
              <w:t>）</w:t>
            </w:r>
            <w:r>
              <w:rPr>
                <w:rFonts w:eastAsiaTheme="minorEastAsia"/>
                <w:color w:val="000000" w:themeColor="text1"/>
                <w:sz w:val="24"/>
                <w:highlight w:val="none"/>
              </w:rPr>
              <w:t>—</w:t>
            </w:r>
            <w:r>
              <w:rPr>
                <w:rFonts w:hAnsiTheme="minorEastAsia" w:eastAsiaTheme="minorEastAsia"/>
                <w:color w:val="000000" w:themeColor="text1"/>
                <w:sz w:val="24"/>
                <w:highlight w:val="none"/>
              </w:rPr>
              <w:t>靠近围护结构处室外</w:t>
            </w:r>
            <w:r>
              <w:rPr>
                <w:rFonts w:eastAsiaTheme="minorEastAsia"/>
                <w:color w:val="000000" w:themeColor="text1"/>
                <w:sz w:val="24"/>
                <w:highlight w:val="none"/>
              </w:rPr>
              <w:t>N</w:t>
            </w:r>
            <w:r>
              <w:rPr>
                <w:rFonts w:hAnsiTheme="minorEastAsia" w:eastAsiaTheme="minorEastAsia"/>
                <w:color w:val="000000" w:themeColor="text1"/>
                <w:sz w:val="24"/>
                <w:highlight w:val="none"/>
              </w:rPr>
              <w:t>个声源</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倍频带的叠加声压级，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080" w:firstLineChars="450"/>
              <w:rPr>
                <w:rFonts w:eastAsiaTheme="minorEastAsia"/>
                <w:color w:val="000000" w:themeColor="text1"/>
                <w:sz w:val="24"/>
                <w:highlight w:val="none"/>
              </w:rPr>
            </w:pPr>
            <w:r>
              <w:rPr>
                <w:rFonts w:eastAsiaTheme="minorEastAsia"/>
                <w:color w:val="000000" w:themeColor="text1"/>
                <w:sz w:val="24"/>
                <w:highlight w:val="none"/>
              </w:rPr>
              <w:t>TL</w:t>
            </w:r>
            <w:r>
              <w:rPr>
                <w:rFonts w:eastAsiaTheme="minorEastAsia"/>
                <w:color w:val="000000" w:themeColor="text1"/>
                <w:sz w:val="24"/>
                <w:highlight w:val="none"/>
                <w:vertAlign w:val="subscript"/>
              </w:rPr>
              <w:t>i</w:t>
            </w:r>
            <w:r>
              <w:rPr>
                <w:rFonts w:eastAsiaTheme="minorEastAsia"/>
                <w:color w:val="000000" w:themeColor="text1"/>
                <w:sz w:val="24"/>
                <w:highlight w:val="none"/>
              </w:rPr>
              <w:t>—</w:t>
            </w:r>
            <w:r>
              <w:rPr>
                <w:rFonts w:hAnsiTheme="minorEastAsia" w:eastAsiaTheme="minorEastAsia"/>
                <w:color w:val="000000" w:themeColor="text1"/>
                <w:sz w:val="24"/>
                <w:highlight w:val="none"/>
              </w:rPr>
              <w:t>围护结构</w:t>
            </w:r>
            <w:r>
              <w:rPr>
                <w:rFonts w:eastAsiaTheme="minorEastAsia"/>
                <w:color w:val="000000" w:themeColor="text1"/>
                <w:sz w:val="24"/>
                <w:highlight w:val="none"/>
              </w:rPr>
              <w:t>i</w:t>
            </w:r>
            <w:r>
              <w:rPr>
                <w:rFonts w:hAnsiTheme="minorEastAsia" w:eastAsiaTheme="minorEastAsia"/>
                <w:color w:val="000000" w:themeColor="text1"/>
                <w:sz w:val="24"/>
                <w:highlight w:val="none"/>
              </w:rPr>
              <w:t>倍频带的隔声量，</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然后将室外声源的声压级和透过面积换算成等效的室外声源，计算出中心位置位于透声面积（</w:t>
            </w:r>
            <w:r>
              <w:rPr>
                <w:rFonts w:eastAsiaTheme="minorEastAsia"/>
                <w:color w:val="000000" w:themeColor="text1"/>
                <w:sz w:val="24"/>
                <w:highlight w:val="none"/>
              </w:rPr>
              <w:t>S</w:t>
            </w:r>
            <w:r>
              <w:rPr>
                <w:rFonts w:hAnsiTheme="minorEastAsia" w:eastAsiaTheme="minorEastAsia"/>
                <w:color w:val="000000" w:themeColor="text1"/>
                <w:sz w:val="24"/>
                <w:highlight w:val="none"/>
              </w:rPr>
              <w:t>）处的等效声源的倍频带声功率级。</w:t>
            </w:r>
          </w:p>
          <w:p>
            <w:pPr>
              <w:spacing w:line="360" w:lineRule="auto"/>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2023745" cy="279400"/>
                  <wp:effectExtent l="0" t="0" r="14605" b="6350"/>
                  <wp:docPr id="11"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3"/>
                          <pic:cNvPicPr>
                            <a:picLocks noChangeAspect="1" noChangeArrowheads="1"/>
                          </pic:cNvPicPr>
                        </pic:nvPicPr>
                        <pic:blipFill>
                          <a:blip r:embed="rId16" cstate="print"/>
                          <a:srcRect/>
                          <a:stretch>
                            <a:fillRect/>
                          </a:stretch>
                        </pic:blipFill>
                        <pic:spPr>
                          <a:xfrm>
                            <a:off x="0" y="0"/>
                            <a:ext cx="2035101" cy="281333"/>
                          </a:xfrm>
                          <a:prstGeom prst="rect">
                            <a:avLst/>
                          </a:prstGeom>
                          <a:noFill/>
                          <a:ln w="9525">
                            <a:noFill/>
                            <a:miter lim="800000"/>
                            <a:headEnd/>
                            <a:tailEnd/>
                          </a:ln>
                        </pic:spPr>
                      </pic:pic>
                    </a:graphicData>
                  </a:graphic>
                </wp:inline>
              </w:drawing>
            </w:r>
          </w:p>
          <w:p>
            <w:pPr>
              <w:spacing w:line="360" w:lineRule="auto"/>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w</w:t>
            </w:r>
            <w:r>
              <w:rPr>
                <w:rFonts w:eastAsiaTheme="minorEastAsia"/>
                <w:color w:val="000000" w:themeColor="text1"/>
                <w:sz w:val="24"/>
                <w:highlight w:val="none"/>
              </w:rPr>
              <w:t>—</w:t>
            </w:r>
            <w:r>
              <w:rPr>
                <w:rFonts w:hAnsiTheme="minorEastAsia" w:eastAsiaTheme="minorEastAsia"/>
                <w:color w:val="000000" w:themeColor="text1"/>
                <w:sz w:val="24"/>
                <w:highlight w:val="none"/>
              </w:rPr>
              <w:t>中心位置位于透声面积（</w:t>
            </w:r>
            <w:r>
              <w:rPr>
                <w:rFonts w:eastAsiaTheme="minorEastAsia"/>
                <w:color w:val="000000" w:themeColor="text1"/>
                <w:sz w:val="24"/>
                <w:highlight w:val="none"/>
              </w:rPr>
              <w:t>S</w:t>
            </w:r>
            <w:r>
              <w:rPr>
                <w:rFonts w:hAnsiTheme="minorEastAsia" w:eastAsiaTheme="minorEastAsia"/>
                <w:color w:val="000000" w:themeColor="text1"/>
                <w:sz w:val="24"/>
                <w:highlight w:val="none"/>
              </w:rPr>
              <w:t>）处的等效声源的倍频带声功率级，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720" w:firstLineChars="300"/>
              <w:rPr>
                <w:rFonts w:eastAsiaTheme="minorEastAsia"/>
                <w:color w:val="000000" w:themeColor="text1"/>
                <w:sz w:val="24"/>
                <w:highlight w:val="none"/>
              </w:rPr>
            </w:pPr>
            <w:r>
              <w:rPr>
                <w:rFonts w:eastAsiaTheme="minorEastAsia"/>
                <w:color w:val="000000" w:themeColor="text1"/>
                <w:sz w:val="24"/>
                <w:highlight w:val="none"/>
              </w:rPr>
              <w:t>L</w:t>
            </w:r>
            <w:r>
              <w:rPr>
                <w:rFonts w:eastAsiaTheme="minorEastAsia"/>
                <w:color w:val="000000" w:themeColor="text1"/>
                <w:sz w:val="24"/>
                <w:highlight w:val="none"/>
                <w:vertAlign w:val="subscript"/>
              </w:rPr>
              <w:t>p2</w:t>
            </w:r>
            <w:r>
              <w:rPr>
                <w:rFonts w:hAnsiTheme="minorEastAsia" w:eastAsiaTheme="minorEastAsia"/>
                <w:color w:val="000000" w:themeColor="text1"/>
                <w:sz w:val="24"/>
                <w:highlight w:val="none"/>
              </w:rPr>
              <w:t>（</w:t>
            </w:r>
            <w:r>
              <w:rPr>
                <w:rFonts w:eastAsiaTheme="minorEastAsia"/>
                <w:color w:val="000000" w:themeColor="text1"/>
                <w:sz w:val="24"/>
                <w:highlight w:val="none"/>
              </w:rPr>
              <w:t>T</w:t>
            </w:r>
            <w:r>
              <w:rPr>
                <w:rFonts w:hAnsiTheme="minorEastAsia" w:eastAsiaTheme="minorEastAsia"/>
                <w:color w:val="000000" w:themeColor="text1"/>
                <w:sz w:val="24"/>
                <w:highlight w:val="none"/>
              </w:rPr>
              <w:t>）</w:t>
            </w:r>
            <w:r>
              <w:rPr>
                <w:rFonts w:eastAsiaTheme="minorEastAsia"/>
                <w:color w:val="000000" w:themeColor="text1"/>
                <w:sz w:val="24"/>
                <w:highlight w:val="none"/>
              </w:rPr>
              <w:t>—</w:t>
            </w:r>
            <w:r>
              <w:rPr>
                <w:rFonts w:hAnsiTheme="minorEastAsia" w:eastAsiaTheme="minorEastAsia"/>
                <w:color w:val="000000" w:themeColor="text1"/>
                <w:sz w:val="24"/>
                <w:highlight w:val="none"/>
              </w:rPr>
              <w:t>靠近围护结构处室外声源的声压级，</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720" w:firstLineChars="300"/>
              <w:rPr>
                <w:rFonts w:eastAsiaTheme="minorEastAsia"/>
                <w:color w:val="000000" w:themeColor="text1"/>
                <w:sz w:val="24"/>
                <w:highlight w:val="none"/>
              </w:rPr>
            </w:pPr>
            <w:r>
              <w:rPr>
                <w:rFonts w:eastAsiaTheme="minorEastAsia"/>
                <w:color w:val="000000" w:themeColor="text1"/>
                <w:sz w:val="24"/>
                <w:highlight w:val="none"/>
              </w:rPr>
              <w:t>S—</w:t>
            </w:r>
            <w:r>
              <w:rPr>
                <w:rFonts w:hAnsiTheme="minorEastAsia" w:eastAsiaTheme="minorEastAsia"/>
                <w:color w:val="000000" w:themeColor="text1"/>
                <w:sz w:val="24"/>
                <w:highlight w:val="none"/>
              </w:rPr>
              <w:t>透声面积，</w:t>
            </w:r>
            <w:r>
              <w:rPr>
                <w:rFonts w:eastAsiaTheme="minorEastAsia"/>
                <w:color w:val="000000" w:themeColor="text1"/>
                <w:sz w:val="24"/>
                <w:highlight w:val="none"/>
              </w:rPr>
              <w:t>m</w:t>
            </w:r>
            <w:r>
              <w:rPr>
                <w:rFonts w:eastAsiaTheme="minorEastAsia"/>
                <w:color w:val="000000" w:themeColor="text1"/>
                <w:sz w:val="24"/>
                <w:highlight w:val="none"/>
                <w:vertAlign w:val="superscript"/>
              </w:rPr>
              <w:t>2</w:t>
            </w:r>
            <w:r>
              <w:rPr>
                <w:rFonts w:hAnsiTheme="minorEastAsia" w:eastAsiaTheme="minorEastAsia"/>
                <w:color w:val="000000" w:themeColor="text1"/>
                <w:sz w:val="24"/>
                <w:highlight w:val="none"/>
              </w:rPr>
              <w:t>。</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4</w:t>
            </w:r>
            <w:r>
              <w:rPr>
                <w:rFonts w:hAnsiTheme="minorEastAsia" w:eastAsiaTheme="minorEastAsia"/>
                <w:color w:val="000000" w:themeColor="text1"/>
                <w:sz w:val="24"/>
                <w:highlight w:val="none"/>
              </w:rPr>
              <w:t>）户外声传播衰减计算</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户外声传播衰减包括几何发散（</w:t>
            </w:r>
            <w:r>
              <w:rPr>
                <w:rFonts w:eastAsiaTheme="minorEastAsia"/>
                <w:color w:val="000000" w:themeColor="text1"/>
                <w:sz w:val="24"/>
                <w:highlight w:val="none"/>
              </w:rPr>
              <w:t>A</w:t>
            </w:r>
            <w:r>
              <w:rPr>
                <w:rFonts w:eastAsiaTheme="minorEastAsia"/>
                <w:color w:val="000000" w:themeColor="text1"/>
                <w:sz w:val="24"/>
                <w:highlight w:val="none"/>
                <w:vertAlign w:val="subscript"/>
              </w:rPr>
              <w:t>div</w:t>
            </w:r>
            <w:r>
              <w:rPr>
                <w:rFonts w:hAnsiTheme="minorEastAsia" w:eastAsiaTheme="minorEastAsia"/>
                <w:color w:val="000000" w:themeColor="text1"/>
                <w:sz w:val="24"/>
                <w:highlight w:val="none"/>
              </w:rPr>
              <w:t>）、大气吸收（</w:t>
            </w:r>
            <w:r>
              <w:rPr>
                <w:rFonts w:eastAsiaTheme="minorEastAsia"/>
                <w:color w:val="000000" w:themeColor="text1"/>
                <w:sz w:val="24"/>
                <w:highlight w:val="none"/>
              </w:rPr>
              <w:t>A</w:t>
            </w:r>
            <w:r>
              <w:rPr>
                <w:rFonts w:eastAsiaTheme="minorEastAsia"/>
                <w:color w:val="000000" w:themeColor="text1"/>
                <w:sz w:val="24"/>
                <w:highlight w:val="none"/>
                <w:vertAlign w:val="subscript"/>
              </w:rPr>
              <w:t>atm</w:t>
            </w:r>
            <w:r>
              <w:rPr>
                <w:rFonts w:hAnsiTheme="minorEastAsia" w:eastAsiaTheme="minorEastAsia"/>
                <w:color w:val="000000" w:themeColor="text1"/>
                <w:sz w:val="24"/>
                <w:highlight w:val="none"/>
              </w:rPr>
              <w:t>）、地面效应（</w:t>
            </w:r>
            <w:r>
              <w:rPr>
                <w:rFonts w:eastAsiaTheme="minorEastAsia"/>
                <w:color w:val="000000" w:themeColor="text1"/>
                <w:sz w:val="24"/>
                <w:highlight w:val="none"/>
              </w:rPr>
              <w:t>A</w:t>
            </w:r>
            <w:r>
              <w:rPr>
                <w:rFonts w:eastAsiaTheme="minorEastAsia"/>
                <w:color w:val="000000" w:themeColor="text1"/>
                <w:sz w:val="24"/>
                <w:highlight w:val="none"/>
                <w:vertAlign w:val="subscript"/>
              </w:rPr>
              <w:t>gr</w:t>
            </w:r>
            <w:r>
              <w:rPr>
                <w:rFonts w:hAnsiTheme="minorEastAsia" w:eastAsiaTheme="minorEastAsia"/>
                <w:color w:val="000000" w:themeColor="text1"/>
                <w:sz w:val="24"/>
                <w:highlight w:val="none"/>
              </w:rPr>
              <w:t>）、屏障屏蔽（</w:t>
            </w:r>
            <w:r>
              <w:rPr>
                <w:rFonts w:eastAsiaTheme="minorEastAsia"/>
                <w:color w:val="000000" w:themeColor="text1"/>
                <w:sz w:val="24"/>
                <w:highlight w:val="none"/>
              </w:rPr>
              <w:t>A</w:t>
            </w:r>
            <w:r>
              <w:rPr>
                <w:rFonts w:eastAsiaTheme="minorEastAsia"/>
                <w:color w:val="000000" w:themeColor="text1"/>
                <w:sz w:val="24"/>
                <w:highlight w:val="none"/>
                <w:vertAlign w:val="subscript"/>
              </w:rPr>
              <w:t>bar</w:t>
            </w:r>
            <w:r>
              <w:rPr>
                <w:rFonts w:hAnsiTheme="minorEastAsia" w:eastAsiaTheme="minorEastAsia"/>
                <w:color w:val="000000" w:themeColor="text1"/>
                <w:sz w:val="24"/>
                <w:highlight w:val="none"/>
              </w:rPr>
              <w:t>）、其他多方面效应（</w:t>
            </w:r>
            <w:r>
              <w:rPr>
                <w:rFonts w:eastAsiaTheme="minorEastAsia"/>
                <w:color w:val="000000" w:themeColor="text1"/>
                <w:sz w:val="24"/>
                <w:highlight w:val="none"/>
              </w:rPr>
              <w:t>A</w:t>
            </w:r>
            <w:r>
              <w:rPr>
                <w:rFonts w:eastAsiaTheme="minorEastAsia"/>
                <w:color w:val="000000" w:themeColor="text1"/>
                <w:sz w:val="24"/>
                <w:highlight w:val="none"/>
                <w:vertAlign w:val="subscript"/>
              </w:rPr>
              <w:t>misc</w:t>
            </w:r>
            <w:r>
              <w:rPr>
                <w:rFonts w:hAnsiTheme="minorEastAsia" w:eastAsiaTheme="minorEastAsia"/>
                <w:color w:val="000000" w:themeColor="text1"/>
                <w:sz w:val="24"/>
                <w:highlight w:val="none"/>
              </w:rPr>
              <w:t>）引起的衰减。</w:t>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距声源点</w:t>
            </w:r>
            <w:r>
              <w:rPr>
                <w:rFonts w:eastAsiaTheme="minorEastAsia"/>
                <w:color w:val="000000" w:themeColor="text1"/>
                <w:sz w:val="24"/>
                <w:highlight w:val="none"/>
              </w:rPr>
              <w:t>r</w:t>
            </w:r>
            <w:r>
              <w:rPr>
                <w:rFonts w:hAnsiTheme="minorEastAsia" w:eastAsiaTheme="minorEastAsia"/>
                <w:color w:val="000000" w:themeColor="text1"/>
                <w:sz w:val="24"/>
                <w:highlight w:val="none"/>
              </w:rPr>
              <w:t>处的</w:t>
            </w:r>
            <w:r>
              <w:rPr>
                <w:rFonts w:eastAsiaTheme="minorEastAsia"/>
                <w:color w:val="000000" w:themeColor="text1"/>
                <w:sz w:val="24"/>
                <w:highlight w:val="none"/>
              </w:rPr>
              <w:t>A</w:t>
            </w:r>
            <w:r>
              <w:rPr>
                <w:rFonts w:hAnsiTheme="minorEastAsia" w:eastAsiaTheme="minorEastAsia"/>
                <w:color w:val="000000" w:themeColor="text1"/>
                <w:sz w:val="24"/>
                <w:highlight w:val="none"/>
              </w:rPr>
              <w:t>声级按下式计算：</w:t>
            </w:r>
          </w:p>
          <w:p>
            <w:pPr>
              <w:spacing w:line="360" w:lineRule="auto"/>
              <w:jc w:val="center"/>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3924935" cy="336550"/>
                  <wp:effectExtent l="0" t="0" r="18415" b="6350"/>
                  <wp:docPr id="12" name="图片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44"/>
                          <pic:cNvPicPr>
                            <a:picLocks noChangeAspect="1" noChangeArrowheads="1"/>
                          </pic:cNvPicPr>
                        </pic:nvPicPr>
                        <pic:blipFill>
                          <a:blip r:embed="rId17" cstate="print"/>
                          <a:srcRect/>
                          <a:stretch>
                            <a:fillRect/>
                          </a:stretch>
                        </pic:blipFill>
                        <pic:spPr>
                          <a:xfrm>
                            <a:off x="0" y="0"/>
                            <a:ext cx="3924935" cy="336550"/>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w:t>
            </w:r>
            <w:r>
              <w:rPr>
                <w:rFonts w:eastAsiaTheme="minorEastAsia"/>
                <w:color w:val="000000" w:themeColor="text1"/>
                <w:sz w:val="24"/>
                <w:highlight w:val="none"/>
              </w:rPr>
              <w:t>5</w:t>
            </w:r>
            <w:r>
              <w:rPr>
                <w:rFonts w:hAnsiTheme="minorEastAsia" w:eastAsiaTheme="minorEastAsia"/>
                <w:color w:val="000000" w:themeColor="text1"/>
                <w:sz w:val="24"/>
                <w:highlight w:val="none"/>
              </w:rPr>
              <w:t>）拟建工程声源对预测点产生的贡献值计算</w:t>
            </w:r>
          </w:p>
          <w:p>
            <w:pPr>
              <w:autoSpaceDE w:val="0"/>
              <w:autoSpaceDN w:val="0"/>
              <w:spacing w:line="360" w:lineRule="auto"/>
              <w:ind w:firstLine="1200" w:firstLineChars="500"/>
              <w:contextualSpacing/>
              <w:rPr>
                <w:rFonts w:eastAsiaTheme="minorEastAsia"/>
                <w:color w:val="000000" w:themeColor="text1"/>
                <w:sz w:val="24"/>
                <w:highlight w:val="none"/>
              </w:rPr>
            </w:pPr>
            <w:r>
              <w:rPr>
                <w:rFonts w:eastAsiaTheme="minorEastAsia"/>
                <w:color w:val="000000" w:themeColor="text1"/>
                <w:sz w:val="24"/>
                <w:highlight w:val="none"/>
              </w:rPr>
              <w:drawing>
                <wp:inline distT="0" distB="0" distL="0" distR="0">
                  <wp:extent cx="3336290" cy="727075"/>
                  <wp:effectExtent l="0" t="0" r="16510" b="1587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8"/>
                          <a:srcRect/>
                          <a:stretch>
                            <a:fillRect/>
                          </a:stretch>
                        </pic:blipFill>
                        <pic:spPr>
                          <a:xfrm>
                            <a:off x="0" y="0"/>
                            <a:ext cx="3334168" cy="727179"/>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color w:val="000000" w:themeColor="text1"/>
                <w:sz w:val="24"/>
                <w:highlight w:val="none"/>
              </w:rPr>
            </w:pPr>
            <w:r>
              <w:rPr>
                <w:rFonts w:hAnsiTheme="minorEastAsia" w:eastAsiaTheme="minorEastAsia"/>
                <w:color w:val="000000" w:themeColor="text1"/>
                <w:sz w:val="24"/>
                <w:highlight w:val="none"/>
              </w:rPr>
              <w:t>式中：</w:t>
            </w:r>
            <w:r>
              <w:rPr>
                <w:rFonts w:eastAsiaTheme="minorEastAsia"/>
                <w:color w:val="000000" w:themeColor="text1"/>
                <w:sz w:val="24"/>
                <w:highlight w:val="none"/>
              </w:rPr>
              <w:t>L</w:t>
            </w:r>
            <w:r>
              <w:rPr>
                <w:rFonts w:eastAsiaTheme="minorEastAsia"/>
                <w:color w:val="000000" w:themeColor="text1"/>
                <w:sz w:val="24"/>
                <w:highlight w:val="none"/>
                <w:vertAlign w:val="subscript"/>
              </w:rPr>
              <w:t>eqg</w:t>
            </w:r>
            <w:r>
              <w:rPr>
                <w:rFonts w:eastAsiaTheme="minorEastAsia"/>
                <w:color w:val="000000" w:themeColor="text1"/>
                <w:sz w:val="24"/>
                <w:highlight w:val="none"/>
              </w:rPr>
              <w:t>—</w:t>
            </w:r>
            <w:r>
              <w:rPr>
                <w:rFonts w:hAnsiTheme="minorEastAsia" w:eastAsiaTheme="minorEastAsia"/>
                <w:color w:val="000000" w:themeColor="text1"/>
                <w:sz w:val="24"/>
                <w:highlight w:val="none"/>
              </w:rPr>
              <w:t>建设项目声源</w:t>
            </w:r>
            <w:r>
              <w:rPr>
                <w:rFonts w:hint="eastAsia" w:hAnsiTheme="minorEastAsia" w:eastAsiaTheme="minorEastAsia"/>
                <w:color w:val="000000" w:themeColor="text1"/>
                <w:sz w:val="24"/>
                <w:highlight w:val="none"/>
              </w:rPr>
              <w:t>在</w:t>
            </w:r>
            <w:r>
              <w:rPr>
                <w:rFonts w:hAnsiTheme="minorEastAsia" w:eastAsiaTheme="minorEastAsia"/>
                <w:color w:val="000000" w:themeColor="text1"/>
                <w:sz w:val="24"/>
                <w:highlight w:val="none"/>
              </w:rPr>
              <w:t>预测点产生的噪声贡献值，</w:t>
            </w:r>
            <w:r>
              <w:rPr>
                <w:rFonts w:eastAsiaTheme="minorEastAsia"/>
                <w:color w:val="000000" w:themeColor="text1"/>
                <w:sz w:val="24"/>
                <w:highlight w:val="none"/>
              </w:rPr>
              <w:t>dB</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T—</w:t>
            </w:r>
            <w:r>
              <w:rPr>
                <w:rFonts w:hAnsiTheme="minorEastAsia" w:eastAsiaTheme="minorEastAsia"/>
                <w:color w:val="000000" w:themeColor="text1"/>
                <w:sz w:val="24"/>
                <w:highlight w:val="none"/>
              </w:rPr>
              <w:t>用于计算</w:t>
            </w:r>
            <w:r>
              <w:rPr>
                <w:rFonts w:hint="eastAsia" w:hAnsiTheme="minorEastAsia" w:eastAsiaTheme="minorEastAsia"/>
                <w:color w:val="000000" w:themeColor="text1"/>
                <w:sz w:val="24"/>
                <w:highlight w:val="none"/>
              </w:rPr>
              <w:t>等效声级</w:t>
            </w:r>
            <w:r>
              <w:rPr>
                <w:rFonts w:hAnsiTheme="minorEastAsia" w:eastAsiaTheme="minorEastAsia"/>
                <w:color w:val="000000" w:themeColor="text1"/>
                <w:sz w:val="24"/>
                <w:highlight w:val="none"/>
              </w:rPr>
              <w:t>的时间，</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N—</w:t>
            </w:r>
            <w:r>
              <w:rPr>
                <w:rFonts w:hAnsiTheme="minorEastAsia" w:eastAsiaTheme="minorEastAsia"/>
                <w:color w:val="000000" w:themeColor="text1"/>
                <w:sz w:val="24"/>
                <w:highlight w:val="none"/>
              </w:rPr>
              <w:t>室外声源个数；</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t</w:t>
            </w:r>
            <w:r>
              <w:rPr>
                <w:rFonts w:eastAsiaTheme="minorEastAsia"/>
                <w:color w:val="000000" w:themeColor="text1"/>
                <w:sz w:val="24"/>
                <w:highlight w:val="none"/>
                <w:vertAlign w:val="subscript"/>
              </w:rPr>
              <w:t>i</w:t>
            </w:r>
            <w:r>
              <w:rPr>
                <w:rFonts w:eastAsiaTheme="minorEastAsia"/>
                <w:color w:val="000000" w:themeColor="text1"/>
                <w:sz w:val="24"/>
                <w:highlight w:val="none"/>
              </w:rPr>
              <w:t>—</w:t>
            </w:r>
            <w:r>
              <w:rPr>
                <w:rFonts w:hAnsiTheme="minorEastAsia" w:eastAsiaTheme="minorEastAsia"/>
                <w:color w:val="000000" w:themeColor="text1"/>
                <w:sz w:val="24"/>
                <w:highlight w:val="none"/>
              </w:rPr>
              <w:t>在</w:t>
            </w:r>
            <w:r>
              <w:rPr>
                <w:rFonts w:eastAsiaTheme="minorEastAsia"/>
                <w:color w:val="000000" w:themeColor="text1"/>
                <w:sz w:val="24"/>
                <w:highlight w:val="none"/>
              </w:rPr>
              <w:t>T</w:t>
            </w:r>
            <w:r>
              <w:rPr>
                <w:rFonts w:hAnsiTheme="minorEastAsia" w:eastAsiaTheme="minorEastAsia"/>
                <w:color w:val="000000" w:themeColor="text1"/>
                <w:sz w:val="24"/>
                <w:highlight w:val="none"/>
              </w:rPr>
              <w:t>时间内</w:t>
            </w:r>
            <w:r>
              <w:rPr>
                <w:rFonts w:eastAsiaTheme="minorEastAsia"/>
                <w:color w:val="000000" w:themeColor="text1"/>
                <w:sz w:val="24"/>
                <w:highlight w:val="none"/>
              </w:rPr>
              <w:t>i</w:t>
            </w:r>
            <w:r>
              <w:rPr>
                <w:rFonts w:hAnsiTheme="minorEastAsia" w:eastAsiaTheme="minorEastAsia"/>
                <w:color w:val="000000" w:themeColor="text1"/>
                <w:sz w:val="24"/>
                <w:highlight w:val="none"/>
              </w:rPr>
              <w:t>声源工作时间，</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1200" w:firstLineChars="500"/>
              <w:rPr>
                <w:rFonts w:eastAsiaTheme="minorEastAsia"/>
                <w:color w:val="000000" w:themeColor="text1"/>
                <w:sz w:val="24"/>
                <w:highlight w:val="none"/>
              </w:rPr>
            </w:pPr>
            <w:r>
              <w:rPr>
                <w:rFonts w:eastAsiaTheme="minorEastAsia"/>
                <w:color w:val="000000" w:themeColor="text1"/>
                <w:sz w:val="24"/>
                <w:highlight w:val="none"/>
              </w:rPr>
              <w:t>M—</w:t>
            </w:r>
            <w:r>
              <w:rPr>
                <w:rFonts w:hAnsiTheme="minorEastAsia" w:eastAsiaTheme="minorEastAsia"/>
                <w:color w:val="000000" w:themeColor="text1"/>
                <w:sz w:val="24"/>
                <w:highlight w:val="none"/>
              </w:rPr>
              <w:t>等效室外声源个数；</w:t>
            </w:r>
          </w:p>
          <w:p>
            <w:pPr>
              <w:spacing w:line="360" w:lineRule="auto"/>
              <w:ind w:firstLine="1200" w:firstLineChars="500"/>
              <w:rPr>
                <w:rFonts w:hAnsiTheme="minorEastAsia" w:eastAsiaTheme="minorEastAsia"/>
                <w:color w:val="000000" w:themeColor="text1"/>
                <w:sz w:val="24"/>
                <w:highlight w:val="none"/>
              </w:rPr>
            </w:pPr>
            <w:r>
              <w:rPr>
                <w:rFonts w:eastAsiaTheme="minorEastAsia"/>
                <w:color w:val="000000" w:themeColor="text1"/>
                <w:sz w:val="24"/>
                <w:highlight w:val="none"/>
              </w:rPr>
              <w:t>tj—</w:t>
            </w:r>
            <w:r>
              <w:rPr>
                <w:rFonts w:hAnsiTheme="minorEastAsia" w:eastAsiaTheme="minorEastAsia"/>
                <w:color w:val="000000" w:themeColor="text1"/>
                <w:sz w:val="24"/>
                <w:highlight w:val="none"/>
              </w:rPr>
              <w:t>在</w:t>
            </w:r>
            <w:r>
              <w:rPr>
                <w:rFonts w:eastAsiaTheme="minorEastAsia"/>
                <w:color w:val="000000" w:themeColor="text1"/>
                <w:sz w:val="24"/>
                <w:highlight w:val="none"/>
              </w:rPr>
              <w:t>T</w:t>
            </w:r>
            <w:r>
              <w:rPr>
                <w:rFonts w:hAnsiTheme="minorEastAsia" w:eastAsiaTheme="minorEastAsia"/>
                <w:color w:val="000000" w:themeColor="text1"/>
                <w:sz w:val="24"/>
                <w:highlight w:val="none"/>
              </w:rPr>
              <w:t>时间内</w:t>
            </w:r>
            <w:r>
              <w:rPr>
                <w:rFonts w:eastAsiaTheme="minorEastAsia"/>
                <w:color w:val="000000" w:themeColor="text1"/>
                <w:sz w:val="24"/>
                <w:highlight w:val="none"/>
              </w:rPr>
              <w:t>j</w:t>
            </w:r>
            <w:r>
              <w:rPr>
                <w:rFonts w:hAnsiTheme="minorEastAsia" w:eastAsiaTheme="minorEastAsia"/>
                <w:color w:val="000000" w:themeColor="text1"/>
                <w:sz w:val="24"/>
                <w:highlight w:val="none"/>
              </w:rPr>
              <w:t>声源工作时间，</w:t>
            </w:r>
            <w:r>
              <w:rPr>
                <w:rFonts w:eastAsiaTheme="minorEastAsia"/>
                <w:color w:val="000000" w:themeColor="text1"/>
                <w:sz w:val="24"/>
                <w:highlight w:val="none"/>
              </w:rPr>
              <w:t>s</w:t>
            </w:r>
            <w:r>
              <w:rPr>
                <w:rFonts w:hAnsiTheme="minorEastAsia" w:eastAsiaTheme="minorEastAsia"/>
                <w:color w:val="000000" w:themeColor="text1"/>
                <w:sz w:val="24"/>
                <w:highlight w:val="none"/>
              </w:rPr>
              <w:t>。</w:t>
            </w:r>
          </w:p>
          <w:p>
            <w:pPr>
              <w:spacing w:line="360" w:lineRule="auto"/>
              <w:ind w:firstLine="480" w:firstLineChars="200"/>
              <w:rPr>
                <w:rFonts w:hAnsiTheme="minorEastAsia" w:eastAsiaTheme="minorEastAsia"/>
                <w:b/>
                <w:color w:val="000000" w:themeColor="text1"/>
                <w:sz w:val="24"/>
                <w:highlight w:val="none"/>
              </w:rPr>
            </w:pPr>
            <w:r>
              <w:rPr>
                <w:rFonts w:hAnsiTheme="minorEastAsia" w:eastAsiaTheme="minorEastAsia"/>
                <w:color w:val="000000" w:themeColor="text1"/>
                <w:sz w:val="24"/>
                <w:highlight w:val="none"/>
              </w:rPr>
              <w:t>预测结果见表</w:t>
            </w:r>
            <w:r>
              <w:rPr>
                <w:rFonts w:eastAsiaTheme="minorEastAsia"/>
                <w:color w:val="000000" w:themeColor="text1"/>
                <w:sz w:val="24"/>
                <w:highlight w:val="none"/>
              </w:rPr>
              <w:t>4-</w:t>
            </w:r>
            <w:r>
              <w:rPr>
                <w:rFonts w:hint="eastAsia" w:eastAsiaTheme="minorEastAsia"/>
                <w:color w:val="000000" w:themeColor="text1"/>
                <w:sz w:val="24"/>
                <w:highlight w:val="none"/>
              </w:rPr>
              <w:t>7</w:t>
            </w:r>
            <w:r>
              <w:rPr>
                <w:rFonts w:hAnsiTheme="minorEastAsia" w:eastAsiaTheme="minorEastAsia"/>
                <w:color w:val="000000" w:themeColor="text1"/>
                <w:sz w:val="24"/>
                <w:highlight w:val="none"/>
              </w:rPr>
              <w:t>。</w:t>
            </w:r>
          </w:p>
          <w:p>
            <w:pPr>
              <w:spacing w:line="360" w:lineRule="auto"/>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4-</w:t>
            </w:r>
            <w:r>
              <w:rPr>
                <w:rFonts w:hint="eastAsia" w:eastAsiaTheme="minorEastAsia"/>
                <w:b/>
                <w:color w:val="000000" w:themeColor="text1"/>
                <w:sz w:val="24"/>
                <w:highlight w:val="none"/>
              </w:rPr>
              <w:t>7</w:t>
            </w:r>
            <w:r>
              <w:rPr>
                <w:rFonts w:hAnsiTheme="minorEastAsia" w:eastAsiaTheme="minorEastAsia"/>
                <w:b/>
                <w:color w:val="000000" w:themeColor="text1"/>
                <w:sz w:val="24"/>
                <w:highlight w:val="none"/>
              </w:rPr>
              <w:t>项目厂界噪声预测结果单位：</w:t>
            </w:r>
            <w:r>
              <w:rPr>
                <w:rFonts w:eastAsiaTheme="minorEastAsia"/>
                <w:b/>
                <w:color w:val="000000" w:themeColor="text1"/>
                <w:sz w:val="24"/>
                <w:highlight w:val="none"/>
              </w:rPr>
              <w:t>dB</w:t>
            </w:r>
            <w:r>
              <w:rPr>
                <w:rFonts w:hAnsiTheme="minorEastAsia" w:eastAsiaTheme="minorEastAsia"/>
                <w:b/>
                <w:color w:val="000000" w:themeColor="text1"/>
                <w:sz w:val="24"/>
                <w:highlight w:val="none"/>
              </w:rPr>
              <w:t>（</w:t>
            </w:r>
            <w:r>
              <w:rPr>
                <w:rFonts w:eastAsiaTheme="minorEastAsia"/>
                <w:b/>
                <w:color w:val="000000" w:themeColor="text1"/>
                <w:sz w:val="24"/>
                <w:highlight w:val="none"/>
              </w:rPr>
              <w:t>A</w:t>
            </w:r>
            <w:r>
              <w:rPr>
                <w:rFonts w:hAnsiTheme="minorEastAsia" w:eastAsiaTheme="minorEastAsia"/>
                <w:b/>
                <w:color w:val="000000" w:themeColor="text1"/>
                <w:sz w:val="24"/>
                <w:highlight w:val="none"/>
              </w:rPr>
              <w:t>）</w:t>
            </w:r>
          </w:p>
          <w:tbl>
            <w:tblPr>
              <w:tblStyle w:val="23"/>
              <w:tblW w:w="484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87"/>
              <w:gridCol w:w="37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vMerge w:val="restar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预测点位</w:t>
                  </w:r>
                </w:p>
              </w:tc>
              <w:tc>
                <w:tcPr>
                  <w:tcW w:w="2407"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贡献值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vMerge w:val="continue"/>
                  <w:shd w:val="clear" w:color="auto" w:fill="auto"/>
                  <w:vAlign w:val="center"/>
                </w:tcPr>
                <w:p>
                  <w:pPr>
                    <w:spacing w:line="0" w:lineRule="atLeast"/>
                    <w:jc w:val="center"/>
                    <w:rPr>
                      <w:rFonts w:eastAsiaTheme="minorEastAsia"/>
                      <w:color w:val="000000" w:themeColor="text1"/>
                      <w:szCs w:val="21"/>
                      <w:highlight w:val="none"/>
                    </w:rPr>
                  </w:pPr>
                </w:p>
              </w:tc>
              <w:tc>
                <w:tcPr>
                  <w:tcW w:w="2407"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昼</w:t>
                  </w:r>
                  <w:r>
                    <w:rPr>
                      <w:rFonts w:hint="eastAsia" w:hAnsiTheme="minorEastAsia" w:eastAsiaTheme="minorEastAsia"/>
                      <w:color w:val="000000" w:themeColor="text1"/>
                      <w:szCs w:val="21"/>
                      <w:highlight w:val="none"/>
                    </w:rPr>
                    <w:t>间/夜间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项目东侧</w:t>
                  </w:r>
                </w:p>
              </w:tc>
              <w:tc>
                <w:tcPr>
                  <w:tcW w:w="2407" w:type="pct"/>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33.59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项目南侧</w:t>
                  </w:r>
                </w:p>
              </w:tc>
              <w:tc>
                <w:tcPr>
                  <w:tcW w:w="2407" w:type="pct"/>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47.17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项目西侧</w:t>
                  </w:r>
                </w:p>
              </w:tc>
              <w:tc>
                <w:tcPr>
                  <w:tcW w:w="2407" w:type="pct"/>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34.21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592" w:type="pct"/>
                  <w:shd w:val="clear" w:color="auto" w:fill="auto"/>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项目北侧</w:t>
                  </w:r>
                </w:p>
              </w:tc>
              <w:tc>
                <w:tcPr>
                  <w:tcW w:w="2407" w:type="pct"/>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40.15</w:t>
                  </w:r>
                </w:p>
              </w:tc>
            </w:tr>
          </w:tbl>
          <w:p>
            <w:pPr>
              <w:wordWrap w:val="0"/>
              <w:adjustRightInd w:val="0"/>
              <w:snapToGrid w:val="0"/>
              <w:spacing w:line="360" w:lineRule="auto"/>
              <w:ind w:firstLine="480" w:firstLineChars="200"/>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本项目采用低噪声设备、厂房隔声、基础减振等措施，本项目厂界外1m处噪声值符合《工业企业厂界环境噪声排放标准》（GB12348-2008）表1中</w:t>
            </w:r>
            <w:r>
              <w:rPr>
                <w:rFonts w:hint="eastAsia" w:hAnsiTheme="minorEastAsia" w:eastAsiaTheme="minorEastAsia"/>
                <w:color w:val="000000" w:themeColor="text1"/>
                <w:sz w:val="24"/>
                <w:highlight w:val="none"/>
              </w:rPr>
              <w:t>2</w:t>
            </w:r>
            <w:r>
              <w:rPr>
                <w:rFonts w:hAnsiTheme="minorEastAsia" w:eastAsiaTheme="minorEastAsia"/>
                <w:color w:val="000000" w:themeColor="text1"/>
                <w:sz w:val="24"/>
                <w:highlight w:val="none"/>
              </w:rPr>
              <w:t>类标准（昼间</w:t>
            </w:r>
            <w:r>
              <w:rPr>
                <w:rFonts w:eastAsiaTheme="minorEastAsia"/>
                <w:color w:val="000000" w:themeColor="text1"/>
                <w:sz w:val="24"/>
                <w:highlight w:val="none"/>
              </w:rPr>
              <w:t>≤60dB（A），夜间≤</w:t>
            </w:r>
            <w:r>
              <w:rPr>
                <w:rFonts w:hint="eastAsia" w:hAnsiTheme="minorEastAsia" w:eastAsiaTheme="minorEastAsia"/>
                <w:color w:val="000000" w:themeColor="text1"/>
                <w:sz w:val="24"/>
                <w:highlight w:val="none"/>
              </w:rPr>
              <w:t>50</w:t>
            </w:r>
            <w:r>
              <w:rPr>
                <w:rFonts w:hAnsiTheme="minorEastAsia" w:eastAsiaTheme="minorEastAsia"/>
                <w:color w:val="000000" w:themeColor="text1"/>
                <w:sz w:val="24"/>
                <w:highlight w:val="none"/>
              </w:rPr>
              <w:t>dB（A））。综上，本项目建设对周围声环境影响较小。</w:t>
            </w:r>
          </w:p>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3</w:t>
            </w:r>
            <w:r>
              <w:rPr>
                <w:rFonts w:hAnsiTheme="minorEastAsia" w:eastAsiaTheme="minorEastAsia"/>
                <w:b/>
                <w:bCs/>
                <w:color w:val="000000" w:themeColor="text1"/>
                <w:sz w:val="24"/>
                <w:highlight w:val="none"/>
              </w:rPr>
              <w:t>、监测计划</w:t>
            </w:r>
          </w:p>
          <w:p>
            <w:pPr>
              <w:spacing w:line="360" w:lineRule="auto"/>
              <w:ind w:firstLine="480" w:firstLineChars="200"/>
              <w:contextualSpacing/>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根据《排污单位自行监测技术指南总则》（</w:t>
            </w:r>
            <w:r>
              <w:rPr>
                <w:rFonts w:eastAsiaTheme="minorEastAsia"/>
                <w:color w:val="000000" w:themeColor="text1"/>
                <w:sz w:val="24"/>
                <w:highlight w:val="none"/>
              </w:rPr>
              <w:t>H819-2017</w:t>
            </w:r>
            <w:r>
              <w:rPr>
                <w:rFonts w:hAnsiTheme="minorEastAsia" w:eastAsiaTheme="minorEastAsia"/>
                <w:color w:val="000000" w:themeColor="text1"/>
                <w:sz w:val="24"/>
                <w:highlight w:val="none"/>
              </w:rPr>
              <w:t>），制定本项目噪声监测计划如下。</w:t>
            </w:r>
          </w:p>
          <w:p>
            <w:pPr>
              <w:spacing w:line="360" w:lineRule="auto"/>
              <w:contextualSpacing/>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4-</w:t>
            </w:r>
            <w:r>
              <w:rPr>
                <w:rFonts w:hint="eastAsia" w:eastAsiaTheme="minorEastAsia"/>
                <w:b/>
                <w:color w:val="000000" w:themeColor="text1"/>
                <w:sz w:val="24"/>
                <w:highlight w:val="none"/>
              </w:rPr>
              <w:t>8</w:t>
            </w:r>
            <w:r>
              <w:rPr>
                <w:rFonts w:hAnsiTheme="minorEastAsia" w:eastAsiaTheme="minorEastAsia"/>
                <w:b/>
                <w:color w:val="000000" w:themeColor="text1"/>
                <w:sz w:val="24"/>
                <w:highlight w:val="none"/>
              </w:rPr>
              <w:t>项目噪声监测计划表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915"/>
              <w:gridCol w:w="1319"/>
              <w:gridCol w:w="14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30"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类别</w:t>
                  </w:r>
                </w:p>
              </w:tc>
              <w:tc>
                <w:tcPr>
                  <w:tcW w:w="3915"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监测点位</w:t>
                  </w:r>
                </w:p>
              </w:tc>
              <w:tc>
                <w:tcPr>
                  <w:tcW w:w="1319"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监测项目</w:t>
                  </w:r>
                </w:p>
              </w:tc>
              <w:tc>
                <w:tcPr>
                  <w:tcW w:w="1423"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30"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厂界噪声</w:t>
                  </w:r>
                </w:p>
              </w:tc>
              <w:tc>
                <w:tcPr>
                  <w:tcW w:w="3915"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厂界四周</w:t>
                  </w:r>
                </w:p>
              </w:tc>
              <w:tc>
                <w:tcPr>
                  <w:tcW w:w="1319" w:type="dxa"/>
                  <w:vAlign w:val="center"/>
                </w:tcPr>
                <w:p>
                  <w:pPr>
                    <w:contextualSpacing/>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等效连续</w:t>
                  </w:r>
                  <w:r>
                    <w:rPr>
                      <w:rFonts w:eastAsiaTheme="minorEastAsia"/>
                      <w:color w:val="000000" w:themeColor="text1"/>
                      <w:kern w:val="0"/>
                      <w:szCs w:val="21"/>
                      <w:highlight w:val="none"/>
                    </w:rPr>
                    <w:t>A</w:t>
                  </w:r>
                  <w:r>
                    <w:rPr>
                      <w:rFonts w:hAnsiTheme="minorEastAsia" w:eastAsiaTheme="minorEastAsia"/>
                      <w:color w:val="000000" w:themeColor="text1"/>
                      <w:kern w:val="0"/>
                      <w:szCs w:val="21"/>
                      <w:highlight w:val="none"/>
                    </w:rPr>
                    <w:t>声级</w:t>
                  </w:r>
                </w:p>
              </w:tc>
              <w:tc>
                <w:tcPr>
                  <w:tcW w:w="1423" w:type="dxa"/>
                  <w:vAlign w:val="center"/>
                </w:tcPr>
                <w:p>
                  <w:pPr>
                    <w:contextualSpacing/>
                    <w:jc w:val="center"/>
                    <w:rPr>
                      <w:rFonts w:eastAsiaTheme="minorEastAsia"/>
                      <w:color w:val="000000" w:themeColor="text1"/>
                      <w:kern w:val="0"/>
                      <w:szCs w:val="21"/>
                      <w:highlight w:val="none"/>
                    </w:rPr>
                  </w:pPr>
                  <w:r>
                    <w:rPr>
                      <w:rFonts w:eastAsiaTheme="minorEastAsia"/>
                      <w:color w:val="000000" w:themeColor="text1"/>
                      <w:kern w:val="0"/>
                      <w:szCs w:val="21"/>
                      <w:highlight w:val="none"/>
                    </w:rPr>
                    <w:t>1</w:t>
                  </w:r>
                  <w:r>
                    <w:rPr>
                      <w:rFonts w:hAnsiTheme="minorEastAsia" w:eastAsiaTheme="minorEastAsia"/>
                      <w:color w:val="000000" w:themeColor="text1"/>
                      <w:kern w:val="0"/>
                      <w:szCs w:val="21"/>
                      <w:highlight w:val="none"/>
                    </w:rPr>
                    <w:t>次</w:t>
                  </w:r>
                  <w:r>
                    <w:rPr>
                      <w:rFonts w:eastAsiaTheme="minorEastAsia"/>
                      <w:color w:val="000000" w:themeColor="text1"/>
                      <w:kern w:val="0"/>
                      <w:szCs w:val="21"/>
                      <w:highlight w:val="none"/>
                    </w:rPr>
                    <w:t>/</w:t>
                  </w:r>
                  <w:r>
                    <w:rPr>
                      <w:rFonts w:hAnsiTheme="minorEastAsia" w:eastAsiaTheme="minorEastAsia"/>
                      <w:color w:val="000000" w:themeColor="text1"/>
                      <w:kern w:val="0"/>
                      <w:szCs w:val="21"/>
                      <w:highlight w:val="none"/>
                    </w:rPr>
                    <w:t>季度</w:t>
                  </w:r>
                </w:p>
              </w:tc>
            </w:tr>
          </w:tbl>
          <w:p>
            <w:pPr>
              <w:spacing w:line="360" w:lineRule="auto"/>
              <w:ind w:firstLine="482" w:firstLineChars="200"/>
              <w:contextualSpacing/>
              <w:rPr>
                <w:rFonts w:eastAsiaTheme="minorEastAsia"/>
                <w:b/>
                <w:bCs/>
                <w:color w:val="000000" w:themeColor="text1"/>
                <w:sz w:val="24"/>
                <w:highlight w:val="none"/>
              </w:rPr>
            </w:pPr>
            <w:r>
              <w:rPr>
                <w:rFonts w:hAnsiTheme="minorEastAsia" w:eastAsiaTheme="minorEastAsia"/>
                <w:b/>
                <w:bCs/>
                <w:color w:val="000000" w:themeColor="text1"/>
                <w:sz w:val="24"/>
                <w:highlight w:val="none"/>
              </w:rPr>
              <w:t>四、固体废物</w:t>
            </w:r>
          </w:p>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1</w:t>
            </w:r>
            <w:r>
              <w:rPr>
                <w:rFonts w:hAnsiTheme="minorEastAsia" w:eastAsiaTheme="minorEastAsia"/>
                <w:b/>
                <w:bCs/>
                <w:color w:val="000000" w:themeColor="text1"/>
                <w:sz w:val="24"/>
                <w:highlight w:val="none"/>
              </w:rPr>
              <w:t>、固体废物产生情况</w:t>
            </w:r>
          </w:p>
          <w:p>
            <w:pPr>
              <w:spacing w:line="360" w:lineRule="auto"/>
              <w:ind w:firstLine="480" w:firstLineChars="200"/>
              <w:rPr>
                <w:sz w:val="24"/>
                <w:highlight w:val="none"/>
              </w:rPr>
            </w:pPr>
            <w:r>
              <w:rPr>
                <w:sz w:val="24"/>
                <w:highlight w:val="none"/>
              </w:rPr>
              <w:t>本项目运营期产生的固体废物主要为职工生活垃圾</w:t>
            </w:r>
            <w:r>
              <w:rPr>
                <w:rFonts w:hint="eastAsia"/>
                <w:sz w:val="24"/>
                <w:highlight w:val="none"/>
                <w:lang w:eastAsia="zh-CN"/>
              </w:rPr>
              <w:t>（</w:t>
            </w:r>
            <w:r>
              <w:rPr>
                <w:rFonts w:hint="eastAsia"/>
                <w:sz w:val="24"/>
                <w:highlight w:val="none"/>
                <w:lang w:val="en-US" w:eastAsia="zh-CN"/>
              </w:rPr>
              <w:t>900-099-S64</w:t>
            </w:r>
            <w:r>
              <w:rPr>
                <w:rFonts w:hint="eastAsia"/>
                <w:sz w:val="24"/>
                <w:highlight w:val="none"/>
                <w:lang w:eastAsia="zh-CN"/>
              </w:rPr>
              <w:t>）</w:t>
            </w:r>
            <w:r>
              <w:rPr>
                <w:sz w:val="24"/>
                <w:highlight w:val="none"/>
              </w:rPr>
              <w:t>、布袋除尘器收集的粉尘</w:t>
            </w:r>
            <w:r>
              <w:rPr>
                <w:rFonts w:hint="eastAsia"/>
                <w:sz w:val="24"/>
                <w:highlight w:val="none"/>
                <w:lang w:eastAsia="zh-CN"/>
              </w:rPr>
              <w:t>（</w:t>
            </w:r>
            <w:r>
              <w:rPr>
                <w:rFonts w:hint="eastAsia"/>
                <w:sz w:val="24"/>
                <w:highlight w:val="none"/>
                <w:lang w:val="en-US" w:eastAsia="zh-CN"/>
              </w:rPr>
              <w:t>303-001-66</w:t>
            </w:r>
            <w:r>
              <w:rPr>
                <w:rFonts w:hint="eastAsia"/>
                <w:sz w:val="24"/>
                <w:highlight w:val="none"/>
                <w:lang w:eastAsia="zh-CN"/>
              </w:rPr>
              <w:t>）、</w:t>
            </w:r>
            <w:r>
              <w:rPr>
                <w:rFonts w:hint="eastAsia"/>
                <w:sz w:val="24"/>
                <w:highlight w:val="none"/>
                <w:lang w:val="en-US" w:eastAsia="zh-CN"/>
              </w:rPr>
              <w:t>废布袋（900-099-S59）</w:t>
            </w:r>
            <w:r>
              <w:rPr>
                <w:sz w:val="24"/>
                <w:highlight w:val="none"/>
              </w:rPr>
              <w:t>。</w:t>
            </w:r>
          </w:p>
          <w:p>
            <w:pPr>
              <w:spacing w:line="360" w:lineRule="auto"/>
              <w:ind w:firstLine="480" w:firstLineChars="200"/>
              <w:rPr>
                <w:sz w:val="24"/>
                <w:highlight w:val="none"/>
              </w:rPr>
            </w:pPr>
            <w:r>
              <w:rPr>
                <w:sz w:val="24"/>
                <w:highlight w:val="none"/>
              </w:rPr>
              <w:t>本项目生活垃圾按照0.4kg/人•d计算，职工</w:t>
            </w:r>
            <w:r>
              <w:rPr>
                <w:rFonts w:hint="eastAsia"/>
                <w:sz w:val="24"/>
                <w:highlight w:val="none"/>
              </w:rPr>
              <w:t>5</w:t>
            </w:r>
            <w:r>
              <w:rPr>
                <w:sz w:val="24"/>
                <w:highlight w:val="none"/>
              </w:rPr>
              <w:t>人，生活垃圾量为</w:t>
            </w:r>
            <w:r>
              <w:rPr>
                <w:rFonts w:hint="eastAsia"/>
                <w:sz w:val="24"/>
                <w:highlight w:val="none"/>
              </w:rPr>
              <w:t>0.42</w:t>
            </w:r>
            <w:r>
              <w:rPr>
                <w:sz w:val="24"/>
                <w:highlight w:val="none"/>
              </w:rPr>
              <w:t>t/a；</w:t>
            </w:r>
            <w:r>
              <w:rPr>
                <w:rFonts w:hint="eastAsia"/>
                <w:sz w:val="24"/>
                <w:highlight w:val="none"/>
              </w:rPr>
              <w:t>根据前文计算可知，</w:t>
            </w:r>
            <w:r>
              <w:rPr>
                <w:sz w:val="24"/>
                <w:highlight w:val="none"/>
              </w:rPr>
              <w:t>布袋除尘器收集的粉尘</w:t>
            </w:r>
            <w:r>
              <w:rPr>
                <w:rFonts w:hint="eastAsia"/>
                <w:sz w:val="24"/>
                <w:highlight w:val="none"/>
              </w:rPr>
              <w:t>11.58</w:t>
            </w:r>
            <w:r>
              <w:rPr>
                <w:sz w:val="24"/>
                <w:highlight w:val="none"/>
              </w:rPr>
              <w:t>t/a</w:t>
            </w:r>
            <w:r>
              <w:rPr>
                <w:rFonts w:hint="eastAsia"/>
                <w:sz w:val="24"/>
                <w:highlight w:val="none"/>
                <w:lang w:eastAsia="zh-CN"/>
              </w:rPr>
              <w:t>；</w:t>
            </w:r>
            <w:r>
              <w:rPr>
                <w:rFonts w:hint="eastAsia"/>
                <w:sz w:val="24"/>
                <w:highlight w:val="none"/>
                <w:lang w:val="en-US" w:eastAsia="zh-CN"/>
              </w:rPr>
              <w:t>废布袋产生量约0.2t/3a</w:t>
            </w:r>
            <w:r>
              <w:rPr>
                <w:sz w:val="24"/>
                <w:highlight w:val="none"/>
              </w:rPr>
              <w:t>。</w:t>
            </w:r>
          </w:p>
          <w:p>
            <w:pPr>
              <w:autoSpaceDE w:val="0"/>
              <w:autoSpaceDN w:val="0"/>
              <w:snapToGrid w:val="0"/>
              <w:spacing w:line="360" w:lineRule="auto"/>
              <w:ind w:firstLine="480" w:firstLineChars="200"/>
              <w:contextualSpacing/>
              <w:rPr>
                <w:rFonts w:hAnsiTheme="minorEastAsia" w:eastAsiaTheme="minorEastAsia"/>
                <w:color w:val="000000" w:themeColor="text1"/>
                <w:sz w:val="24"/>
                <w:highlight w:val="none"/>
              </w:rPr>
            </w:pPr>
            <w:r>
              <w:rPr>
                <w:sz w:val="24"/>
                <w:highlight w:val="none"/>
              </w:rPr>
              <w:t>本项目生活垃圾</w:t>
            </w:r>
            <w:r>
              <w:rPr>
                <w:rFonts w:hint="eastAsia"/>
                <w:sz w:val="24"/>
                <w:highlight w:val="none"/>
                <w:lang w:val="en-US" w:eastAsia="zh-CN"/>
              </w:rPr>
              <w:t>及废布袋</w:t>
            </w:r>
            <w:r>
              <w:rPr>
                <w:sz w:val="24"/>
                <w:highlight w:val="none"/>
              </w:rPr>
              <w:t>交由市政部门统一处理</w:t>
            </w:r>
            <w:r>
              <w:rPr>
                <w:rFonts w:hint="eastAsia"/>
                <w:sz w:val="24"/>
                <w:highlight w:val="none"/>
              </w:rPr>
              <w:t>；布袋除尘器收集的粉尘回用于</w:t>
            </w:r>
            <w:r>
              <w:rPr>
                <w:sz w:val="24"/>
                <w:highlight w:val="none"/>
              </w:rPr>
              <w:t>生产</w:t>
            </w:r>
            <w:r>
              <w:rPr>
                <w:rFonts w:hAnsiTheme="minorEastAsia" w:eastAsiaTheme="minorEastAsia"/>
                <w:color w:val="000000" w:themeColor="text1"/>
                <w:sz w:val="24"/>
                <w:highlight w:val="none"/>
              </w:rPr>
              <w:t>。</w:t>
            </w:r>
          </w:p>
          <w:p>
            <w:pPr>
              <w:wordWrap w:val="0"/>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固体废物产生情况见下表：</w:t>
            </w:r>
          </w:p>
          <w:p>
            <w:pPr>
              <w:spacing w:line="360" w:lineRule="auto"/>
              <w:contextualSpacing/>
              <w:jc w:val="center"/>
              <w:rPr>
                <w:rFonts w:eastAsiaTheme="minorEastAsia"/>
                <w:b/>
                <w:color w:val="000000" w:themeColor="text1"/>
                <w:sz w:val="24"/>
                <w:highlight w:val="none"/>
              </w:rPr>
            </w:pPr>
            <w:r>
              <w:rPr>
                <w:rFonts w:hAnsiTheme="minorEastAsia" w:eastAsiaTheme="minorEastAsia"/>
                <w:b/>
                <w:color w:val="000000" w:themeColor="text1"/>
                <w:sz w:val="24"/>
                <w:highlight w:val="none"/>
              </w:rPr>
              <w:t>表</w:t>
            </w:r>
            <w:r>
              <w:rPr>
                <w:rFonts w:eastAsiaTheme="minorEastAsia"/>
                <w:b/>
                <w:color w:val="000000" w:themeColor="text1"/>
                <w:sz w:val="24"/>
                <w:highlight w:val="none"/>
              </w:rPr>
              <w:t>4-</w:t>
            </w:r>
            <w:r>
              <w:rPr>
                <w:rFonts w:hint="eastAsia" w:eastAsiaTheme="minorEastAsia"/>
                <w:b/>
                <w:color w:val="000000" w:themeColor="text1"/>
                <w:sz w:val="24"/>
                <w:highlight w:val="none"/>
              </w:rPr>
              <w:t>9</w:t>
            </w:r>
            <w:r>
              <w:rPr>
                <w:rFonts w:hAnsiTheme="minorEastAsia" w:eastAsiaTheme="minorEastAsia"/>
                <w:b/>
                <w:color w:val="000000" w:themeColor="text1"/>
                <w:sz w:val="24"/>
                <w:highlight w:val="none"/>
              </w:rPr>
              <w:t>固体废物产生情况表</w:t>
            </w:r>
          </w:p>
          <w:tbl>
            <w:tblPr>
              <w:tblStyle w:val="23"/>
              <w:tblW w:w="491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60"/>
              <w:gridCol w:w="1065"/>
              <w:gridCol w:w="735"/>
              <w:gridCol w:w="931"/>
              <w:gridCol w:w="719"/>
              <w:gridCol w:w="674"/>
              <w:gridCol w:w="856"/>
              <w:gridCol w:w="10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产污环节</w:t>
                  </w:r>
                </w:p>
              </w:tc>
              <w:tc>
                <w:tcPr>
                  <w:tcW w:w="788"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固体废物名称</w:t>
                  </w:r>
                </w:p>
              </w:tc>
              <w:tc>
                <w:tcPr>
                  <w:tcW w:w="666"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固体废物属性</w:t>
                  </w:r>
                </w:p>
              </w:tc>
              <w:tc>
                <w:tcPr>
                  <w:tcW w:w="46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物理性状</w:t>
                  </w:r>
                </w:p>
              </w:tc>
              <w:tc>
                <w:tcPr>
                  <w:tcW w:w="582"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环境风险特性</w:t>
                  </w:r>
                </w:p>
              </w:tc>
              <w:tc>
                <w:tcPr>
                  <w:tcW w:w="450"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产生量</w:t>
                  </w:r>
                  <w:r>
                    <w:rPr>
                      <w:rFonts w:eastAsiaTheme="minorEastAsia"/>
                      <w:color w:val="000000" w:themeColor="text1"/>
                      <w:szCs w:val="21"/>
                      <w:highlight w:val="none"/>
                    </w:rPr>
                    <w:t>t/a</w:t>
                  </w:r>
                </w:p>
              </w:tc>
              <w:tc>
                <w:tcPr>
                  <w:tcW w:w="421"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处置量</w:t>
                  </w:r>
                  <w:r>
                    <w:rPr>
                      <w:rFonts w:eastAsiaTheme="minorEastAsia"/>
                      <w:color w:val="000000" w:themeColor="text1"/>
                      <w:szCs w:val="21"/>
                      <w:highlight w:val="none"/>
                    </w:rPr>
                    <w:t>t/a</w:t>
                  </w:r>
                </w:p>
              </w:tc>
              <w:tc>
                <w:tcPr>
                  <w:tcW w:w="535"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贮存</w:t>
                  </w:r>
                </w:p>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方式</w:t>
                  </w:r>
                </w:p>
              </w:tc>
              <w:tc>
                <w:tcPr>
                  <w:tcW w:w="664"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处置去向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hAnsiTheme="minorEastAsia" w:eastAsiaTheme="minorEastAsia"/>
                      <w:color w:val="000000" w:themeColor="text1"/>
                      <w:szCs w:val="21"/>
                      <w:highlight w:val="none"/>
                    </w:rPr>
                    <w:t>员工</w:t>
                  </w:r>
                </w:p>
              </w:tc>
              <w:tc>
                <w:tcPr>
                  <w:tcW w:w="788" w:type="pct"/>
                  <w:tcBorders>
                    <w:tl2br w:val="nil"/>
                    <w:tr2bl w:val="nil"/>
                  </w:tcBorders>
                  <w:shd w:val="clear" w:color="auto" w:fill="auto"/>
                  <w:vAlign w:val="center"/>
                </w:tcPr>
                <w:p>
                  <w:pPr>
                    <w:widowControl/>
                    <w:jc w:val="center"/>
                    <w:rPr>
                      <w:rFonts w:ascii="宋体" w:hAnsi="宋体" w:cs="宋体"/>
                      <w:color w:val="000000" w:themeColor="text1"/>
                      <w:kern w:val="0"/>
                      <w:sz w:val="24"/>
                      <w:highlight w:val="none"/>
                    </w:rPr>
                  </w:pPr>
                  <w:r>
                    <w:rPr>
                      <w:rFonts w:hAnsiTheme="minorEastAsia" w:eastAsiaTheme="minorEastAsia"/>
                      <w:color w:val="000000" w:themeColor="text1"/>
                      <w:szCs w:val="21"/>
                      <w:highlight w:val="none"/>
                    </w:rPr>
                    <w:t>生活垃圾</w:t>
                  </w:r>
                </w:p>
              </w:tc>
              <w:tc>
                <w:tcPr>
                  <w:tcW w:w="666" w:type="pct"/>
                  <w:tcBorders>
                    <w:tl2br w:val="nil"/>
                    <w:tr2bl w:val="nil"/>
                  </w:tcBorders>
                  <w:shd w:val="clear" w:color="auto" w:fill="auto"/>
                  <w:vAlign w:val="center"/>
                </w:tcPr>
                <w:p>
                  <w:pPr>
                    <w:widowControl/>
                    <w:jc w:val="center"/>
                    <w:rPr>
                      <w:rFonts w:eastAsiaTheme="minorEastAsia"/>
                      <w:color w:val="000000" w:themeColor="text1"/>
                      <w:szCs w:val="21"/>
                      <w:highlight w:val="none"/>
                    </w:rPr>
                  </w:pPr>
                  <w:r>
                    <w:rPr>
                      <w:rFonts w:hAnsiTheme="minorEastAsia" w:eastAsiaTheme="minorEastAsia"/>
                      <w:color w:val="000000" w:themeColor="text1"/>
                      <w:szCs w:val="21"/>
                      <w:highlight w:val="none"/>
                    </w:rPr>
                    <w:t>生活垃圾</w:t>
                  </w:r>
                </w:p>
              </w:tc>
              <w:tc>
                <w:tcPr>
                  <w:tcW w:w="460" w:type="pct"/>
                  <w:tcBorders>
                    <w:tl2br w:val="nil"/>
                    <w:tr2bl w:val="nil"/>
                  </w:tcBorders>
                  <w:shd w:val="clear" w:color="auto" w:fill="auto"/>
                  <w:vAlign w:val="center"/>
                </w:tcPr>
                <w:p>
                  <w:pPr>
                    <w:widowControl/>
                    <w:jc w:val="center"/>
                    <w:rPr>
                      <w:rFonts w:eastAsiaTheme="minorEastAsia"/>
                      <w:color w:val="000000" w:themeColor="text1"/>
                      <w:szCs w:val="21"/>
                      <w:highlight w:val="none"/>
                    </w:rPr>
                  </w:pPr>
                  <w:r>
                    <w:rPr>
                      <w:rFonts w:hAnsiTheme="minorEastAsia" w:eastAsiaTheme="minorEastAsia"/>
                      <w:color w:val="000000" w:themeColor="text1"/>
                      <w:szCs w:val="21"/>
                      <w:highlight w:val="none"/>
                    </w:rPr>
                    <w:t>固态</w:t>
                  </w:r>
                </w:p>
              </w:tc>
              <w:tc>
                <w:tcPr>
                  <w:tcW w:w="582" w:type="pct"/>
                  <w:tcBorders>
                    <w:tl2br w:val="nil"/>
                    <w:tr2bl w:val="nil"/>
                  </w:tcBorders>
                  <w:shd w:val="clear" w:color="auto" w:fill="auto"/>
                  <w:vAlign w:val="center"/>
                </w:tcPr>
                <w:p>
                  <w:pPr>
                    <w:widowControl/>
                    <w:jc w:val="center"/>
                    <w:rPr>
                      <w:rFonts w:eastAsiaTheme="minorEastAsia"/>
                      <w:color w:val="000000" w:themeColor="text1"/>
                      <w:szCs w:val="21"/>
                      <w:highlight w:val="none"/>
                    </w:rPr>
                  </w:pPr>
                  <w:r>
                    <w:rPr>
                      <w:rFonts w:hint="eastAsia" w:hAnsiTheme="minorEastAsia" w:eastAsiaTheme="minorEastAsia"/>
                      <w:color w:val="000000" w:themeColor="text1"/>
                      <w:szCs w:val="21"/>
                      <w:highlight w:val="none"/>
                    </w:rPr>
                    <w:t>/</w:t>
                  </w:r>
                </w:p>
              </w:tc>
              <w:tc>
                <w:tcPr>
                  <w:tcW w:w="450" w:type="pct"/>
                  <w:tcBorders>
                    <w:tl2br w:val="nil"/>
                    <w:tr2bl w:val="nil"/>
                  </w:tcBorders>
                  <w:shd w:val="clear" w:color="auto" w:fill="FFFFFF"/>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0.42</w:t>
                  </w:r>
                </w:p>
              </w:tc>
              <w:tc>
                <w:tcPr>
                  <w:tcW w:w="421"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0.42</w:t>
                  </w:r>
                </w:p>
              </w:tc>
              <w:tc>
                <w:tcPr>
                  <w:tcW w:w="535" w:type="pc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生活垃圾桶</w:t>
                  </w:r>
                </w:p>
              </w:tc>
              <w:tc>
                <w:tcPr>
                  <w:tcW w:w="664" w:type="pc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市政部门统一处置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Merge w:val="restar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生产</w:t>
                  </w:r>
                </w:p>
              </w:tc>
              <w:tc>
                <w:tcPr>
                  <w:tcW w:w="788"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除尘器收集粉尘</w:t>
                  </w:r>
                </w:p>
              </w:tc>
              <w:tc>
                <w:tcPr>
                  <w:tcW w:w="666" w:type="pct"/>
                  <w:vMerge w:val="restar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一般固体废物</w:t>
                  </w:r>
                </w:p>
              </w:tc>
              <w:tc>
                <w:tcPr>
                  <w:tcW w:w="460" w:type="pct"/>
                  <w:tcBorders>
                    <w:tl2br w:val="nil"/>
                    <w:tr2bl w:val="nil"/>
                  </w:tcBorders>
                  <w:shd w:val="clear" w:color="auto" w:fill="auto"/>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固态</w:t>
                  </w:r>
                </w:p>
              </w:tc>
              <w:tc>
                <w:tcPr>
                  <w:tcW w:w="582" w:type="pct"/>
                  <w:tcBorders>
                    <w:tl2br w:val="nil"/>
                    <w:tr2bl w:val="nil"/>
                  </w:tcBorders>
                  <w:shd w:val="clear" w:color="auto" w:fill="auto"/>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c>
                <w:tcPr>
                  <w:tcW w:w="450" w:type="pct"/>
                  <w:tcBorders>
                    <w:tl2br w:val="nil"/>
                    <w:tr2bl w:val="nil"/>
                  </w:tcBorders>
                  <w:shd w:val="clear" w:color="auto" w:fill="FFFFFF"/>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11.58</w:t>
                  </w:r>
                </w:p>
              </w:tc>
              <w:tc>
                <w:tcPr>
                  <w:tcW w:w="421" w:type="pct"/>
                  <w:tcBorders>
                    <w:tl2br w:val="nil"/>
                    <w:tr2bl w:val="nil"/>
                  </w:tcBorders>
                  <w:vAlign w:val="center"/>
                </w:tcPr>
                <w:p>
                  <w:pPr>
                    <w:spacing w:line="0" w:lineRule="atLeast"/>
                    <w:jc w:val="center"/>
                    <w:rPr>
                      <w:rFonts w:eastAsiaTheme="minorEastAsia"/>
                      <w:color w:val="000000" w:themeColor="text1"/>
                      <w:szCs w:val="21"/>
                      <w:highlight w:val="none"/>
                    </w:rPr>
                  </w:pPr>
                  <w:r>
                    <w:rPr>
                      <w:rFonts w:hint="eastAsia" w:eastAsiaTheme="minorEastAsia"/>
                      <w:color w:val="000000" w:themeColor="text1"/>
                      <w:szCs w:val="21"/>
                      <w:highlight w:val="none"/>
                    </w:rPr>
                    <w:t>11.58</w:t>
                  </w:r>
                </w:p>
              </w:tc>
              <w:tc>
                <w:tcPr>
                  <w:tcW w:w="535" w:type="pct"/>
                  <w:vMerge w:val="restart"/>
                  <w:tcBorders>
                    <w:tl2br w:val="nil"/>
                    <w:tr2bl w:val="nil"/>
                  </w:tcBorders>
                  <w:shd w:val="clear" w:color="auto" w:fill="auto"/>
                  <w:vAlign w:val="center"/>
                </w:tcPr>
                <w:p>
                  <w:pPr>
                    <w:spacing w:line="0" w:lineRule="atLeast"/>
                    <w:jc w:val="center"/>
                    <w:rPr>
                      <w:rFonts w:eastAsiaTheme="minorEastAsia"/>
                      <w:color w:val="000000" w:themeColor="text1"/>
                      <w:szCs w:val="21"/>
                      <w:highlight w:val="none"/>
                    </w:rPr>
                  </w:pPr>
                  <w:r>
                    <w:rPr>
                      <w:rFonts w:hint="eastAsia" w:hAnsiTheme="minorEastAsia" w:eastAsiaTheme="minorEastAsia"/>
                      <w:color w:val="000000" w:themeColor="text1"/>
                      <w:szCs w:val="21"/>
                      <w:highlight w:val="none"/>
                    </w:rPr>
                    <w:t>袋装</w:t>
                  </w:r>
                </w:p>
              </w:tc>
              <w:tc>
                <w:tcPr>
                  <w:tcW w:w="664" w:type="pct"/>
                  <w:tcBorders>
                    <w:tl2br w:val="nil"/>
                    <w:tr2bl w:val="nil"/>
                  </w:tcBorders>
                  <w:shd w:val="clear" w:color="auto" w:fill="auto"/>
                  <w:vAlign w:val="center"/>
                </w:tcPr>
                <w:p>
                  <w:pPr>
                    <w:spacing w:line="0" w:lineRule="atLeast"/>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回用于工艺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Merge w:val="continue"/>
                  <w:tcBorders>
                    <w:tl2br w:val="nil"/>
                    <w:tr2bl w:val="nil"/>
                  </w:tcBorders>
                  <w:shd w:val="clear" w:color="auto" w:fill="auto"/>
                  <w:vAlign w:val="center"/>
                </w:tcPr>
                <w:p>
                  <w:pPr>
                    <w:spacing w:line="0" w:lineRule="atLeast"/>
                    <w:jc w:val="center"/>
                    <w:rPr>
                      <w:rFonts w:hint="eastAsia" w:eastAsiaTheme="minorEastAsia"/>
                      <w:color w:val="000000" w:themeColor="text1"/>
                      <w:szCs w:val="21"/>
                      <w:highlight w:val="none"/>
                    </w:rPr>
                  </w:pPr>
                </w:p>
              </w:tc>
              <w:tc>
                <w:tcPr>
                  <w:tcW w:w="788" w:type="pct"/>
                  <w:tcBorders>
                    <w:tl2br w:val="nil"/>
                    <w:tr2bl w:val="nil"/>
                  </w:tcBorders>
                  <w:shd w:val="clear" w:color="auto" w:fill="auto"/>
                  <w:vAlign w:val="center"/>
                </w:tcPr>
                <w:p>
                  <w:pPr>
                    <w:jc w:val="center"/>
                    <w:rPr>
                      <w:rFonts w:hint="eastAsia"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废布袋</w:t>
                  </w:r>
                </w:p>
              </w:tc>
              <w:tc>
                <w:tcPr>
                  <w:tcW w:w="666" w:type="pct"/>
                  <w:vMerge w:val="continue"/>
                  <w:tcBorders>
                    <w:tl2br w:val="nil"/>
                    <w:tr2bl w:val="nil"/>
                  </w:tcBorders>
                  <w:shd w:val="clear" w:color="auto" w:fill="auto"/>
                  <w:vAlign w:val="center"/>
                </w:tcPr>
                <w:p>
                  <w:pPr>
                    <w:jc w:val="center"/>
                    <w:rPr>
                      <w:rFonts w:hint="eastAsia" w:hAnsiTheme="minorEastAsia" w:eastAsiaTheme="minorEastAsia"/>
                      <w:color w:val="000000" w:themeColor="text1"/>
                      <w:szCs w:val="21"/>
                      <w:highlight w:val="none"/>
                    </w:rPr>
                  </w:pPr>
                </w:p>
              </w:tc>
              <w:tc>
                <w:tcPr>
                  <w:tcW w:w="460" w:type="pct"/>
                  <w:tcBorders>
                    <w:tl2br w:val="nil"/>
                    <w:tr2bl w:val="nil"/>
                  </w:tcBorders>
                  <w:shd w:val="clear" w:color="auto" w:fill="auto"/>
                  <w:vAlign w:val="center"/>
                </w:tcPr>
                <w:p>
                  <w:pPr>
                    <w:jc w:val="center"/>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固态</w:t>
                  </w:r>
                </w:p>
              </w:tc>
              <w:tc>
                <w:tcPr>
                  <w:tcW w:w="582" w:type="pct"/>
                  <w:tcBorders>
                    <w:tl2br w:val="nil"/>
                    <w:tr2bl w:val="nil"/>
                  </w:tcBorders>
                  <w:shd w:val="clear" w:color="auto" w:fill="auto"/>
                  <w:vAlign w:val="center"/>
                </w:tcPr>
                <w:p>
                  <w:pPr>
                    <w:jc w:val="center"/>
                    <w:rPr>
                      <w:rFonts w:hint="eastAsia"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w:t>
                  </w:r>
                </w:p>
              </w:tc>
              <w:tc>
                <w:tcPr>
                  <w:tcW w:w="450" w:type="pct"/>
                  <w:tcBorders>
                    <w:tl2br w:val="nil"/>
                    <w:tr2bl w:val="nil"/>
                  </w:tcBorders>
                  <w:shd w:val="clear" w:color="auto" w:fill="FFFFFF"/>
                  <w:vAlign w:val="center"/>
                </w:tcPr>
                <w:p>
                  <w:pPr>
                    <w:spacing w:line="0" w:lineRule="atLeast"/>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0.2t/3a</w:t>
                  </w:r>
                </w:p>
              </w:tc>
              <w:tc>
                <w:tcPr>
                  <w:tcW w:w="421" w:type="pct"/>
                  <w:tcBorders>
                    <w:tl2br w:val="nil"/>
                    <w:tr2bl w:val="nil"/>
                  </w:tcBorders>
                  <w:vAlign w:val="center"/>
                </w:tcPr>
                <w:p>
                  <w:pPr>
                    <w:spacing w:line="0" w:lineRule="atLeast"/>
                    <w:jc w:val="center"/>
                    <w:rPr>
                      <w:rFonts w:hint="eastAsia" w:eastAsiaTheme="minorEastAsia"/>
                      <w:color w:val="000000" w:themeColor="text1"/>
                      <w:szCs w:val="21"/>
                      <w:highlight w:val="none"/>
                    </w:rPr>
                  </w:pPr>
                  <w:r>
                    <w:rPr>
                      <w:rFonts w:hint="eastAsia" w:eastAsiaTheme="minorEastAsia"/>
                      <w:color w:val="000000" w:themeColor="text1"/>
                      <w:szCs w:val="21"/>
                      <w:highlight w:val="none"/>
                      <w:lang w:val="en-US" w:eastAsia="zh-CN"/>
                    </w:rPr>
                    <w:t>0.2t/3a</w:t>
                  </w:r>
                </w:p>
              </w:tc>
              <w:tc>
                <w:tcPr>
                  <w:tcW w:w="535" w:type="pct"/>
                  <w:vMerge w:val="continue"/>
                  <w:tcBorders>
                    <w:tl2br w:val="nil"/>
                    <w:tr2bl w:val="nil"/>
                  </w:tcBorders>
                  <w:shd w:val="clear" w:color="auto" w:fill="auto"/>
                  <w:vAlign w:val="center"/>
                </w:tcPr>
                <w:p>
                  <w:pPr>
                    <w:spacing w:line="0" w:lineRule="atLeast"/>
                    <w:jc w:val="center"/>
                    <w:rPr>
                      <w:rFonts w:hint="eastAsia" w:hAnsiTheme="minorEastAsia" w:eastAsiaTheme="minorEastAsia"/>
                      <w:color w:val="000000" w:themeColor="text1"/>
                      <w:szCs w:val="21"/>
                      <w:highlight w:val="none"/>
                    </w:rPr>
                  </w:pPr>
                </w:p>
              </w:tc>
              <w:tc>
                <w:tcPr>
                  <w:tcW w:w="664" w:type="pct"/>
                  <w:tcBorders>
                    <w:tl2br w:val="nil"/>
                    <w:tr2bl w:val="nil"/>
                  </w:tcBorders>
                  <w:shd w:val="clear" w:color="auto" w:fill="auto"/>
                  <w:vAlign w:val="center"/>
                </w:tcPr>
                <w:p>
                  <w:pPr>
                    <w:spacing w:line="0" w:lineRule="atLeast"/>
                    <w:jc w:val="center"/>
                    <w:rPr>
                      <w:rFonts w:hint="eastAsia" w:hAnsiTheme="minorEastAsia" w:eastAsiaTheme="minorEastAsia"/>
                      <w:color w:val="000000" w:themeColor="text1"/>
                      <w:szCs w:val="21"/>
                      <w:highlight w:val="none"/>
                    </w:rPr>
                  </w:pPr>
                  <w:r>
                    <w:rPr>
                      <w:rFonts w:hint="eastAsia" w:eastAsiaTheme="minorEastAsia"/>
                      <w:color w:val="000000" w:themeColor="text1"/>
                      <w:szCs w:val="21"/>
                      <w:highlight w:val="none"/>
                    </w:rPr>
                    <w:t>市政部门统一处置</w:t>
                  </w:r>
                </w:p>
              </w:tc>
            </w:tr>
          </w:tbl>
          <w:p>
            <w:pPr>
              <w:spacing w:line="360" w:lineRule="auto"/>
              <w:ind w:firstLine="482" w:firstLineChars="200"/>
              <w:contextualSpacing/>
              <w:rPr>
                <w:rFonts w:eastAsiaTheme="minorEastAsia"/>
                <w:b/>
                <w:bCs/>
                <w:color w:val="000000" w:themeColor="text1"/>
                <w:sz w:val="24"/>
                <w:highlight w:val="none"/>
              </w:rPr>
            </w:pPr>
            <w:r>
              <w:rPr>
                <w:rFonts w:eastAsiaTheme="minorEastAsia"/>
                <w:b/>
                <w:bCs/>
                <w:color w:val="000000" w:themeColor="text1"/>
                <w:sz w:val="24"/>
                <w:highlight w:val="none"/>
              </w:rPr>
              <w:t>2</w:t>
            </w:r>
            <w:r>
              <w:rPr>
                <w:rFonts w:hAnsiTheme="minorEastAsia" w:eastAsiaTheme="minorEastAsia"/>
                <w:b/>
                <w:bCs/>
                <w:color w:val="000000" w:themeColor="text1"/>
                <w:sz w:val="24"/>
                <w:highlight w:val="none"/>
              </w:rPr>
              <w:t>、环境管理要求</w:t>
            </w:r>
          </w:p>
          <w:p>
            <w:pPr>
              <w:spacing w:line="360" w:lineRule="auto"/>
              <w:ind w:firstLine="480" w:firstLineChars="200"/>
              <w:contextualSpacing/>
              <w:rPr>
                <w:rFonts w:hAnsiTheme="minorEastAsia" w:eastAsiaTheme="minorEastAsia"/>
                <w:color w:val="000000" w:themeColor="text1"/>
                <w:sz w:val="24"/>
                <w:szCs w:val="22"/>
                <w:highlight w:val="none"/>
              </w:rPr>
            </w:pPr>
            <w:r>
              <w:rPr>
                <w:rFonts w:hint="eastAsia" w:hAnsiTheme="minorEastAsia" w:eastAsiaTheme="minorEastAsia"/>
                <w:color w:val="000000" w:themeColor="text1"/>
                <w:sz w:val="24"/>
                <w:szCs w:val="22"/>
                <w:highlight w:val="none"/>
              </w:rPr>
              <w:t>（1）生活垃圾</w:t>
            </w:r>
          </w:p>
          <w:p>
            <w:pPr>
              <w:spacing w:line="360" w:lineRule="auto"/>
              <w:ind w:firstLine="480" w:firstLineChars="200"/>
              <w:contextualSpacing/>
              <w:rPr>
                <w:color w:val="000000" w:themeColor="text1"/>
                <w:sz w:val="24"/>
                <w:szCs w:val="22"/>
                <w:highlight w:val="none"/>
              </w:rPr>
            </w:pPr>
            <w:r>
              <w:rPr>
                <w:color w:val="000000" w:themeColor="text1"/>
                <w:sz w:val="24"/>
                <w:szCs w:val="22"/>
                <w:highlight w:val="none"/>
              </w:rPr>
              <w:fldChar w:fldCharType="begin"/>
            </w:r>
            <w:r>
              <w:rPr>
                <w:rFonts w:hint="eastAsia"/>
                <w:color w:val="000000" w:themeColor="text1"/>
                <w:sz w:val="24"/>
                <w:szCs w:val="22"/>
                <w:highlight w:val="none"/>
              </w:rPr>
              <w:instrText xml:space="preserve">= 1 \* GB3</w:instrText>
            </w:r>
            <w:r>
              <w:rPr>
                <w:color w:val="000000" w:themeColor="text1"/>
                <w:sz w:val="24"/>
                <w:szCs w:val="22"/>
                <w:highlight w:val="none"/>
              </w:rPr>
              <w:fldChar w:fldCharType="separate"/>
            </w:r>
            <w:r>
              <w:rPr>
                <w:rFonts w:hint="eastAsia"/>
                <w:color w:val="000000" w:themeColor="text1"/>
                <w:sz w:val="24"/>
                <w:szCs w:val="22"/>
                <w:highlight w:val="none"/>
              </w:rPr>
              <w:t>①</w:t>
            </w:r>
            <w:r>
              <w:rPr>
                <w:color w:val="000000" w:themeColor="text1"/>
                <w:sz w:val="24"/>
                <w:szCs w:val="22"/>
                <w:highlight w:val="none"/>
              </w:rPr>
              <w:fldChar w:fldCharType="end"/>
            </w:r>
            <w:r>
              <w:rPr>
                <w:color w:val="000000" w:themeColor="text1"/>
                <w:sz w:val="24"/>
                <w:szCs w:val="22"/>
                <w:highlight w:val="none"/>
              </w:rPr>
              <w:t>任何单位和个人都应当依法在指定的地点分类投放生活垃圾。禁止随意倾倒、抛撒、堆放或者焚烧生活垃圾</w:t>
            </w:r>
            <w:r>
              <w:rPr>
                <w:rFonts w:hint="eastAsia"/>
                <w:color w:val="000000" w:themeColor="text1"/>
                <w:sz w:val="24"/>
                <w:szCs w:val="22"/>
                <w:highlight w:val="none"/>
              </w:rPr>
              <w:t>。</w:t>
            </w:r>
          </w:p>
          <w:p>
            <w:pPr>
              <w:spacing w:line="360" w:lineRule="auto"/>
              <w:ind w:firstLine="480" w:firstLineChars="200"/>
              <w:contextualSpacing/>
              <w:rPr>
                <w:color w:val="000000" w:themeColor="text1"/>
                <w:highlight w:val="none"/>
              </w:rPr>
            </w:pPr>
            <w:r>
              <w:rPr>
                <w:color w:val="000000" w:themeColor="text1"/>
                <w:sz w:val="24"/>
                <w:szCs w:val="22"/>
                <w:highlight w:val="none"/>
              </w:rPr>
              <w:fldChar w:fldCharType="begin"/>
            </w:r>
            <w:r>
              <w:rPr>
                <w:rFonts w:hint="eastAsia"/>
                <w:color w:val="000000" w:themeColor="text1"/>
                <w:sz w:val="24"/>
                <w:szCs w:val="22"/>
                <w:highlight w:val="none"/>
              </w:rPr>
              <w:instrText xml:space="preserve">= 2 \* GB3</w:instrText>
            </w:r>
            <w:r>
              <w:rPr>
                <w:color w:val="000000" w:themeColor="text1"/>
                <w:sz w:val="24"/>
                <w:szCs w:val="22"/>
                <w:highlight w:val="none"/>
              </w:rPr>
              <w:fldChar w:fldCharType="separate"/>
            </w:r>
            <w:r>
              <w:rPr>
                <w:rFonts w:hint="eastAsia"/>
                <w:color w:val="000000" w:themeColor="text1"/>
                <w:sz w:val="24"/>
                <w:szCs w:val="22"/>
                <w:highlight w:val="none"/>
              </w:rPr>
              <w:t>②</w:t>
            </w:r>
            <w:r>
              <w:rPr>
                <w:color w:val="000000" w:themeColor="text1"/>
                <w:sz w:val="24"/>
                <w:szCs w:val="22"/>
                <w:highlight w:val="none"/>
              </w:rPr>
              <w:fldChar w:fldCharType="end"/>
            </w:r>
            <w:r>
              <w:rPr>
                <w:color w:val="000000" w:themeColor="text1"/>
                <w:sz w:val="24"/>
                <w:szCs w:val="22"/>
                <w:highlight w:val="none"/>
              </w:rPr>
              <w:t>已经分类投放的生活垃圾，应当按照规定分类收集、分类运输、分类处理。</w:t>
            </w:r>
          </w:p>
          <w:p>
            <w:pPr>
              <w:spacing w:line="360" w:lineRule="auto"/>
              <w:ind w:firstLine="480" w:firstLineChars="200"/>
              <w:contextualSpacing/>
              <w:rPr>
                <w:rFonts w:eastAsiaTheme="minorEastAsia"/>
                <w:bCs/>
                <w:color w:val="000000" w:themeColor="text1"/>
                <w:sz w:val="24"/>
                <w:szCs w:val="22"/>
                <w:highlight w:val="none"/>
              </w:rPr>
            </w:pPr>
            <w:r>
              <w:rPr>
                <w:rFonts w:hAnsiTheme="minorEastAsia" w:eastAsiaTheme="minorEastAsia"/>
                <w:color w:val="000000" w:themeColor="text1"/>
                <w:sz w:val="24"/>
                <w:szCs w:val="22"/>
                <w:highlight w:val="none"/>
              </w:rPr>
              <w:t>（</w:t>
            </w:r>
            <w:r>
              <w:rPr>
                <w:rFonts w:hint="eastAsia" w:eastAsiaTheme="minorEastAsia"/>
                <w:color w:val="000000" w:themeColor="text1"/>
                <w:sz w:val="24"/>
                <w:szCs w:val="22"/>
                <w:highlight w:val="none"/>
              </w:rPr>
              <w:t>2</w:t>
            </w:r>
            <w:r>
              <w:rPr>
                <w:rFonts w:hAnsiTheme="minorEastAsia" w:eastAsiaTheme="minorEastAsia"/>
                <w:color w:val="000000" w:themeColor="text1"/>
                <w:sz w:val="24"/>
                <w:szCs w:val="22"/>
                <w:highlight w:val="none"/>
              </w:rPr>
              <w:t>）</w:t>
            </w:r>
            <w:r>
              <w:rPr>
                <w:rFonts w:hAnsiTheme="minorEastAsia" w:eastAsiaTheme="minorEastAsia"/>
                <w:bCs/>
                <w:color w:val="000000" w:themeColor="text1"/>
                <w:sz w:val="24"/>
                <w:szCs w:val="22"/>
                <w:highlight w:val="none"/>
              </w:rPr>
              <w:t>其他固体废物</w:t>
            </w:r>
          </w:p>
          <w:p>
            <w:pPr>
              <w:spacing w:line="360" w:lineRule="auto"/>
              <w:ind w:firstLine="480" w:firstLineChars="200"/>
              <w:contextualSpacing/>
              <w:rPr>
                <w:rFonts w:eastAsiaTheme="minorEastAsia"/>
                <w:color w:val="000000" w:themeColor="text1"/>
                <w:sz w:val="24"/>
                <w:szCs w:val="22"/>
                <w:highlight w:val="none"/>
              </w:rPr>
            </w:pPr>
            <w:r>
              <w:rPr>
                <w:rFonts w:eastAsiaTheme="minorEastAsia"/>
                <w:color w:val="000000" w:themeColor="text1"/>
                <w:sz w:val="24"/>
                <w:szCs w:val="22"/>
                <w:highlight w:val="none"/>
              </w:rPr>
              <w:fldChar w:fldCharType="begin"/>
            </w:r>
            <w:r>
              <w:rPr>
                <w:rFonts w:eastAsiaTheme="minorEastAsia"/>
                <w:color w:val="000000" w:themeColor="text1"/>
                <w:sz w:val="24"/>
                <w:szCs w:val="22"/>
                <w:highlight w:val="none"/>
              </w:rPr>
              <w:instrText xml:space="preserve">= 1 \* GB3</w:instrText>
            </w:r>
            <w:r>
              <w:rPr>
                <w:rFonts w:eastAsiaTheme="minorEastAsia"/>
                <w:color w:val="000000" w:themeColor="text1"/>
                <w:sz w:val="24"/>
                <w:szCs w:val="22"/>
                <w:highlight w:val="none"/>
              </w:rPr>
              <w:fldChar w:fldCharType="separate"/>
            </w:r>
            <w:r>
              <w:rPr>
                <w:rFonts w:hAnsiTheme="minorEastAsia" w:eastAsiaTheme="minorEastAsia"/>
                <w:color w:val="000000" w:themeColor="text1"/>
                <w:sz w:val="24"/>
                <w:szCs w:val="22"/>
                <w:highlight w:val="none"/>
              </w:rPr>
              <w:t>①</w:t>
            </w:r>
            <w:r>
              <w:rPr>
                <w:rFonts w:eastAsiaTheme="minorEastAsia"/>
                <w:color w:val="000000" w:themeColor="text1"/>
                <w:sz w:val="24"/>
                <w:szCs w:val="22"/>
                <w:highlight w:val="none"/>
              </w:rPr>
              <w:fldChar w:fldCharType="end"/>
            </w:r>
            <w:r>
              <w:rPr>
                <w:rFonts w:hAnsiTheme="minorEastAsia" w:eastAsiaTheme="minorEastAsia"/>
                <w:color w:val="000000" w:themeColor="text1"/>
                <w:sz w:val="24"/>
                <w:szCs w:val="22"/>
                <w:highlight w:val="none"/>
              </w:rPr>
              <w:t>建设单位应当建立健全固体废物产生、收集、贮存、运输、利用、处置全过程的污染环境防治责任制度，建立固体废物管理台账，如实记录产生固体废物的种类、数量、流向、贮存、利用、处置等信息，实现固体废物可追溯、可查询，并采取防治固体废物污染环境的措施。</w:t>
            </w:r>
          </w:p>
          <w:p>
            <w:pPr>
              <w:adjustRightInd w:val="0"/>
              <w:snapToGrid w:val="0"/>
              <w:spacing w:line="360" w:lineRule="auto"/>
              <w:ind w:firstLine="480" w:firstLineChars="200"/>
              <w:contextualSpacing/>
              <w:rPr>
                <w:rFonts w:hAnsiTheme="minorEastAsia" w:eastAsiaTheme="minorEastAsia"/>
                <w:color w:val="000000" w:themeColor="text1"/>
                <w:sz w:val="24"/>
                <w:szCs w:val="22"/>
                <w:highlight w:val="none"/>
              </w:rPr>
            </w:pPr>
            <w:r>
              <w:rPr>
                <w:rFonts w:eastAsiaTheme="minorEastAsia"/>
                <w:color w:val="000000" w:themeColor="text1"/>
                <w:sz w:val="24"/>
                <w:szCs w:val="22"/>
                <w:highlight w:val="none"/>
              </w:rPr>
              <w:fldChar w:fldCharType="begin"/>
            </w:r>
            <w:r>
              <w:rPr>
                <w:rFonts w:eastAsiaTheme="minorEastAsia"/>
                <w:color w:val="000000" w:themeColor="text1"/>
                <w:sz w:val="24"/>
                <w:szCs w:val="22"/>
                <w:highlight w:val="none"/>
              </w:rPr>
              <w:instrText xml:space="preserve">= 2 \* GB3</w:instrText>
            </w:r>
            <w:r>
              <w:rPr>
                <w:rFonts w:eastAsiaTheme="minorEastAsia"/>
                <w:color w:val="000000" w:themeColor="text1"/>
                <w:sz w:val="24"/>
                <w:szCs w:val="22"/>
                <w:highlight w:val="none"/>
              </w:rPr>
              <w:fldChar w:fldCharType="separate"/>
            </w:r>
            <w:r>
              <w:rPr>
                <w:rFonts w:hAnsiTheme="minorEastAsia" w:eastAsiaTheme="minorEastAsia"/>
                <w:color w:val="000000" w:themeColor="text1"/>
                <w:sz w:val="24"/>
                <w:szCs w:val="22"/>
                <w:highlight w:val="none"/>
              </w:rPr>
              <w:t>②</w:t>
            </w:r>
            <w:r>
              <w:rPr>
                <w:rFonts w:eastAsiaTheme="minorEastAsia"/>
                <w:color w:val="000000" w:themeColor="text1"/>
                <w:sz w:val="24"/>
                <w:szCs w:val="22"/>
                <w:highlight w:val="none"/>
              </w:rPr>
              <w:fldChar w:fldCharType="end"/>
            </w:r>
            <w:r>
              <w:rPr>
                <w:rFonts w:hAnsiTheme="minorEastAsia" w:eastAsiaTheme="minorEastAsia"/>
                <w:color w:val="000000" w:themeColor="text1"/>
                <w:sz w:val="24"/>
                <w:szCs w:val="22"/>
                <w:highlight w:val="none"/>
              </w:rPr>
              <w:t>委托他人运输、利用、处置固体废物的，应当对受托方的主体资格和技术能力进行核实，依法签订书面合同，在合同中约定污染防治要求。受托方运输、利用、处置固体废物，应当依照有关法律法规的规定和合同约定履行污染防治要求，并将运输、利用、处置情况告知建设单位。</w:t>
            </w:r>
          </w:p>
          <w:p>
            <w:pPr>
              <w:adjustRightInd w:val="0"/>
              <w:snapToGrid w:val="0"/>
              <w:spacing w:line="360" w:lineRule="auto"/>
              <w:ind w:firstLine="480" w:firstLineChars="200"/>
              <w:contextualSpacing/>
              <w:rPr>
                <w:rFonts w:hAnsiTheme="minorEastAsia" w:eastAsiaTheme="minorEastAsia"/>
                <w:color w:val="000000" w:themeColor="text1"/>
                <w:sz w:val="24"/>
                <w:szCs w:val="22"/>
                <w:highlight w:val="none"/>
              </w:rPr>
            </w:pPr>
            <w:r>
              <w:rPr>
                <w:rFonts w:hAnsiTheme="minorEastAsia" w:eastAsiaTheme="minorEastAsia"/>
                <w:color w:val="000000" w:themeColor="text1"/>
                <w:sz w:val="24"/>
                <w:szCs w:val="22"/>
                <w:highlight w:val="none"/>
              </w:rPr>
              <w:t>③任何单位和个人都应当依法在指定的地点分类投放生活垃圾。禁止随意倾倒、抛撒、堆放或者焚烧生活垃圾。已经分类投放的生活垃圾，应当按照规定分类收集、分类运输、分类处理。</w:t>
            </w:r>
          </w:p>
          <w:p>
            <w:pPr>
              <w:adjustRightInd w:val="0"/>
              <w:snapToGrid w:val="0"/>
              <w:spacing w:line="360" w:lineRule="auto"/>
              <w:ind w:firstLine="480" w:firstLineChars="200"/>
              <w:contextualSpacing/>
              <w:rPr>
                <w:rFonts w:hAnsiTheme="minorEastAsia" w:eastAsiaTheme="minorEastAsia"/>
                <w:color w:val="000000" w:themeColor="text1"/>
                <w:sz w:val="24"/>
                <w:szCs w:val="22"/>
                <w:highlight w:val="none"/>
              </w:rPr>
            </w:pPr>
            <w:r>
              <w:rPr>
                <w:rFonts w:hAnsiTheme="minorEastAsia" w:eastAsiaTheme="minorEastAsia"/>
                <w:color w:val="000000" w:themeColor="text1"/>
                <w:sz w:val="24"/>
                <w:szCs w:val="22"/>
                <w:highlight w:val="none"/>
              </w:rPr>
              <w:t>综上所述，本项目产生的固体废物经过妥善处理后，处置率达到100%不会影响周边环境。</w:t>
            </w:r>
          </w:p>
          <w:p>
            <w:pPr>
              <w:spacing w:line="360" w:lineRule="auto"/>
              <w:ind w:firstLine="482" w:firstLineChars="200"/>
              <w:contextualSpacing/>
              <w:rPr>
                <w:rFonts w:eastAsiaTheme="minorEastAsia"/>
                <w:b/>
                <w:bCs/>
                <w:color w:val="000000" w:themeColor="text1"/>
                <w:sz w:val="24"/>
                <w:highlight w:val="none"/>
              </w:rPr>
            </w:pPr>
            <w:r>
              <w:rPr>
                <w:rFonts w:hint="eastAsia" w:hAnsiTheme="minorEastAsia" w:eastAsiaTheme="minorEastAsia"/>
                <w:b/>
                <w:bCs/>
                <w:color w:val="000000" w:themeColor="text1"/>
                <w:sz w:val="24"/>
                <w:highlight w:val="none"/>
              </w:rPr>
              <w:t>五</w:t>
            </w:r>
            <w:r>
              <w:rPr>
                <w:rFonts w:hAnsiTheme="minorEastAsia" w:eastAsiaTheme="minorEastAsia"/>
                <w:b/>
                <w:bCs/>
                <w:color w:val="000000" w:themeColor="text1"/>
                <w:sz w:val="24"/>
                <w:highlight w:val="none"/>
              </w:rPr>
              <w:t>、环境风险</w:t>
            </w:r>
          </w:p>
          <w:p>
            <w:pPr>
              <w:adjustRightInd w:val="0"/>
              <w:snapToGrid w:val="0"/>
              <w:spacing w:line="360" w:lineRule="auto"/>
              <w:ind w:firstLine="464" w:firstLineChars="200"/>
              <w:contextualSpacing/>
              <w:jc w:val="left"/>
              <w:rPr>
                <w:rFonts w:hAnsiTheme="minorEastAsia" w:eastAsiaTheme="minorEastAsia"/>
                <w:color w:val="000000" w:themeColor="text1"/>
                <w:sz w:val="24"/>
                <w:highlight w:val="none"/>
              </w:rPr>
            </w:pPr>
            <w:r>
              <w:rPr>
                <w:rFonts w:hint="eastAsia" w:hAnsiTheme="minorEastAsia" w:eastAsiaTheme="minorEastAsia"/>
                <w:color w:val="000000" w:themeColor="text1"/>
                <w:spacing w:val="-4"/>
                <w:sz w:val="24"/>
                <w:highlight w:val="none"/>
              </w:rPr>
              <w:t>根据</w:t>
            </w:r>
            <w:r>
              <w:rPr>
                <w:rFonts w:hAnsiTheme="minorEastAsia" w:eastAsiaTheme="minorEastAsia"/>
                <w:color w:val="000000" w:themeColor="text1"/>
                <w:spacing w:val="-4"/>
                <w:sz w:val="24"/>
                <w:highlight w:val="none"/>
              </w:rPr>
              <w:t>《建设项目环境风险评价技术导则》（HJ169-2018）附录B</w:t>
            </w:r>
            <w:r>
              <w:rPr>
                <w:rFonts w:hint="eastAsia" w:hAnsiTheme="minorEastAsia" w:eastAsiaTheme="minorEastAsia"/>
                <w:color w:val="000000" w:themeColor="text1"/>
                <w:spacing w:val="-4"/>
                <w:sz w:val="24"/>
                <w:highlight w:val="none"/>
              </w:rPr>
              <w:t>，本项目暂无储存风险物质。</w:t>
            </w:r>
            <w:r>
              <w:rPr>
                <w:rFonts w:hint="eastAsia" w:hAnsiTheme="minorEastAsia" w:eastAsiaTheme="minorEastAsia"/>
                <w:color w:val="000000" w:themeColor="text1"/>
                <w:spacing w:val="-4"/>
                <w:sz w:val="24"/>
                <w:highlight w:val="none"/>
                <w:lang w:val="en-US" w:eastAsia="zh-CN"/>
              </w:rPr>
              <w:t>因此本项目暂无环境风险</w:t>
            </w:r>
            <w:r>
              <w:rPr>
                <w:rFonts w:hint="eastAsia" w:hAnsiTheme="minorEastAsia" w:eastAsiaTheme="minorEastAsia"/>
                <w:color w:val="000000" w:themeColor="text1"/>
                <w:sz w:val="24"/>
                <w:highlight w:val="none"/>
              </w:rPr>
              <w:t>。</w:t>
            </w:r>
          </w:p>
          <w:p>
            <w:pPr>
              <w:pStyle w:val="60"/>
              <w:wordWrap w:val="0"/>
              <w:spacing w:line="360" w:lineRule="auto"/>
              <w:ind w:firstLine="464"/>
              <w:jc w:val="left"/>
              <w:rPr>
                <w:rFonts w:hAnsiTheme="minorEastAsia" w:eastAsiaTheme="minorEastAsia"/>
                <w:color w:val="000000" w:themeColor="text1"/>
                <w:spacing w:val="-4"/>
                <w:sz w:val="24"/>
                <w:highlight w:val="none"/>
              </w:rPr>
            </w:pPr>
          </w:p>
          <w:p>
            <w:pPr>
              <w:pStyle w:val="60"/>
              <w:wordWrap w:val="0"/>
              <w:spacing w:line="360" w:lineRule="auto"/>
              <w:ind w:firstLine="464"/>
              <w:jc w:val="left"/>
              <w:rPr>
                <w:rFonts w:hAnsiTheme="minorEastAsia" w:eastAsiaTheme="minorEastAsia"/>
                <w:color w:val="000000" w:themeColor="text1"/>
                <w:spacing w:val="-4"/>
                <w:sz w:val="24"/>
                <w:highlight w:val="none"/>
              </w:rPr>
            </w:pPr>
          </w:p>
          <w:p>
            <w:pPr>
              <w:pStyle w:val="60"/>
              <w:wordWrap w:val="0"/>
              <w:spacing w:line="360" w:lineRule="auto"/>
              <w:ind w:firstLine="464"/>
              <w:jc w:val="left"/>
              <w:rPr>
                <w:rFonts w:hAnsiTheme="minorEastAsia" w:eastAsiaTheme="minorEastAsia"/>
                <w:color w:val="000000" w:themeColor="text1"/>
                <w:spacing w:val="-4"/>
                <w:sz w:val="24"/>
                <w:highlight w:val="none"/>
              </w:rPr>
            </w:pPr>
          </w:p>
          <w:p>
            <w:pPr>
              <w:pStyle w:val="60"/>
              <w:wordWrap w:val="0"/>
              <w:spacing w:line="360" w:lineRule="auto"/>
              <w:ind w:firstLine="464"/>
              <w:jc w:val="left"/>
              <w:rPr>
                <w:rFonts w:hAnsiTheme="minorEastAsia" w:eastAsiaTheme="minorEastAsia"/>
                <w:color w:val="000000" w:themeColor="text1"/>
                <w:spacing w:val="-4"/>
                <w:sz w:val="24"/>
                <w:highlight w:val="none"/>
              </w:rPr>
            </w:pPr>
          </w:p>
          <w:p>
            <w:pPr>
              <w:pStyle w:val="60"/>
              <w:wordWrap w:val="0"/>
              <w:spacing w:line="360" w:lineRule="auto"/>
              <w:ind w:firstLine="464"/>
              <w:jc w:val="left"/>
              <w:rPr>
                <w:rFonts w:hAnsiTheme="minorEastAsia" w:eastAsiaTheme="minorEastAsia"/>
                <w:color w:val="000000" w:themeColor="text1"/>
                <w:spacing w:val="-4"/>
                <w:sz w:val="24"/>
                <w:highlight w:val="none"/>
              </w:rPr>
            </w:pPr>
          </w:p>
          <w:p>
            <w:pPr>
              <w:adjustRightInd w:val="0"/>
              <w:snapToGrid w:val="0"/>
              <w:spacing w:line="360" w:lineRule="auto"/>
              <w:ind w:firstLine="480" w:firstLineChars="200"/>
              <w:contextualSpacing/>
              <w:rPr>
                <w:rFonts w:hAnsiTheme="minorEastAsia" w:eastAsiaTheme="minorEastAsia"/>
                <w:color w:val="000000" w:themeColor="text1"/>
                <w:sz w:val="24"/>
                <w:szCs w:val="22"/>
                <w:highlight w:val="none"/>
              </w:rPr>
            </w:pPr>
          </w:p>
          <w:p>
            <w:pPr>
              <w:pStyle w:val="22"/>
              <w:ind w:left="0" w:leftChars="0" w:firstLine="0"/>
              <w:rPr>
                <w:color w:val="000000" w:themeColor="text1"/>
                <w:highlight w:val="none"/>
              </w:rPr>
            </w:pPr>
          </w:p>
          <w:p>
            <w:pPr>
              <w:pStyle w:val="22"/>
              <w:rPr>
                <w:color w:val="000000" w:themeColor="text1"/>
                <w:highlight w:val="none"/>
              </w:rPr>
            </w:pPr>
          </w:p>
          <w:p>
            <w:pPr>
              <w:pStyle w:val="22"/>
              <w:rPr>
                <w:color w:val="000000" w:themeColor="text1"/>
                <w:highlight w:val="none"/>
              </w:rPr>
            </w:pPr>
          </w:p>
          <w:p>
            <w:pPr>
              <w:pStyle w:val="22"/>
              <w:rPr>
                <w:color w:val="000000" w:themeColor="text1"/>
                <w:highlight w:val="none"/>
              </w:rPr>
            </w:pPr>
          </w:p>
          <w:p>
            <w:pPr>
              <w:pStyle w:val="22"/>
              <w:rPr>
                <w:color w:val="000000" w:themeColor="text1"/>
                <w:highlight w:val="none"/>
              </w:rPr>
            </w:pPr>
          </w:p>
          <w:p>
            <w:pPr>
              <w:pStyle w:val="22"/>
              <w:rPr>
                <w:color w:val="000000" w:themeColor="text1"/>
                <w:highlight w:val="none"/>
              </w:rPr>
            </w:pPr>
          </w:p>
          <w:p>
            <w:pPr>
              <w:pStyle w:val="22"/>
              <w:rPr>
                <w:color w:val="000000" w:themeColor="text1"/>
                <w:highlight w:val="none"/>
              </w:rPr>
            </w:pPr>
          </w:p>
          <w:p>
            <w:pPr>
              <w:pStyle w:val="34"/>
              <w:ind w:firstLine="0" w:firstLineChars="0"/>
              <w:rPr>
                <w:rFonts w:eastAsiaTheme="minorEastAsia"/>
                <w:color w:val="000000" w:themeColor="text1"/>
                <w:kern w:val="0"/>
                <w:highlight w:val="none"/>
              </w:rPr>
            </w:pPr>
          </w:p>
        </w:tc>
      </w:tr>
    </w:tbl>
    <w:p>
      <w:pPr>
        <w:adjustRightInd w:val="0"/>
        <w:snapToGrid w:val="0"/>
        <w:spacing w:line="360" w:lineRule="auto"/>
        <w:rPr>
          <w:rFonts w:eastAsiaTheme="minorEastAsia"/>
          <w:b/>
          <w:color w:val="000000" w:themeColor="text1"/>
          <w:kern w:val="0"/>
          <w:sz w:val="28"/>
          <w:szCs w:val="28"/>
          <w:highlight w:val="none"/>
        </w:rPr>
        <w:sectPr>
          <w:pgSz w:w="11907" w:h="16840"/>
          <w:pgMar w:top="1701" w:right="1531" w:bottom="2127" w:left="1531" w:header="851" w:footer="851" w:gutter="0"/>
          <w:cols w:space="720" w:num="1"/>
          <w:docGrid w:linePitch="312" w:charSpace="0"/>
        </w:sectPr>
      </w:pPr>
    </w:p>
    <w:p>
      <w:pPr>
        <w:pStyle w:val="19"/>
        <w:adjustRightInd w:val="0"/>
        <w:snapToGrid w:val="0"/>
        <w:jc w:val="center"/>
        <w:outlineLvl w:val="0"/>
        <w:rPr>
          <w:rFonts w:ascii="Times New Roman" w:hAnsi="Times New Roman" w:eastAsiaTheme="minorEastAsia"/>
          <w:snapToGrid w:val="0"/>
          <w:color w:val="000000" w:themeColor="text1"/>
          <w:sz w:val="30"/>
          <w:szCs w:val="30"/>
          <w:highlight w:val="none"/>
        </w:rPr>
      </w:pPr>
      <w:bookmarkStart w:id="14" w:name="_Toc68775756"/>
      <w:r>
        <w:rPr>
          <w:rFonts w:ascii="Times New Roman" w:hAnsiTheme="minorEastAsia" w:eastAsiaTheme="minorEastAsia"/>
          <w:snapToGrid w:val="0"/>
          <w:color w:val="000000" w:themeColor="text1"/>
          <w:sz w:val="30"/>
          <w:szCs w:val="30"/>
          <w:highlight w:val="none"/>
        </w:rPr>
        <w:t>五、</w:t>
      </w:r>
      <w:bookmarkStart w:id="15" w:name="_Hlk54167917"/>
      <w:r>
        <w:rPr>
          <w:rFonts w:ascii="Times New Roman" w:hAnsiTheme="minorEastAsia" w:eastAsiaTheme="minorEastAsia"/>
          <w:snapToGrid w:val="0"/>
          <w:color w:val="000000" w:themeColor="text1"/>
          <w:sz w:val="30"/>
          <w:szCs w:val="30"/>
          <w:highlight w:val="none"/>
        </w:rPr>
        <w:t>环境保护措施监督检查清单</w:t>
      </w:r>
      <w:bookmarkEnd w:id="14"/>
      <w:bookmarkEnd w:id="15"/>
    </w:p>
    <w:tbl>
      <w:tblPr>
        <w:tblStyle w:val="23"/>
        <w:tblW w:w="96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22"/>
        <w:gridCol w:w="1320"/>
        <w:gridCol w:w="3300"/>
        <w:gridCol w:w="23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20" w:type="dxa"/>
            <w:tcBorders>
              <w:tl2br w:val="single" w:color="auto" w:sz="4" w:space="0"/>
            </w:tcBorders>
          </w:tcPr>
          <w:p>
            <w:pPr>
              <w:adjustRightInd w:val="0"/>
              <w:snapToGrid w:val="0"/>
              <w:ind w:firstLine="360" w:firstLineChars="150"/>
              <w:rPr>
                <w:rFonts w:eastAsiaTheme="minorEastAsia"/>
                <w:color w:val="000000" w:themeColor="text1"/>
                <w:sz w:val="24"/>
                <w:highlight w:val="none"/>
              </w:rPr>
            </w:pPr>
            <w:r>
              <w:rPr>
                <w:rFonts w:hAnsiTheme="minorEastAsia" w:eastAsiaTheme="minorEastAsia"/>
                <w:color w:val="000000" w:themeColor="text1"/>
                <w:sz w:val="24"/>
                <w:highlight w:val="none"/>
              </w:rPr>
              <w:t>内容</w:t>
            </w:r>
          </w:p>
          <w:p>
            <w:pPr>
              <w:adjustRightInd w:val="0"/>
              <w:snapToGrid w:val="0"/>
              <w:ind w:firstLine="360" w:firstLineChars="150"/>
              <w:rPr>
                <w:rFonts w:eastAsiaTheme="minorEastAsia"/>
                <w:color w:val="000000" w:themeColor="text1"/>
                <w:sz w:val="24"/>
                <w:highlight w:val="none"/>
              </w:rPr>
            </w:pPr>
          </w:p>
          <w:p>
            <w:pPr>
              <w:adjustRightInd w:val="0"/>
              <w:snapToGrid w:val="0"/>
              <w:rPr>
                <w:rFonts w:eastAsiaTheme="minorEastAsia"/>
                <w:color w:val="000000" w:themeColor="text1"/>
                <w:sz w:val="24"/>
                <w:highlight w:val="none"/>
              </w:rPr>
            </w:pPr>
            <w:r>
              <w:rPr>
                <w:rFonts w:hAnsiTheme="minorEastAsia" w:eastAsiaTheme="minorEastAsia"/>
                <w:color w:val="000000" w:themeColor="text1"/>
                <w:sz w:val="24"/>
                <w:highlight w:val="none"/>
              </w:rPr>
              <w:t>要素</w:t>
            </w:r>
          </w:p>
        </w:tc>
        <w:tc>
          <w:tcPr>
            <w:tcW w:w="1322"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排放口</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编号、名称</w:t>
            </w:r>
            <w:r>
              <w:rPr>
                <w:rFonts w:hint="eastAsia" w:eastAsiaTheme="minorEastAsia"/>
                <w:color w:val="000000" w:themeColor="text1"/>
                <w:sz w:val="24"/>
                <w:highlight w:val="none"/>
              </w:rPr>
              <w:t>）</w:t>
            </w:r>
            <w:r>
              <w:rPr>
                <w:rFonts w:eastAsiaTheme="minorEastAsia"/>
                <w:color w:val="000000" w:themeColor="text1"/>
                <w:sz w:val="24"/>
                <w:highlight w:val="none"/>
              </w:rPr>
              <w:t>/</w:t>
            </w:r>
            <w:r>
              <w:rPr>
                <w:rFonts w:hAnsiTheme="minorEastAsia" w:eastAsiaTheme="minorEastAsia"/>
                <w:color w:val="000000" w:themeColor="text1"/>
                <w:sz w:val="24"/>
                <w:highlight w:val="none"/>
              </w:rPr>
              <w:t>污染源</w:t>
            </w:r>
          </w:p>
        </w:tc>
        <w:tc>
          <w:tcPr>
            <w:tcW w:w="13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污染物项目</w:t>
            </w:r>
          </w:p>
        </w:tc>
        <w:tc>
          <w:tcPr>
            <w:tcW w:w="330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环境保护措施</w:t>
            </w:r>
          </w:p>
        </w:tc>
        <w:tc>
          <w:tcPr>
            <w:tcW w:w="2335"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大气环境</w:t>
            </w:r>
          </w:p>
        </w:tc>
        <w:tc>
          <w:tcPr>
            <w:tcW w:w="1322" w:type="dxa"/>
            <w:vAlign w:val="center"/>
          </w:tcPr>
          <w:p>
            <w:pPr>
              <w:autoSpaceDE w:val="0"/>
              <w:autoSpaceDN w:val="0"/>
              <w:contextualSpacing/>
              <w:jc w:val="center"/>
              <w:rPr>
                <w:color w:val="000000" w:themeColor="text1"/>
                <w:sz w:val="24"/>
                <w:highlight w:val="none"/>
              </w:rPr>
            </w:pPr>
            <w:r>
              <w:rPr>
                <w:rFonts w:hint="eastAsia"/>
                <w:color w:val="000000" w:themeColor="text1"/>
                <w:sz w:val="24"/>
                <w:highlight w:val="none"/>
              </w:rPr>
              <w:t>生产线排气筒</w:t>
            </w:r>
          </w:p>
        </w:tc>
        <w:tc>
          <w:tcPr>
            <w:tcW w:w="1320" w:type="dxa"/>
            <w:vMerge w:val="restart"/>
            <w:vAlign w:val="center"/>
          </w:tcPr>
          <w:p>
            <w:pPr>
              <w:adjustRightInd w:val="0"/>
              <w:snapToGrid w:val="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颗粒物</w:t>
            </w:r>
          </w:p>
        </w:tc>
        <w:tc>
          <w:tcPr>
            <w:tcW w:w="3300" w:type="dxa"/>
            <w:vAlign w:val="center"/>
          </w:tcPr>
          <w:p>
            <w:pPr>
              <w:adjustRightInd w:val="0"/>
              <w:snapToGrid w:val="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上料仓及搅拌器整体封闭，产生的废气经布袋除尘器处理后由15m高排气筒排放。</w:t>
            </w:r>
          </w:p>
        </w:tc>
        <w:tc>
          <w:tcPr>
            <w:tcW w:w="2335" w:type="dxa"/>
            <w:vAlign w:val="center"/>
          </w:tcPr>
          <w:p>
            <w:pPr>
              <w:adjustRightInd w:val="0"/>
              <w:snapToGrid w:val="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《大气污染物综合排放标准》（GB16297-1996）表2二级标准及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hAnsiTheme="minorEastAsia" w:eastAsiaTheme="minorEastAsia"/>
                <w:color w:val="000000" w:themeColor="text1"/>
                <w:sz w:val="24"/>
                <w:highlight w:val="none"/>
              </w:rPr>
            </w:pPr>
          </w:p>
        </w:tc>
        <w:tc>
          <w:tcPr>
            <w:tcW w:w="1322" w:type="dxa"/>
            <w:vAlign w:val="center"/>
          </w:tcPr>
          <w:p>
            <w:pPr>
              <w:autoSpaceDE w:val="0"/>
              <w:autoSpaceDN w:val="0"/>
              <w:contextualSpacing/>
              <w:jc w:val="center"/>
              <w:rPr>
                <w:color w:val="000000" w:themeColor="text1"/>
                <w:sz w:val="24"/>
                <w:highlight w:val="none"/>
              </w:rPr>
            </w:pPr>
            <w:r>
              <w:rPr>
                <w:rFonts w:hint="eastAsia"/>
                <w:color w:val="000000" w:themeColor="text1"/>
                <w:sz w:val="24"/>
                <w:highlight w:val="none"/>
              </w:rPr>
              <w:t>水泥筒仓</w:t>
            </w:r>
          </w:p>
        </w:tc>
        <w:tc>
          <w:tcPr>
            <w:tcW w:w="1320" w:type="dxa"/>
            <w:vMerge w:val="continue"/>
            <w:vAlign w:val="center"/>
          </w:tcPr>
          <w:p>
            <w:pPr>
              <w:adjustRightInd w:val="0"/>
              <w:snapToGrid w:val="0"/>
              <w:jc w:val="center"/>
              <w:rPr>
                <w:rFonts w:hAnsiTheme="minorEastAsia" w:eastAsiaTheme="minorEastAsia"/>
                <w:color w:val="000000" w:themeColor="text1"/>
                <w:sz w:val="24"/>
                <w:highlight w:val="none"/>
              </w:rPr>
            </w:pPr>
          </w:p>
        </w:tc>
        <w:tc>
          <w:tcPr>
            <w:tcW w:w="3300" w:type="dxa"/>
            <w:vAlign w:val="center"/>
          </w:tcPr>
          <w:p>
            <w:pPr>
              <w:adjustRightInd w:val="0"/>
              <w:snapToGrid w:val="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水泥仓粉尘经仓顶布袋除尘器处理后仓顶排放</w:t>
            </w:r>
          </w:p>
        </w:tc>
        <w:tc>
          <w:tcPr>
            <w:tcW w:w="2335" w:type="dxa"/>
            <w:vMerge w:val="restart"/>
            <w:vAlign w:val="center"/>
          </w:tcPr>
          <w:p>
            <w:pPr>
              <w:adjustRightInd w:val="0"/>
              <w:snapToGrid w:val="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《大气污染物综合排放标准》（GB16297-1996）表2无组织控制要求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adjustRightInd w:val="0"/>
              <w:snapToGrid w:val="0"/>
              <w:jc w:val="center"/>
              <w:rPr>
                <w:rFonts w:hAnsiTheme="minorEastAsia" w:eastAsiaTheme="minorEastAsia"/>
                <w:color w:val="000000" w:themeColor="text1"/>
                <w:sz w:val="24"/>
                <w:highlight w:val="none"/>
              </w:rPr>
            </w:pPr>
          </w:p>
        </w:tc>
        <w:tc>
          <w:tcPr>
            <w:tcW w:w="1322" w:type="dxa"/>
            <w:vAlign w:val="center"/>
          </w:tcPr>
          <w:p>
            <w:pPr>
              <w:autoSpaceDE w:val="0"/>
              <w:autoSpaceDN w:val="0"/>
              <w:contextualSpacing/>
              <w:jc w:val="center"/>
              <w:rPr>
                <w:rFonts w:hint="eastAsia" w:eastAsia="宋体"/>
                <w:color w:val="000000" w:themeColor="text1"/>
                <w:sz w:val="24"/>
                <w:highlight w:val="none"/>
                <w:lang w:eastAsia="zh-CN"/>
              </w:rPr>
            </w:pPr>
            <w:r>
              <w:rPr>
                <w:rFonts w:hint="eastAsia"/>
                <w:color w:val="000000" w:themeColor="text1"/>
                <w:sz w:val="24"/>
                <w:highlight w:val="none"/>
                <w:lang w:val="en-US" w:eastAsia="zh-CN"/>
              </w:rPr>
              <w:t>厂界</w:t>
            </w:r>
          </w:p>
        </w:tc>
        <w:tc>
          <w:tcPr>
            <w:tcW w:w="1320" w:type="dxa"/>
            <w:vMerge w:val="continue"/>
            <w:vAlign w:val="center"/>
          </w:tcPr>
          <w:p>
            <w:pPr>
              <w:adjustRightInd w:val="0"/>
              <w:snapToGrid w:val="0"/>
              <w:jc w:val="center"/>
              <w:rPr>
                <w:rFonts w:hAnsiTheme="minorEastAsia" w:eastAsiaTheme="minorEastAsia"/>
                <w:color w:val="000000" w:themeColor="text1"/>
                <w:sz w:val="24"/>
                <w:highlight w:val="none"/>
              </w:rPr>
            </w:pPr>
          </w:p>
        </w:tc>
        <w:tc>
          <w:tcPr>
            <w:tcW w:w="3300" w:type="dxa"/>
            <w:vAlign w:val="center"/>
          </w:tcPr>
          <w:p>
            <w:pPr>
              <w:adjustRightInd w:val="0"/>
              <w:snapToGrid w:val="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本项目下风向设置6m高围墙，原料堆场石料用苫布遮盖，水泥采用封闭式罐车运入厂区；厂内道路及时清扫，洒水降尘</w:t>
            </w:r>
          </w:p>
        </w:tc>
        <w:tc>
          <w:tcPr>
            <w:tcW w:w="2335" w:type="dxa"/>
            <w:vMerge w:val="continue"/>
            <w:tcBorders/>
            <w:vAlign w:val="center"/>
          </w:tcPr>
          <w:p>
            <w:pPr>
              <w:adjustRightInd w:val="0"/>
              <w:snapToGrid w:val="0"/>
              <w:jc w:val="center"/>
              <w:rPr>
                <w:rFonts w:hAnsiTheme="minorEastAsia" w:eastAsiaTheme="minorEastAsia"/>
                <w:color w:val="000000" w:themeColor="text1"/>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地表水环境</w:t>
            </w:r>
          </w:p>
        </w:tc>
        <w:tc>
          <w:tcPr>
            <w:tcW w:w="1322" w:type="dxa"/>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生活污水</w:t>
            </w:r>
          </w:p>
        </w:tc>
        <w:tc>
          <w:tcPr>
            <w:tcW w:w="1320" w:type="dxa"/>
            <w:vAlign w:val="center"/>
          </w:tcPr>
          <w:p>
            <w:pPr>
              <w:adjustRightInd w:val="0"/>
              <w:snapToGrid w:val="0"/>
              <w:jc w:val="center"/>
              <w:rPr>
                <w:rFonts w:eastAsiaTheme="minorEastAsia"/>
                <w:color w:val="000000" w:themeColor="text1"/>
                <w:sz w:val="24"/>
                <w:highlight w:val="none"/>
              </w:rPr>
            </w:pPr>
            <w:r>
              <w:rPr>
                <w:rFonts w:hint="eastAsia" w:eastAsiaTheme="minorEastAsia"/>
                <w:color w:val="000000" w:themeColor="text1"/>
                <w:sz w:val="24"/>
                <w:highlight w:val="none"/>
              </w:rPr>
              <w:t>pH、</w:t>
            </w:r>
            <w:r>
              <w:rPr>
                <w:rFonts w:eastAsiaTheme="minorEastAsia"/>
                <w:color w:val="000000" w:themeColor="text1"/>
                <w:sz w:val="24"/>
                <w:highlight w:val="none"/>
              </w:rPr>
              <w:t>COD</w:t>
            </w:r>
            <w:r>
              <w:rPr>
                <w:rFonts w:hAnsiTheme="minorEastAsia" w:eastAsiaTheme="minorEastAsia"/>
                <w:color w:val="000000" w:themeColor="text1"/>
                <w:sz w:val="24"/>
                <w:highlight w:val="none"/>
              </w:rPr>
              <w:t>、氨氮、</w:t>
            </w:r>
            <w:r>
              <w:rPr>
                <w:rFonts w:eastAsiaTheme="minorEastAsia"/>
                <w:color w:val="000000" w:themeColor="text1"/>
                <w:sz w:val="24"/>
                <w:highlight w:val="none"/>
              </w:rPr>
              <w:t>BOD</w:t>
            </w:r>
            <w:r>
              <w:rPr>
                <w:rFonts w:eastAsiaTheme="minorEastAsia"/>
                <w:color w:val="000000" w:themeColor="text1"/>
                <w:sz w:val="24"/>
                <w:highlight w:val="none"/>
                <w:vertAlign w:val="subscript"/>
              </w:rPr>
              <w:t>5</w:t>
            </w:r>
            <w:r>
              <w:rPr>
                <w:rFonts w:hAnsiTheme="minorEastAsia" w:eastAsiaTheme="minorEastAsia"/>
                <w:color w:val="000000" w:themeColor="text1"/>
                <w:sz w:val="24"/>
                <w:highlight w:val="none"/>
              </w:rPr>
              <w:t>、</w:t>
            </w:r>
            <w:r>
              <w:rPr>
                <w:rFonts w:eastAsiaTheme="minorEastAsia"/>
                <w:color w:val="000000" w:themeColor="text1"/>
                <w:sz w:val="24"/>
                <w:highlight w:val="none"/>
              </w:rPr>
              <w:t>SS</w:t>
            </w:r>
          </w:p>
        </w:tc>
        <w:tc>
          <w:tcPr>
            <w:tcW w:w="3300" w:type="dxa"/>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生活污水依托</w:t>
            </w:r>
            <w:r>
              <w:rPr>
                <w:rFonts w:hint="eastAsia" w:hAnsiTheme="minorEastAsia" w:eastAsiaTheme="minorEastAsia"/>
                <w:color w:val="000000" w:themeColor="text1"/>
                <w:sz w:val="24"/>
                <w:highlight w:val="none"/>
                <w:lang w:eastAsia="zh-CN"/>
              </w:rPr>
              <w:t>垃圾填埋场</w:t>
            </w:r>
            <w:r>
              <w:rPr>
                <w:rFonts w:hint="eastAsia" w:hAnsiTheme="minorEastAsia" w:eastAsiaTheme="minorEastAsia"/>
                <w:color w:val="000000" w:themeColor="text1"/>
                <w:sz w:val="24"/>
                <w:highlight w:val="none"/>
              </w:rPr>
              <w:t>防渗旱厕</w:t>
            </w:r>
          </w:p>
        </w:tc>
        <w:tc>
          <w:tcPr>
            <w:tcW w:w="2335" w:type="dxa"/>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声环境</w:t>
            </w:r>
          </w:p>
        </w:tc>
        <w:tc>
          <w:tcPr>
            <w:tcW w:w="1322"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设备噪声</w:t>
            </w:r>
          </w:p>
        </w:tc>
        <w:tc>
          <w:tcPr>
            <w:tcW w:w="13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噪声</w:t>
            </w:r>
          </w:p>
        </w:tc>
        <w:tc>
          <w:tcPr>
            <w:tcW w:w="330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设备底座固定，安装橡胶减振垫，</w:t>
            </w:r>
            <w:r>
              <w:rPr>
                <w:rFonts w:hint="eastAsia" w:hAnsiTheme="minorEastAsia" w:eastAsiaTheme="minorEastAsia"/>
                <w:color w:val="000000" w:themeColor="text1"/>
                <w:sz w:val="24"/>
                <w:highlight w:val="none"/>
                <w:lang w:val="en-US" w:eastAsia="zh-CN"/>
              </w:rPr>
              <w:t>距离衰减</w:t>
            </w:r>
          </w:p>
        </w:tc>
        <w:tc>
          <w:tcPr>
            <w:tcW w:w="2335" w:type="dxa"/>
            <w:vAlign w:val="center"/>
          </w:tcPr>
          <w:p>
            <w:pPr>
              <w:adjustRightInd w:val="0"/>
              <w:snapToGrid w:val="0"/>
              <w:jc w:val="center"/>
              <w:rPr>
                <w:rFonts w:eastAsiaTheme="minorEastAsia"/>
                <w:color w:val="000000" w:themeColor="text1"/>
                <w:sz w:val="24"/>
                <w:highlight w:val="none"/>
              </w:rPr>
            </w:pPr>
            <w:r>
              <w:rPr>
                <w:rFonts w:hint="eastAsia"/>
                <w:bCs/>
                <w:color w:val="000000" w:themeColor="text1"/>
                <w:sz w:val="24"/>
                <w:highlight w:val="none"/>
              </w:rPr>
              <w:t>厂</w:t>
            </w:r>
            <w:r>
              <w:rPr>
                <w:bCs/>
                <w:color w:val="000000" w:themeColor="text1"/>
                <w:sz w:val="24"/>
                <w:highlight w:val="none"/>
              </w:rPr>
              <w:t>界噪声执行《工业企业厂界环境噪声排放标准》（GB12348-2008）表1中</w:t>
            </w:r>
            <w:r>
              <w:rPr>
                <w:rFonts w:hint="eastAsia"/>
                <w:bCs/>
                <w:color w:val="000000" w:themeColor="text1"/>
                <w:sz w:val="24"/>
                <w:highlight w:val="none"/>
              </w:rPr>
              <w:t>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电磁辐射</w:t>
            </w:r>
          </w:p>
        </w:tc>
        <w:tc>
          <w:tcPr>
            <w:tcW w:w="1322" w:type="dxa"/>
            <w:vAlign w:val="center"/>
          </w:tcPr>
          <w:p>
            <w:pPr>
              <w:adjustRightInd w:val="0"/>
              <w:snapToGrid w:val="0"/>
              <w:jc w:val="center"/>
              <w:rPr>
                <w:rFonts w:eastAsiaTheme="minorEastAsia"/>
                <w:color w:val="000000" w:themeColor="text1"/>
                <w:sz w:val="24"/>
                <w:highlight w:val="none"/>
              </w:rPr>
            </w:pPr>
            <w:r>
              <w:rPr>
                <w:rFonts w:eastAsiaTheme="minorEastAsia"/>
                <w:color w:val="000000" w:themeColor="text1"/>
                <w:sz w:val="24"/>
                <w:highlight w:val="none"/>
              </w:rPr>
              <w:t>/</w:t>
            </w:r>
          </w:p>
        </w:tc>
        <w:tc>
          <w:tcPr>
            <w:tcW w:w="1320" w:type="dxa"/>
            <w:vAlign w:val="center"/>
          </w:tcPr>
          <w:p>
            <w:pPr>
              <w:adjustRightInd w:val="0"/>
              <w:snapToGrid w:val="0"/>
              <w:jc w:val="center"/>
              <w:rPr>
                <w:rFonts w:eastAsiaTheme="minorEastAsia"/>
                <w:color w:val="000000" w:themeColor="text1"/>
                <w:sz w:val="24"/>
                <w:highlight w:val="none"/>
              </w:rPr>
            </w:pPr>
            <w:r>
              <w:rPr>
                <w:rFonts w:eastAsiaTheme="minorEastAsia"/>
                <w:color w:val="000000" w:themeColor="text1"/>
                <w:sz w:val="24"/>
                <w:highlight w:val="none"/>
              </w:rPr>
              <w:t>/</w:t>
            </w:r>
          </w:p>
        </w:tc>
        <w:tc>
          <w:tcPr>
            <w:tcW w:w="3300" w:type="dxa"/>
            <w:vAlign w:val="center"/>
          </w:tcPr>
          <w:p>
            <w:pPr>
              <w:adjustRightInd w:val="0"/>
              <w:snapToGrid w:val="0"/>
              <w:jc w:val="center"/>
              <w:rPr>
                <w:rFonts w:eastAsiaTheme="minorEastAsia"/>
                <w:color w:val="000000" w:themeColor="text1"/>
                <w:sz w:val="24"/>
                <w:highlight w:val="none"/>
              </w:rPr>
            </w:pPr>
            <w:r>
              <w:rPr>
                <w:rFonts w:eastAsiaTheme="minorEastAsia"/>
                <w:color w:val="000000" w:themeColor="text1"/>
                <w:sz w:val="24"/>
                <w:highlight w:val="none"/>
              </w:rPr>
              <w:t>/</w:t>
            </w:r>
          </w:p>
        </w:tc>
        <w:tc>
          <w:tcPr>
            <w:tcW w:w="2335" w:type="dxa"/>
            <w:vAlign w:val="center"/>
          </w:tcPr>
          <w:p>
            <w:pPr>
              <w:adjustRightInd w:val="0"/>
              <w:snapToGrid w:val="0"/>
              <w:jc w:val="center"/>
              <w:rPr>
                <w:rFonts w:eastAsiaTheme="minorEastAsia"/>
                <w:color w:val="000000" w:themeColor="text1"/>
                <w:sz w:val="24"/>
                <w:highlight w:val="none"/>
              </w:rPr>
            </w:pPr>
            <w:r>
              <w:rPr>
                <w:rFonts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Merge w:val="restart"/>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固体</w:t>
            </w:r>
          </w:p>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废物</w:t>
            </w:r>
          </w:p>
        </w:tc>
        <w:tc>
          <w:tcPr>
            <w:tcW w:w="1322" w:type="dxa"/>
            <w:vAlign w:val="center"/>
          </w:tcPr>
          <w:p>
            <w:pPr>
              <w:contextualSpacing/>
              <w:jc w:val="center"/>
              <w:rPr>
                <w:rFonts w:eastAsiaTheme="minorEastAsia"/>
                <w:color w:val="000000" w:themeColor="text1"/>
                <w:sz w:val="24"/>
                <w:highlight w:val="none"/>
              </w:rPr>
            </w:pPr>
            <w:r>
              <w:rPr>
                <w:rFonts w:hAnsiTheme="minorEastAsia" w:eastAsiaTheme="minorEastAsia"/>
                <w:color w:val="000000" w:themeColor="text1"/>
                <w:sz w:val="24"/>
                <w:highlight w:val="none"/>
              </w:rPr>
              <w:t>生活区</w:t>
            </w:r>
          </w:p>
        </w:tc>
        <w:tc>
          <w:tcPr>
            <w:tcW w:w="1320" w:type="dxa"/>
            <w:tcBorders>
              <w:bottom w:val="single" w:color="auto" w:sz="4" w:space="0"/>
            </w:tcBorders>
            <w:vAlign w:val="center"/>
          </w:tcPr>
          <w:p>
            <w:pPr>
              <w:contextualSpacing/>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生活垃圾</w:t>
            </w:r>
          </w:p>
        </w:tc>
        <w:tc>
          <w:tcPr>
            <w:tcW w:w="5635" w:type="dxa"/>
            <w:gridSpan w:val="2"/>
            <w:vMerge w:val="restart"/>
            <w:vAlign w:val="center"/>
          </w:tcPr>
          <w:p>
            <w:pPr>
              <w:spacing w:line="0" w:lineRule="atLeast"/>
              <w:jc w:val="center"/>
              <w:rPr>
                <w:rFonts w:eastAsiaTheme="minorEastAsia"/>
                <w:color w:val="000000" w:themeColor="text1"/>
                <w:sz w:val="24"/>
                <w:highlight w:val="none"/>
              </w:rPr>
            </w:pPr>
            <w:r>
              <w:rPr>
                <w:rFonts w:hAnsiTheme="minorEastAsia" w:eastAsiaTheme="minorEastAsia"/>
                <w:color w:val="000000" w:themeColor="text1"/>
                <w:spacing w:val="-6"/>
                <w:sz w:val="24"/>
                <w:highlight w:val="none"/>
              </w:rPr>
              <w:t>由市政环卫部门统一处理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Merge w:val="continue"/>
            <w:vAlign w:val="center"/>
          </w:tcPr>
          <w:p>
            <w:pPr>
              <w:adjustRightInd w:val="0"/>
              <w:snapToGrid w:val="0"/>
              <w:jc w:val="center"/>
              <w:rPr>
                <w:rFonts w:hAnsiTheme="minorEastAsia" w:eastAsiaTheme="minorEastAsia"/>
                <w:color w:val="000000" w:themeColor="text1"/>
                <w:sz w:val="24"/>
                <w:highlight w:val="none"/>
              </w:rPr>
            </w:pPr>
          </w:p>
        </w:tc>
        <w:tc>
          <w:tcPr>
            <w:tcW w:w="1322" w:type="dxa"/>
            <w:vMerge w:val="restart"/>
            <w:vAlign w:val="center"/>
          </w:tcPr>
          <w:p>
            <w:pPr>
              <w:contextualSpacing/>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生产</w:t>
            </w:r>
            <w:r>
              <w:rPr>
                <w:rFonts w:hAnsiTheme="minorEastAsia" w:eastAsiaTheme="minorEastAsia"/>
                <w:color w:val="000000" w:themeColor="text1"/>
                <w:sz w:val="24"/>
                <w:highlight w:val="none"/>
              </w:rPr>
              <w:t>过程</w:t>
            </w:r>
          </w:p>
        </w:tc>
        <w:tc>
          <w:tcPr>
            <w:tcW w:w="1320" w:type="dxa"/>
            <w:tcBorders>
              <w:bottom w:val="single" w:color="auto" w:sz="4" w:space="0"/>
            </w:tcBorders>
            <w:vAlign w:val="center"/>
          </w:tcPr>
          <w:p>
            <w:pPr>
              <w:contextualSpacing/>
              <w:jc w:val="center"/>
              <w:rPr>
                <w:rFonts w:hint="eastAsia" w:hAnsiTheme="minorEastAsia" w:eastAsiaTheme="minorEastAsia"/>
                <w:color w:val="000000" w:themeColor="text1"/>
                <w:sz w:val="24"/>
                <w:highlight w:val="none"/>
                <w:lang w:val="en-US" w:eastAsia="zh-CN"/>
              </w:rPr>
            </w:pPr>
            <w:r>
              <w:rPr>
                <w:rFonts w:hint="eastAsia" w:hAnsiTheme="minorEastAsia" w:eastAsiaTheme="minorEastAsia"/>
                <w:color w:val="000000" w:themeColor="text1"/>
                <w:sz w:val="24"/>
                <w:highlight w:val="none"/>
                <w:lang w:val="en-US" w:eastAsia="zh-CN"/>
              </w:rPr>
              <w:t>废布袋</w:t>
            </w:r>
          </w:p>
        </w:tc>
        <w:tc>
          <w:tcPr>
            <w:tcW w:w="5635" w:type="dxa"/>
            <w:gridSpan w:val="2"/>
            <w:vMerge w:val="continue"/>
            <w:tcBorders/>
            <w:vAlign w:val="center"/>
          </w:tcPr>
          <w:p>
            <w:pPr>
              <w:spacing w:line="0" w:lineRule="atLeast"/>
              <w:jc w:val="center"/>
              <w:rPr>
                <w:rFonts w:hAnsiTheme="minorEastAsia" w:eastAsiaTheme="minorEastAsia"/>
                <w:color w:val="000000" w:themeColor="text1"/>
                <w:spacing w:val="-6"/>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Merge w:val="continue"/>
            <w:vAlign w:val="center"/>
          </w:tcPr>
          <w:p>
            <w:pPr>
              <w:adjustRightInd w:val="0"/>
              <w:snapToGrid w:val="0"/>
              <w:jc w:val="center"/>
              <w:rPr>
                <w:rFonts w:hAnsiTheme="minorEastAsia" w:eastAsiaTheme="minorEastAsia"/>
                <w:color w:val="000000" w:themeColor="text1"/>
                <w:sz w:val="24"/>
                <w:highlight w:val="none"/>
              </w:rPr>
            </w:pPr>
          </w:p>
        </w:tc>
        <w:tc>
          <w:tcPr>
            <w:tcW w:w="1322" w:type="dxa"/>
            <w:vMerge w:val="continue"/>
            <w:tcBorders/>
            <w:vAlign w:val="center"/>
          </w:tcPr>
          <w:p>
            <w:pPr>
              <w:contextualSpacing/>
              <w:jc w:val="center"/>
              <w:rPr>
                <w:rFonts w:eastAsiaTheme="minorEastAsia"/>
                <w:color w:val="000000" w:themeColor="text1"/>
                <w:sz w:val="24"/>
                <w:highlight w:val="none"/>
              </w:rPr>
            </w:pPr>
          </w:p>
        </w:tc>
        <w:tc>
          <w:tcPr>
            <w:tcW w:w="1320" w:type="dxa"/>
            <w:tcBorders>
              <w:bottom w:val="single" w:color="auto" w:sz="4" w:space="0"/>
            </w:tcBorders>
            <w:vAlign w:val="center"/>
          </w:tcPr>
          <w:p>
            <w:pPr>
              <w:contextualSpacing/>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除尘器收集粉尘</w:t>
            </w:r>
          </w:p>
        </w:tc>
        <w:tc>
          <w:tcPr>
            <w:tcW w:w="5635" w:type="dxa"/>
            <w:gridSpan w:val="2"/>
            <w:vAlign w:val="center"/>
          </w:tcPr>
          <w:p>
            <w:pPr>
              <w:spacing w:line="0" w:lineRule="atLeast"/>
              <w:jc w:val="center"/>
              <w:rPr>
                <w:rFonts w:hAnsiTheme="minorEastAsia" w:eastAsiaTheme="minorEastAsia"/>
                <w:color w:val="000000" w:themeColor="text1"/>
                <w:spacing w:val="-6"/>
                <w:sz w:val="24"/>
                <w:highlight w:val="none"/>
              </w:rPr>
            </w:pPr>
            <w:r>
              <w:rPr>
                <w:rFonts w:hint="eastAsia" w:hAnsiTheme="minorEastAsia" w:eastAsiaTheme="minorEastAsia"/>
                <w:color w:val="000000" w:themeColor="text1"/>
                <w:spacing w:val="-6"/>
                <w:sz w:val="24"/>
                <w:highlight w:val="none"/>
              </w:rPr>
              <w:t>回用于工艺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420" w:type="dxa"/>
            <w:vAlign w:val="center"/>
          </w:tcPr>
          <w:p>
            <w:pPr>
              <w:adjustRightInd w:val="0"/>
              <w:snapToGrid w:val="0"/>
              <w:jc w:val="center"/>
              <w:rPr>
                <w:rFonts w:hAnsiTheme="minorEastAsia" w:eastAsiaTheme="minorEastAsia"/>
                <w:color w:val="000000" w:themeColor="text1"/>
                <w:sz w:val="24"/>
                <w:highlight w:val="none"/>
              </w:rPr>
            </w:pPr>
            <w:r>
              <w:rPr>
                <w:rFonts w:hAnsiTheme="minorEastAsia" w:eastAsiaTheme="minorEastAsia"/>
                <w:color w:val="000000" w:themeColor="text1"/>
                <w:sz w:val="24"/>
                <w:highlight w:val="none"/>
              </w:rPr>
              <w:t>土壤及地下水污染防治措施</w:t>
            </w:r>
          </w:p>
        </w:tc>
        <w:tc>
          <w:tcPr>
            <w:tcW w:w="8277" w:type="dxa"/>
            <w:gridSpan w:val="4"/>
            <w:vAlign w:val="center"/>
          </w:tcPr>
          <w:p>
            <w:pPr>
              <w:adjustRightInd w:val="0"/>
              <w:snapToGrid w:val="0"/>
              <w:jc w:val="center"/>
              <w:rPr>
                <w:rFonts w:hAnsiTheme="minorEastAsia" w:eastAsiaTheme="minorEastAsia"/>
                <w:color w:val="000000" w:themeColor="text1"/>
                <w:sz w:val="24"/>
                <w:highlight w:val="none"/>
              </w:rPr>
            </w:pPr>
            <w:r>
              <w:rPr>
                <w:rFonts w:hint="eastAsia" w:hAnsiTheme="minorEastAsia"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生态保护措施</w:t>
            </w:r>
          </w:p>
        </w:tc>
        <w:tc>
          <w:tcPr>
            <w:tcW w:w="8277" w:type="dxa"/>
            <w:gridSpan w:val="4"/>
            <w:vAlign w:val="center"/>
          </w:tcPr>
          <w:p>
            <w:pPr>
              <w:adjustRightInd w:val="0"/>
              <w:snapToGrid w:val="0"/>
              <w:jc w:val="center"/>
              <w:rPr>
                <w:rFonts w:eastAsiaTheme="minorEastAsia"/>
                <w:color w:val="000000" w:themeColor="text1"/>
                <w:sz w:val="24"/>
                <w:highlight w:val="none"/>
              </w:rPr>
            </w:pPr>
            <w:r>
              <w:rPr>
                <w:rFonts w:hint="eastAsia" w:hAnsiTheme="minorEastAsia" w:eastAsiaTheme="minorEastAsia"/>
                <w:color w:val="000000" w:themeColor="text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环境风险防范措施</w:t>
            </w:r>
          </w:p>
        </w:tc>
        <w:tc>
          <w:tcPr>
            <w:tcW w:w="8277" w:type="dxa"/>
            <w:gridSpan w:val="4"/>
            <w:vAlign w:val="center"/>
          </w:tcPr>
          <w:p>
            <w:pPr>
              <w:pStyle w:val="60"/>
              <w:wordWrap w:val="0"/>
              <w:spacing w:line="360" w:lineRule="auto"/>
              <w:ind w:firstLine="0" w:firstLineChars="0"/>
              <w:jc w:val="center"/>
              <w:rPr>
                <w:rFonts w:hint="eastAsia" w:eastAsiaTheme="minorEastAsia"/>
                <w:color w:val="000000" w:themeColor="text1"/>
                <w:sz w:val="24"/>
                <w:highlight w:val="none"/>
                <w:lang w:eastAsia="zh-CN"/>
              </w:rPr>
            </w:pPr>
            <w:r>
              <w:rPr>
                <w:rFonts w:hint="eastAsia" w:hAnsiTheme="minorEastAsia" w:eastAsiaTheme="minorEastAsia"/>
                <w:color w:val="000000" w:themeColor="text1"/>
                <w:spacing w:val="-4"/>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2" w:hRule="atLeast"/>
          <w:jc w:val="center"/>
        </w:trPr>
        <w:tc>
          <w:tcPr>
            <w:tcW w:w="1420" w:type="dxa"/>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其他环境管理要求</w:t>
            </w:r>
          </w:p>
        </w:tc>
        <w:tc>
          <w:tcPr>
            <w:tcW w:w="8277" w:type="dxa"/>
            <w:gridSpan w:val="4"/>
            <w:vAlign w:val="center"/>
          </w:tcPr>
          <w:p>
            <w:pPr>
              <w:adjustRightInd w:val="0"/>
              <w:snapToGrid w:val="0"/>
              <w:jc w:val="center"/>
              <w:rPr>
                <w:rFonts w:eastAsiaTheme="minorEastAsia"/>
                <w:color w:val="000000" w:themeColor="text1"/>
                <w:sz w:val="24"/>
                <w:highlight w:val="none"/>
              </w:rPr>
            </w:pPr>
            <w:r>
              <w:rPr>
                <w:rFonts w:hAnsiTheme="minorEastAsia" w:eastAsiaTheme="minorEastAsia"/>
                <w:color w:val="000000" w:themeColor="text1"/>
                <w:sz w:val="24"/>
                <w:highlight w:val="none"/>
              </w:rPr>
              <w:t>本项目建成后应根据《排污许可管理条例》和《固定源排污许可分类管理名录（</w:t>
            </w:r>
            <w:r>
              <w:rPr>
                <w:rFonts w:eastAsiaTheme="minorEastAsia"/>
                <w:color w:val="000000" w:themeColor="text1"/>
                <w:sz w:val="24"/>
                <w:highlight w:val="none"/>
              </w:rPr>
              <w:t>2019</w:t>
            </w:r>
            <w:r>
              <w:rPr>
                <w:rFonts w:hAnsiTheme="minorEastAsia" w:eastAsiaTheme="minorEastAsia"/>
                <w:color w:val="000000" w:themeColor="text1"/>
                <w:sz w:val="24"/>
                <w:highlight w:val="none"/>
              </w:rPr>
              <w:t>年版）》在全国排污许可证管理信息平台（公开端）填报排污</w:t>
            </w:r>
            <w:r>
              <w:rPr>
                <w:rFonts w:hint="eastAsia" w:hAnsiTheme="minorEastAsia" w:eastAsiaTheme="minorEastAsia"/>
                <w:color w:val="000000" w:themeColor="text1"/>
                <w:sz w:val="24"/>
                <w:highlight w:val="none"/>
              </w:rPr>
              <w:t>许可</w:t>
            </w:r>
            <w:r>
              <w:rPr>
                <w:rFonts w:hAnsiTheme="minorEastAsia" w:eastAsiaTheme="minorEastAsia"/>
                <w:color w:val="000000" w:themeColor="text1"/>
                <w:sz w:val="24"/>
                <w:highlight w:val="none"/>
              </w:rPr>
              <w:t>。</w:t>
            </w:r>
          </w:p>
        </w:tc>
      </w:tr>
    </w:tbl>
    <w:p>
      <w:pPr>
        <w:pStyle w:val="19"/>
        <w:jc w:val="center"/>
        <w:outlineLvl w:val="0"/>
        <w:rPr>
          <w:rFonts w:ascii="Times New Roman" w:hAnsi="Times New Roman" w:eastAsiaTheme="minorEastAsia"/>
          <w:snapToGrid w:val="0"/>
          <w:color w:val="000000" w:themeColor="text1"/>
          <w:sz w:val="30"/>
          <w:szCs w:val="30"/>
          <w:highlight w:val="none"/>
        </w:rPr>
      </w:pPr>
      <w:r>
        <w:rPr>
          <w:rFonts w:ascii="Times New Roman" w:hAnsi="Times New Roman" w:eastAsiaTheme="minorEastAsia"/>
          <w:snapToGrid w:val="0"/>
          <w:color w:val="000000" w:themeColor="text1"/>
          <w:highlight w:val="none"/>
        </w:rPr>
        <w:br w:type="page"/>
      </w:r>
      <w:bookmarkStart w:id="16" w:name="_Toc68775757"/>
      <w:r>
        <w:rPr>
          <w:rFonts w:ascii="Times New Roman" w:hAnsiTheme="minorEastAsia" w:eastAsiaTheme="minorEastAsia"/>
          <w:snapToGrid w:val="0"/>
          <w:color w:val="000000" w:themeColor="text1"/>
          <w:sz w:val="30"/>
          <w:szCs w:val="30"/>
          <w:highlight w:val="none"/>
        </w:rPr>
        <w:t>六、结论</w:t>
      </w:r>
      <w:bookmarkEnd w:id="16"/>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op w:val="single" w:color="auto" w:sz="8" w:space="0"/>
              <w:bottom w:val="single" w:color="auto" w:sz="8" w:space="0"/>
            </w:tcBorders>
          </w:tcPr>
          <w:p>
            <w:pPr>
              <w:spacing w:line="360" w:lineRule="auto"/>
              <w:ind w:firstLine="480" w:firstLineChars="200"/>
              <w:contextualSpacing/>
              <w:rPr>
                <w:rFonts w:eastAsiaTheme="minorEastAsia"/>
                <w:color w:val="000000" w:themeColor="text1"/>
                <w:sz w:val="24"/>
                <w:highlight w:val="none"/>
              </w:rPr>
            </w:pPr>
            <w:r>
              <w:rPr>
                <w:rFonts w:hAnsiTheme="minorEastAsia" w:eastAsiaTheme="minorEastAsia"/>
                <w:color w:val="000000" w:themeColor="text1"/>
                <w:sz w:val="24"/>
                <w:highlight w:val="none"/>
              </w:rPr>
              <w:t>本项目建设符合</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三线一单</w:t>
            </w:r>
            <w:r>
              <w:rPr>
                <w:rFonts w:hint="eastAsia" w:eastAsiaTheme="minorEastAsia"/>
                <w:color w:val="000000" w:themeColor="text1"/>
                <w:sz w:val="24"/>
                <w:highlight w:val="none"/>
              </w:rPr>
              <w:t>”</w:t>
            </w:r>
            <w:r>
              <w:rPr>
                <w:rFonts w:hAnsiTheme="minorEastAsia" w:eastAsiaTheme="minorEastAsia"/>
                <w:color w:val="000000" w:themeColor="text1"/>
                <w:sz w:val="24"/>
                <w:highlight w:val="none"/>
              </w:rPr>
              <w:t>及</w:t>
            </w:r>
            <w:r>
              <w:rPr>
                <w:rFonts w:hAnsiTheme="minorEastAsia" w:eastAsiaTheme="minorEastAsia"/>
                <w:bCs/>
                <w:color w:val="000000" w:themeColor="text1"/>
                <w:kern w:val="0"/>
                <w:sz w:val="24"/>
                <w:szCs w:val="21"/>
                <w:highlight w:val="none"/>
              </w:rPr>
              <w:t>当地土地利用规划</w:t>
            </w:r>
            <w:r>
              <w:rPr>
                <w:rFonts w:hAnsiTheme="minorEastAsia" w:eastAsiaTheme="minorEastAsia"/>
                <w:color w:val="000000" w:themeColor="text1"/>
                <w:sz w:val="24"/>
                <w:highlight w:val="none"/>
              </w:rPr>
              <w:t>要求，在认真落实本报告提出的污染防治措施后，本项目对环境产生的不利</w:t>
            </w:r>
            <w:r>
              <w:rPr>
                <w:rFonts w:hint="eastAsia" w:hAnsiTheme="minorEastAsia" w:eastAsiaTheme="minorEastAsia"/>
                <w:color w:val="000000" w:themeColor="text1"/>
                <w:sz w:val="24"/>
                <w:highlight w:val="none"/>
              </w:rPr>
              <w:t>影响</w:t>
            </w:r>
            <w:r>
              <w:rPr>
                <w:rFonts w:hAnsiTheme="minorEastAsia" w:eastAsiaTheme="minorEastAsia"/>
                <w:color w:val="000000" w:themeColor="text1"/>
                <w:sz w:val="24"/>
                <w:highlight w:val="none"/>
              </w:rPr>
              <w:t>能够被现有环境所接受。因此，从环境保护角度考虑，本项目的建设是合理、可行的。</w:t>
            </w: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ind w:firstLine="480" w:firstLineChars="200"/>
              <w:contextualSpacing/>
              <w:rPr>
                <w:rFonts w:eastAsiaTheme="minorEastAsia"/>
                <w:color w:val="000000" w:themeColor="text1"/>
                <w:sz w:val="24"/>
                <w:highlight w:val="none"/>
              </w:rPr>
            </w:pPr>
          </w:p>
          <w:p>
            <w:pPr>
              <w:spacing w:line="360" w:lineRule="auto"/>
              <w:contextualSpacing/>
              <w:rPr>
                <w:rFonts w:eastAsiaTheme="minorEastAsia"/>
                <w:color w:val="000000" w:themeColor="text1"/>
                <w:sz w:val="24"/>
                <w:highlight w:val="none"/>
              </w:rPr>
            </w:pPr>
          </w:p>
        </w:tc>
      </w:tr>
    </w:tbl>
    <w:p>
      <w:pPr>
        <w:rPr>
          <w:rFonts w:eastAsiaTheme="minorEastAsia"/>
          <w:color w:val="000000" w:themeColor="text1"/>
          <w:highlight w:val="none"/>
        </w:rPr>
        <w:sectPr>
          <w:pgSz w:w="11906" w:h="16838"/>
          <w:pgMar w:top="1701" w:right="1531" w:bottom="1701" w:left="1531" w:header="851" w:footer="851" w:gutter="0"/>
          <w:cols w:space="720" w:num="1"/>
          <w:docGrid w:linePitch="312" w:charSpace="0"/>
        </w:sectPr>
      </w:pPr>
    </w:p>
    <w:p>
      <w:pPr>
        <w:pStyle w:val="19"/>
        <w:adjustRightInd w:val="0"/>
        <w:snapToGrid w:val="0"/>
        <w:spacing w:before="0" w:beforeAutospacing="0" w:after="0" w:afterAutospacing="0"/>
        <w:outlineLvl w:val="0"/>
        <w:rPr>
          <w:rFonts w:ascii="Times New Roman" w:hAnsi="Times New Roman" w:eastAsiaTheme="minorEastAsia"/>
          <w:snapToGrid w:val="0"/>
          <w:color w:val="000000" w:themeColor="text1"/>
          <w:sz w:val="32"/>
          <w:szCs w:val="32"/>
          <w:highlight w:val="none"/>
        </w:rPr>
      </w:pPr>
      <w:bookmarkStart w:id="17" w:name="_Toc68775758"/>
      <w:r>
        <w:rPr>
          <w:rFonts w:ascii="Times New Roman" w:hAnsiTheme="minorEastAsia" w:eastAsiaTheme="minorEastAsia"/>
          <w:snapToGrid w:val="0"/>
          <w:color w:val="000000" w:themeColor="text1"/>
          <w:sz w:val="32"/>
          <w:szCs w:val="32"/>
          <w:highlight w:val="none"/>
        </w:rPr>
        <w:t>附表</w:t>
      </w:r>
      <w:bookmarkEnd w:id="17"/>
    </w:p>
    <w:p>
      <w:pPr>
        <w:pStyle w:val="19"/>
        <w:adjustRightInd w:val="0"/>
        <w:snapToGrid w:val="0"/>
        <w:spacing w:before="0" w:beforeAutospacing="0" w:after="0" w:afterAutospacing="0"/>
        <w:jc w:val="center"/>
        <w:outlineLvl w:val="0"/>
        <w:rPr>
          <w:rFonts w:ascii="Times New Roman" w:hAnsi="Times New Roman" w:eastAsiaTheme="minorEastAsia"/>
          <w:snapToGrid w:val="0"/>
          <w:color w:val="000000" w:themeColor="text1"/>
          <w:sz w:val="32"/>
          <w:szCs w:val="32"/>
          <w:highlight w:val="none"/>
        </w:rPr>
      </w:pPr>
      <w:bookmarkStart w:id="18" w:name="_Toc68775759"/>
      <w:r>
        <w:rPr>
          <w:rFonts w:ascii="Times New Roman" w:hAnsiTheme="minorEastAsia" w:eastAsiaTheme="minorEastAsia"/>
          <w:snapToGrid w:val="0"/>
          <w:color w:val="000000" w:themeColor="text1"/>
          <w:sz w:val="32"/>
          <w:szCs w:val="32"/>
          <w:highlight w:val="none"/>
        </w:rPr>
        <w:t>建设项目污染物排放量汇总表</w:t>
      </w:r>
      <w:bookmarkEnd w:id="18"/>
    </w:p>
    <w:tbl>
      <w:tblPr>
        <w:tblStyle w:val="23"/>
        <w:tblW w:w="13895" w:type="dxa"/>
        <w:tblInd w:w="-39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058"/>
        <w:gridCol w:w="1542"/>
        <w:gridCol w:w="1238"/>
        <w:gridCol w:w="1652"/>
        <w:gridCol w:w="1513"/>
        <w:gridCol w:w="1787"/>
        <w:gridCol w:w="1788"/>
        <w:gridCol w:w="12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tcBorders>
              <w:tl2br w:val="single" w:color="auto" w:sz="4" w:space="0"/>
            </w:tcBorders>
            <w:tcMar>
              <w:left w:w="28" w:type="dxa"/>
              <w:right w:w="28" w:type="dxa"/>
            </w:tcMar>
            <w:vAlign w:val="center"/>
          </w:tcPr>
          <w:p>
            <w:pPr>
              <w:pStyle w:val="46"/>
              <w:spacing w:beforeLines="0" w:afterLines="0" w:line="240" w:lineRule="auto"/>
              <w:ind w:firstLine="0" w:firstLineChars="0"/>
              <w:jc w:val="right"/>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项目</w:t>
            </w:r>
          </w:p>
          <w:p>
            <w:pPr>
              <w:pStyle w:val="46"/>
              <w:spacing w:beforeLines="0" w:afterLines="0" w:line="240" w:lineRule="auto"/>
              <w:ind w:firstLine="0" w:firstLineChars="0"/>
              <w:jc w:val="left"/>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分类</w:t>
            </w:r>
          </w:p>
        </w:tc>
        <w:tc>
          <w:tcPr>
            <w:tcW w:w="2058" w:type="dxa"/>
            <w:tcMar>
              <w:left w:w="28" w:type="dxa"/>
              <w:right w:w="28" w:type="dxa"/>
            </w:tcMar>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污染物名称</w:t>
            </w:r>
          </w:p>
        </w:tc>
        <w:tc>
          <w:tcPr>
            <w:tcW w:w="1542" w:type="dxa"/>
            <w:tcMar>
              <w:left w:w="28" w:type="dxa"/>
              <w:right w:w="28" w:type="dxa"/>
            </w:tcMar>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现有工程</w:t>
            </w:r>
          </w:p>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排放量t/a（固体废物产生量）</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1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①</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238" w:type="dxa"/>
            <w:tcMar>
              <w:left w:w="28" w:type="dxa"/>
              <w:right w:w="28" w:type="dxa"/>
            </w:tcMar>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现有工程</w:t>
            </w:r>
          </w:p>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许可排放量t/a</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2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②</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652" w:type="dxa"/>
            <w:tcMar>
              <w:left w:w="28" w:type="dxa"/>
              <w:right w:w="28" w:type="dxa"/>
            </w:tcMar>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在建工程</w:t>
            </w:r>
          </w:p>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排放量t/a（固体废物产生量）</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3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③</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513" w:type="dxa"/>
            <w:tcMar>
              <w:left w:w="28" w:type="dxa"/>
              <w:right w:w="28" w:type="dxa"/>
            </w:tcMar>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本项目</w:t>
            </w:r>
          </w:p>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排放量t/a（固体废物产生量）</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4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④</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787" w:type="dxa"/>
            <w:tcMar>
              <w:left w:w="28" w:type="dxa"/>
              <w:right w:w="28" w:type="dxa"/>
            </w:tcMar>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以新带老削减量t/a</w:t>
            </w:r>
          </w:p>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（新建项目不填）</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5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⑤</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788" w:type="dxa"/>
            <w:tcMar>
              <w:left w:w="28" w:type="dxa"/>
              <w:right w:w="28" w:type="dxa"/>
            </w:tcMar>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本项目建成后</w:t>
            </w:r>
          </w:p>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全厂排放量t/a（固体废物产生量）</w:t>
            </w: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6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⑥</w:t>
            </w:r>
            <w:r>
              <w:rPr>
                <w:rFonts w:hint="eastAsia" w:ascii="Times New Roman" w:hAnsi="Times New Roman" w:cs="Times New Roman" w:eastAsiaTheme="minorEastAsia"/>
                <w:color w:val="000000" w:themeColor="text1"/>
                <w:kern w:val="2"/>
                <w:sz w:val="21"/>
                <w:szCs w:val="21"/>
                <w:highlight w:val="none"/>
                <w:lang w:val="en-US"/>
              </w:rPr>
              <w:fldChar w:fldCharType="end"/>
            </w:r>
          </w:p>
        </w:tc>
        <w:tc>
          <w:tcPr>
            <w:tcW w:w="1239" w:type="dxa"/>
            <w:tcMar>
              <w:left w:w="28" w:type="dxa"/>
              <w:right w:w="28" w:type="dxa"/>
            </w:tcMar>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变化量t/a</w:t>
            </w:r>
          </w:p>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fldChar w:fldCharType="begin"/>
            </w:r>
            <w:r>
              <w:rPr>
                <w:rFonts w:hint="eastAsia" w:ascii="Times New Roman" w:hAnsi="Times New Roman" w:cs="Times New Roman" w:eastAsiaTheme="minorEastAsia"/>
                <w:color w:val="000000" w:themeColor="text1"/>
                <w:kern w:val="2"/>
                <w:sz w:val="21"/>
                <w:szCs w:val="21"/>
                <w:highlight w:val="none"/>
                <w:lang w:val="en-US"/>
              </w:rPr>
              <w:instrText xml:space="preserve"> = 7 \* GB3 \* MERGEFORMAT </w:instrText>
            </w:r>
            <w:r>
              <w:rPr>
                <w:rFonts w:hint="eastAsia" w:ascii="Times New Roman" w:hAnsi="Times New Roman" w:cs="Times New Roman" w:eastAsiaTheme="minorEastAsia"/>
                <w:color w:val="000000" w:themeColor="text1"/>
                <w:kern w:val="2"/>
                <w:sz w:val="21"/>
                <w:szCs w:val="21"/>
                <w:highlight w:val="none"/>
                <w:lang w:val="en-US"/>
              </w:rPr>
              <w:fldChar w:fldCharType="separate"/>
            </w:r>
            <w:r>
              <w:rPr>
                <w:rFonts w:hint="eastAsia" w:ascii="Times New Roman" w:hAnsi="Times New Roman" w:cs="Times New Roman" w:eastAsiaTheme="minorEastAsia"/>
                <w:color w:val="000000" w:themeColor="text1"/>
                <w:kern w:val="2"/>
                <w:sz w:val="21"/>
                <w:szCs w:val="21"/>
                <w:highlight w:val="none"/>
                <w:lang w:val="en-US"/>
              </w:rPr>
              <w:t>⑦</w:t>
            </w:r>
            <w:r>
              <w:rPr>
                <w:rFonts w:hint="eastAsia" w:ascii="Times New Roman" w:hAnsi="Times New Roman" w:cs="Times New Roman" w:eastAsiaTheme="minorEastAsia"/>
                <w:color w:val="000000" w:themeColor="text1"/>
                <w:kern w:val="2"/>
                <w:sz w:val="21"/>
                <w:szCs w:val="21"/>
                <w:highlight w:val="none"/>
                <w:lang w:val="en-US"/>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废气</w:t>
            </w:r>
          </w:p>
        </w:tc>
        <w:tc>
          <w:tcPr>
            <w:tcW w:w="2058" w:type="dxa"/>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颗粒物</w:t>
            </w:r>
          </w:p>
        </w:tc>
        <w:tc>
          <w:tcPr>
            <w:tcW w:w="154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w:t>
            </w:r>
            <w:r>
              <w:rPr>
                <w:rFonts w:hint="eastAsia" w:eastAsiaTheme="minorEastAsia"/>
                <w:color w:val="000000" w:themeColor="text1"/>
                <w:szCs w:val="21"/>
                <w:highlight w:val="none"/>
                <w:lang w:val="en-US" w:eastAsia="zh-CN"/>
              </w:rPr>
              <w:t>2</w:t>
            </w:r>
            <w:r>
              <w:rPr>
                <w:rFonts w:hint="eastAsia" w:eastAsiaTheme="minorEastAsia"/>
                <w:color w:val="000000" w:themeColor="text1"/>
                <w:szCs w:val="21"/>
                <w:highlight w:val="none"/>
              </w:rPr>
              <w:t>5</w:t>
            </w:r>
          </w:p>
        </w:tc>
        <w:tc>
          <w:tcPr>
            <w:tcW w:w="1787"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lang w:val="en-US"/>
              </w:rPr>
            </w:pPr>
            <w:r>
              <w:rPr>
                <w:rFonts w:hint="eastAsia" w:ascii="Times New Roman" w:eastAsiaTheme="minorEastAsia"/>
                <w:snapToGrid w:val="0"/>
                <w:color w:val="000000" w:themeColor="text1"/>
                <w:kern w:val="21"/>
                <w:szCs w:val="21"/>
                <w:highlight w:val="none"/>
                <w:lang w:val="en-US"/>
              </w:rPr>
              <w:t>/</w:t>
            </w:r>
          </w:p>
        </w:tc>
        <w:tc>
          <w:tcPr>
            <w:tcW w:w="1788"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w:t>
            </w:r>
            <w:r>
              <w:rPr>
                <w:rFonts w:hint="eastAsia" w:eastAsiaTheme="minorEastAsia"/>
                <w:color w:val="000000" w:themeColor="text1"/>
                <w:szCs w:val="21"/>
                <w:highlight w:val="none"/>
                <w:lang w:val="en-US" w:eastAsia="zh-CN"/>
              </w:rPr>
              <w:t>2</w:t>
            </w:r>
            <w:r>
              <w:rPr>
                <w:rFonts w:hint="eastAsia" w:eastAsiaTheme="minorEastAsia"/>
                <w:color w:val="000000" w:themeColor="text1"/>
                <w:szCs w:val="21"/>
                <w:highlight w:val="none"/>
              </w:rPr>
              <w:t>5</w:t>
            </w:r>
          </w:p>
        </w:tc>
        <w:tc>
          <w:tcPr>
            <w:tcW w:w="1239"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w:t>
            </w:r>
            <w:r>
              <w:rPr>
                <w:rFonts w:hint="eastAsia" w:eastAsiaTheme="minorEastAsia"/>
                <w:color w:val="000000" w:themeColor="text1"/>
                <w:szCs w:val="21"/>
                <w:highlight w:val="none"/>
                <w:lang w:val="en-US" w:eastAsia="zh-CN"/>
              </w:rPr>
              <w:t>2</w:t>
            </w:r>
            <w:r>
              <w:rPr>
                <w:rFonts w:hint="eastAsia" w:eastAsiaTheme="minorEastAsia"/>
                <w:color w:val="000000" w:themeColor="text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restart"/>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rPr>
              <w:t>废水</w:t>
            </w:r>
          </w:p>
        </w:tc>
        <w:tc>
          <w:tcPr>
            <w:tcW w:w="2058" w:type="dxa"/>
            <w:vAlign w:val="center"/>
          </w:tcPr>
          <w:p>
            <w:pPr>
              <w:pStyle w:val="69"/>
              <w:adjustRightInd/>
              <w:snapToGrid/>
              <w:spacing w:line="240" w:lineRule="auto"/>
              <w:ind w:firstLine="0" w:firstLineChars="0"/>
              <w:contextualSpacing/>
              <w:jc w:val="center"/>
              <w:rPr>
                <w:rFonts w:eastAsiaTheme="minorEastAsia"/>
                <w:color w:val="000000" w:themeColor="text1"/>
                <w:sz w:val="21"/>
                <w:szCs w:val="21"/>
                <w:highlight w:val="none"/>
              </w:rPr>
            </w:pPr>
            <w:r>
              <w:rPr>
                <w:rFonts w:hint="eastAsia" w:eastAsiaTheme="minorEastAsia"/>
                <w:color w:val="000000" w:themeColor="text1"/>
                <w:sz w:val="21"/>
                <w:szCs w:val="21"/>
                <w:highlight w:val="none"/>
              </w:rPr>
              <w:t>pH</w:t>
            </w:r>
          </w:p>
        </w:tc>
        <w:tc>
          <w:tcPr>
            <w:tcW w:w="154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pStyle w:val="69"/>
              <w:adjustRightInd/>
              <w:snapToGrid/>
              <w:spacing w:line="240" w:lineRule="auto"/>
              <w:ind w:firstLine="0" w:firstLineChars="0"/>
              <w:contextualSpacing/>
              <w:jc w:val="center"/>
              <w:rPr>
                <w:rFonts w:eastAsiaTheme="minorEastAsia"/>
                <w:bCs/>
                <w:color w:val="000000" w:themeColor="text1"/>
                <w:sz w:val="21"/>
                <w:szCs w:val="21"/>
                <w:highlight w:val="none"/>
              </w:rPr>
            </w:pPr>
            <w:r>
              <w:rPr>
                <w:rFonts w:hint="eastAsia" w:eastAsiaTheme="minorEastAsia"/>
                <w:bCs/>
                <w:color w:val="000000" w:themeColor="text1"/>
                <w:sz w:val="21"/>
                <w:szCs w:val="21"/>
                <w:highlight w:val="none"/>
              </w:rPr>
              <w:t>/</w:t>
            </w:r>
          </w:p>
        </w:tc>
        <w:tc>
          <w:tcPr>
            <w:tcW w:w="1787"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pStyle w:val="69"/>
              <w:adjustRightInd/>
              <w:snapToGrid/>
              <w:spacing w:line="240" w:lineRule="auto"/>
              <w:ind w:firstLine="0" w:firstLineChars="0"/>
              <w:contextualSpacing/>
              <w:jc w:val="center"/>
              <w:rPr>
                <w:rFonts w:eastAsiaTheme="minorEastAsia"/>
                <w:bCs/>
                <w:color w:val="000000" w:themeColor="text1"/>
                <w:sz w:val="21"/>
                <w:szCs w:val="21"/>
                <w:highlight w:val="none"/>
              </w:rPr>
            </w:pPr>
            <w:r>
              <w:rPr>
                <w:rFonts w:hint="eastAsia" w:eastAsiaTheme="minorEastAsia"/>
                <w:bCs/>
                <w:color w:val="000000" w:themeColor="text1"/>
                <w:sz w:val="21"/>
                <w:szCs w:val="21"/>
                <w:highlight w:val="none"/>
              </w:rPr>
              <w:t>/</w:t>
            </w:r>
          </w:p>
        </w:tc>
        <w:tc>
          <w:tcPr>
            <w:tcW w:w="1239" w:type="dxa"/>
            <w:vAlign w:val="center"/>
          </w:tcPr>
          <w:p>
            <w:pPr>
              <w:pStyle w:val="69"/>
              <w:adjustRightInd/>
              <w:snapToGrid/>
              <w:spacing w:line="240" w:lineRule="auto"/>
              <w:ind w:firstLine="0" w:firstLineChars="0"/>
              <w:contextualSpacing/>
              <w:jc w:val="center"/>
              <w:rPr>
                <w:rFonts w:eastAsiaTheme="minorEastAsia"/>
                <w:bCs/>
                <w:color w:val="000000" w:themeColor="text1"/>
                <w:sz w:val="21"/>
                <w:szCs w:val="21"/>
                <w:highlight w:val="none"/>
              </w:rPr>
            </w:pPr>
            <w:r>
              <w:rPr>
                <w:rFonts w:hint="eastAsia" w:eastAsiaTheme="minorEastAsia"/>
                <w:bCs/>
                <w:color w:val="000000" w:themeColor="text1"/>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p>
        </w:tc>
        <w:tc>
          <w:tcPr>
            <w:tcW w:w="2058" w:type="dxa"/>
            <w:vAlign w:val="center"/>
          </w:tcPr>
          <w:p>
            <w:pPr>
              <w:pStyle w:val="69"/>
              <w:adjustRightInd/>
              <w:snapToGrid/>
              <w:spacing w:line="240" w:lineRule="auto"/>
              <w:ind w:firstLine="0" w:firstLineChars="0"/>
              <w:contextualSpacing/>
              <w:jc w:val="center"/>
              <w:rPr>
                <w:rFonts w:eastAsiaTheme="minorEastAsia"/>
                <w:b/>
                <w:bCs/>
                <w:color w:val="000000" w:themeColor="text1"/>
                <w:sz w:val="21"/>
                <w:szCs w:val="21"/>
                <w:highlight w:val="none"/>
              </w:rPr>
            </w:pPr>
            <w:r>
              <w:rPr>
                <w:rFonts w:eastAsiaTheme="minorEastAsia"/>
                <w:color w:val="000000" w:themeColor="text1"/>
                <w:sz w:val="21"/>
                <w:szCs w:val="21"/>
                <w:highlight w:val="none"/>
              </w:rPr>
              <w:t>COD</w:t>
            </w:r>
          </w:p>
        </w:tc>
        <w:tc>
          <w:tcPr>
            <w:tcW w:w="154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pStyle w:val="69"/>
              <w:adjustRightInd/>
              <w:snapToGrid/>
              <w:spacing w:line="240" w:lineRule="auto"/>
              <w:ind w:firstLine="0" w:firstLineChars="0"/>
              <w:contextualSpacing/>
              <w:jc w:val="center"/>
              <w:rPr>
                <w:rFonts w:eastAsiaTheme="minorEastAsia"/>
                <w:bCs/>
                <w:color w:val="000000" w:themeColor="text1"/>
                <w:sz w:val="21"/>
                <w:szCs w:val="21"/>
                <w:highlight w:val="none"/>
              </w:rPr>
            </w:pPr>
            <w:r>
              <w:rPr>
                <w:rFonts w:hint="eastAsia" w:eastAsiaTheme="minorEastAsia"/>
                <w:bCs/>
                <w:color w:val="000000" w:themeColor="text1"/>
                <w:sz w:val="21"/>
                <w:szCs w:val="21"/>
                <w:highlight w:val="none"/>
              </w:rPr>
              <w:t>/</w:t>
            </w:r>
          </w:p>
        </w:tc>
        <w:tc>
          <w:tcPr>
            <w:tcW w:w="1787"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pStyle w:val="69"/>
              <w:adjustRightInd/>
              <w:snapToGrid/>
              <w:spacing w:line="240" w:lineRule="auto"/>
              <w:ind w:firstLine="0" w:firstLineChars="0"/>
              <w:contextualSpacing/>
              <w:jc w:val="center"/>
              <w:rPr>
                <w:rFonts w:eastAsiaTheme="minorEastAsia"/>
                <w:snapToGrid w:val="0"/>
                <w:color w:val="000000" w:themeColor="text1"/>
                <w:kern w:val="21"/>
                <w:szCs w:val="21"/>
                <w:highlight w:val="none"/>
              </w:rPr>
            </w:pPr>
            <w:r>
              <w:rPr>
                <w:rFonts w:hint="eastAsia" w:eastAsiaTheme="minorEastAsia"/>
                <w:bCs/>
                <w:color w:val="000000" w:themeColor="text1"/>
                <w:sz w:val="21"/>
                <w:szCs w:val="21"/>
                <w:highlight w:val="none"/>
              </w:rPr>
              <w:t>/</w:t>
            </w:r>
          </w:p>
        </w:tc>
        <w:tc>
          <w:tcPr>
            <w:tcW w:w="1239" w:type="dxa"/>
            <w:vAlign w:val="center"/>
          </w:tcPr>
          <w:p>
            <w:pPr>
              <w:pStyle w:val="69"/>
              <w:adjustRightInd/>
              <w:snapToGrid/>
              <w:spacing w:line="240" w:lineRule="auto"/>
              <w:ind w:firstLine="0" w:firstLineChars="0"/>
              <w:contextualSpacing/>
              <w:jc w:val="center"/>
              <w:rPr>
                <w:rFonts w:eastAsiaTheme="minorEastAsia"/>
                <w:bCs/>
                <w:color w:val="000000" w:themeColor="text1"/>
                <w:sz w:val="21"/>
                <w:szCs w:val="21"/>
                <w:highlight w:val="none"/>
              </w:rPr>
            </w:pPr>
            <w:r>
              <w:rPr>
                <w:rFonts w:hint="eastAsia" w:eastAsiaTheme="minorEastAsia"/>
                <w:bCs/>
                <w:color w:val="000000" w:themeColor="text1"/>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p>
        </w:tc>
        <w:tc>
          <w:tcPr>
            <w:tcW w:w="2058" w:type="dxa"/>
            <w:vAlign w:val="center"/>
          </w:tcPr>
          <w:p>
            <w:pPr>
              <w:pStyle w:val="69"/>
              <w:adjustRightInd/>
              <w:snapToGrid/>
              <w:spacing w:line="240" w:lineRule="auto"/>
              <w:ind w:firstLine="0" w:firstLineChars="0"/>
              <w:contextualSpacing/>
              <w:jc w:val="center"/>
              <w:rPr>
                <w:rFonts w:eastAsiaTheme="minorEastAsia"/>
                <w:b/>
                <w:bCs/>
                <w:color w:val="000000" w:themeColor="text1"/>
                <w:sz w:val="21"/>
                <w:szCs w:val="21"/>
                <w:highlight w:val="none"/>
                <w:vertAlign w:val="subscript"/>
              </w:rPr>
            </w:pPr>
            <w:r>
              <w:rPr>
                <w:rFonts w:eastAsiaTheme="minorEastAsia"/>
                <w:color w:val="000000" w:themeColor="text1"/>
                <w:sz w:val="21"/>
                <w:szCs w:val="21"/>
                <w:highlight w:val="none"/>
              </w:rPr>
              <w:t>BOD</w:t>
            </w:r>
            <w:r>
              <w:rPr>
                <w:rFonts w:eastAsiaTheme="minorEastAsia"/>
                <w:color w:val="000000" w:themeColor="text1"/>
                <w:sz w:val="21"/>
                <w:szCs w:val="21"/>
                <w:highlight w:val="none"/>
                <w:vertAlign w:val="subscript"/>
              </w:rPr>
              <w:t>5</w:t>
            </w:r>
          </w:p>
        </w:tc>
        <w:tc>
          <w:tcPr>
            <w:tcW w:w="154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autoSpaceDE w:val="0"/>
              <w:autoSpaceDN w:val="0"/>
              <w:contextualSpacing/>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c>
          <w:tcPr>
            <w:tcW w:w="1787"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autoSpaceDE w:val="0"/>
              <w:autoSpaceDN w:val="0"/>
              <w:contextualSpacing/>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c>
          <w:tcPr>
            <w:tcW w:w="1239" w:type="dxa"/>
            <w:vAlign w:val="center"/>
          </w:tcPr>
          <w:p>
            <w:pPr>
              <w:autoSpaceDE w:val="0"/>
              <w:autoSpaceDN w:val="0"/>
              <w:contextualSpacing/>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p>
        </w:tc>
        <w:tc>
          <w:tcPr>
            <w:tcW w:w="2058" w:type="dxa"/>
            <w:vAlign w:val="center"/>
          </w:tcPr>
          <w:p>
            <w:pPr>
              <w:pStyle w:val="69"/>
              <w:adjustRightInd/>
              <w:snapToGrid/>
              <w:spacing w:line="240" w:lineRule="auto"/>
              <w:ind w:firstLine="0" w:firstLineChars="0"/>
              <w:contextualSpacing/>
              <w:jc w:val="center"/>
              <w:rPr>
                <w:rFonts w:eastAsiaTheme="minorEastAsia"/>
                <w:color w:val="000000" w:themeColor="text1"/>
                <w:sz w:val="21"/>
                <w:szCs w:val="21"/>
                <w:highlight w:val="none"/>
              </w:rPr>
            </w:pPr>
            <w:r>
              <w:rPr>
                <w:rFonts w:hAnsiTheme="minorEastAsia" w:eastAsiaTheme="minorEastAsia"/>
                <w:color w:val="000000" w:themeColor="text1"/>
                <w:sz w:val="21"/>
                <w:szCs w:val="21"/>
                <w:highlight w:val="none"/>
              </w:rPr>
              <w:t>氨氮</w:t>
            </w:r>
          </w:p>
        </w:tc>
        <w:tc>
          <w:tcPr>
            <w:tcW w:w="154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autoSpaceDE w:val="0"/>
              <w:autoSpaceDN w:val="0"/>
              <w:contextualSpacing/>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c>
          <w:tcPr>
            <w:tcW w:w="1787"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autoSpaceDE w:val="0"/>
              <w:autoSpaceDN w:val="0"/>
              <w:contextualSpacing/>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c>
          <w:tcPr>
            <w:tcW w:w="1239" w:type="dxa"/>
            <w:vAlign w:val="center"/>
          </w:tcPr>
          <w:p>
            <w:pPr>
              <w:autoSpaceDE w:val="0"/>
              <w:autoSpaceDN w:val="0"/>
              <w:contextualSpacing/>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p>
        </w:tc>
        <w:tc>
          <w:tcPr>
            <w:tcW w:w="2058" w:type="dxa"/>
            <w:vAlign w:val="center"/>
          </w:tcPr>
          <w:p>
            <w:pPr>
              <w:pStyle w:val="69"/>
              <w:adjustRightInd/>
              <w:snapToGrid/>
              <w:spacing w:line="240" w:lineRule="auto"/>
              <w:ind w:firstLine="0" w:firstLineChars="0"/>
              <w:contextualSpacing/>
              <w:jc w:val="center"/>
              <w:rPr>
                <w:rFonts w:eastAsiaTheme="minorEastAsia"/>
                <w:b/>
                <w:bCs/>
                <w:color w:val="000000" w:themeColor="text1"/>
                <w:sz w:val="21"/>
                <w:szCs w:val="21"/>
                <w:highlight w:val="none"/>
              </w:rPr>
            </w:pPr>
            <w:r>
              <w:rPr>
                <w:rFonts w:eastAsiaTheme="minorEastAsia"/>
                <w:color w:val="000000" w:themeColor="text1"/>
                <w:sz w:val="21"/>
                <w:szCs w:val="21"/>
                <w:highlight w:val="none"/>
              </w:rPr>
              <w:t>SS</w:t>
            </w:r>
          </w:p>
        </w:tc>
        <w:tc>
          <w:tcPr>
            <w:tcW w:w="154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autoSpaceDE w:val="0"/>
              <w:autoSpaceDN w:val="0"/>
              <w:contextualSpacing/>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c>
          <w:tcPr>
            <w:tcW w:w="1787"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autoSpaceDE w:val="0"/>
              <w:autoSpaceDN w:val="0"/>
              <w:contextualSpacing/>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c>
          <w:tcPr>
            <w:tcW w:w="1239" w:type="dxa"/>
            <w:vAlign w:val="center"/>
          </w:tcPr>
          <w:p>
            <w:pPr>
              <w:autoSpaceDE w:val="0"/>
              <w:autoSpaceDN w:val="0"/>
              <w:contextualSpacing/>
              <w:jc w:val="center"/>
              <w:rPr>
                <w:rFonts w:eastAsiaTheme="minorEastAsia"/>
                <w:color w:val="000000" w:themeColor="text1"/>
                <w:szCs w:val="21"/>
                <w:highlight w:val="none"/>
              </w:rPr>
            </w:pPr>
            <w:r>
              <w:rPr>
                <w:rFonts w:hint="eastAsia" w:eastAsiaTheme="minorEastAsia"/>
                <w:color w:val="000000" w:themeColor="text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restart"/>
            <w:vAlign w:val="center"/>
          </w:tcPr>
          <w:p>
            <w:pPr>
              <w:pStyle w:val="46"/>
              <w:spacing w:beforeLines="0" w:afterLines="0" w:line="240" w:lineRule="auto"/>
              <w:ind w:firstLine="0" w:firstLineChars="0"/>
              <w:rPr>
                <w:rFonts w:ascii="Times New Roman" w:hAnsi="Times New Roman" w:cs="Times New Roman" w:eastAsiaTheme="minorEastAsia"/>
                <w:color w:val="000000" w:themeColor="text1"/>
                <w:kern w:val="2"/>
                <w:sz w:val="21"/>
                <w:szCs w:val="21"/>
                <w:highlight w:val="none"/>
                <w:lang w:val="en-US"/>
              </w:rPr>
            </w:pPr>
            <w:r>
              <w:rPr>
                <w:rFonts w:hint="eastAsia" w:ascii="Times New Roman" w:hAnsi="Times New Roman" w:cs="Times New Roman" w:eastAsiaTheme="minorEastAsia"/>
                <w:color w:val="000000" w:themeColor="text1"/>
                <w:kern w:val="2"/>
                <w:sz w:val="21"/>
                <w:szCs w:val="21"/>
                <w:highlight w:val="none"/>
                <w:lang w:val="en-US" w:eastAsia="zh-CN"/>
              </w:rPr>
              <w:t>一般工业</w:t>
            </w:r>
            <w:r>
              <w:rPr>
                <w:rFonts w:hint="eastAsia" w:ascii="Times New Roman" w:hAnsi="Times New Roman" w:cs="Times New Roman" w:eastAsiaTheme="minorEastAsia"/>
                <w:color w:val="000000" w:themeColor="text1"/>
                <w:kern w:val="2"/>
                <w:sz w:val="21"/>
                <w:szCs w:val="21"/>
                <w:highlight w:val="none"/>
                <w:lang w:val="en-US"/>
              </w:rPr>
              <w:t>固体废物</w:t>
            </w:r>
          </w:p>
        </w:tc>
        <w:tc>
          <w:tcPr>
            <w:tcW w:w="2058" w:type="dxa"/>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生活垃圾</w:t>
            </w:r>
          </w:p>
        </w:tc>
        <w:tc>
          <w:tcPr>
            <w:tcW w:w="154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0.42</w:t>
            </w:r>
          </w:p>
        </w:tc>
        <w:tc>
          <w:tcPr>
            <w:tcW w:w="1787"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0.42</w:t>
            </w:r>
          </w:p>
        </w:tc>
        <w:tc>
          <w:tcPr>
            <w:tcW w:w="1239"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+0.42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vAlign w:val="center"/>
          </w:tcPr>
          <w:p>
            <w:pPr>
              <w:pStyle w:val="46"/>
              <w:spacing w:beforeLines="0" w:afterLines="0" w:line="240" w:lineRule="auto"/>
              <w:ind w:firstLine="0" w:firstLineChars="0"/>
              <w:rPr>
                <w:rFonts w:ascii="Times New Roman" w:hAnsiTheme="minorEastAsia" w:eastAsiaTheme="minorEastAsia"/>
                <w:snapToGrid w:val="0"/>
                <w:color w:val="000000" w:themeColor="text1"/>
                <w:kern w:val="21"/>
                <w:szCs w:val="21"/>
                <w:highlight w:val="none"/>
              </w:rPr>
            </w:pPr>
          </w:p>
        </w:tc>
        <w:tc>
          <w:tcPr>
            <w:tcW w:w="2058" w:type="dxa"/>
            <w:vAlign w:val="center"/>
          </w:tcPr>
          <w:p>
            <w:pPr>
              <w:jc w:val="center"/>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除尘器收集粉尘</w:t>
            </w:r>
          </w:p>
        </w:tc>
        <w:tc>
          <w:tcPr>
            <w:tcW w:w="154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238"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652"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513"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11.58</w:t>
            </w:r>
          </w:p>
        </w:tc>
        <w:tc>
          <w:tcPr>
            <w:tcW w:w="1787" w:type="dxa"/>
            <w:vAlign w:val="center"/>
          </w:tcPr>
          <w:p>
            <w:pPr>
              <w:pStyle w:val="46"/>
              <w:spacing w:beforeLines="0" w:afterLines="0" w:line="240" w:lineRule="auto"/>
              <w:ind w:firstLine="0" w:firstLineChars="0"/>
              <w:rPr>
                <w:rFonts w:ascii="Times New Roman" w:eastAsiaTheme="minorEastAsia"/>
                <w:snapToGrid w:val="0"/>
                <w:color w:val="000000" w:themeColor="text1"/>
                <w:kern w:val="21"/>
                <w:szCs w:val="21"/>
                <w:highlight w:val="none"/>
              </w:rPr>
            </w:pPr>
            <w:r>
              <w:rPr>
                <w:rFonts w:ascii="Times New Roman" w:eastAsiaTheme="minorEastAsia"/>
                <w:snapToGrid w:val="0"/>
                <w:color w:val="000000" w:themeColor="text1"/>
                <w:kern w:val="21"/>
                <w:szCs w:val="21"/>
                <w:highlight w:val="none"/>
              </w:rPr>
              <w:t>/</w:t>
            </w:r>
          </w:p>
        </w:tc>
        <w:tc>
          <w:tcPr>
            <w:tcW w:w="1788"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11.58</w:t>
            </w:r>
          </w:p>
        </w:tc>
        <w:tc>
          <w:tcPr>
            <w:tcW w:w="1239" w:type="dxa"/>
            <w:vAlign w:val="center"/>
          </w:tcPr>
          <w:p>
            <w:pPr>
              <w:jc w:val="center"/>
              <w:rPr>
                <w:rFonts w:eastAsiaTheme="minorEastAsia"/>
                <w:color w:val="000000" w:themeColor="text1"/>
                <w:szCs w:val="21"/>
                <w:highlight w:val="none"/>
              </w:rPr>
            </w:pPr>
            <w:r>
              <w:rPr>
                <w:rFonts w:hint="eastAsia" w:eastAsiaTheme="minorEastAsia"/>
                <w:color w:val="000000" w:themeColor="text1"/>
                <w:szCs w:val="21"/>
                <w:highlight w:val="none"/>
              </w:rPr>
              <w:t>+11.58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vAlign w:val="center"/>
          </w:tcPr>
          <w:p>
            <w:pPr>
              <w:pStyle w:val="46"/>
              <w:spacing w:beforeLines="0" w:afterLines="0" w:line="240" w:lineRule="auto"/>
              <w:ind w:firstLine="0" w:firstLineChars="0"/>
              <w:rPr>
                <w:rFonts w:ascii="Times New Roman" w:hAnsiTheme="minorEastAsia" w:eastAsiaTheme="minorEastAsia"/>
                <w:snapToGrid w:val="0"/>
                <w:color w:val="000000" w:themeColor="text1"/>
                <w:kern w:val="21"/>
                <w:szCs w:val="21"/>
                <w:highlight w:val="none"/>
              </w:rPr>
            </w:pPr>
          </w:p>
        </w:tc>
        <w:tc>
          <w:tcPr>
            <w:tcW w:w="2058" w:type="dxa"/>
            <w:vAlign w:val="center"/>
          </w:tcPr>
          <w:p>
            <w:pPr>
              <w:jc w:val="center"/>
              <w:rPr>
                <w:rFonts w:hint="eastAsia"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废布袋</w:t>
            </w:r>
          </w:p>
        </w:tc>
        <w:tc>
          <w:tcPr>
            <w:tcW w:w="1542" w:type="dxa"/>
            <w:vAlign w:val="center"/>
          </w:tcPr>
          <w:p>
            <w:pPr>
              <w:pStyle w:val="46"/>
              <w:spacing w:beforeLines="0" w:afterLines="0" w:line="240" w:lineRule="auto"/>
              <w:ind w:firstLine="0" w:firstLineChars="0"/>
              <w:rPr>
                <w:rFonts w:hint="eastAsia" w:ascii="Times New Roman" w:eastAsiaTheme="minorEastAsia"/>
                <w:snapToGrid w:val="0"/>
                <w:color w:val="000000" w:themeColor="text1"/>
                <w:kern w:val="21"/>
                <w:szCs w:val="21"/>
                <w:highlight w:val="none"/>
                <w:lang w:val="en-US" w:eastAsia="zh-CN"/>
              </w:rPr>
            </w:pPr>
            <w:r>
              <w:rPr>
                <w:rFonts w:hint="eastAsia" w:ascii="Times New Roman" w:eastAsiaTheme="minorEastAsia"/>
                <w:snapToGrid w:val="0"/>
                <w:color w:val="000000" w:themeColor="text1"/>
                <w:kern w:val="21"/>
                <w:szCs w:val="21"/>
                <w:highlight w:val="none"/>
                <w:lang w:val="en-US" w:eastAsia="zh-CN"/>
              </w:rPr>
              <w:t>/</w:t>
            </w:r>
          </w:p>
        </w:tc>
        <w:tc>
          <w:tcPr>
            <w:tcW w:w="1238" w:type="dxa"/>
            <w:vAlign w:val="center"/>
          </w:tcPr>
          <w:p>
            <w:pPr>
              <w:pStyle w:val="46"/>
              <w:spacing w:beforeLines="0" w:afterLines="0" w:line="240" w:lineRule="auto"/>
              <w:ind w:firstLine="0" w:firstLineChars="0"/>
              <w:rPr>
                <w:rFonts w:hint="eastAsia" w:ascii="Times New Roman" w:eastAsiaTheme="minorEastAsia"/>
                <w:snapToGrid w:val="0"/>
                <w:color w:val="000000" w:themeColor="text1"/>
                <w:kern w:val="21"/>
                <w:szCs w:val="21"/>
                <w:highlight w:val="none"/>
                <w:lang w:val="en-US" w:eastAsia="zh-CN"/>
              </w:rPr>
            </w:pPr>
            <w:r>
              <w:rPr>
                <w:rFonts w:hint="eastAsia" w:ascii="Times New Roman" w:eastAsiaTheme="minorEastAsia"/>
                <w:snapToGrid w:val="0"/>
                <w:color w:val="000000" w:themeColor="text1"/>
                <w:kern w:val="21"/>
                <w:szCs w:val="21"/>
                <w:highlight w:val="none"/>
                <w:lang w:val="en-US" w:eastAsia="zh-CN"/>
              </w:rPr>
              <w:t>/</w:t>
            </w:r>
          </w:p>
        </w:tc>
        <w:tc>
          <w:tcPr>
            <w:tcW w:w="1652" w:type="dxa"/>
            <w:vAlign w:val="center"/>
          </w:tcPr>
          <w:p>
            <w:pPr>
              <w:pStyle w:val="46"/>
              <w:spacing w:beforeLines="0" w:afterLines="0" w:line="240" w:lineRule="auto"/>
              <w:ind w:firstLine="0" w:firstLineChars="0"/>
              <w:rPr>
                <w:rFonts w:hint="eastAsia" w:ascii="Times New Roman" w:eastAsiaTheme="minorEastAsia"/>
                <w:snapToGrid w:val="0"/>
                <w:color w:val="000000" w:themeColor="text1"/>
                <w:kern w:val="21"/>
                <w:szCs w:val="21"/>
                <w:highlight w:val="none"/>
                <w:lang w:val="en-US" w:eastAsia="zh-CN"/>
              </w:rPr>
            </w:pPr>
            <w:r>
              <w:rPr>
                <w:rFonts w:hint="eastAsia" w:ascii="Times New Roman" w:eastAsiaTheme="minorEastAsia"/>
                <w:snapToGrid w:val="0"/>
                <w:color w:val="000000" w:themeColor="text1"/>
                <w:kern w:val="21"/>
                <w:szCs w:val="21"/>
                <w:highlight w:val="none"/>
                <w:lang w:val="en-US" w:eastAsia="zh-CN"/>
              </w:rPr>
              <w:t>/</w:t>
            </w:r>
          </w:p>
        </w:tc>
        <w:tc>
          <w:tcPr>
            <w:tcW w:w="1513"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0.2t/3a</w:t>
            </w:r>
          </w:p>
        </w:tc>
        <w:tc>
          <w:tcPr>
            <w:tcW w:w="1787" w:type="dxa"/>
            <w:vAlign w:val="center"/>
          </w:tcPr>
          <w:p>
            <w:pPr>
              <w:pStyle w:val="46"/>
              <w:spacing w:beforeLines="0" w:afterLines="0" w:line="240" w:lineRule="auto"/>
              <w:ind w:firstLine="0" w:firstLineChars="0"/>
              <w:rPr>
                <w:rFonts w:hint="eastAsia" w:ascii="Times New Roman" w:eastAsiaTheme="minorEastAsia"/>
                <w:snapToGrid w:val="0"/>
                <w:color w:val="000000" w:themeColor="text1"/>
                <w:kern w:val="21"/>
                <w:szCs w:val="21"/>
                <w:highlight w:val="none"/>
                <w:lang w:val="en-US" w:eastAsia="zh-CN"/>
              </w:rPr>
            </w:pPr>
            <w:r>
              <w:rPr>
                <w:rFonts w:hint="eastAsia" w:ascii="Times New Roman" w:eastAsiaTheme="minorEastAsia"/>
                <w:snapToGrid w:val="0"/>
                <w:color w:val="000000" w:themeColor="text1"/>
                <w:kern w:val="21"/>
                <w:szCs w:val="21"/>
                <w:highlight w:val="none"/>
                <w:lang w:val="en-US" w:eastAsia="zh-CN"/>
              </w:rPr>
              <w:t>/</w:t>
            </w:r>
          </w:p>
        </w:tc>
        <w:tc>
          <w:tcPr>
            <w:tcW w:w="1788" w:type="dxa"/>
            <w:vAlign w:val="center"/>
          </w:tcPr>
          <w:p>
            <w:pPr>
              <w:jc w:val="center"/>
              <w:rPr>
                <w:rFonts w:hint="eastAsia" w:eastAsiaTheme="minorEastAsia"/>
                <w:color w:val="000000" w:themeColor="text1"/>
                <w:szCs w:val="21"/>
                <w:highlight w:val="none"/>
              </w:rPr>
            </w:pPr>
            <w:r>
              <w:rPr>
                <w:rFonts w:hint="eastAsia" w:eastAsiaTheme="minorEastAsia"/>
                <w:color w:val="000000" w:themeColor="text1"/>
                <w:szCs w:val="21"/>
                <w:highlight w:val="none"/>
                <w:lang w:val="en-US" w:eastAsia="zh-CN"/>
              </w:rPr>
              <w:t>0.2t/3a</w:t>
            </w:r>
          </w:p>
        </w:tc>
        <w:tc>
          <w:tcPr>
            <w:tcW w:w="1239" w:type="dxa"/>
            <w:vAlign w:val="center"/>
          </w:tcPr>
          <w:p>
            <w:pPr>
              <w:jc w:val="center"/>
              <w:rPr>
                <w:rFonts w:hint="eastAsia" w:eastAsiaTheme="minorEastAsia"/>
                <w:color w:val="000000" w:themeColor="text1"/>
                <w:szCs w:val="21"/>
                <w:highlight w:val="none"/>
              </w:rPr>
            </w:pPr>
            <w:r>
              <w:rPr>
                <w:rFonts w:hint="eastAsia" w:eastAsiaTheme="minorEastAsia"/>
                <w:color w:val="000000" w:themeColor="text1"/>
                <w:szCs w:val="21"/>
                <w:highlight w:val="none"/>
                <w:lang w:val="en-US" w:eastAsia="zh-CN"/>
              </w:rPr>
              <w:t>0.2t/3a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tcBorders/>
            <w:vAlign w:val="center"/>
          </w:tcPr>
          <w:p>
            <w:pPr>
              <w:pStyle w:val="46"/>
              <w:spacing w:beforeLines="0" w:afterLines="0" w:line="240" w:lineRule="auto"/>
              <w:ind w:firstLine="0" w:firstLineChars="0"/>
              <w:rPr>
                <w:rFonts w:hint="eastAsia" w:ascii="Times New Roman" w:hAnsi="Times New Roman" w:cs="Times New Roman" w:eastAsiaTheme="minorEastAsia"/>
                <w:color w:val="000000" w:themeColor="text1"/>
                <w:kern w:val="2"/>
                <w:sz w:val="21"/>
                <w:szCs w:val="21"/>
                <w:highlight w:val="none"/>
                <w:lang w:val="en-US" w:eastAsia="zh-CN"/>
              </w:rPr>
            </w:pPr>
            <w:r>
              <w:rPr>
                <w:rFonts w:hint="eastAsia" w:ascii="Times New Roman" w:hAnsi="Times New Roman" w:cs="Times New Roman" w:eastAsiaTheme="minorEastAsia"/>
                <w:color w:val="000000" w:themeColor="text1"/>
                <w:kern w:val="2"/>
                <w:sz w:val="21"/>
                <w:szCs w:val="21"/>
                <w:highlight w:val="none"/>
                <w:lang w:val="en-US" w:eastAsia="zh-CN"/>
              </w:rPr>
              <w:t>危险废物</w:t>
            </w:r>
          </w:p>
        </w:tc>
        <w:tc>
          <w:tcPr>
            <w:tcW w:w="2058" w:type="dxa"/>
            <w:vAlign w:val="center"/>
          </w:tcPr>
          <w:p>
            <w:pPr>
              <w:pStyle w:val="46"/>
              <w:spacing w:beforeLines="0" w:afterLines="0" w:line="240" w:lineRule="auto"/>
              <w:ind w:firstLine="0" w:firstLineChars="0"/>
              <w:rPr>
                <w:rFonts w:hint="default" w:ascii="Times New Roman" w:hAnsi="Times New Roman" w:cs="Times New Roman" w:eastAsiaTheme="minorEastAsia"/>
                <w:color w:val="000000" w:themeColor="text1"/>
                <w:kern w:val="2"/>
                <w:sz w:val="21"/>
                <w:szCs w:val="21"/>
                <w:highlight w:val="none"/>
                <w:lang w:val="en-US" w:eastAsia="zh-CN"/>
              </w:rPr>
            </w:pPr>
            <w:r>
              <w:rPr>
                <w:rFonts w:hint="eastAsia" w:ascii="Times New Roman" w:hAnsi="Times New Roman" w:cs="Times New Roman" w:eastAsiaTheme="minorEastAsia"/>
                <w:color w:val="000000" w:themeColor="text1"/>
                <w:kern w:val="2"/>
                <w:sz w:val="21"/>
                <w:szCs w:val="21"/>
                <w:highlight w:val="none"/>
                <w:lang w:val="en-US" w:eastAsia="zh-CN"/>
              </w:rPr>
              <w:t>/</w:t>
            </w:r>
          </w:p>
        </w:tc>
        <w:tc>
          <w:tcPr>
            <w:tcW w:w="1542" w:type="dxa"/>
            <w:vAlign w:val="center"/>
          </w:tcPr>
          <w:p>
            <w:pPr>
              <w:pStyle w:val="46"/>
              <w:spacing w:beforeLines="0" w:afterLines="0" w:line="240" w:lineRule="auto"/>
              <w:ind w:firstLine="0" w:firstLineChars="0"/>
              <w:rPr>
                <w:rFonts w:hint="default" w:ascii="Times New Roman" w:eastAsiaTheme="minorEastAsia"/>
                <w:snapToGrid w:val="0"/>
                <w:color w:val="000000" w:themeColor="text1"/>
                <w:kern w:val="21"/>
                <w:szCs w:val="21"/>
                <w:highlight w:val="none"/>
                <w:lang w:val="en-US" w:eastAsia="zh-CN"/>
              </w:rPr>
            </w:pPr>
            <w:r>
              <w:rPr>
                <w:rFonts w:hint="eastAsia" w:ascii="Times New Roman" w:eastAsiaTheme="minorEastAsia"/>
                <w:snapToGrid w:val="0"/>
                <w:color w:val="000000" w:themeColor="text1"/>
                <w:kern w:val="21"/>
                <w:szCs w:val="21"/>
                <w:highlight w:val="none"/>
                <w:lang w:val="en-US" w:eastAsia="zh-CN"/>
              </w:rPr>
              <w:t>/</w:t>
            </w:r>
          </w:p>
        </w:tc>
        <w:tc>
          <w:tcPr>
            <w:tcW w:w="1238" w:type="dxa"/>
            <w:vAlign w:val="center"/>
          </w:tcPr>
          <w:p>
            <w:pPr>
              <w:pStyle w:val="46"/>
              <w:spacing w:beforeLines="0" w:afterLines="0" w:line="240" w:lineRule="auto"/>
              <w:ind w:firstLine="0" w:firstLineChars="0"/>
              <w:rPr>
                <w:rFonts w:hint="default" w:ascii="Times New Roman" w:eastAsiaTheme="minorEastAsia"/>
                <w:snapToGrid w:val="0"/>
                <w:color w:val="000000" w:themeColor="text1"/>
                <w:kern w:val="21"/>
                <w:szCs w:val="21"/>
                <w:highlight w:val="none"/>
                <w:lang w:val="en-US" w:eastAsia="zh-CN"/>
              </w:rPr>
            </w:pPr>
            <w:r>
              <w:rPr>
                <w:rFonts w:hint="eastAsia" w:ascii="Times New Roman" w:eastAsiaTheme="minorEastAsia"/>
                <w:snapToGrid w:val="0"/>
                <w:color w:val="000000" w:themeColor="text1"/>
                <w:kern w:val="21"/>
                <w:szCs w:val="21"/>
                <w:highlight w:val="none"/>
                <w:lang w:val="en-US" w:eastAsia="zh-CN"/>
              </w:rPr>
              <w:t>/</w:t>
            </w:r>
          </w:p>
        </w:tc>
        <w:tc>
          <w:tcPr>
            <w:tcW w:w="1652" w:type="dxa"/>
            <w:vAlign w:val="center"/>
          </w:tcPr>
          <w:p>
            <w:pPr>
              <w:pStyle w:val="46"/>
              <w:spacing w:beforeLines="0" w:afterLines="0" w:line="240" w:lineRule="auto"/>
              <w:ind w:firstLine="0" w:firstLineChars="0"/>
              <w:rPr>
                <w:rFonts w:hint="default" w:ascii="Times New Roman" w:eastAsiaTheme="minorEastAsia"/>
                <w:snapToGrid w:val="0"/>
                <w:color w:val="000000" w:themeColor="text1"/>
                <w:kern w:val="21"/>
                <w:szCs w:val="21"/>
                <w:highlight w:val="none"/>
                <w:lang w:val="en-US" w:eastAsia="zh-CN"/>
              </w:rPr>
            </w:pPr>
            <w:r>
              <w:rPr>
                <w:rFonts w:hint="eastAsia" w:ascii="Times New Roman" w:eastAsiaTheme="minorEastAsia"/>
                <w:snapToGrid w:val="0"/>
                <w:color w:val="000000" w:themeColor="text1"/>
                <w:kern w:val="21"/>
                <w:szCs w:val="21"/>
                <w:highlight w:val="none"/>
                <w:lang w:val="en-US" w:eastAsia="zh-CN"/>
              </w:rPr>
              <w:t>/</w:t>
            </w:r>
          </w:p>
        </w:tc>
        <w:tc>
          <w:tcPr>
            <w:tcW w:w="1513"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w:t>
            </w:r>
          </w:p>
        </w:tc>
        <w:tc>
          <w:tcPr>
            <w:tcW w:w="1787" w:type="dxa"/>
            <w:vAlign w:val="center"/>
          </w:tcPr>
          <w:p>
            <w:pPr>
              <w:pStyle w:val="46"/>
              <w:spacing w:beforeLines="0" w:afterLines="0" w:line="240" w:lineRule="auto"/>
              <w:ind w:firstLine="0" w:firstLineChars="0"/>
              <w:rPr>
                <w:rFonts w:hint="eastAsia" w:ascii="Times New Roman" w:eastAsiaTheme="minorEastAsia"/>
                <w:snapToGrid w:val="0"/>
                <w:color w:val="000000" w:themeColor="text1"/>
                <w:kern w:val="21"/>
                <w:szCs w:val="21"/>
                <w:highlight w:val="none"/>
                <w:lang w:val="en-US" w:eastAsia="zh-CN"/>
              </w:rPr>
            </w:pPr>
            <w:r>
              <w:rPr>
                <w:rFonts w:hint="eastAsia" w:ascii="Times New Roman" w:eastAsiaTheme="minorEastAsia"/>
                <w:snapToGrid w:val="0"/>
                <w:color w:val="000000" w:themeColor="text1"/>
                <w:kern w:val="21"/>
                <w:szCs w:val="21"/>
                <w:highlight w:val="none"/>
                <w:lang w:val="en-US" w:eastAsia="zh-CN"/>
              </w:rPr>
              <w:t>/</w:t>
            </w:r>
          </w:p>
        </w:tc>
        <w:tc>
          <w:tcPr>
            <w:tcW w:w="1788"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w:t>
            </w:r>
          </w:p>
        </w:tc>
        <w:tc>
          <w:tcPr>
            <w:tcW w:w="1239" w:type="dxa"/>
            <w:vAlign w:val="center"/>
          </w:tcPr>
          <w:p>
            <w:pPr>
              <w:jc w:val="center"/>
              <w:rPr>
                <w:rFonts w:hint="default" w:eastAsiaTheme="minorEastAsia"/>
                <w:color w:val="000000" w:themeColor="text1"/>
                <w:szCs w:val="21"/>
                <w:highlight w:val="none"/>
                <w:lang w:val="en-US" w:eastAsia="zh-CN"/>
              </w:rPr>
            </w:pPr>
            <w:r>
              <w:rPr>
                <w:rFonts w:hint="eastAsia" w:eastAsiaTheme="minorEastAsia"/>
                <w:color w:val="000000" w:themeColor="text1"/>
                <w:szCs w:val="21"/>
                <w:highlight w:val="none"/>
                <w:lang w:val="en-US" w:eastAsia="zh-CN"/>
              </w:rPr>
              <w:t>/</w:t>
            </w:r>
          </w:p>
        </w:tc>
      </w:tr>
    </w:tbl>
    <w:p>
      <w:pPr>
        <w:pStyle w:val="46"/>
        <w:spacing w:beforeLines="0" w:afterLines="0" w:line="240" w:lineRule="auto"/>
        <w:ind w:firstLine="400"/>
        <w:jc w:val="left"/>
        <w:rPr>
          <w:rFonts w:hint="eastAsia" w:ascii="Times New Roman" w:eastAsiaTheme="minorEastAsia"/>
          <w:snapToGrid w:val="0"/>
          <w:color w:val="000000" w:themeColor="text1"/>
          <w:spacing w:val="-6"/>
          <w:kern w:val="21"/>
          <w:sz w:val="20"/>
          <w:highlight w:val="none"/>
          <w:lang w:val="en-US" w:eastAsia="zh-CN"/>
        </w:rPr>
      </w:pPr>
      <w:r>
        <w:rPr>
          <w:rFonts w:ascii="Times New Roman" w:hAnsiTheme="minorEastAsia" w:eastAsiaTheme="minorEastAsia"/>
          <w:snapToGrid w:val="0"/>
          <w:color w:val="000000" w:themeColor="text1"/>
          <w:kern w:val="21"/>
          <w:sz w:val="20"/>
          <w:highlight w:val="none"/>
        </w:rPr>
        <w:t>注</w:t>
      </w:r>
      <w:r>
        <w:rPr>
          <w:rFonts w:ascii="Times New Roman" w:hAnsiTheme="minorEastAsia" w:eastAsiaTheme="minorEastAsia"/>
          <w:snapToGrid w:val="0"/>
          <w:color w:val="000000" w:themeColor="text1"/>
          <w:kern w:val="21"/>
          <w:sz w:val="20"/>
          <w:highlight w:val="none"/>
          <w:lang w:val="en-US"/>
        </w:rPr>
        <w:t>：</w:t>
      </w:r>
      <w:r>
        <w:rPr>
          <w:rFonts w:ascii="Times New Roman" w:eastAsiaTheme="minorEastAsia"/>
          <w:snapToGrid w:val="0"/>
          <w:color w:val="000000" w:themeColor="text1"/>
          <w:spacing w:val="-16"/>
          <w:kern w:val="21"/>
          <w:sz w:val="20"/>
          <w:highlight w:val="none"/>
        </w:rPr>
        <w:fldChar w:fldCharType="begin"/>
      </w:r>
      <w:r>
        <w:rPr>
          <w:rFonts w:ascii="Times New Roman" w:eastAsiaTheme="minorEastAsia"/>
          <w:snapToGrid w:val="0"/>
          <w:color w:val="000000" w:themeColor="text1"/>
          <w:spacing w:val="-16"/>
          <w:kern w:val="21"/>
          <w:sz w:val="20"/>
          <w:highlight w:val="none"/>
          <w:lang w:val="en-US"/>
        </w:rPr>
        <w:instrText xml:space="preserve"> = 6 \* GB3 \* MERGEFORMAT </w:instrText>
      </w:r>
      <w:r>
        <w:rPr>
          <w:rFonts w:ascii="Times New Roman" w:eastAsiaTheme="minorEastAsia"/>
          <w:snapToGrid w:val="0"/>
          <w:color w:val="000000" w:themeColor="text1"/>
          <w:spacing w:val="-16"/>
          <w:kern w:val="21"/>
          <w:sz w:val="20"/>
          <w:highlight w:val="none"/>
        </w:rPr>
        <w:fldChar w:fldCharType="separate"/>
      </w:r>
      <w:r>
        <w:rPr>
          <w:rFonts w:ascii="Times New Roman" w:hAnsiTheme="minorEastAsia" w:eastAsiaTheme="minorEastAsia"/>
          <w:color w:val="000000" w:themeColor="text1"/>
          <w:sz w:val="20"/>
          <w:highlight w:val="none"/>
          <w:lang w:val="en-US"/>
        </w:rPr>
        <w:t>⑥</w:t>
      </w:r>
      <w:r>
        <w:rPr>
          <w:rFonts w:ascii="Times New Roman" w:eastAsiaTheme="minorEastAsia"/>
          <w:snapToGrid w:val="0"/>
          <w:color w:val="000000" w:themeColor="text1"/>
          <w:spacing w:val="-16"/>
          <w:kern w:val="21"/>
          <w:sz w:val="20"/>
          <w:highlight w:val="none"/>
        </w:rPr>
        <w:fldChar w:fldCharType="end"/>
      </w:r>
      <w:r>
        <w:rPr>
          <w:rFonts w:ascii="Times New Roman" w:eastAsiaTheme="minorEastAsia"/>
          <w:snapToGrid w:val="0"/>
          <w:color w:val="000000" w:themeColor="text1"/>
          <w:spacing w:val="-1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1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①</w:t>
      </w:r>
      <w:r>
        <w:rPr>
          <w:rFonts w:ascii="Times New Roman" w:eastAsiaTheme="minorEastAsia"/>
          <w:snapToGrid w:val="0"/>
          <w:color w:val="000000" w:themeColor="text1"/>
          <w:spacing w:val="-6"/>
          <w:kern w:val="21"/>
          <w:sz w:val="20"/>
          <w:highlight w:val="none"/>
        </w:rPr>
        <w:fldChar w:fldCharType="end"/>
      </w:r>
      <w:r>
        <w:rPr>
          <w:rFonts w:ascii="Times New Roman" w:eastAsiaTheme="minorEastAsia"/>
          <w:snapToGrid w:val="0"/>
          <w:color w:val="000000" w:themeColor="text1"/>
          <w:spacing w:val="-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3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③</w:t>
      </w:r>
      <w:r>
        <w:rPr>
          <w:rFonts w:ascii="Times New Roman" w:eastAsiaTheme="minorEastAsia"/>
          <w:snapToGrid w:val="0"/>
          <w:color w:val="000000" w:themeColor="text1"/>
          <w:spacing w:val="-6"/>
          <w:kern w:val="21"/>
          <w:sz w:val="20"/>
          <w:highlight w:val="none"/>
        </w:rPr>
        <w:fldChar w:fldCharType="end"/>
      </w:r>
      <w:r>
        <w:rPr>
          <w:rFonts w:ascii="Times New Roman" w:eastAsiaTheme="minorEastAsia"/>
          <w:snapToGrid w:val="0"/>
          <w:color w:val="000000" w:themeColor="text1"/>
          <w:spacing w:val="-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4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④</w:t>
      </w:r>
      <w:r>
        <w:rPr>
          <w:rFonts w:ascii="Times New Roman" w:eastAsiaTheme="minorEastAsia"/>
          <w:snapToGrid w:val="0"/>
          <w:color w:val="000000" w:themeColor="text1"/>
          <w:spacing w:val="-6"/>
          <w:kern w:val="21"/>
          <w:sz w:val="20"/>
          <w:highlight w:val="none"/>
        </w:rPr>
        <w:fldChar w:fldCharType="end"/>
      </w:r>
      <w:r>
        <w:rPr>
          <w:rFonts w:ascii="Times New Roman" w:eastAsiaTheme="minorEastAsia"/>
          <w:snapToGrid w:val="0"/>
          <w:color w:val="000000" w:themeColor="text1"/>
          <w:spacing w:val="-6"/>
          <w:kern w:val="21"/>
          <w:sz w:val="20"/>
          <w:highlight w:val="none"/>
          <w:lang w:val="en-US"/>
        </w:rPr>
        <w:t>-</w:t>
      </w:r>
      <w:r>
        <w:rPr>
          <w:rFonts w:ascii="Times New Roman" w:eastAsiaTheme="minorEastAsia"/>
          <w:snapToGrid w:val="0"/>
          <w:color w:val="000000" w:themeColor="text1"/>
          <w:spacing w:val="-16"/>
          <w:kern w:val="21"/>
          <w:sz w:val="20"/>
          <w:highlight w:val="none"/>
        </w:rPr>
        <w:fldChar w:fldCharType="begin"/>
      </w:r>
      <w:r>
        <w:rPr>
          <w:rFonts w:ascii="Times New Roman" w:eastAsiaTheme="minorEastAsia"/>
          <w:snapToGrid w:val="0"/>
          <w:color w:val="000000" w:themeColor="text1"/>
          <w:spacing w:val="-16"/>
          <w:kern w:val="21"/>
          <w:sz w:val="20"/>
          <w:highlight w:val="none"/>
          <w:lang w:val="en-US"/>
        </w:rPr>
        <w:instrText xml:space="preserve"> = 5 \* GB3 \* MERGEFORMAT </w:instrText>
      </w:r>
      <w:r>
        <w:rPr>
          <w:rFonts w:ascii="Times New Roman" w:eastAsiaTheme="minorEastAsia"/>
          <w:snapToGrid w:val="0"/>
          <w:color w:val="000000" w:themeColor="text1"/>
          <w:spacing w:val="-16"/>
          <w:kern w:val="21"/>
          <w:sz w:val="20"/>
          <w:highlight w:val="none"/>
        </w:rPr>
        <w:fldChar w:fldCharType="separate"/>
      </w:r>
      <w:r>
        <w:rPr>
          <w:rFonts w:ascii="Times New Roman" w:hAnsiTheme="minorEastAsia" w:eastAsiaTheme="minorEastAsia"/>
          <w:color w:val="000000" w:themeColor="text1"/>
          <w:sz w:val="20"/>
          <w:highlight w:val="none"/>
          <w:lang w:val="en-US"/>
        </w:rPr>
        <w:t>⑤</w:t>
      </w:r>
      <w:r>
        <w:rPr>
          <w:rFonts w:ascii="Times New Roman" w:eastAsiaTheme="minorEastAsia"/>
          <w:snapToGrid w:val="0"/>
          <w:color w:val="000000" w:themeColor="text1"/>
          <w:spacing w:val="-16"/>
          <w:kern w:val="21"/>
          <w:sz w:val="20"/>
          <w:highlight w:val="none"/>
        </w:rPr>
        <w:fldChar w:fldCharType="end"/>
      </w:r>
      <w:r>
        <w:rPr>
          <w:rFonts w:ascii="Times New Roman" w:hAnsiTheme="minorEastAsia" w:eastAsiaTheme="minorEastAsia"/>
          <w:snapToGrid w:val="0"/>
          <w:color w:val="000000" w:themeColor="text1"/>
          <w:spacing w:val="-1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7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⑦</w:t>
      </w:r>
      <w:r>
        <w:rPr>
          <w:rFonts w:ascii="Times New Roman" w:eastAsiaTheme="minorEastAsia"/>
          <w:snapToGrid w:val="0"/>
          <w:color w:val="000000" w:themeColor="text1"/>
          <w:spacing w:val="-6"/>
          <w:kern w:val="21"/>
          <w:sz w:val="20"/>
          <w:highlight w:val="none"/>
        </w:rPr>
        <w:fldChar w:fldCharType="end"/>
      </w:r>
      <w:r>
        <w:rPr>
          <w:rFonts w:ascii="Times New Roman" w:eastAsiaTheme="minorEastAsia"/>
          <w:snapToGrid w:val="0"/>
          <w:color w:val="000000" w:themeColor="text1"/>
          <w:spacing w:val="-6"/>
          <w:kern w:val="21"/>
          <w:sz w:val="20"/>
          <w:highlight w:val="none"/>
          <w:lang w:val="en-US"/>
        </w:rPr>
        <w:t>=</w:t>
      </w:r>
      <w:r>
        <w:rPr>
          <w:rFonts w:ascii="Times New Roman" w:eastAsiaTheme="minorEastAsia"/>
          <w:snapToGrid w:val="0"/>
          <w:color w:val="000000" w:themeColor="text1"/>
          <w:spacing w:val="-16"/>
          <w:kern w:val="21"/>
          <w:sz w:val="20"/>
          <w:highlight w:val="none"/>
        </w:rPr>
        <w:fldChar w:fldCharType="begin"/>
      </w:r>
      <w:r>
        <w:rPr>
          <w:rFonts w:ascii="Times New Roman" w:eastAsiaTheme="minorEastAsia"/>
          <w:snapToGrid w:val="0"/>
          <w:color w:val="000000" w:themeColor="text1"/>
          <w:spacing w:val="-16"/>
          <w:kern w:val="21"/>
          <w:sz w:val="20"/>
          <w:highlight w:val="none"/>
          <w:lang w:val="en-US"/>
        </w:rPr>
        <w:instrText xml:space="preserve"> = 6 \* GB3 \* MERGEFORMAT </w:instrText>
      </w:r>
      <w:r>
        <w:rPr>
          <w:rFonts w:ascii="Times New Roman" w:eastAsiaTheme="minorEastAsia"/>
          <w:snapToGrid w:val="0"/>
          <w:color w:val="000000" w:themeColor="text1"/>
          <w:spacing w:val="-16"/>
          <w:kern w:val="21"/>
          <w:sz w:val="20"/>
          <w:highlight w:val="none"/>
        </w:rPr>
        <w:fldChar w:fldCharType="separate"/>
      </w:r>
      <w:r>
        <w:rPr>
          <w:rFonts w:ascii="Times New Roman" w:hAnsiTheme="minorEastAsia" w:eastAsiaTheme="minorEastAsia"/>
          <w:color w:val="000000" w:themeColor="text1"/>
          <w:sz w:val="20"/>
          <w:highlight w:val="none"/>
          <w:lang w:val="en-US"/>
        </w:rPr>
        <w:t>⑥</w:t>
      </w:r>
      <w:r>
        <w:rPr>
          <w:rFonts w:ascii="Times New Roman" w:eastAsiaTheme="minorEastAsia"/>
          <w:snapToGrid w:val="0"/>
          <w:color w:val="000000" w:themeColor="text1"/>
          <w:spacing w:val="-16"/>
          <w:kern w:val="21"/>
          <w:sz w:val="20"/>
          <w:highlight w:val="none"/>
        </w:rPr>
        <w:fldChar w:fldCharType="end"/>
      </w:r>
      <w:r>
        <w:rPr>
          <w:rFonts w:ascii="Times New Roman" w:eastAsiaTheme="minorEastAsia"/>
          <w:snapToGrid w:val="0"/>
          <w:color w:val="000000" w:themeColor="text1"/>
          <w:spacing w:val="-16"/>
          <w:kern w:val="21"/>
          <w:sz w:val="20"/>
          <w:highlight w:val="none"/>
          <w:lang w:val="en-US"/>
        </w:rPr>
        <w:t>-</w:t>
      </w:r>
      <w:r>
        <w:rPr>
          <w:rFonts w:ascii="Times New Roman" w:eastAsiaTheme="minorEastAsia"/>
          <w:snapToGrid w:val="0"/>
          <w:color w:val="000000" w:themeColor="text1"/>
          <w:spacing w:val="-6"/>
          <w:kern w:val="21"/>
          <w:sz w:val="20"/>
          <w:highlight w:val="none"/>
        </w:rPr>
        <w:fldChar w:fldCharType="begin"/>
      </w:r>
      <w:r>
        <w:rPr>
          <w:rFonts w:ascii="Times New Roman" w:eastAsiaTheme="minorEastAsia"/>
          <w:snapToGrid w:val="0"/>
          <w:color w:val="000000" w:themeColor="text1"/>
          <w:spacing w:val="-6"/>
          <w:kern w:val="21"/>
          <w:sz w:val="20"/>
          <w:highlight w:val="none"/>
          <w:lang w:val="en-US"/>
        </w:rPr>
        <w:instrText xml:space="preserve"> = 1 \* GB3 \* MERGEFORMAT </w:instrText>
      </w:r>
      <w:r>
        <w:rPr>
          <w:rFonts w:ascii="Times New Roman" w:eastAsiaTheme="minorEastAsia"/>
          <w:snapToGrid w:val="0"/>
          <w:color w:val="000000" w:themeColor="text1"/>
          <w:spacing w:val="-6"/>
          <w:kern w:val="21"/>
          <w:sz w:val="20"/>
          <w:highlight w:val="none"/>
        </w:rPr>
        <w:fldChar w:fldCharType="separate"/>
      </w:r>
      <w:r>
        <w:rPr>
          <w:rFonts w:ascii="Times New Roman" w:hAnsiTheme="minorEastAsia" w:eastAsiaTheme="minorEastAsia"/>
          <w:color w:val="000000" w:themeColor="text1"/>
          <w:sz w:val="20"/>
          <w:highlight w:val="none"/>
          <w:lang w:val="en-US"/>
        </w:rPr>
        <w:t>①</w:t>
      </w:r>
      <w:r>
        <w:rPr>
          <w:rFonts w:ascii="Times New Roman" w:eastAsiaTheme="minorEastAsia"/>
          <w:snapToGrid w:val="0"/>
          <w:color w:val="000000" w:themeColor="text1"/>
          <w:spacing w:val="-6"/>
          <w:kern w:val="21"/>
          <w:sz w:val="20"/>
          <w:highlight w:val="none"/>
        </w:rPr>
        <w:fldChar w:fldCharType="end"/>
      </w:r>
    </w:p>
    <w:sectPr>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81861"/>
    </w:sdtPr>
    <w:sdtContent>
      <w:p>
        <w:pPr>
          <w:pStyle w:val="14"/>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FED45"/>
    <w:multiLevelType w:val="singleLevel"/>
    <w:tmpl w:val="FABFED45"/>
    <w:lvl w:ilvl="0" w:tentative="0">
      <w:start w:val="2"/>
      <w:numFmt w:val="decimal"/>
      <w:suff w:val="nothing"/>
      <w:lvlText w:val="%1、"/>
      <w:lvlJc w:val="left"/>
    </w:lvl>
  </w:abstractNum>
  <w:abstractNum w:abstractNumId="1">
    <w:nsid w:val="13260691"/>
    <w:multiLevelType w:val="singleLevel"/>
    <w:tmpl w:val="13260691"/>
    <w:lvl w:ilvl="0" w:tentative="0">
      <w:start w:val="2"/>
      <w:numFmt w:val="decimal"/>
      <w:suff w:val="nothing"/>
      <w:lvlText w:val="（%1）"/>
      <w:lvlJc w:val="left"/>
    </w:lvl>
  </w:abstractNum>
  <w:abstractNum w:abstractNumId="2">
    <w:nsid w:val="4E5D6929"/>
    <w:multiLevelType w:val="singleLevel"/>
    <w:tmpl w:val="4E5D692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trackedChanges" w:enforcement="0"/>
  <w:defaultTabStop w:val="420"/>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zYTQ1NTA2MTNmNmYwOWE3YjBmN2FiZTI2ZmU0M2YifQ=="/>
  </w:docVars>
  <w:rsids>
    <w:rsidRoot w:val="00A14947"/>
    <w:rsid w:val="00000648"/>
    <w:rsid w:val="0000078D"/>
    <w:rsid w:val="00000C0B"/>
    <w:rsid w:val="000016C7"/>
    <w:rsid w:val="00001936"/>
    <w:rsid w:val="000029A3"/>
    <w:rsid w:val="0000322D"/>
    <w:rsid w:val="00003430"/>
    <w:rsid w:val="00003513"/>
    <w:rsid w:val="000044A8"/>
    <w:rsid w:val="0000457E"/>
    <w:rsid w:val="00005602"/>
    <w:rsid w:val="000060B3"/>
    <w:rsid w:val="000067EB"/>
    <w:rsid w:val="00007487"/>
    <w:rsid w:val="00007953"/>
    <w:rsid w:val="000106DC"/>
    <w:rsid w:val="00010994"/>
    <w:rsid w:val="0001214C"/>
    <w:rsid w:val="00012882"/>
    <w:rsid w:val="00013CB5"/>
    <w:rsid w:val="00014F31"/>
    <w:rsid w:val="0001572A"/>
    <w:rsid w:val="000162E8"/>
    <w:rsid w:val="00020541"/>
    <w:rsid w:val="000207A5"/>
    <w:rsid w:val="0002101A"/>
    <w:rsid w:val="0002204F"/>
    <w:rsid w:val="0002227F"/>
    <w:rsid w:val="000228E7"/>
    <w:rsid w:val="000233AA"/>
    <w:rsid w:val="0002342A"/>
    <w:rsid w:val="000237D6"/>
    <w:rsid w:val="000239F2"/>
    <w:rsid w:val="00023BA2"/>
    <w:rsid w:val="00023CDD"/>
    <w:rsid w:val="00024785"/>
    <w:rsid w:val="00025007"/>
    <w:rsid w:val="0002537A"/>
    <w:rsid w:val="00025A1B"/>
    <w:rsid w:val="00026577"/>
    <w:rsid w:val="0002658A"/>
    <w:rsid w:val="0003026A"/>
    <w:rsid w:val="000307DF"/>
    <w:rsid w:val="000309F6"/>
    <w:rsid w:val="00030B4C"/>
    <w:rsid w:val="00030D07"/>
    <w:rsid w:val="00030F39"/>
    <w:rsid w:val="00031992"/>
    <w:rsid w:val="00032326"/>
    <w:rsid w:val="00032575"/>
    <w:rsid w:val="000333F2"/>
    <w:rsid w:val="0003568A"/>
    <w:rsid w:val="00040BCD"/>
    <w:rsid w:val="0004196F"/>
    <w:rsid w:val="00042A43"/>
    <w:rsid w:val="00042ED5"/>
    <w:rsid w:val="000434CE"/>
    <w:rsid w:val="0004364B"/>
    <w:rsid w:val="0004377D"/>
    <w:rsid w:val="00043A00"/>
    <w:rsid w:val="00043DDE"/>
    <w:rsid w:val="0004419E"/>
    <w:rsid w:val="00044EA6"/>
    <w:rsid w:val="000452DB"/>
    <w:rsid w:val="00045751"/>
    <w:rsid w:val="000466A4"/>
    <w:rsid w:val="00046906"/>
    <w:rsid w:val="00046F24"/>
    <w:rsid w:val="00050444"/>
    <w:rsid w:val="0005129F"/>
    <w:rsid w:val="000518A5"/>
    <w:rsid w:val="000519DC"/>
    <w:rsid w:val="00051A1B"/>
    <w:rsid w:val="00053917"/>
    <w:rsid w:val="00053CF0"/>
    <w:rsid w:val="00053DA1"/>
    <w:rsid w:val="00054345"/>
    <w:rsid w:val="00055196"/>
    <w:rsid w:val="00057675"/>
    <w:rsid w:val="00057CAA"/>
    <w:rsid w:val="000613CC"/>
    <w:rsid w:val="00061743"/>
    <w:rsid w:val="00061B1F"/>
    <w:rsid w:val="000622F4"/>
    <w:rsid w:val="00063A09"/>
    <w:rsid w:val="00063DFB"/>
    <w:rsid w:val="00064A25"/>
    <w:rsid w:val="00064CA7"/>
    <w:rsid w:val="000658FF"/>
    <w:rsid w:val="00066079"/>
    <w:rsid w:val="00066282"/>
    <w:rsid w:val="000666FA"/>
    <w:rsid w:val="00066E63"/>
    <w:rsid w:val="00066FF5"/>
    <w:rsid w:val="00067041"/>
    <w:rsid w:val="000675CC"/>
    <w:rsid w:val="00071A33"/>
    <w:rsid w:val="00073289"/>
    <w:rsid w:val="000733C4"/>
    <w:rsid w:val="00073DA7"/>
    <w:rsid w:val="00074420"/>
    <w:rsid w:val="00074783"/>
    <w:rsid w:val="000766B6"/>
    <w:rsid w:val="00076C3B"/>
    <w:rsid w:val="00076E3E"/>
    <w:rsid w:val="00077836"/>
    <w:rsid w:val="0008070B"/>
    <w:rsid w:val="00080775"/>
    <w:rsid w:val="000810AC"/>
    <w:rsid w:val="000810D3"/>
    <w:rsid w:val="0008118F"/>
    <w:rsid w:val="000812DA"/>
    <w:rsid w:val="00081A02"/>
    <w:rsid w:val="00081BC2"/>
    <w:rsid w:val="00081CCC"/>
    <w:rsid w:val="00082231"/>
    <w:rsid w:val="000823CC"/>
    <w:rsid w:val="0008269C"/>
    <w:rsid w:val="00082883"/>
    <w:rsid w:val="000830DB"/>
    <w:rsid w:val="0008319A"/>
    <w:rsid w:val="000841D6"/>
    <w:rsid w:val="00084EEE"/>
    <w:rsid w:val="0008533C"/>
    <w:rsid w:val="00085D80"/>
    <w:rsid w:val="00085F85"/>
    <w:rsid w:val="00086074"/>
    <w:rsid w:val="000867E2"/>
    <w:rsid w:val="00087CF3"/>
    <w:rsid w:val="00090440"/>
    <w:rsid w:val="0009071D"/>
    <w:rsid w:val="0009088B"/>
    <w:rsid w:val="00090FE9"/>
    <w:rsid w:val="000912E3"/>
    <w:rsid w:val="0009189C"/>
    <w:rsid w:val="000920DB"/>
    <w:rsid w:val="000920FF"/>
    <w:rsid w:val="00092AE7"/>
    <w:rsid w:val="00092B02"/>
    <w:rsid w:val="00092B06"/>
    <w:rsid w:val="00092D38"/>
    <w:rsid w:val="00092DDD"/>
    <w:rsid w:val="00093121"/>
    <w:rsid w:val="0009377B"/>
    <w:rsid w:val="00093F8D"/>
    <w:rsid w:val="00095FDC"/>
    <w:rsid w:val="0009697D"/>
    <w:rsid w:val="00097F36"/>
    <w:rsid w:val="000A0198"/>
    <w:rsid w:val="000A03CF"/>
    <w:rsid w:val="000A0C6B"/>
    <w:rsid w:val="000A13E9"/>
    <w:rsid w:val="000A1C6A"/>
    <w:rsid w:val="000A20C9"/>
    <w:rsid w:val="000A2128"/>
    <w:rsid w:val="000A2332"/>
    <w:rsid w:val="000A2968"/>
    <w:rsid w:val="000A2AC6"/>
    <w:rsid w:val="000A400D"/>
    <w:rsid w:val="000A4ADA"/>
    <w:rsid w:val="000A5194"/>
    <w:rsid w:val="000A57DE"/>
    <w:rsid w:val="000A5ECA"/>
    <w:rsid w:val="000A67B8"/>
    <w:rsid w:val="000B058F"/>
    <w:rsid w:val="000B3517"/>
    <w:rsid w:val="000B35F9"/>
    <w:rsid w:val="000B4467"/>
    <w:rsid w:val="000B463E"/>
    <w:rsid w:val="000B4C7B"/>
    <w:rsid w:val="000B4DB9"/>
    <w:rsid w:val="000B59A5"/>
    <w:rsid w:val="000B6AD6"/>
    <w:rsid w:val="000B7286"/>
    <w:rsid w:val="000B77E3"/>
    <w:rsid w:val="000B79BD"/>
    <w:rsid w:val="000B7D5D"/>
    <w:rsid w:val="000C09AC"/>
    <w:rsid w:val="000C12FF"/>
    <w:rsid w:val="000C17BC"/>
    <w:rsid w:val="000C1C5A"/>
    <w:rsid w:val="000C22AB"/>
    <w:rsid w:val="000C3600"/>
    <w:rsid w:val="000C3E94"/>
    <w:rsid w:val="000C4207"/>
    <w:rsid w:val="000C42E3"/>
    <w:rsid w:val="000C681E"/>
    <w:rsid w:val="000C6B54"/>
    <w:rsid w:val="000C767F"/>
    <w:rsid w:val="000D10C6"/>
    <w:rsid w:val="000D13A3"/>
    <w:rsid w:val="000D396C"/>
    <w:rsid w:val="000D4463"/>
    <w:rsid w:val="000D49F5"/>
    <w:rsid w:val="000D50A2"/>
    <w:rsid w:val="000D55B7"/>
    <w:rsid w:val="000D56F5"/>
    <w:rsid w:val="000D5A44"/>
    <w:rsid w:val="000D6353"/>
    <w:rsid w:val="000D6A07"/>
    <w:rsid w:val="000D6E6B"/>
    <w:rsid w:val="000D73E1"/>
    <w:rsid w:val="000D786E"/>
    <w:rsid w:val="000E01CB"/>
    <w:rsid w:val="000E066E"/>
    <w:rsid w:val="000E0844"/>
    <w:rsid w:val="000E2AAE"/>
    <w:rsid w:val="000E2EDF"/>
    <w:rsid w:val="000E352A"/>
    <w:rsid w:val="000E3ED2"/>
    <w:rsid w:val="000E435A"/>
    <w:rsid w:val="000E4C3B"/>
    <w:rsid w:val="000E4D79"/>
    <w:rsid w:val="000E4E40"/>
    <w:rsid w:val="000E66AA"/>
    <w:rsid w:val="000E6DD6"/>
    <w:rsid w:val="000F17FE"/>
    <w:rsid w:val="000F258B"/>
    <w:rsid w:val="000F2D0F"/>
    <w:rsid w:val="000F341E"/>
    <w:rsid w:val="000F3496"/>
    <w:rsid w:val="000F3966"/>
    <w:rsid w:val="000F3C46"/>
    <w:rsid w:val="000F3C88"/>
    <w:rsid w:val="000F4414"/>
    <w:rsid w:val="000F46A5"/>
    <w:rsid w:val="000F4FB0"/>
    <w:rsid w:val="000F59D2"/>
    <w:rsid w:val="000F6AF7"/>
    <w:rsid w:val="000F6BB7"/>
    <w:rsid w:val="000F7DDF"/>
    <w:rsid w:val="00100E2A"/>
    <w:rsid w:val="001013A7"/>
    <w:rsid w:val="0010569A"/>
    <w:rsid w:val="00105785"/>
    <w:rsid w:val="00105C0A"/>
    <w:rsid w:val="001064B6"/>
    <w:rsid w:val="00107789"/>
    <w:rsid w:val="00107867"/>
    <w:rsid w:val="00107AED"/>
    <w:rsid w:val="0011069D"/>
    <w:rsid w:val="00110EB9"/>
    <w:rsid w:val="00110F08"/>
    <w:rsid w:val="00110F6D"/>
    <w:rsid w:val="00111B52"/>
    <w:rsid w:val="00111DE2"/>
    <w:rsid w:val="001121B4"/>
    <w:rsid w:val="00112571"/>
    <w:rsid w:val="001127E9"/>
    <w:rsid w:val="00113047"/>
    <w:rsid w:val="00113AF1"/>
    <w:rsid w:val="00114420"/>
    <w:rsid w:val="00114596"/>
    <w:rsid w:val="00114E0E"/>
    <w:rsid w:val="00115382"/>
    <w:rsid w:val="001153E0"/>
    <w:rsid w:val="00115E42"/>
    <w:rsid w:val="0012054A"/>
    <w:rsid w:val="00120B30"/>
    <w:rsid w:val="00120C8F"/>
    <w:rsid w:val="00122722"/>
    <w:rsid w:val="001230E3"/>
    <w:rsid w:val="0012359A"/>
    <w:rsid w:val="00123728"/>
    <w:rsid w:val="00123E8E"/>
    <w:rsid w:val="001245B8"/>
    <w:rsid w:val="00124D53"/>
    <w:rsid w:val="00125EDF"/>
    <w:rsid w:val="00126E7F"/>
    <w:rsid w:val="001274FF"/>
    <w:rsid w:val="0013054D"/>
    <w:rsid w:val="00130775"/>
    <w:rsid w:val="00130B32"/>
    <w:rsid w:val="00130D40"/>
    <w:rsid w:val="00131176"/>
    <w:rsid w:val="0013121C"/>
    <w:rsid w:val="00131F42"/>
    <w:rsid w:val="0013313E"/>
    <w:rsid w:val="001331E6"/>
    <w:rsid w:val="001332C6"/>
    <w:rsid w:val="00133E80"/>
    <w:rsid w:val="0013517A"/>
    <w:rsid w:val="0013521E"/>
    <w:rsid w:val="001357F1"/>
    <w:rsid w:val="00135A63"/>
    <w:rsid w:val="00135D69"/>
    <w:rsid w:val="00136010"/>
    <w:rsid w:val="001368EE"/>
    <w:rsid w:val="00136F84"/>
    <w:rsid w:val="001374CF"/>
    <w:rsid w:val="00137794"/>
    <w:rsid w:val="001378E3"/>
    <w:rsid w:val="00137D2B"/>
    <w:rsid w:val="00137EC1"/>
    <w:rsid w:val="00140FA8"/>
    <w:rsid w:val="0014109E"/>
    <w:rsid w:val="00141E2E"/>
    <w:rsid w:val="00141F13"/>
    <w:rsid w:val="00142C93"/>
    <w:rsid w:val="00142FEB"/>
    <w:rsid w:val="001435BF"/>
    <w:rsid w:val="00143A2D"/>
    <w:rsid w:val="00143A93"/>
    <w:rsid w:val="00143B17"/>
    <w:rsid w:val="001445E9"/>
    <w:rsid w:val="001449F7"/>
    <w:rsid w:val="00145031"/>
    <w:rsid w:val="00145A41"/>
    <w:rsid w:val="001466DA"/>
    <w:rsid w:val="00147155"/>
    <w:rsid w:val="00147FCF"/>
    <w:rsid w:val="00151675"/>
    <w:rsid w:val="001517A3"/>
    <w:rsid w:val="00151A40"/>
    <w:rsid w:val="00153CEC"/>
    <w:rsid w:val="00153E1E"/>
    <w:rsid w:val="00154C62"/>
    <w:rsid w:val="00155D1B"/>
    <w:rsid w:val="00155EF1"/>
    <w:rsid w:val="00155FEB"/>
    <w:rsid w:val="001567E0"/>
    <w:rsid w:val="00157435"/>
    <w:rsid w:val="0016026A"/>
    <w:rsid w:val="001610F9"/>
    <w:rsid w:val="00161335"/>
    <w:rsid w:val="00161926"/>
    <w:rsid w:val="00161BD3"/>
    <w:rsid w:val="00162D98"/>
    <w:rsid w:val="00163CBC"/>
    <w:rsid w:val="00165568"/>
    <w:rsid w:val="00165B1F"/>
    <w:rsid w:val="001661CD"/>
    <w:rsid w:val="001669E8"/>
    <w:rsid w:val="00171796"/>
    <w:rsid w:val="001723C4"/>
    <w:rsid w:val="001742B1"/>
    <w:rsid w:val="001744FC"/>
    <w:rsid w:val="0017452C"/>
    <w:rsid w:val="00174846"/>
    <w:rsid w:val="0017504D"/>
    <w:rsid w:val="001752B2"/>
    <w:rsid w:val="001759CA"/>
    <w:rsid w:val="00175C23"/>
    <w:rsid w:val="00175D2D"/>
    <w:rsid w:val="00175ED9"/>
    <w:rsid w:val="0017655A"/>
    <w:rsid w:val="0017671A"/>
    <w:rsid w:val="00177422"/>
    <w:rsid w:val="00177F11"/>
    <w:rsid w:val="00180733"/>
    <w:rsid w:val="00180D34"/>
    <w:rsid w:val="0018175B"/>
    <w:rsid w:val="00182101"/>
    <w:rsid w:val="0018279C"/>
    <w:rsid w:val="00182EA4"/>
    <w:rsid w:val="00183159"/>
    <w:rsid w:val="001834AC"/>
    <w:rsid w:val="00183B50"/>
    <w:rsid w:val="00183EF3"/>
    <w:rsid w:val="001841FB"/>
    <w:rsid w:val="00184523"/>
    <w:rsid w:val="00184590"/>
    <w:rsid w:val="001847D0"/>
    <w:rsid w:val="00185882"/>
    <w:rsid w:val="001861AD"/>
    <w:rsid w:val="00186834"/>
    <w:rsid w:val="001870D1"/>
    <w:rsid w:val="001871EF"/>
    <w:rsid w:val="0018749B"/>
    <w:rsid w:val="0018781E"/>
    <w:rsid w:val="001915A1"/>
    <w:rsid w:val="001915CE"/>
    <w:rsid w:val="001919BE"/>
    <w:rsid w:val="0019262D"/>
    <w:rsid w:val="00192B05"/>
    <w:rsid w:val="00192B08"/>
    <w:rsid w:val="00192D00"/>
    <w:rsid w:val="00192ED8"/>
    <w:rsid w:val="00194282"/>
    <w:rsid w:val="001943FB"/>
    <w:rsid w:val="001959AF"/>
    <w:rsid w:val="00195A6D"/>
    <w:rsid w:val="001963F9"/>
    <w:rsid w:val="0019658D"/>
    <w:rsid w:val="00196916"/>
    <w:rsid w:val="001A10D5"/>
    <w:rsid w:val="001A1476"/>
    <w:rsid w:val="001A18A3"/>
    <w:rsid w:val="001A1B35"/>
    <w:rsid w:val="001A259E"/>
    <w:rsid w:val="001A2A61"/>
    <w:rsid w:val="001A2D6D"/>
    <w:rsid w:val="001A3A6B"/>
    <w:rsid w:val="001A3B4E"/>
    <w:rsid w:val="001A3F11"/>
    <w:rsid w:val="001A3F80"/>
    <w:rsid w:val="001A48A2"/>
    <w:rsid w:val="001A4AA0"/>
    <w:rsid w:val="001A4E19"/>
    <w:rsid w:val="001A666A"/>
    <w:rsid w:val="001A6F61"/>
    <w:rsid w:val="001B216C"/>
    <w:rsid w:val="001B32FA"/>
    <w:rsid w:val="001B367A"/>
    <w:rsid w:val="001B3F8C"/>
    <w:rsid w:val="001B453A"/>
    <w:rsid w:val="001B5B79"/>
    <w:rsid w:val="001B5F68"/>
    <w:rsid w:val="001B6263"/>
    <w:rsid w:val="001B65CE"/>
    <w:rsid w:val="001B70B4"/>
    <w:rsid w:val="001B72B8"/>
    <w:rsid w:val="001C0475"/>
    <w:rsid w:val="001C0771"/>
    <w:rsid w:val="001C08B8"/>
    <w:rsid w:val="001C1D8D"/>
    <w:rsid w:val="001C236A"/>
    <w:rsid w:val="001C2AB6"/>
    <w:rsid w:val="001C2F59"/>
    <w:rsid w:val="001C57B2"/>
    <w:rsid w:val="001C5A8D"/>
    <w:rsid w:val="001C5F36"/>
    <w:rsid w:val="001C69B3"/>
    <w:rsid w:val="001C7372"/>
    <w:rsid w:val="001C781E"/>
    <w:rsid w:val="001C7C15"/>
    <w:rsid w:val="001D014B"/>
    <w:rsid w:val="001D0A22"/>
    <w:rsid w:val="001D1DC8"/>
    <w:rsid w:val="001D20F3"/>
    <w:rsid w:val="001D3000"/>
    <w:rsid w:val="001D3562"/>
    <w:rsid w:val="001D4944"/>
    <w:rsid w:val="001D5595"/>
    <w:rsid w:val="001D6A1E"/>
    <w:rsid w:val="001D6B0A"/>
    <w:rsid w:val="001D6DFD"/>
    <w:rsid w:val="001D7874"/>
    <w:rsid w:val="001D7F22"/>
    <w:rsid w:val="001E0B9E"/>
    <w:rsid w:val="001E2890"/>
    <w:rsid w:val="001E3775"/>
    <w:rsid w:val="001E4412"/>
    <w:rsid w:val="001E4C29"/>
    <w:rsid w:val="001E525A"/>
    <w:rsid w:val="001E6CB9"/>
    <w:rsid w:val="001E6DD9"/>
    <w:rsid w:val="001E6E74"/>
    <w:rsid w:val="001F0F17"/>
    <w:rsid w:val="001F1895"/>
    <w:rsid w:val="001F1F43"/>
    <w:rsid w:val="001F26AE"/>
    <w:rsid w:val="001F3347"/>
    <w:rsid w:val="001F3896"/>
    <w:rsid w:val="001F546A"/>
    <w:rsid w:val="001F60EE"/>
    <w:rsid w:val="001F6198"/>
    <w:rsid w:val="001F6409"/>
    <w:rsid w:val="001F6478"/>
    <w:rsid w:val="001F69E4"/>
    <w:rsid w:val="001F72E1"/>
    <w:rsid w:val="001F79C0"/>
    <w:rsid w:val="001F7C0D"/>
    <w:rsid w:val="002004B8"/>
    <w:rsid w:val="00200582"/>
    <w:rsid w:val="00200FB5"/>
    <w:rsid w:val="00201A7F"/>
    <w:rsid w:val="00202E2C"/>
    <w:rsid w:val="002033D6"/>
    <w:rsid w:val="002037AB"/>
    <w:rsid w:val="00203C45"/>
    <w:rsid w:val="00203FF0"/>
    <w:rsid w:val="0020482B"/>
    <w:rsid w:val="00204C55"/>
    <w:rsid w:val="00205954"/>
    <w:rsid w:val="00205D20"/>
    <w:rsid w:val="002071CC"/>
    <w:rsid w:val="0020799A"/>
    <w:rsid w:val="00207BD2"/>
    <w:rsid w:val="00210028"/>
    <w:rsid w:val="0021194B"/>
    <w:rsid w:val="00211A0C"/>
    <w:rsid w:val="002125B4"/>
    <w:rsid w:val="00214084"/>
    <w:rsid w:val="002142D0"/>
    <w:rsid w:val="0021510E"/>
    <w:rsid w:val="00215149"/>
    <w:rsid w:val="0021528A"/>
    <w:rsid w:val="002155B8"/>
    <w:rsid w:val="00216447"/>
    <w:rsid w:val="00216B09"/>
    <w:rsid w:val="00217D3A"/>
    <w:rsid w:val="00220714"/>
    <w:rsid w:val="0022085D"/>
    <w:rsid w:val="002208AB"/>
    <w:rsid w:val="002210BA"/>
    <w:rsid w:val="0022145E"/>
    <w:rsid w:val="0022228B"/>
    <w:rsid w:val="002226EF"/>
    <w:rsid w:val="002228AB"/>
    <w:rsid w:val="0022392F"/>
    <w:rsid w:val="00224236"/>
    <w:rsid w:val="00224839"/>
    <w:rsid w:val="00224982"/>
    <w:rsid w:val="002249B2"/>
    <w:rsid w:val="00224CE4"/>
    <w:rsid w:val="002255EB"/>
    <w:rsid w:val="00225790"/>
    <w:rsid w:val="002257E8"/>
    <w:rsid w:val="00226574"/>
    <w:rsid w:val="00226947"/>
    <w:rsid w:val="00226EE4"/>
    <w:rsid w:val="002278EC"/>
    <w:rsid w:val="00227EE7"/>
    <w:rsid w:val="00231C6F"/>
    <w:rsid w:val="00232143"/>
    <w:rsid w:val="00232534"/>
    <w:rsid w:val="0023280E"/>
    <w:rsid w:val="002345F4"/>
    <w:rsid w:val="0023484A"/>
    <w:rsid w:val="00234E20"/>
    <w:rsid w:val="00234F2B"/>
    <w:rsid w:val="00235152"/>
    <w:rsid w:val="002357E0"/>
    <w:rsid w:val="00236767"/>
    <w:rsid w:val="00236D20"/>
    <w:rsid w:val="002375AC"/>
    <w:rsid w:val="002377D1"/>
    <w:rsid w:val="002379BC"/>
    <w:rsid w:val="002404B8"/>
    <w:rsid w:val="00240A5B"/>
    <w:rsid w:val="00240B4A"/>
    <w:rsid w:val="00240D73"/>
    <w:rsid w:val="002416EA"/>
    <w:rsid w:val="002422F8"/>
    <w:rsid w:val="002433B5"/>
    <w:rsid w:val="00243C67"/>
    <w:rsid w:val="00244134"/>
    <w:rsid w:val="00244361"/>
    <w:rsid w:val="00244363"/>
    <w:rsid w:val="002446A7"/>
    <w:rsid w:val="00244A10"/>
    <w:rsid w:val="00244F1E"/>
    <w:rsid w:val="00244F47"/>
    <w:rsid w:val="002454B1"/>
    <w:rsid w:val="0024669F"/>
    <w:rsid w:val="002475C0"/>
    <w:rsid w:val="00247F2F"/>
    <w:rsid w:val="002506BC"/>
    <w:rsid w:val="0025095B"/>
    <w:rsid w:val="00250ED0"/>
    <w:rsid w:val="00251B00"/>
    <w:rsid w:val="00251DA4"/>
    <w:rsid w:val="00251F5A"/>
    <w:rsid w:val="00252E16"/>
    <w:rsid w:val="00252F47"/>
    <w:rsid w:val="00254121"/>
    <w:rsid w:val="00254345"/>
    <w:rsid w:val="002544BC"/>
    <w:rsid w:val="00254F8E"/>
    <w:rsid w:val="00255B56"/>
    <w:rsid w:val="00255C2E"/>
    <w:rsid w:val="00257DD1"/>
    <w:rsid w:val="00257E79"/>
    <w:rsid w:val="00257FB8"/>
    <w:rsid w:val="00260567"/>
    <w:rsid w:val="00260B04"/>
    <w:rsid w:val="0026114B"/>
    <w:rsid w:val="00261999"/>
    <w:rsid w:val="00262697"/>
    <w:rsid w:val="00262A88"/>
    <w:rsid w:val="00262CED"/>
    <w:rsid w:val="00264151"/>
    <w:rsid w:val="00264557"/>
    <w:rsid w:val="002666AC"/>
    <w:rsid w:val="002666E9"/>
    <w:rsid w:val="00266F19"/>
    <w:rsid w:val="00267DA8"/>
    <w:rsid w:val="002711F6"/>
    <w:rsid w:val="00271550"/>
    <w:rsid w:val="0027296B"/>
    <w:rsid w:val="002733AE"/>
    <w:rsid w:val="00273E41"/>
    <w:rsid w:val="00274A78"/>
    <w:rsid w:val="0027619C"/>
    <w:rsid w:val="00276308"/>
    <w:rsid w:val="002764BF"/>
    <w:rsid w:val="00276C40"/>
    <w:rsid w:val="00277157"/>
    <w:rsid w:val="00277580"/>
    <w:rsid w:val="00277722"/>
    <w:rsid w:val="002805AB"/>
    <w:rsid w:val="0028283A"/>
    <w:rsid w:val="00282B4F"/>
    <w:rsid w:val="00282B81"/>
    <w:rsid w:val="002839B5"/>
    <w:rsid w:val="00284204"/>
    <w:rsid w:val="0028461F"/>
    <w:rsid w:val="00284B0D"/>
    <w:rsid w:val="00284F14"/>
    <w:rsid w:val="0028526B"/>
    <w:rsid w:val="00286605"/>
    <w:rsid w:val="002901CB"/>
    <w:rsid w:val="00290DA5"/>
    <w:rsid w:val="00291773"/>
    <w:rsid w:val="00291FF8"/>
    <w:rsid w:val="00293D70"/>
    <w:rsid w:val="00293EA1"/>
    <w:rsid w:val="00293F37"/>
    <w:rsid w:val="00293FCA"/>
    <w:rsid w:val="0029470E"/>
    <w:rsid w:val="00295213"/>
    <w:rsid w:val="00296A94"/>
    <w:rsid w:val="00296E8B"/>
    <w:rsid w:val="002972D3"/>
    <w:rsid w:val="00297E4B"/>
    <w:rsid w:val="002A0CA2"/>
    <w:rsid w:val="002A0ECC"/>
    <w:rsid w:val="002A12C3"/>
    <w:rsid w:val="002A168C"/>
    <w:rsid w:val="002A1BD4"/>
    <w:rsid w:val="002A1FC5"/>
    <w:rsid w:val="002A28A6"/>
    <w:rsid w:val="002A28C8"/>
    <w:rsid w:val="002A2BBC"/>
    <w:rsid w:val="002A2EA9"/>
    <w:rsid w:val="002A31CB"/>
    <w:rsid w:val="002A3920"/>
    <w:rsid w:val="002A3A9F"/>
    <w:rsid w:val="002A3DC7"/>
    <w:rsid w:val="002A42BE"/>
    <w:rsid w:val="002A5EB3"/>
    <w:rsid w:val="002A61C4"/>
    <w:rsid w:val="002A6B25"/>
    <w:rsid w:val="002A7BB9"/>
    <w:rsid w:val="002B0201"/>
    <w:rsid w:val="002B06EB"/>
    <w:rsid w:val="002B21F4"/>
    <w:rsid w:val="002B255D"/>
    <w:rsid w:val="002B2CB8"/>
    <w:rsid w:val="002B2E0A"/>
    <w:rsid w:val="002B3886"/>
    <w:rsid w:val="002B38B1"/>
    <w:rsid w:val="002B4894"/>
    <w:rsid w:val="002B49E2"/>
    <w:rsid w:val="002B4DAD"/>
    <w:rsid w:val="002B51E7"/>
    <w:rsid w:val="002B59E1"/>
    <w:rsid w:val="002B6076"/>
    <w:rsid w:val="002B6C47"/>
    <w:rsid w:val="002B6D87"/>
    <w:rsid w:val="002B7B00"/>
    <w:rsid w:val="002B7BD1"/>
    <w:rsid w:val="002B7C44"/>
    <w:rsid w:val="002C1642"/>
    <w:rsid w:val="002C196C"/>
    <w:rsid w:val="002C2B17"/>
    <w:rsid w:val="002C3205"/>
    <w:rsid w:val="002C4946"/>
    <w:rsid w:val="002C4FAB"/>
    <w:rsid w:val="002C5792"/>
    <w:rsid w:val="002C6928"/>
    <w:rsid w:val="002D0C99"/>
    <w:rsid w:val="002D13A0"/>
    <w:rsid w:val="002D1CF4"/>
    <w:rsid w:val="002D2156"/>
    <w:rsid w:val="002D2FD2"/>
    <w:rsid w:val="002D3243"/>
    <w:rsid w:val="002D3258"/>
    <w:rsid w:val="002D3833"/>
    <w:rsid w:val="002D3DD0"/>
    <w:rsid w:val="002D416B"/>
    <w:rsid w:val="002D42B0"/>
    <w:rsid w:val="002D4344"/>
    <w:rsid w:val="002D5218"/>
    <w:rsid w:val="002D5CD6"/>
    <w:rsid w:val="002D63B1"/>
    <w:rsid w:val="002D64ED"/>
    <w:rsid w:val="002D6B66"/>
    <w:rsid w:val="002E0D73"/>
    <w:rsid w:val="002E1F3A"/>
    <w:rsid w:val="002E21B4"/>
    <w:rsid w:val="002E2730"/>
    <w:rsid w:val="002E298A"/>
    <w:rsid w:val="002E39B0"/>
    <w:rsid w:val="002E4B94"/>
    <w:rsid w:val="002E7080"/>
    <w:rsid w:val="002E7A52"/>
    <w:rsid w:val="002E7BE3"/>
    <w:rsid w:val="002F06F6"/>
    <w:rsid w:val="002F086D"/>
    <w:rsid w:val="002F0E82"/>
    <w:rsid w:val="002F353C"/>
    <w:rsid w:val="002F39BC"/>
    <w:rsid w:val="002F4312"/>
    <w:rsid w:val="002F4DDC"/>
    <w:rsid w:val="002F51A1"/>
    <w:rsid w:val="002F52BC"/>
    <w:rsid w:val="002F5B42"/>
    <w:rsid w:val="002F5FF5"/>
    <w:rsid w:val="002F7791"/>
    <w:rsid w:val="00301978"/>
    <w:rsid w:val="0030236E"/>
    <w:rsid w:val="0030332C"/>
    <w:rsid w:val="003034DC"/>
    <w:rsid w:val="00304C84"/>
    <w:rsid w:val="003051C2"/>
    <w:rsid w:val="003058B7"/>
    <w:rsid w:val="00305B97"/>
    <w:rsid w:val="00306BA4"/>
    <w:rsid w:val="00307149"/>
    <w:rsid w:val="0031114B"/>
    <w:rsid w:val="00311FAA"/>
    <w:rsid w:val="00312296"/>
    <w:rsid w:val="00312B83"/>
    <w:rsid w:val="00313615"/>
    <w:rsid w:val="003137EF"/>
    <w:rsid w:val="00314298"/>
    <w:rsid w:val="00314F0E"/>
    <w:rsid w:val="00315480"/>
    <w:rsid w:val="00315531"/>
    <w:rsid w:val="00315B22"/>
    <w:rsid w:val="00316852"/>
    <w:rsid w:val="0031723E"/>
    <w:rsid w:val="003175C7"/>
    <w:rsid w:val="003175CA"/>
    <w:rsid w:val="003202F2"/>
    <w:rsid w:val="0032068C"/>
    <w:rsid w:val="00320BA8"/>
    <w:rsid w:val="00320D1E"/>
    <w:rsid w:val="003213C8"/>
    <w:rsid w:val="00321D8E"/>
    <w:rsid w:val="00322F06"/>
    <w:rsid w:val="003236E6"/>
    <w:rsid w:val="003245AF"/>
    <w:rsid w:val="003258E7"/>
    <w:rsid w:val="00325928"/>
    <w:rsid w:val="00325B8A"/>
    <w:rsid w:val="003269E9"/>
    <w:rsid w:val="0032720C"/>
    <w:rsid w:val="00327F74"/>
    <w:rsid w:val="0033041A"/>
    <w:rsid w:val="00331EF0"/>
    <w:rsid w:val="003323CE"/>
    <w:rsid w:val="00332863"/>
    <w:rsid w:val="00332A1D"/>
    <w:rsid w:val="00332AA8"/>
    <w:rsid w:val="003338BC"/>
    <w:rsid w:val="0033412E"/>
    <w:rsid w:val="00334763"/>
    <w:rsid w:val="00335308"/>
    <w:rsid w:val="00335E10"/>
    <w:rsid w:val="0033684D"/>
    <w:rsid w:val="0033698A"/>
    <w:rsid w:val="00337AC0"/>
    <w:rsid w:val="00337B42"/>
    <w:rsid w:val="00337F77"/>
    <w:rsid w:val="003406C7"/>
    <w:rsid w:val="0034154F"/>
    <w:rsid w:val="00341B42"/>
    <w:rsid w:val="00342196"/>
    <w:rsid w:val="0034348F"/>
    <w:rsid w:val="003439BC"/>
    <w:rsid w:val="0034437A"/>
    <w:rsid w:val="003454DE"/>
    <w:rsid w:val="00346744"/>
    <w:rsid w:val="00346A7B"/>
    <w:rsid w:val="003471EF"/>
    <w:rsid w:val="0034757A"/>
    <w:rsid w:val="0035011B"/>
    <w:rsid w:val="00350919"/>
    <w:rsid w:val="00350B36"/>
    <w:rsid w:val="00352388"/>
    <w:rsid w:val="00352809"/>
    <w:rsid w:val="00353076"/>
    <w:rsid w:val="00353D5A"/>
    <w:rsid w:val="00353FEA"/>
    <w:rsid w:val="00354C87"/>
    <w:rsid w:val="003556AF"/>
    <w:rsid w:val="00355BCE"/>
    <w:rsid w:val="00355DD5"/>
    <w:rsid w:val="00356653"/>
    <w:rsid w:val="00356811"/>
    <w:rsid w:val="00357140"/>
    <w:rsid w:val="0035719C"/>
    <w:rsid w:val="0035743F"/>
    <w:rsid w:val="0035765F"/>
    <w:rsid w:val="00357BE2"/>
    <w:rsid w:val="00360207"/>
    <w:rsid w:val="00360601"/>
    <w:rsid w:val="00360FEA"/>
    <w:rsid w:val="00360FEB"/>
    <w:rsid w:val="00361600"/>
    <w:rsid w:val="0036170C"/>
    <w:rsid w:val="00361B56"/>
    <w:rsid w:val="003620C8"/>
    <w:rsid w:val="00362530"/>
    <w:rsid w:val="00363211"/>
    <w:rsid w:val="0036479F"/>
    <w:rsid w:val="00364D06"/>
    <w:rsid w:val="00365326"/>
    <w:rsid w:val="00366013"/>
    <w:rsid w:val="0036609A"/>
    <w:rsid w:val="0036669B"/>
    <w:rsid w:val="00366E0F"/>
    <w:rsid w:val="00367AEA"/>
    <w:rsid w:val="00370A72"/>
    <w:rsid w:val="00370E4F"/>
    <w:rsid w:val="00371093"/>
    <w:rsid w:val="00371C75"/>
    <w:rsid w:val="00371DD4"/>
    <w:rsid w:val="0037270D"/>
    <w:rsid w:val="003731A8"/>
    <w:rsid w:val="00374156"/>
    <w:rsid w:val="00374FA4"/>
    <w:rsid w:val="003757E0"/>
    <w:rsid w:val="00376250"/>
    <w:rsid w:val="00376D33"/>
    <w:rsid w:val="00377D42"/>
    <w:rsid w:val="003804BB"/>
    <w:rsid w:val="00381187"/>
    <w:rsid w:val="003817CA"/>
    <w:rsid w:val="00381A72"/>
    <w:rsid w:val="0038247F"/>
    <w:rsid w:val="003829F6"/>
    <w:rsid w:val="0038415C"/>
    <w:rsid w:val="00384676"/>
    <w:rsid w:val="00384F86"/>
    <w:rsid w:val="00386489"/>
    <w:rsid w:val="0038648C"/>
    <w:rsid w:val="0038670C"/>
    <w:rsid w:val="00386930"/>
    <w:rsid w:val="00386CA5"/>
    <w:rsid w:val="00387324"/>
    <w:rsid w:val="00387382"/>
    <w:rsid w:val="00387B2D"/>
    <w:rsid w:val="00390857"/>
    <w:rsid w:val="00390B94"/>
    <w:rsid w:val="00391CD6"/>
    <w:rsid w:val="00391F4F"/>
    <w:rsid w:val="00392624"/>
    <w:rsid w:val="00392763"/>
    <w:rsid w:val="00392884"/>
    <w:rsid w:val="00392923"/>
    <w:rsid w:val="00392D4C"/>
    <w:rsid w:val="00392F0D"/>
    <w:rsid w:val="00394385"/>
    <w:rsid w:val="00394DA2"/>
    <w:rsid w:val="003952EF"/>
    <w:rsid w:val="0039570C"/>
    <w:rsid w:val="00395E2D"/>
    <w:rsid w:val="0039621D"/>
    <w:rsid w:val="00397494"/>
    <w:rsid w:val="003A01EB"/>
    <w:rsid w:val="003A08B6"/>
    <w:rsid w:val="003A0CB5"/>
    <w:rsid w:val="003A0F94"/>
    <w:rsid w:val="003A1081"/>
    <w:rsid w:val="003A11A1"/>
    <w:rsid w:val="003A1FC0"/>
    <w:rsid w:val="003A33BF"/>
    <w:rsid w:val="003A4BF3"/>
    <w:rsid w:val="003A4FB8"/>
    <w:rsid w:val="003A53AD"/>
    <w:rsid w:val="003A5FC6"/>
    <w:rsid w:val="003A6279"/>
    <w:rsid w:val="003A67E9"/>
    <w:rsid w:val="003A6B5E"/>
    <w:rsid w:val="003A7278"/>
    <w:rsid w:val="003A7B8A"/>
    <w:rsid w:val="003A7F5F"/>
    <w:rsid w:val="003B061E"/>
    <w:rsid w:val="003B1DA0"/>
    <w:rsid w:val="003B1DEF"/>
    <w:rsid w:val="003B230C"/>
    <w:rsid w:val="003B295B"/>
    <w:rsid w:val="003B2CFA"/>
    <w:rsid w:val="003B2DE5"/>
    <w:rsid w:val="003B2E22"/>
    <w:rsid w:val="003B30EB"/>
    <w:rsid w:val="003B35FB"/>
    <w:rsid w:val="003B41B6"/>
    <w:rsid w:val="003B420D"/>
    <w:rsid w:val="003B4BC3"/>
    <w:rsid w:val="003B51D9"/>
    <w:rsid w:val="003B5315"/>
    <w:rsid w:val="003B5877"/>
    <w:rsid w:val="003B5EF1"/>
    <w:rsid w:val="003B7508"/>
    <w:rsid w:val="003B774B"/>
    <w:rsid w:val="003B7802"/>
    <w:rsid w:val="003B78D6"/>
    <w:rsid w:val="003B7C70"/>
    <w:rsid w:val="003B7FD7"/>
    <w:rsid w:val="003C11E4"/>
    <w:rsid w:val="003C19F1"/>
    <w:rsid w:val="003C3898"/>
    <w:rsid w:val="003C3B6E"/>
    <w:rsid w:val="003C4AA8"/>
    <w:rsid w:val="003C4AC5"/>
    <w:rsid w:val="003C4D6E"/>
    <w:rsid w:val="003C4DB5"/>
    <w:rsid w:val="003C4DFC"/>
    <w:rsid w:val="003C5DA7"/>
    <w:rsid w:val="003C62E1"/>
    <w:rsid w:val="003C6A4C"/>
    <w:rsid w:val="003C6B23"/>
    <w:rsid w:val="003C6C16"/>
    <w:rsid w:val="003D0B26"/>
    <w:rsid w:val="003D1A75"/>
    <w:rsid w:val="003D23FA"/>
    <w:rsid w:val="003D327F"/>
    <w:rsid w:val="003D378D"/>
    <w:rsid w:val="003D3FA1"/>
    <w:rsid w:val="003D4867"/>
    <w:rsid w:val="003D4C82"/>
    <w:rsid w:val="003D4FE8"/>
    <w:rsid w:val="003D5704"/>
    <w:rsid w:val="003D72BB"/>
    <w:rsid w:val="003D794D"/>
    <w:rsid w:val="003E06DF"/>
    <w:rsid w:val="003E2686"/>
    <w:rsid w:val="003E2AE3"/>
    <w:rsid w:val="003E3058"/>
    <w:rsid w:val="003E310F"/>
    <w:rsid w:val="003E31AD"/>
    <w:rsid w:val="003E3D38"/>
    <w:rsid w:val="003E4B61"/>
    <w:rsid w:val="003E541D"/>
    <w:rsid w:val="003E5611"/>
    <w:rsid w:val="003E73D4"/>
    <w:rsid w:val="003E76A9"/>
    <w:rsid w:val="003E7ED1"/>
    <w:rsid w:val="003F002C"/>
    <w:rsid w:val="003F0809"/>
    <w:rsid w:val="003F1550"/>
    <w:rsid w:val="003F277C"/>
    <w:rsid w:val="003F44FF"/>
    <w:rsid w:val="003F50FC"/>
    <w:rsid w:val="003F5438"/>
    <w:rsid w:val="003F5ED6"/>
    <w:rsid w:val="003F6A8C"/>
    <w:rsid w:val="003F6DBB"/>
    <w:rsid w:val="003F755C"/>
    <w:rsid w:val="003F776C"/>
    <w:rsid w:val="00401AA5"/>
    <w:rsid w:val="00402546"/>
    <w:rsid w:val="00403D7A"/>
    <w:rsid w:val="004043FA"/>
    <w:rsid w:val="0040657E"/>
    <w:rsid w:val="00406618"/>
    <w:rsid w:val="00406F01"/>
    <w:rsid w:val="00407CD9"/>
    <w:rsid w:val="00407E7E"/>
    <w:rsid w:val="00410082"/>
    <w:rsid w:val="004116F7"/>
    <w:rsid w:val="00411C5F"/>
    <w:rsid w:val="004123C7"/>
    <w:rsid w:val="004124FE"/>
    <w:rsid w:val="00412727"/>
    <w:rsid w:val="00412EDF"/>
    <w:rsid w:val="00413311"/>
    <w:rsid w:val="00414652"/>
    <w:rsid w:val="004147F8"/>
    <w:rsid w:val="0041500F"/>
    <w:rsid w:val="00415B60"/>
    <w:rsid w:val="00415C5E"/>
    <w:rsid w:val="00415D8A"/>
    <w:rsid w:val="00416D50"/>
    <w:rsid w:val="00416FD5"/>
    <w:rsid w:val="0041734B"/>
    <w:rsid w:val="00417772"/>
    <w:rsid w:val="00420795"/>
    <w:rsid w:val="00420B56"/>
    <w:rsid w:val="00420E6A"/>
    <w:rsid w:val="004215D0"/>
    <w:rsid w:val="00421A33"/>
    <w:rsid w:val="00421ACF"/>
    <w:rsid w:val="00422665"/>
    <w:rsid w:val="00422A2F"/>
    <w:rsid w:val="00423380"/>
    <w:rsid w:val="00423956"/>
    <w:rsid w:val="00423FDA"/>
    <w:rsid w:val="00424140"/>
    <w:rsid w:val="00425191"/>
    <w:rsid w:val="00425A9E"/>
    <w:rsid w:val="00426459"/>
    <w:rsid w:val="00426D6B"/>
    <w:rsid w:val="00426DAD"/>
    <w:rsid w:val="00427626"/>
    <w:rsid w:val="004276FD"/>
    <w:rsid w:val="00427855"/>
    <w:rsid w:val="004308D4"/>
    <w:rsid w:val="0043142E"/>
    <w:rsid w:val="00431621"/>
    <w:rsid w:val="00431E6C"/>
    <w:rsid w:val="00431ED6"/>
    <w:rsid w:val="00431F3A"/>
    <w:rsid w:val="00432CFF"/>
    <w:rsid w:val="00433040"/>
    <w:rsid w:val="0043380E"/>
    <w:rsid w:val="00433CE7"/>
    <w:rsid w:val="004343DC"/>
    <w:rsid w:val="00434CED"/>
    <w:rsid w:val="0043763B"/>
    <w:rsid w:val="004401BA"/>
    <w:rsid w:val="0044050E"/>
    <w:rsid w:val="0044123F"/>
    <w:rsid w:val="00443130"/>
    <w:rsid w:val="004439A4"/>
    <w:rsid w:val="00443DF5"/>
    <w:rsid w:val="0044413F"/>
    <w:rsid w:val="00444490"/>
    <w:rsid w:val="004448C2"/>
    <w:rsid w:val="004455D8"/>
    <w:rsid w:val="00446223"/>
    <w:rsid w:val="00446BDD"/>
    <w:rsid w:val="0044780E"/>
    <w:rsid w:val="00450A9C"/>
    <w:rsid w:val="00452738"/>
    <w:rsid w:val="004542B1"/>
    <w:rsid w:val="00455C5C"/>
    <w:rsid w:val="00456091"/>
    <w:rsid w:val="004561BB"/>
    <w:rsid w:val="004577AD"/>
    <w:rsid w:val="00457D73"/>
    <w:rsid w:val="00457DD4"/>
    <w:rsid w:val="00457F9B"/>
    <w:rsid w:val="00461661"/>
    <w:rsid w:val="00463C06"/>
    <w:rsid w:val="00464CA0"/>
    <w:rsid w:val="004658FE"/>
    <w:rsid w:val="00465A77"/>
    <w:rsid w:val="00466321"/>
    <w:rsid w:val="00466D4F"/>
    <w:rsid w:val="0046716F"/>
    <w:rsid w:val="00467EC1"/>
    <w:rsid w:val="004702CD"/>
    <w:rsid w:val="00470664"/>
    <w:rsid w:val="004713F5"/>
    <w:rsid w:val="004724AC"/>
    <w:rsid w:val="00472D7E"/>
    <w:rsid w:val="00472F21"/>
    <w:rsid w:val="00473A43"/>
    <w:rsid w:val="00473E21"/>
    <w:rsid w:val="00475263"/>
    <w:rsid w:val="00475661"/>
    <w:rsid w:val="00476398"/>
    <w:rsid w:val="00476DF7"/>
    <w:rsid w:val="0047755B"/>
    <w:rsid w:val="00480364"/>
    <w:rsid w:val="00480552"/>
    <w:rsid w:val="00481A36"/>
    <w:rsid w:val="00482107"/>
    <w:rsid w:val="00482248"/>
    <w:rsid w:val="0048268D"/>
    <w:rsid w:val="00482DF3"/>
    <w:rsid w:val="00484356"/>
    <w:rsid w:val="00484364"/>
    <w:rsid w:val="00484B9B"/>
    <w:rsid w:val="004854D1"/>
    <w:rsid w:val="004855F6"/>
    <w:rsid w:val="0048661E"/>
    <w:rsid w:val="00487180"/>
    <w:rsid w:val="00487421"/>
    <w:rsid w:val="00490C97"/>
    <w:rsid w:val="00491E60"/>
    <w:rsid w:val="00492CA2"/>
    <w:rsid w:val="00492D86"/>
    <w:rsid w:val="004935E5"/>
    <w:rsid w:val="00493D70"/>
    <w:rsid w:val="00493E20"/>
    <w:rsid w:val="004945A7"/>
    <w:rsid w:val="00494670"/>
    <w:rsid w:val="004947DD"/>
    <w:rsid w:val="0049782B"/>
    <w:rsid w:val="00497902"/>
    <w:rsid w:val="00497A20"/>
    <w:rsid w:val="004A0830"/>
    <w:rsid w:val="004A0EA3"/>
    <w:rsid w:val="004A1487"/>
    <w:rsid w:val="004A20BA"/>
    <w:rsid w:val="004A318E"/>
    <w:rsid w:val="004A3823"/>
    <w:rsid w:val="004A389A"/>
    <w:rsid w:val="004A3E6F"/>
    <w:rsid w:val="004A3E7F"/>
    <w:rsid w:val="004A3F85"/>
    <w:rsid w:val="004A66FC"/>
    <w:rsid w:val="004A6DAB"/>
    <w:rsid w:val="004A6E4E"/>
    <w:rsid w:val="004A70AB"/>
    <w:rsid w:val="004A7256"/>
    <w:rsid w:val="004A73E4"/>
    <w:rsid w:val="004A75BF"/>
    <w:rsid w:val="004B02C0"/>
    <w:rsid w:val="004B0FB3"/>
    <w:rsid w:val="004B2B4D"/>
    <w:rsid w:val="004B3804"/>
    <w:rsid w:val="004B381F"/>
    <w:rsid w:val="004B3FC4"/>
    <w:rsid w:val="004B43B9"/>
    <w:rsid w:val="004B44EA"/>
    <w:rsid w:val="004B5773"/>
    <w:rsid w:val="004B5E2E"/>
    <w:rsid w:val="004B6DAA"/>
    <w:rsid w:val="004B7F98"/>
    <w:rsid w:val="004C04BF"/>
    <w:rsid w:val="004C063E"/>
    <w:rsid w:val="004C0EC9"/>
    <w:rsid w:val="004C10E9"/>
    <w:rsid w:val="004C1476"/>
    <w:rsid w:val="004C15EB"/>
    <w:rsid w:val="004C1BA0"/>
    <w:rsid w:val="004C1F3B"/>
    <w:rsid w:val="004C2F23"/>
    <w:rsid w:val="004C3B86"/>
    <w:rsid w:val="004C4AC7"/>
    <w:rsid w:val="004C4F5F"/>
    <w:rsid w:val="004C7039"/>
    <w:rsid w:val="004C7B9E"/>
    <w:rsid w:val="004D026C"/>
    <w:rsid w:val="004D0531"/>
    <w:rsid w:val="004D08EC"/>
    <w:rsid w:val="004D1B69"/>
    <w:rsid w:val="004D2642"/>
    <w:rsid w:val="004D3AFD"/>
    <w:rsid w:val="004D4BBA"/>
    <w:rsid w:val="004D5447"/>
    <w:rsid w:val="004D5C1B"/>
    <w:rsid w:val="004D5E9A"/>
    <w:rsid w:val="004D5FA0"/>
    <w:rsid w:val="004D629C"/>
    <w:rsid w:val="004D62AA"/>
    <w:rsid w:val="004D6415"/>
    <w:rsid w:val="004D6EE7"/>
    <w:rsid w:val="004D6FE2"/>
    <w:rsid w:val="004D7011"/>
    <w:rsid w:val="004D75D4"/>
    <w:rsid w:val="004D7663"/>
    <w:rsid w:val="004D7FF7"/>
    <w:rsid w:val="004E0167"/>
    <w:rsid w:val="004E169F"/>
    <w:rsid w:val="004E19CB"/>
    <w:rsid w:val="004E1C5F"/>
    <w:rsid w:val="004E2357"/>
    <w:rsid w:val="004E2CF7"/>
    <w:rsid w:val="004E30C8"/>
    <w:rsid w:val="004E3122"/>
    <w:rsid w:val="004E341C"/>
    <w:rsid w:val="004E4C9B"/>
    <w:rsid w:val="004E4DD8"/>
    <w:rsid w:val="004E52F2"/>
    <w:rsid w:val="004E6098"/>
    <w:rsid w:val="004E6946"/>
    <w:rsid w:val="004E697B"/>
    <w:rsid w:val="004E6D20"/>
    <w:rsid w:val="004F02CC"/>
    <w:rsid w:val="004F1AD8"/>
    <w:rsid w:val="004F1C7D"/>
    <w:rsid w:val="004F2A5A"/>
    <w:rsid w:val="004F2FAE"/>
    <w:rsid w:val="004F3D9A"/>
    <w:rsid w:val="004F3F1B"/>
    <w:rsid w:val="004F4733"/>
    <w:rsid w:val="004F4ABF"/>
    <w:rsid w:val="004F5E66"/>
    <w:rsid w:val="004F6EF6"/>
    <w:rsid w:val="00500C00"/>
    <w:rsid w:val="005011A2"/>
    <w:rsid w:val="0050158C"/>
    <w:rsid w:val="0050198B"/>
    <w:rsid w:val="0050228A"/>
    <w:rsid w:val="00502D3C"/>
    <w:rsid w:val="0050359A"/>
    <w:rsid w:val="005039CB"/>
    <w:rsid w:val="00503C5F"/>
    <w:rsid w:val="0050558F"/>
    <w:rsid w:val="00505ED0"/>
    <w:rsid w:val="00506286"/>
    <w:rsid w:val="00506D2F"/>
    <w:rsid w:val="00507A98"/>
    <w:rsid w:val="00507F43"/>
    <w:rsid w:val="00510813"/>
    <w:rsid w:val="005109E1"/>
    <w:rsid w:val="00510EC0"/>
    <w:rsid w:val="005114D4"/>
    <w:rsid w:val="00511584"/>
    <w:rsid w:val="00511990"/>
    <w:rsid w:val="00511DE0"/>
    <w:rsid w:val="005141F5"/>
    <w:rsid w:val="00514870"/>
    <w:rsid w:val="00514B9B"/>
    <w:rsid w:val="00514F4A"/>
    <w:rsid w:val="0051544E"/>
    <w:rsid w:val="00515506"/>
    <w:rsid w:val="0051597E"/>
    <w:rsid w:val="00515E9B"/>
    <w:rsid w:val="0051608F"/>
    <w:rsid w:val="0051666B"/>
    <w:rsid w:val="00516AAB"/>
    <w:rsid w:val="0051788E"/>
    <w:rsid w:val="00517F02"/>
    <w:rsid w:val="00520097"/>
    <w:rsid w:val="005206A6"/>
    <w:rsid w:val="005212D0"/>
    <w:rsid w:val="0052349D"/>
    <w:rsid w:val="00523D20"/>
    <w:rsid w:val="0052424F"/>
    <w:rsid w:val="00524303"/>
    <w:rsid w:val="005252E8"/>
    <w:rsid w:val="005258A2"/>
    <w:rsid w:val="00525923"/>
    <w:rsid w:val="00525E16"/>
    <w:rsid w:val="00526770"/>
    <w:rsid w:val="00526D31"/>
    <w:rsid w:val="00526EE9"/>
    <w:rsid w:val="005274A1"/>
    <w:rsid w:val="005302F6"/>
    <w:rsid w:val="0053112E"/>
    <w:rsid w:val="005320FA"/>
    <w:rsid w:val="00532A25"/>
    <w:rsid w:val="00533BFC"/>
    <w:rsid w:val="00536078"/>
    <w:rsid w:val="00536136"/>
    <w:rsid w:val="0053772A"/>
    <w:rsid w:val="005401AE"/>
    <w:rsid w:val="00540805"/>
    <w:rsid w:val="00542E07"/>
    <w:rsid w:val="005435C9"/>
    <w:rsid w:val="005436B7"/>
    <w:rsid w:val="005446C5"/>
    <w:rsid w:val="0054499D"/>
    <w:rsid w:val="0054510C"/>
    <w:rsid w:val="00545424"/>
    <w:rsid w:val="00545861"/>
    <w:rsid w:val="00546966"/>
    <w:rsid w:val="0054701F"/>
    <w:rsid w:val="00547068"/>
    <w:rsid w:val="00550C8F"/>
    <w:rsid w:val="005525DA"/>
    <w:rsid w:val="00552976"/>
    <w:rsid w:val="005533BA"/>
    <w:rsid w:val="0055348C"/>
    <w:rsid w:val="005538C9"/>
    <w:rsid w:val="00554A7B"/>
    <w:rsid w:val="005556B1"/>
    <w:rsid w:val="0055572C"/>
    <w:rsid w:val="005560B7"/>
    <w:rsid w:val="0055628B"/>
    <w:rsid w:val="00556C4D"/>
    <w:rsid w:val="00557043"/>
    <w:rsid w:val="0055785B"/>
    <w:rsid w:val="005605E2"/>
    <w:rsid w:val="005609A3"/>
    <w:rsid w:val="0056106A"/>
    <w:rsid w:val="00561825"/>
    <w:rsid w:val="0056202A"/>
    <w:rsid w:val="00562209"/>
    <w:rsid w:val="00562EE7"/>
    <w:rsid w:val="00563090"/>
    <w:rsid w:val="00563580"/>
    <w:rsid w:val="005646F1"/>
    <w:rsid w:val="00565878"/>
    <w:rsid w:val="00565F47"/>
    <w:rsid w:val="00566458"/>
    <w:rsid w:val="00566EBC"/>
    <w:rsid w:val="00566FA5"/>
    <w:rsid w:val="0056737D"/>
    <w:rsid w:val="00567589"/>
    <w:rsid w:val="005705E6"/>
    <w:rsid w:val="00570A43"/>
    <w:rsid w:val="00571BB6"/>
    <w:rsid w:val="00571F9C"/>
    <w:rsid w:val="005720AE"/>
    <w:rsid w:val="00572EC4"/>
    <w:rsid w:val="00573AFB"/>
    <w:rsid w:val="00573E4D"/>
    <w:rsid w:val="005740EB"/>
    <w:rsid w:val="005742A5"/>
    <w:rsid w:val="00574527"/>
    <w:rsid w:val="005748BA"/>
    <w:rsid w:val="0057543F"/>
    <w:rsid w:val="0057660C"/>
    <w:rsid w:val="00577FC3"/>
    <w:rsid w:val="00580024"/>
    <w:rsid w:val="0058077A"/>
    <w:rsid w:val="00580799"/>
    <w:rsid w:val="00580C82"/>
    <w:rsid w:val="00581603"/>
    <w:rsid w:val="005819A2"/>
    <w:rsid w:val="00581A11"/>
    <w:rsid w:val="00582307"/>
    <w:rsid w:val="00582411"/>
    <w:rsid w:val="00582440"/>
    <w:rsid w:val="00582C87"/>
    <w:rsid w:val="005831B0"/>
    <w:rsid w:val="005833D2"/>
    <w:rsid w:val="005853F7"/>
    <w:rsid w:val="00585F2A"/>
    <w:rsid w:val="0058652F"/>
    <w:rsid w:val="00586566"/>
    <w:rsid w:val="00586672"/>
    <w:rsid w:val="00586F09"/>
    <w:rsid w:val="00587342"/>
    <w:rsid w:val="005902F1"/>
    <w:rsid w:val="00590AF3"/>
    <w:rsid w:val="0059256D"/>
    <w:rsid w:val="00592896"/>
    <w:rsid w:val="00593195"/>
    <w:rsid w:val="00593BA4"/>
    <w:rsid w:val="00593E75"/>
    <w:rsid w:val="00594D77"/>
    <w:rsid w:val="00594F53"/>
    <w:rsid w:val="00595B1E"/>
    <w:rsid w:val="005960A4"/>
    <w:rsid w:val="005969E4"/>
    <w:rsid w:val="005970EF"/>
    <w:rsid w:val="005975CE"/>
    <w:rsid w:val="00597AAE"/>
    <w:rsid w:val="00597D12"/>
    <w:rsid w:val="005A0490"/>
    <w:rsid w:val="005A06B7"/>
    <w:rsid w:val="005A07F4"/>
    <w:rsid w:val="005A1759"/>
    <w:rsid w:val="005A213E"/>
    <w:rsid w:val="005A2725"/>
    <w:rsid w:val="005A3C8C"/>
    <w:rsid w:val="005A3FD1"/>
    <w:rsid w:val="005A4258"/>
    <w:rsid w:val="005A45A4"/>
    <w:rsid w:val="005A62E1"/>
    <w:rsid w:val="005A6363"/>
    <w:rsid w:val="005A68A7"/>
    <w:rsid w:val="005A6EA5"/>
    <w:rsid w:val="005A74F9"/>
    <w:rsid w:val="005B1273"/>
    <w:rsid w:val="005B1C94"/>
    <w:rsid w:val="005B2738"/>
    <w:rsid w:val="005B2BB9"/>
    <w:rsid w:val="005B2BC2"/>
    <w:rsid w:val="005B40C6"/>
    <w:rsid w:val="005B42F2"/>
    <w:rsid w:val="005B440D"/>
    <w:rsid w:val="005B462B"/>
    <w:rsid w:val="005B743F"/>
    <w:rsid w:val="005B74AA"/>
    <w:rsid w:val="005C0D21"/>
    <w:rsid w:val="005C1B5C"/>
    <w:rsid w:val="005C1BFD"/>
    <w:rsid w:val="005C261D"/>
    <w:rsid w:val="005C744D"/>
    <w:rsid w:val="005C7FC5"/>
    <w:rsid w:val="005D1076"/>
    <w:rsid w:val="005D1213"/>
    <w:rsid w:val="005D14F7"/>
    <w:rsid w:val="005D1BB4"/>
    <w:rsid w:val="005D28E0"/>
    <w:rsid w:val="005D29A1"/>
    <w:rsid w:val="005D2D1D"/>
    <w:rsid w:val="005D36AB"/>
    <w:rsid w:val="005D4A7A"/>
    <w:rsid w:val="005D4B10"/>
    <w:rsid w:val="005D52A5"/>
    <w:rsid w:val="005D59F3"/>
    <w:rsid w:val="005D61D0"/>
    <w:rsid w:val="005D6323"/>
    <w:rsid w:val="005D6ABC"/>
    <w:rsid w:val="005D6AEC"/>
    <w:rsid w:val="005D7B3E"/>
    <w:rsid w:val="005E03EB"/>
    <w:rsid w:val="005E07C0"/>
    <w:rsid w:val="005E0971"/>
    <w:rsid w:val="005E1334"/>
    <w:rsid w:val="005E1B0B"/>
    <w:rsid w:val="005E2A55"/>
    <w:rsid w:val="005E5581"/>
    <w:rsid w:val="005E5DC3"/>
    <w:rsid w:val="005E5DFA"/>
    <w:rsid w:val="005E648A"/>
    <w:rsid w:val="005E782C"/>
    <w:rsid w:val="005E7E75"/>
    <w:rsid w:val="005F047B"/>
    <w:rsid w:val="005F06A7"/>
    <w:rsid w:val="005F1350"/>
    <w:rsid w:val="005F2F8B"/>
    <w:rsid w:val="005F319C"/>
    <w:rsid w:val="005F36DE"/>
    <w:rsid w:val="005F37B7"/>
    <w:rsid w:val="005F381C"/>
    <w:rsid w:val="005F3958"/>
    <w:rsid w:val="005F3C3B"/>
    <w:rsid w:val="005F4084"/>
    <w:rsid w:val="005F4D33"/>
    <w:rsid w:val="005F5162"/>
    <w:rsid w:val="005F5A9E"/>
    <w:rsid w:val="005F66A5"/>
    <w:rsid w:val="005F7155"/>
    <w:rsid w:val="005F7D54"/>
    <w:rsid w:val="005F7F71"/>
    <w:rsid w:val="0060027F"/>
    <w:rsid w:val="00600EC7"/>
    <w:rsid w:val="00600F70"/>
    <w:rsid w:val="00601596"/>
    <w:rsid w:val="00602223"/>
    <w:rsid w:val="006022A1"/>
    <w:rsid w:val="00602D8E"/>
    <w:rsid w:val="00603167"/>
    <w:rsid w:val="00604F6E"/>
    <w:rsid w:val="006060C8"/>
    <w:rsid w:val="00606A6F"/>
    <w:rsid w:val="00606EFE"/>
    <w:rsid w:val="00610573"/>
    <w:rsid w:val="00611F94"/>
    <w:rsid w:val="00612570"/>
    <w:rsid w:val="006127A8"/>
    <w:rsid w:val="0061384C"/>
    <w:rsid w:val="006138AD"/>
    <w:rsid w:val="00613B2D"/>
    <w:rsid w:val="00614740"/>
    <w:rsid w:val="0061475E"/>
    <w:rsid w:val="00614C44"/>
    <w:rsid w:val="0061638D"/>
    <w:rsid w:val="00616C4C"/>
    <w:rsid w:val="00616CAA"/>
    <w:rsid w:val="00617225"/>
    <w:rsid w:val="00617CC3"/>
    <w:rsid w:val="00617DFB"/>
    <w:rsid w:val="00617FA5"/>
    <w:rsid w:val="00620D9F"/>
    <w:rsid w:val="006210BD"/>
    <w:rsid w:val="00622657"/>
    <w:rsid w:val="006226CD"/>
    <w:rsid w:val="006228B9"/>
    <w:rsid w:val="00623859"/>
    <w:rsid w:val="00623CA2"/>
    <w:rsid w:val="00624E6A"/>
    <w:rsid w:val="0062500D"/>
    <w:rsid w:val="006258DF"/>
    <w:rsid w:val="00626015"/>
    <w:rsid w:val="00626370"/>
    <w:rsid w:val="0062638C"/>
    <w:rsid w:val="006275B8"/>
    <w:rsid w:val="00630FB2"/>
    <w:rsid w:val="006333FF"/>
    <w:rsid w:val="00633985"/>
    <w:rsid w:val="00634E31"/>
    <w:rsid w:val="00635138"/>
    <w:rsid w:val="0063538C"/>
    <w:rsid w:val="006353B7"/>
    <w:rsid w:val="006358B1"/>
    <w:rsid w:val="006360D5"/>
    <w:rsid w:val="00636434"/>
    <w:rsid w:val="0063645B"/>
    <w:rsid w:val="006365C0"/>
    <w:rsid w:val="00636F07"/>
    <w:rsid w:val="006372D8"/>
    <w:rsid w:val="006377A6"/>
    <w:rsid w:val="00637919"/>
    <w:rsid w:val="00637A3D"/>
    <w:rsid w:val="00637C01"/>
    <w:rsid w:val="00640B2F"/>
    <w:rsid w:val="006410B4"/>
    <w:rsid w:val="006411B2"/>
    <w:rsid w:val="006411EF"/>
    <w:rsid w:val="0064129F"/>
    <w:rsid w:val="006420FB"/>
    <w:rsid w:val="006432EE"/>
    <w:rsid w:val="006436B6"/>
    <w:rsid w:val="00644BB0"/>
    <w:rsid w:val="006454A5"/>
    <w:rsid w:val="00645556"/>
    <w:rsid w:val="0064645A"/>
    <w:rsid w:val="00647807"/>
    <w:rsid w:val="00650750"/>
    <w:rsid w:val="00650D7B"/>
    <w:rsid w:val="00651077"/>
    <w:rsid w:val="00651488"/>
    <w:rsid w:val="00651C85"/>
    <w:rsid w:val="006527E9"/>
    <w:rsid w:val="00652A08"/>
    <w:rsid w:val="0065329D"/>
    <w:rsid w:val="006534EC"/>
    <w:rsid w:val="0065389A"/>
    <w:rsid w:val="00653DE8"/>
    <w:rsid w:val="00654580"/>
    <w:rsid w:val="00655907"/>
    <w:rsid w:val="00655EEA"/>
    <w:rsid w:val="00656C3C"/>
    <w:rsid w:val="006573F8"/>
    <w:rsid w:val="00661A69"/>
    <w:rsid w:val="00661F63"/>
    <w:rsid w:val="00662205"/>
    <w:rsid w:val="00662813"/>
    <w:rsid w:val="00663A10"/>
    <w:rsid w:val="00663FC2"/>
    <w:rsid w:val="006641AB"/>
    <w:rsid w:val="00664B9F"/>
    <w:rsid w:val="00664BAE"/>
    <w:rsid w:val="006653AF"/>
    <w:rsid w:val="00665631"/>
    <w:rsid w:val="00665FF2"/>
    <w:rsid w:val="00666854"/>
    <w:rsid w:val="0066693D"/>
    <w:rsid w:val="00666AD6"/>
    <w:rsid w:val="006679A4"/>
    <w:rsid w:val="00667BF9"/>
    <w:rsid w:val="00670A8D"/>
    <w:rsid w:val="00670AFE"/>
    <w:rsid w:val="006716FF"/>
    <w:rsid w:val="00671C94"/>
    <w:rsid w:val="00673162"/>
    <w:rsid w:val="006738A1"/>
    <w:rsid w:val="00674632"/>
    <w:rsid w:val="006748B8"/>
    <w:rsid w:val="0067536D"/>
    <w:rsid w:val="0067660F"/>
    <w:rsid w:val="006775C3"/>
    <w:rsid w:val="006777AE"/>
    <w:rsid w:val="00677968"/>
    <w:rsid w:val="00680277"/>
    <w:rsid w:val="00681640"/>
    <w:rsid w:val="006816EB"/>
    <w:rsid w:val="006823D8"/>
    <w:rsid w:val="00682B28"/>
    <w:rsid w:val="00683400"/>
    <w:rsid w:val="006846B5"/>
    <w:rsid w:val="00684751"/>
    <w:rsid w:val="00684F86"/>
    <w:rsid w:val="006854A1"/>
    <w:rsid w:val="00685567"/>
    <w:rsid w:val="006858DC"/>
    <w:rsid w:val="00685AA9"/>
    <w:rsid w:val="00686AD2"/>
    <w:rsid w:val="006878A1"/>
    <w:rsid w:val="0069084F"/>
    <w:rsid w:val="00690A5C"/>
    <w:rsid w:val="00691608"/>
    <w:rsid w:val="0069290A"/>
    <w:rsid w:val="00692924"/>
    <w:rsid w:val="00692AC2"/>
    <w:rsid w:val="00693675"/>
    <w:rsid w:val="00693731"/>
    <w:rsid w:val="00693938"/>
    <w:rsid w:val="00694EC8"/>
    <w:rsid w:val="00695B75"/>
    <w:rsid w:val="006964FB"/>
    <w:rsid w:val="00696749"/>
    <w:rsid w:val="00696AC0"/>
    <w:rsid w:val="00697226"/>
    <w:rsid w:val="006973EB"/>
    <w:rsid w:val="0069775A"/>
    <w:rsid w:val="00697813"/>
    <w:rsid w:val="006A0C43"/>
    <w:rsid w:val="006A0E35"/>
    <w:rsid w:val="006A1A61"/>
    <w:rsid w:val="006A1C65"/>
    <w:rsid w:val="006A25A2"/>
    <w:rsid w:val="006A26B5"/>
    <w:rsid w:val="006A2A01"/>
    <w:rsid w:val="006A2A71"/>
    <w:rsid w:val="006A2C2F"/>
    <w:rsid w:val="006A2EDE"/>
    <w:rsid w:val="006A38DF"/>
    <w:rsid w:val="006A3B77"/>
    <w:rsid w:val="006A3EE8"/>
    <w:rsid w:val="006A4022"/>
    <w:rsid w:val="006A42BB"/>
    <w:rsid w:val="006A43B2"/>
    <w:rsid w:val="006A49AA"/>
    <w:rsid w:val="006A5589"/>
    <w:rsid w:val="006A5B37"/>
    <w:rsid w:val="006A712C"/>
    <w:rsid w:val="006A72BF"/>
    <w:rsid w:val="006A753D"/>
    <w:rsid w:val="006B03F2"/>
    <w:rsid w:val="006B2113"/>
    <w:rsid w:val="006B27EA"/>
    <w:rsid w:val="006B2C8F"/>
    <w:rsid w:val="006B37DC"/>
    <w:rsid w:val="006B388E"/>
    <w:rsid w:val="006B4B1D"/>
    <w:rsid w:val="006B4F68"/>
    <w:rsid w:val="006B5761"/>
    <w:rsid w:val="006B60D3"/>
    <w:rsid w:val="006B6D16"/>
    <w:rsid w:val="006B7578"/>
    <w:rsid w:val="006C0592"/>
    <w:rsid w:val="006C0FE5"/>
    <w:rsid w:val="006C1138"/>
    <w:rsid w:val="006C22F1"/>
    <w:rsid w:val="006C250D"/>
    <w:rsid w:val="006C272E"/>
    <w:rsid w:val="006C327C"/>
    <w:rsid w:val="006C52D6"/>
    <w:rsid w:val="006C5479"/>
    <w:rsid w:val="006C6264"/>
    <w:rsid w:val="006D023A"/>
    <w:rsid w:val="006D08F3"/>
    <w:rsid w:val="006D0AD1"/>
    <w:rsid w:val="006D0DAA"/>
    <w:rsid w:val="006D13B5"/>
    <w:rsid w:val="006D146D"/>
    <w:rsid w:val="006D16F4"/>
    <w:rsid w:val="006D1BFE"/>
    <w:rsid w:val="006D216F"/>
    <w:rsid w:val="006D23D7"/>
    <w:rsid w:val="006D24E4"/>
    <w:rsid w:val="006D2887"/>
    <w:rsid w:val="006D2E74"/>
    <w:rsid w:val="006D2FA3"/>
    <w:rsid w:val="006D30B3"/>
    <w:rsid w:val="006D35D3"/>
    <w:rsid w:val="006D471E"/>
    <w:rsid w:val="006D47A5"/>
    <w:rsid w:val="006D5493"/>
    <w:rsid w:val="006D6031"/>
    <w:rsid w:val="006D6EDD"/>
    <w:rsid w:val="006D70F1"/>
    <w:rsid w:val="006D723B"/>
    <w:rsid w:val="006E07FD"/>
    <w:rsid w:val="006E1192"/>
    <w:rsid w:val="006E12FF"/>
    <w:rsid w:val="006E133F"/>
    <w:rsid w:val="006E1EC9"/>
    <w:rsid w:val="006E2725"/>
    <w:rsid w:val="006E2875"/>
    <w:rsid w:val="006E2B81"/>
    <w:rsid w:val="006E2D5E"/>
    <w:rsid w:val="006E2F86"/>
    <w:rsid w:val="006E32CB"/>
    <w:rsid w:val="006E346B"/>
    <w:rsid w:val="006E3607"/>
    <w:rsid w:val="006E4C3C"/>
    <w:rsid w:val="006E607E"/>
    <w:rsid w:val="006E60EB"/>
    <w:rsid w:val="006E6A15"/>
    <w:rsid w:val="006E71DC"/>
    <w:rsid w:val="006F0502"/>
    <w:rsid w:val="006F1004"/>
    <w:rsid w:val="006F2A35"/>
    <w:rsid w:val="006F3058"/>
    <w:rsid w:val="006F388F"/>
    <w:rsid w:val="006F40EF"/>
    <w:rsid w:val="006F449E"/>
    <w:rsid w:val="006F5B08"/>
    <w:rsid w:val="006F5C56"/>
    <w:rsid w:val="006F5CEB"/>
    <w:rsid w:val="006F6156"/>
    <w:rsid w:val="006F6B7F"/>
    <w:rsid w:val="006F7DD9"/>
    <w:rsid w:val="00700EDF"/>
    <w:rsid w:val="007016AC"/>
    <w:rsid w:val="00701E73"/>
    <w:rsid w:val="0070332E"/>
    <w:rsid w:val="00703A35"/>
    <w:rsid w:val="00703CBD"/>
    <w:rsid w:val="00703D1A"/>
    <w:rsid w:val="0070426F"/>
    <w:rsid w:val="007052A8"/>
    <w:rsid w:val="007065E9"/>
    <w:rsid w:val="00706C5D"/>
    <w:rsid w:val="00710B2B"/>
    <w:rsid w:val="00712792"/>
    <w:rsid w:val="00712AFA"/>
    <w:rsid w:val="00713F86"/>
    <w:rsid w:val="00715459"/>
    <w:rsid w:val="007155C3"/>
    <w:rsid w:val="00715AA3"/>
    <w:rsid w:val="007160E8"/>
    <w:rsid w:val="00717229"/>
    <w:rsid w:val="00720183"/>
    <w:rsid w:val="0072037C"/>
    <w:rsid w:val="007209BF"/>
    <w:rsid w:val="00720F8E"/>
    <w:rsid w:val="007245DB"/>
    <w:rsid w:val="00724E78"/>
    <w:rsid w:val="007261BE"/>
    <w:rsid w:val="00727AA8"/>
    <w:rsid w:val="00730660"/>
    <w:rsid w:val="00731206"/>
    <w:rsid w:val="00731988"/>
    <w:rsid w:val="00732299"/>
    <w:rsid w:val="00732922"/>
    <w:rsid w:val="00732AA6"/>
    <w:rsid w:val="00732B22"/>
    <w:rsid w:val="00732C6E"/>
    <w:rsid w:val="00734184"/>
    <w:rsid w:val="00734F0A"/>
    <w:rsid w:val="0073554E"/>
    <w:rsid w:val="00735862"/>
    <w:rsid w:val="00736184"/>
    <w:rsid w:val="007361A4"/>
    <w:rsid w:val="007365DF"/>
    <w:rsid w:val="007373ED"/>
    <w:rsid w:val="007378D3"/>
    <w:rsid w:val="00737F01"/>
    <w:rsid w:val="00741A9E"/>
    <w:rsid w:val="00741FD9"/>
    <w:rsid w:val="007424F3"/>
    <w:rsid w:val="00742CE7"/>
    <w:rsid w:val="00743118"/>
    <w:rsid w:val="00743824"/>
    <w:rsid w:val="00743CEE"/>
    <w:rsid w:val="00743E64"/>
    <w:rsid w:val="00743F65"/>
    <w:rsid w:val="00744610"/>
    <w:rsid w:val="00744796"/>
    <w:rsid w:val="00744B63"/>
    <w:rsid w:val="00745A33"/>
    <w:rsid w:val="00745CDD"/>
    <w:rsid w:val="0074600A"/>
    <w:rsid w:val="007469B8"/>
    <w:rsid w:val="0074736D"/>
    <w:rsid w:val="0075162E"/>
    <w:rsid w:val="007520AD"/>
    <w:rsid w:val="00752544"/>
    <w:rsid w:val="0075255A"/>
    <w:rsid w:val="00752735"/>
    <w:rsid w:val="00752A1D"/>
    <w:rsid w:val="00752D05"/>
    <w:rsid w:val="00752FBD"/>
    <w:rsid w:val="00754034"/>
    <w:rsid w:val="007552A2"/>
    <w:rsid w:val="00756422"/>
    <w:rsid w:val="00756556"/>
    <w:rsid w:val="00756CB4"/>
    <w:rsid w:val="007571AA"/>
    <w:rsid w:val="00760485"/>
    <w:rsid w:val="007604D5"/>
    <w:rsid w:val="007618C4"/>
    <w:rsid w:val="00762248"/>
    <w:rsid w:val="007622E8"/>
    <w:rsid w:val="00762CF2"/>
    <w:rsid w:val="00763550"/>
    <w:rsid w:val="00764612"/>
    <w:rsid w:val="00765766"/>
    <w:rsid w:val="007657D8"/>
    <w:rsid w:val="00766019"/>
    <w:rsid w:val="00766AEC"/>
    <w:rsid w:val="00767980"/>
    <w:rsid w:val="00767BC0"/>
    <w:rsid w:val="00767E9B"/>
    <w:rsid w:val="00770517"/>
    <w:rsid w:val="00770B19"/>
    <w:rsid w:val="00770F02"/>
    <w:rsid w:val="00771F45"/>
    <w:rsid w:val="007731A3"/>
    <w:rsid w:val="00773B3D"/>
    <w:rsid w:val="007744BD"/>
    <w:rsid w:val="0077463F"/>
    <w:rsid w:val="00774A6D"/>
    <w:rsid w:val="00774DC1"/>
    <w:rsid w:val="00775D0D"/>
    <w:rsid w:val="007760E5"/>
    <w:rsid w:val="00777841"/>
    <w:rsid w:val="00777B40"/>
    <w:rsid w:val="00777C80"/>
    <w:rsid w:val="007819D1"/>
    <w:rsid w:val="0078208D"/>
    <w:rsid w:val="00782C20"/>
    <w:rsid w:val="007836EA"/>
    <w:rsid w:val="00784CDA"/>
    <w:rsid w:val="00785011"/>
    <w:rsid w:val="007856AF"/>
    <w:rsid w:val="00785AEC"/>
    <w:rsid w:val="007862C0"/>
    <w:rsid w:val="007868F1"/>
    <w:rsid w:val="007903C2"/>
    <w:rsid w:val="007904CB"/>
    <w:rsid w:val="007906C4"/>
    <w:rsid w:val="00790BBD"/>
    <w:rsid w:val="007910E6"/>
    <w:rsid w:val="00791B27"/>
    <w:rsid w:val="007929D1"/>
    <w:rsid w:val="00793549"/>
    <w:rsid w:val="00793633"/>
    <w:rsid w:val="007939F9"/>
    <w:rsid w:val="00793D14"/>
    <w:rsid w:val="00793F7C"/>
    <w:rsid w:val="00793FD8"/>
    <w:rsid w:val="007940EA"/>
    <w:rsid w:val="00794881"/>
    <w:rsid w:val="007960E3"/>
    <w:rsid w:val="007967E8"/>
    <w:rsid w:val="0079701B"/>
    <w:rsid w:val="00797C7E"/>
    <w:rsid w:val="007A0036"/>
    <w:rsid w:val="007A0A4F"/>
    <w:rsid w:val="007A1758"/>
    <w:rsid w:val="007A2170"/>
    <w:rsid w:val="007A22BF"/>
    <w:rsid w:val="007A3323"/>
    <w:rsid w:val="007A3710"/>
    <w:rsid w:val="007A37D8"/>
    <w:rsid w:val="007A431F"/>
    <w:rsid w:val="007A46A2"/>
    <w:rsid w:val="007A4FB9"/>
    <w:rsid w:val="007A5C48"/>
    <w:rsid w:val="007A712A"/>
    <w:rsid w:val="007A7992"/>
    <w:rsid w:val="007A7B6E"/>
    <w:rsid w:val="007B0756"/>
    <w:rsid w:val="007B07E7"/>
    <w:rsid w:val="007B085C"/>
    <w:rsid w:val="007B161B"/>
    <w:rsid w:val="007B16E2"/>
    <w:rsid w:val="007B2085"/>
    <w:rsid w:val="007B246D"/>
    <w:rsid w:val="007B3EBA"/>
    <w:rsid w:val="007B4B3A"/>
    <w:rsid w:val="007B683D"/>
    <w:rsid w:val="007B6C95"/>
    <w:rsid w:val="007B6E14"/>
    <w:rsid w:val="007B71FB"/>
    <w:rsid w:val="007B72B8"/>
    <w:rsid w:val="007B7A0F"/>
    <w:rsid w:val="007B7A58"/>
    <w:rsid w:val="007C0B79"/>
    <w:rsid w:val="007C1348"/>
    <w:rsid w:val="007C17AA"/>
    <w:rsid w:val="007C21B5"/>
    <w:rsid w:val="007C3044"/>
    <w:rsid w:val="007C3388"/>
    <w:rsid w:val="007C3874"/>
    <w:rsid w:val="007C393D"/>
    <w:rsid w:val="007C5394"/>
    <w:rsid w:val="007C5735"/>
    <w:rsid w:val="007C5D90"/>
    <w:rsid w:val="007C714A"/>
    <w:rsid w:val="007D1F45"/>
    <w:rsid w:val="007D243B"/>
    <w:rsid w:val="007D3697"/>
    <w:rsid w:val="007D3703"/>
    <w:rsid w:val="007D4BCF"/>
    <w:rsid w:val="007D4FDE"/>
    <w:rsid w:val="007D59BB"/>
    <w:rsid w:val="007D6596"/>
    <w:rsid w:val="007E04D3"/>
    <w:rsid w:val="007E14F0"/>
    <w:rsid w:val="007E174D"/>
    <w:rsid w:val="007E2549"/>
    <w:rsid w:val="007E3B90"/>
    <w:rsid w:val="007E3C82"/>
    <w:rsid w:val="007E3F5D"/>
    <w:rsid w:val="007E4BD2"/>
    <w:rsid w:val="007E67CD"/>
    <w:rsid w:val="007E6F1E"/>
    <w:rsid w:val="007E72FD"/>
    <w:rsid w:val="007F14F4"/>
    <w:rsid w:val="007F1C7A"/>
    <w:rsid w:val="007F4C0F"/>
    <w:rsid w:val="007F5809"/>
    <w:rsid w:val="007F5ED1"/>
    <w:rsid w:val="007F6825"/>
    <w:rsid w:val="007F6A48"/>
    <w:rsid w:val="007F736A"/>
    <w:rsid w:val="0080131A"/>
    <w:rsid w:val="00801393"/>
    <w:rsid w:val="00802987"/>
    <w:rsid w:val="00802F5F"/>
    <w:rsid w:val="00802F88"/>
    <w:rsid w:val="00802FD5"/>
    <w:rsid w:val="00803363"/>
    <w:rsid w:val="008036CB"/>
    <w:rsid w:val="00803F72"/>
    <w:rsid w:val="00804E0D"/>
    <w:rsid w:val="00805AF9"/>
    <w:rsid w:val="00805F11"/>
    <w:rsid w:val="00806CED"/>
    <w:rsid w:val="008107B6"/>
    <w:rsid w:val="00811FDE"/>
    <w:rsid w:val="008121E7"/>
    <w:rsid w:val="00812926"/>
    <w:rsid w:val="0081293E"/>
    <w:rsid w:val="008135B0"/>
    <w:rsid w:val="008135B8"/>
    <w:rsid w:val="008137BE"/>
    <w:rsid w:val="0081447C"/>
    <w:rsid w:val="00815465"/>
    <w:rsid w:val="0081564C"/>
    <w:rsid w:val="00815FE3"/>
    <w:rsid w:val="00816578"/>
    <w:rsid w:val="00817E9A"/>
    <w:rsid w:val="0082191B"/>
    <w:rsid w:val="00821C33"/>
    <w:rsid w:val="00823290"/>
    <w:rsid w:val="0082363C"/>
    <w:rsid w:val="00823C28"/>
    <w:rsid w:val="00824559"/>
    <w:rsid w:val="00824AA8"/>
    <w:rsid w:val="00825E97"/>
    <w:rsid w:val="00826C63"/>
    <w:rsid w:val="00827047"/>
    <w:rsid w:val="00827B15"/>
    <w:rsid w:val="008306BD"/>
    <w:rsid w:val="008312C6"/>
    <w:rsid w:val="00831627"/>
    <w:rsid w:val="008317BC"/>
    <w:rsid w:val="00831A80"/>
    <w:rsid w:val="00831D3E"/>
    <w:rsid w:val="00831FE4"/>
    <w:rsid w:val="008328AE"/>
    <w:rsid w:val="00832F93"/>
    <w:rsid w:val="00833743"/>
    <w:rsid w:val="008340A4"/>
    <w:rsid w:val="00834E33"/>
    <w:rsid w:val="00835DA3"/>
    <w:rsid w:val="00836916"/>
    <w:rsid w:val="00837AA4"/>
    <w:rsid w:val="00840827"/>
    <w:rsid w:val="00840DF5"/>
    <w:rsid w:val="008415AA"/>
    <w:rsid w:val="00841D06"/>
    <w:rsid w:val="00841E00"/>
    <w:rsid w:val="008422D1"/>
    <w:rsid w:val="008423CB"/>
    <w:rsid w:val="00842759"/>
    <w:rsid w:val="00842E69"/>
    <w:rsid w:val="00843214"/>
    <w:rsid w:val="00844276"/>
    <w:rsid w:val="008446E2"/>
    <w:rsid w:val="0084472E"/>
    <w:rsid w:val="0084475C"/>
    <w:rsid w:val="00846618"/>
    <w:rsid w:val="00847021"/>
    <w:rsid w:val="008473CA"/>
    <w:rsid w:val="0084750D"/>
    <w:rsid w:val="0084760C"/>
    <w:rsid w:val="0085030D"/>
    <w:rsid w:val="008509B8"/>
    <w:rsid w:val="00852662"/>
    <w:rsid w:val="00853764"/>
    <w:rsid w:val="00854F3D"/>
    <w:rsid w:val="00854FB5"/>
    <w:rsid w:val="00855812"/>
    <w:rsid w:val="008565E8"/>
    <w:rsid w:val="00856FBB"/>
    <w:rsid w:val="008577C6"/>
    <w:rsid w:val="00860D20"/>
    <w:rsid w:val="00861B7D"/>
    <w:rsid w:val="008627FF"/>
    <w:rsid w:val="0086300F"/>
    <w:rsid w:val="00864FC5"/>
    <w:rsid w:val="0086550B"/>
    <w:rsid w:val="00866062"/>
    <w:rsid w:val="008668CB"/>
    <w:rsid w:val="00866DB7"/>
    <w:rsid w:val="008710D1"/>
    <w:rsid w:val="0087135F"/>
    <w:rsid w:val="00872271"/>
    <w:rsid w:val="008727F6"/>
    <w:rsid w:val="00872D94"/>
    <w:rsid w:val="0087303C"/>
    <w:rsid w:val="00873496"/>
    <w:rsid w:val="0087360B"/>
    <w:rsid w:val="008740D2"/>
    <w:rsid w:val="0087512E"/>
    <w:rsid w:val="0087565C"/>
    <w:rsid w:val="00880364"/>
    <w:rsid w:val="00881F50"/>
    <w:rsid w:val="00882C43"/>
    <w:rsid w:val="008838DE"/>
    <w:rsid w:val="00883C4F"/>
    <w:rsid w:val="00884625"/>
    <w:rsid w:val="00884B94"/>
    <w:rsid w:val="00885E99"/>
    <w:rsid w:val="00886179"/>
    <w:rsid w:val="00886F04"/>
    <w:rsid w:val="00886F24"/>
    <w:rsid w:val="00887407"/>
    <w:rsid w:val="00887A61"/>
    <w:rsid w:val="008900F1"/>
    <w:rsid w:val="00891592"/>
    <w:rsid w:val="00891598"/>
    <w:rsid w:val="008918C7"/>
    <w:rsid w:val="00891E64"/>
    <w:rsid w:val="00891E9E"/>
    <w:rsid w:val="008920D7"/>
    <w:rsid w:val="00892340"/>
    <w:rsid w:val="0089290E"/>
    <w:rsid w:val="008933DB"/>
    <w:rsid w:val="00893EBE"/>
    <w:rsid w:val="0089708C"/>
    <w:rsid w:val="00897AC2"/>
    <w:rsid w:val="00897C38"/>
    <w:rsid w:val="008A03A4"/>
    <w:rsid w:val="008A0804"/>
    <w:rsid w:val="008A1186"/>
    <w:rsid w:val="008A1B20"/>
    <w:rsid w:val="008A2F68"/>
    <w:rsid w:val="008A4583"/>
    <w:rsid w:val="008A4B13"/>
    <w:rsid w:val="008A4D80"/>
    <w:rsid w:val="008A56D6"/>
    <w:rsid w:val="008A69AC"/>
    <w:rsid w:val="008A75BF"/>
    <w:rsid w:val="008A7AF0"/>
    <w:rsid w:val="008B11A2"/>
    <w:rsid w:val="008B1C69"/>
    <w:rsid w:val="008B3FD8"/>
    <w:rsid w:val="008B4FA6"/>
    <w:rsid w:val="008B5282"/>
    <w:rsid w:val="008B6825"/>
    <w:rsid w:val="008B6984"/>
    <w:rsid w:val="008B7950"/>
    <w:rsid w:val="008B7C17"/>
    <w:rsid w:val="008C026D"/>
    <w:rsid w:val="008C1ADA"/>
    <w:rsid w:val="008C1F9F"/>
    <w:rsid w:val="008C29C8"/>
    <w:rsid w:val="008C2D01"/>
    <w:rsid w:val="008C33CF"/>
    <w:rsid w:val="008C3ECC"/>
    <w:rsid w:val="008C40E6"/>
    <w:rsid w:val="008C4C97"/>
    <w:rsid w:val="008C5B34"/>
    <w:rsid w:val="008C676A"/>
    <w:rsid w:val="008C6BCD"/>
    <w:rsid w:val="008C7694"/>
    <w:rsid w:val="008C7C38"/>
    <w:rsid w:val="008C7CB5"/>
    <w:rsid w:val="008C7E98"/>
    <w:rsid w:val="008C7F62"/>
    <w:rsid w:val="008D01B9"/>
    <w:rsid w:val="008D072A"/>
    <w:rsid w:val="008D0F7A"/>
    <w:rsid w:val="008D118D"/>
    <w:rsid w:val="008D2323"/>
    <w:rsid w:val="008D288A"/>
    <w:rsid w:val="008D3AC9"/>
    <w:rsid w:val="008D3DB6"/>
    <w:rsid w:val="008D4592"/>
    <w:rsid w:val="008D51BA"/>
    <w:rsid w:val="008D52EE"/>
    <w:rsid w:val="008D53AE"/>
    <w:rsid w:val="008D5693"/>
    <w:rsid w:val="008D56B1"/>
    <w:rsid w:val="008D593A"/>
    <w:rsid w:val="008D5AD8"/>
    <w:rsid w:val="008D5B8F"/>
    <w:rsid w:val="008D68E4"/>
    <w:rsid w:val="008D71DF"/>
    <w:rsid w:val="008D7689"/>
    <w:rsid w:val="008D7BE7"/>
    <w:rsid w:val="008E0506"/>
    <w:rsid w:val="008E0CFF"/>
    <w:rsid w:val="008E211F"/>
    <w:rsid w:val="008E2F55"/>
    <w:rsid w:val="008E34E7"/>
    <w:rsid w:val="008E357D"/>
    <w:rsid w:val="008E35AA"/>
    <w:rsid w:val="008E35C5"/>
    <w:rsid w:val="008E4938"/>
    <w:rsid w:val="008E4F4F"/>
    <w:rsid w:val="008E598A"/>
    <w:rsid w:val="008E5BD3"/>
    <w:rsid w:val="008E5D6B"/>
    <w:rsid w:val="008E5E70"/>
    <w:rsid w:val="008E76F0"/>
    <w:rsid w:val="008F0918"/>
    <w:rsid w:val="008F0A04"/>
    <w:rsid w:val="008F15FE"/>
    <w:rsid w:val="008F19C0"/>
    <w:rsid w:val="008F20AB"/>
    <w:rsid w:val="008F2D29"/>
    <w:rsid w:val="008F402A"/>
    <w:rsid w:val="008F5187"/>
    <w:rsid w:val="008F54CB"/>
    <w:rsid w:val="008F5E45"/>
    <w:rsid w:val="008F60D8"/>
    <w:rsid w:val="008F6505"/>
    <w:rsid w:val="008F696E"/>
    <w:rsid w:val="008F6E0D"/>
    <w:rsid w:val="008F759D"/>
    <w:rsid w:val="00900592"/>
    <w:rsid w:val="009007DA"/>
    <w:rsid w:val="009007F5"/>
    <w:rsid w:val="00902727"/>
    <w:rsid w:val="00902C1D"/>
    <w:rsid w:val="0090312B"/>
    <w:rsid w:val="0090414A"/>
    <w:rsid w:val="0090451E"/>
    <w:rsid w:val="009046D5"/>
    <w:rsid w:val="00904B59"/>
    <w:rsid w:val="00904F25"/>
    <w:rsid w:val="00905E98"/>
    <w:rsid w:val="00906F5C"/>
    <w:rsid w:val="00907172"/>
    <w:rsid w:val="00907212"/>
    <w:rsid w:val="00910C20"/>
    <w:rsid w:val="00910E5E"/>
    <w:rsid w:val="00910F63"/>
    <w:rsid w:val="00911C72"/>
    <w:rsid w:val="00913066"/>
    <w:rsid w:val="00913939"/>
    <w:rsid w:val="00913CEE"/>
    <w:rsid w:val="00913F1A"/>
    <w:rsid w:val="009151E1"/>
    <w:rsid w:val="00915215"/>
    <w:rsid w:val="00915824"/>
    <w:rsid w:val="00916959"/>
    <w:rsid w:val="00916C17"/>
    <w:rsid w:val="0091736D"/>
    <w:rsid w:val="0091737C"/>
    <w:rsid w:val="009178B4"/>
    <w:rsid w:val="00921293"/>
    <w:rsid w:val="009218D7"/>
    <w:rsid w:val="00921EC2"/>
    <w:rsid w:val="00922ACC"/>
    <w:rsid w:val="0092362D"/>
    <w:rsid w:val="0092396B"/>
    <w:rsid w:val="00923DBE"/>
    <w:rsid w:val="00924A68"/>
    <w:rsid w:val="00924BD0"/>
    <w:rsid w:val="009258E1"/>
    <w:rsid w:val="00925B49"/>
    <w:rsid w:val="009266B9"/>
    <w:rsid w:val="0092680A"/>
    <w:rsid w:val="009271B5"/>
    <w:rsid w:val="00927353"/>
    <w:rsid w:val="0092735F"/>
    <w:rsid w:val="00927CA8"/>
    <w:rsid w:val="0093037A"/>
    <w:rsid w:val="0093039E"/>
    <w:rsid w:val="00931500"/>
    <w:rsid w:val="0093370D"/>
    <w:rsid w:val="009347FD"/>
    <w:rsid w:val="00934BE3"/>
    <w:rsid w:val="009353B7"/>
    <w:rsid w:val="00935E7D"/>
    <w:rsid w:val="00936525"/>
    <w:rsid w:val="009365E7"/>
    <w:rsid w:val="00936BCC"/>
    <w:rsid w:val="00937FD2"/>
    <w:rsid w:val="0094154D"/>
    <w:rsid w:val="00941B27"/>
    <w:rsid w:val="00941D02"/>
    <w:rsid w:val="00942A08"/>
    <w:rsid w:val="009435E5"/>
    <w:rsid w:val="00943BEA"/>
    <w:rsid w:val="00944618"/>
    <w:rsid w:val="0094495C"/>
    <w:rsid w:val="009451C8"/>
    <w:rsid w:val="00945490"/>
    <w:rsid w:val="009455B6"/>
    <w:rsid w:val="00945B2D"/>
    <w:rsid w:val="009461BE"/>
    <w:rsid w:val="00946C65"/>
    <w:rsid w:val="00947DFE"/>
    <w:rsid w:val="0095025E"/>
    <w:rsid w:val="00950520"/>
    <w:rsid w:val="009506A4"/>
    <w:rsid w:val="009508B6"/>
    <w:rsid w:val="0095155F"/>
    <w:rsid w:val="009515D1"/>
    <w:rsid w:val="00951B7C"/>
    <w:rsid w:val="009520A0"/>
    <w:rsid w:val="009535A6"/>
    <w:rsid w:val="00953B10"/>
    <w:rsid w:val="00953C7D"/>
    <w:rsid w:val="00953FE9"/>
    <w:rsid w:val="00954429"/>
    <w:rsid w:val="00955549"/>
    <w:rsid w:val="009559C1"/>
    <w:rsid w:val="009563CE"/>
    <w:rsid w:val="00956EAD"/>
    <w:rsid w:val="00957548"/>
    <w:rsid w:val="009576CF"/>
    <w:rsid w:val="00957A9E"/>
    <w:rsid w:val="00962338"/>
    <w:rsid w:val="00962976"/>
    <w:rsid w:val="0096357C"/>
    <w:rsid w:val="00963989"/>
    <w:rsid w:val="009639E3"/>
    <w:rsid w:val="00963CFC"/>
    <w:rsid w:val="00964A38"/>
    <w:rsid w:val="00965CC2"/>
    <w:rsid w:val="00966B8E"/>
    <w:rsid w:val="009675B8"/>
    <w:rsid w:val="00967B89"/>
    <w:rsid w:val="00970F38"/>
    <w:rsid w:val="0097168E"/>
    <w:rsid w:val="00971D01"/>
    <w:rsid w:val="00972276"/>
    <w:rsid w:val="0097295E"/>
    <w:rsid w:val="0097452A"/>
    <w:rsid w:val="00974723"/>
    <w:rsid w:val="009757A6"/>
    <w:rsid w:val="00976328"/>
    <w:rsid w:val="0097680D"/>
    <w:rsid w:val="009775E8"/>
    <w:rsid w:val="009803F5"/>
    <w:rsid w:val="00980A1E"/>
    <w:rsid w:val="00982438"/>
    <w:rsid w:val="00982981"/>
    <w:rsid w:val="00983DC8"/>
    <w:rsid w:val="0098404C"/>
    <w:rsid w:val="00985283"/>
    <w:rsid w:val="009855BF"/>
    <w:rsid w:val="0098764A"/>
    <w:rsid w:val="00987FEE"/>
    <w:rsid w:val="00991386"/>
    <w:rsid w:val="00991596"/>
    <w:rsid w:val="009915A9"/>
    <w:rsid w:val="00991AED"/>
    <w:rsid w:val="00991F83"/>
    <w:rsid w:val="00992A21"/>
    <w:rsid w:val="00992EBD"/>
    <w:rsid w:val="0099392B"/>
    <w:rsid w:val="00995992"/>
    <w:rsid w:val="00995FBA"/>
    <w:rsid w:val="009967B1"/>
    <w:rsid w:val="00996A8F"/>
    <w:rsid w:val="00996CAB"/>
    <w:rsid w:val="009A03E5"/>
    <w:rsid w:val="009A0F3B"/>
    <w:rsid w:val="009A1434"/>
    <w:rsid w:val="009A1BB4"/>
    <w:rsid w:val="009A1D31"/>
    <w:rsid w:val="009A245C"/>
    <w:rsid w:val="009A2628"/>
    <w:rsid w:val="009A271B"/>
    <w:rsid w:val="009A2A1C"/>
    <w:rsid w:val="009A2C32"/>
    <w:rsid w:val="009A3200"/>
    <w:rsid w:val="009A3819"/>
    <w:rsid w:val="009A6520"/>
    <w:rsid w:val="009A703D"/>
    <w:rsid w:val="009A7C00"/>
    <w:rsid w:val="009A7C21"/>
    <w:rsid w:val="009B023D"/>
    <w:rsid w:val="009B0897"/>
    <w:rsid w:val="009B0FAE"/>
    <w:rsid w:val="009B1222"/>
    <w:rsid w:val="009B1BF7"/>
    <w:rsid w:val="009B1FD9"/>
    <w:rsid w:val="009B493A"/>
    <w:rsid w:val="009B5D22"/>
    <w:rsid w:val="009B6407"/>
    <w:rsid w:val="009B6E6C"/>
    <w:rsid w:val="009B7BD9"/>
    <w:rsid w:val="009C0959"/>
    <w:rsid w:val="009C1375"/>
    <w:rsid w:val="009C1502"/>
    <w:rsid w:val="009C16F1"/>
    <w:rsid w:val="009C25C8"/>
    <w:rsid w:val="009C2CAD"/>
    <w:rsid w:val="009C427F"/>
    <w:rsid w:val="009C4469"/>
    <w:rsid w:val="009C4F57"/>
    <w:rsid w:val="009C6666"/>
    <w:rsid w:val="009C67C5"/>
    <w:rsid w:val="009C79BC"/>
    <w:rsid w:val="009C7C19"/>
    <w:rsid w:val="009C7DD5"/>
    <w:rsid w:val="009D0985"/>
    <w:rsid w:val="009D0A00"/>
    <w:rsid w:val="009D14A9"/>
    <w:rsid w:val="009D1631"/>
    <w:rsid w:val="009D205E"/>
    <w:rsid w:val="009D2851"/>
    <w:rsid w:val="009D325F"/>
    <w:rsid w:val="009D3F83"/>
    <w:rsid w:val="009D4E89"/>
    <w:rsid w:val="009D6ED2"/>
    <w:rsid w:val="009D702C"/>
    <w:rsid w:val="009E0025"/>
    <w:rsid w:val="009E0D85"/>
    <w:rsid w:val="009E14D4"/>
    <w:rsid w:val="009E15F7"/>
    <w:rsid w:val="009E1E29"/>
    <w:rsid w:val="009E1FBB"/>
    <w:rsid w:val="009E2019"/>
    <w:rsid w:val="009E227D"/>
    <w:rsid w:val="009E2595"/>
    <w:rsid w:val="009E3F5D"/>
    <w:rsid w:val="009E41C1"/>
    <w:rsid w:val="009E4B40"/>
    <w:rsid w:val="009E5019"/>
    <w:rsid w:val="009E5C2F"/>
    <w:rsid w:val="009E63FC"/>
    <w:rsid w:val="009E73CB"/>
    <w:rsid w:val="009F0A24"/>
    <w:rsid w:val="009F174E"/>
    <w:rsid w:val="009F2E44"/>
    <w:rsid w:val="009F38ED"/>
    <w:rsid w:val="009F3C99"/>
    <w:rsid w:val="009F5665"/>
    <w:rsid w:val="009F5DE2"/>
    <w:rsid w:val="009F5E2F"/>
    <w:rsid w:val="00A009C1"/>
    <w:rsid w:val="00A00F34"/>
    <w:rsid w:val="00A00FDA"/>
    <w:rsid w:val="00A01632"/>
    <w:rsid w:val="00A020E5"/>
    <w:rsid w:val="00A02596"/>
    <w:rsid w:val="00A02770"/>
    <w:rsid w:val="00A02795"/>
    <w:rsid w:val="00A02FF0"/>
    <w:rsid w:val="00A0319E"/>
    <w:rsid w:val="00A03EC5"/>
    <w:rsid w:val="00A043F3"/>
    <w:rsid w:val="00A04A76"/>
    <w:rsid w:val="00A04F1B"/>
    <w:rsid w:val="00A0501B"/>
    <w:rsid w:val="00A07B80"/>
    <w:rsid w:val="00A10AE4"/>
    <w:rsid w:val="00A10E06"/>
    <w:rsid w:val="00A10FBB"/>
    <w:rsid w:val="00A11015"/>
    <w:rsid w:val="00A1183A"/>
    <w:rsid w:val="00A12777"/>
    <w:rsid w:val="00A12FFB"/>
    <w:rsid w:val="00A133AE"/>
    <w:rsid w:val="00A1379B"/>
    <w:rsid w:val="00A137D8"/>
    <w:rsid w:val="00A1483D"/>
    <w:rsid w:val="00A14947"/>
    <w:rsid w:val="00A14CEC"/>
    <w:rsid w:val="00A151D9"/>
    <w:rsid w:val="00A155E9"/>
    <w:rsid w:val="00A17409"/>
    <w:rsid w:val="00A176FB"/>
    <w:rsid w:val="00A17851"/>
    <w:rsid w:val="00A2068A"/>
    <w:rsid w:val="00A20AEF"/>
    <w:rsid w:val="00A20C64"/>
    <w:rsid w:val="00A224F9"/>
    <w:rsid w:val="00A23474"/>
    <w:rsid w:val="00A250F8"/>
    <w:rsid w:val="00A25FF3"/>
    <w:rsid w:val="00A2635A"/>
    <w:rsid w:val="00A26A98"/>
    <w:rsid w:val="00A27414"/>
    <w:rsid w:val="00A274CA"/>
    <w:rsid w:val="00A3084E"/>
    <w:rsid w:val="00A30A01"/>
    <w:rsid w:val="00A31E2E"/>
    <w:rsid w:val="00A327DF"/>
    <w:rsid w:val="00A32A83"/>
    <w:rsid w:val="00A34514"/>
    <w:rsid w:val="00A346CE"/>
    <w:rsid w:val="00A34789"/>
    <w:rsid w:val="00A34DD7"/>
    <w:rsid w:val="00A35095"/>
    <w:rsid w:val="00A35CCC"/>
    <w:rsid w:val="00A368DB"/>
    <w:rsid w:val="00A3699E"/>
    <w:rsid w:val="00A36AA4"/>
    <w:rsid w:val="00A36B39"/>
    <w:rsid w:val="00A370F2"/>
    <w:rsid w:val="00A3721F"/>
    <w:rsid w:val="00A40372"/>
    <w:rsid w:val="00A40572"/>
    <w:rsid w:val="00A423AA"/>
    <w:rsid w:val="00A4364F"/>
    <w:rsid w:val="00A43E71"/>
    <w:rsid w:val="00A44671"/>
    <w:rsid w:val="00A44E31"/>
    <w:rsid w:val="00A44E6D"/>
    <w:rsid w:val="00A4548C"/>
    <w:rsid w:val="00A456AD"/>
    <w:rsid w:val="00A46967"/>
    <w:rsid w:val="00A46EB6"/>
    <w:rsid w:val="00A479C3"/>
    <w:rsid w:val="00A501AF"/>
    <w:rsid w:val="00A51121"/>
    <w:rsid w:val="00A5194D"/>
    <w:rsid w:val="00A520BA"/>
    <w:rsid w:val="00A538DF"/>
    <w:rsid w:val="00A53AD9"/>
    <w:rsid w:val="00A53EC6"/>
    <w:rsid w:val="00A55C0F"/>
    <w:rsid w:val="00A55EA8"/>
    <w:rsid w:val="00A56424"/>
    <w:rsid w:val="00A567D8"/>
    <w:rsid w:val="00A57069"/>
    <w:rsid w:val="00A57A5E"/>
    <w:rsid w:val="00A60005"/>
    <w:rsid w:val="00A60313"/>
    <w:rsid w:val="00A60562"/>
    <w:rsid w:val="00A607CF"/>
    <w:rsid w:val="00A60A81"/>
    <w:rsid w:val="00A6290E"/>
    <w:rsid w:val="00A62A5F"/>
    <w:rsid w:val="00A62EF4"/>
    <w:rsid w:val="00A63605"/>
    <w:rsid w:val="00A63C10"/>
    <w:rsid w:val="00A6416A"/>
    <w:rsid w:val="00A6473B"/>
    <w:rsid w:val="00A64C10"/>
    <w:rsid w:val="00A653F7"/>
    <w:rsid w:val="00A6546F"/>
    <w:rsid w:val="00A65575"/>
    <w:rsid w:val="00A656B2"/>
    <w:rsid w:val="00A65BC7"/>
    <w:rsid w:val="00A66E47"/>
    <w:rsid w:val="00A673CE"/>
    <w:rsid w:val="00A67993"/>
    <w:rsid w:val="00A67A3D"/>
    <w:rsid w:val="00A705A6"/>
    <w:rsid w:val="00A71BEE"/>
    <w:rsid w:val="00A724A4"/>
    <w:rsid w:val="00A73329"/>
    <w:rsid w:val="00A739DB"/>
    <w:rsid w:val="00A73EB8"/>
    <w:rsid w:val="00A74080"/>
    <w:rsid w:val="00A747D3"/>
    <w:rsid w:val="00A74B1B"/>
    <w:rsid w:val="00A752CC"/>
    <w:rsid w:val="00A756E0"/>
    <w:rsid w:val="00A7576F"/>
    <w:rsid w:val="00A75C96"/>
    <w:rsid w:val="00A76240"/>
    <w:rsid w:val="00A76332"/>
    <w:rsid w:val="00A770F2"/>
    <w:rsid w:val="00A77271"/>
    <w:rsid w:val="00A802E7"/>
    <w:rsid w:val="00A81DB1"/>
    <w:rsid w:val="00A83D89"/>
    <w:rsid w:val="00A8481B"/>
    <w:rsid w:val="00A84D81"/>
    <w:rsid w:val="00A850EC"/>
    <w:rsid w:val="00A85452"/>
    <w:rsid w:val="00A85607"/>
    <w:rsid w:val="00A857F7"/>
    <w:rsid w:val="00A85BCF"/>
    <w:rsid w:val="00A86CFA"/>
    <w:rsid w:val="00A8713F"/>
    <w:rsid w:val="00A87580"/>
    <w:rsid w:val="00A906E4"/>
    <w:rsid w:val="00A90AB5"/>
    <w:rsid w:val="00A90BA1"/>
    <w:rsid w:val="00A90C09"/>
    <w:rsid w:val="00A9175B"/>
    <w:rsid w:val="00A91AB7"/>
    <w:rsid w:val="00A921FA"/>
    <w:rsid w:val="00A925DC"/>
    <w:rsid w:val="00A929D6"/>
    <w:rsid w:val="00A93F88"/>
    <w:rsid w:val="00A9439C"/>
    <w:rsid w:val="00A94E35"/>
    <w:rsid w:val="00A97071"/>
    <w:rsid w:val="00A97A64"/>
    <w:rsid w:val="00A97A9A"/>
    <w:rsid w:val="00AA017F"/>
    <w:rsid w:val="00AA05F6"/>
    <w:rsid w:val="00AA0671"/>
    <w:rsid w:val="00AA106A"/>
    <w:rsid w:val="00AA1175"/>
    <w:rsid w:val="00AA18B3"/>
    <w:rsid w:val="00AA1DCE"/>
    <w:rsid w:val="00AA1E0A"/>
    <w:rsid w:val="00AA2531"/>
    <w:rsid w:val="00AA42D0"/>
    <w:rsid w:val="00AA4701"/>
    <w:rsid w:val="00AA4B0C"/>
    <w:rsid w:val="00AA4EB9"/>
    <w:rsid w:val="00AA5176"/>
    <w:rsid w:val="00AA52A5"/>
    <w:rsid w:val="00AA5452"/>
    <w:rsid w:val="00AA55C9"/>
    <w:rsid w:val="00AA65AD"/>
    <w:rsid w:val="00AA69A3"/>
    <w:rsid w:val="00AA6A86"/>
    <w:rsid w:val="00AA7955"/>
    <w:rsid w:val="00AA7B62"/>
    <w:rsid w:val="00AB070A"/>
    <w:rsid w:val="00AB0BE0"/>
    <w:rsid w:val="00AB0F36"/>
    <w:rsid w:val="00AB1384"/>
    <w:rsid w:val="00AB13D6"/>
    <w:rsid w:val="00AB1E09"/>
    <w:rsid w:val="00AB25FD"/>
    <w:rsid w:val="00AB27AF"/>
    <w:rsid w:val="00AB31A6"/>
    <w:rsid w:val="00AB33B0"/>
    <w:rsid w:val="00AB374C"/>
    <w:rsid w:val="00AB3A4F"/>
    <w:rsid w:val="00AB3AB5"/>
    <w:rsid w:val="00AB3E6D"/>
    <w:rsid w:val="00AB4618"/>
    <w:rsid w:val="00AB4C91"/>
    <w:rsid w:val="00AB5330"/>
    <w:rsid w:val="00AB5923"/>
    <w:rsid w:val="00AB6651"/>
    <w:rsid w:val="00AB6B47"/>
    <w:rsid w:val="00AB7205"/>
    <w:rsid w:val="00AB7747"/>
    <w:rsid w:val="00AB7AA9"/>
    <w:rsid w:val="00AC04AE"/>
    <w:rsid w:val="00AC0506"/>
    <w:rsid w:val="00AC14CE"/>
    <w:rsid w:val="00AC21C2"/>
    <w:rsid w:val="00AC2A56"/>
    <w:rsid w:val="00AC2D34"/>
    <w:rsid w:val="00AC4D53"/>
    <w:rsid w:val="00AC528A"/>
    <w:rsid w:val="00AC5A2A"/>
    <w:rsid w:val="00AC6277"/>
    <w:rsid w:val="00AC6627"/>
    <w:rsid w:val="00AD055E"/>
    <w:rsid w:val="00AD13E6"/>
    <w:rsid w:val="00AD1747"/>
    <w:rsid w:val="00AD2621"/>
    <w:rsid w:val="00AD2EAD"/>
    <w:rsid w:val="00AD2F87"/>
    <w:rsid w:val="00AD411E"/>
    <w:rsid w:val="00AD46BA"/>
    <w:rsid w:val="00AD47A7"/>
    <w:rsid w:val="00AD4F33"/>
    <w:rsid w:val="00AD505C"/>
    <w:rsid w:val="00AD50E6"/>
    <w:rsid w:val="00AD5370"/>
    <w:rsid w:val="00AD6A8C"/>
    <w:rsid w:val="00AD6F15"/>
    <w:rsid w:val="00AD7F83"/>
    <w:rsid w:val="00AE03A2"/>
    <w:rsid w:val="00AE04B3"/>
    <w:rsid w:val="00AE1044"/>
    <w:rsid w:val="00AE2980"/>
    <w:rsid w:val="00AE2BED"/>
    <w:rsid w:val="00AE3B54"/>
    <w:rsid w:val="00AE4054"/>
    <w:rsid w:val="00AE40F6"/>
    <w:rsid w:val="00AE641C"/>
    <w:rsid w:val="00AE7DA2"/>
    <w:rsid w:val="00AF098C"/>
    <w:rsid w:val="00AF0CBF"/>
    <w:rsid w:val="00AF1433"/>
    <w:rsid w:val="00AF1BF9"/>
    <w:rsid w:val="00AF257F"/>
    <w:rsid w:val="00AF263A"/>
    <w:rsid w:val="00AF2935"/>
    <w:rsid w:val="00AF33CF"/>
    <w:rsid w:val="00AF384A"/>
    <w:rsid w:val="00AF49CB"/>
    <w:rsid w:val="00AF4D50"/>
    <w:rsid w:val="00AF6179"/>
    <w:rsid w:val="00AF6D46"/>
    <w:rsid w:val="00AF7B32"/>
    <w:rsid w:val="00B00DC4"/>
    <w:rsid w:val="00B00EB3"/>
    <w:rsid w:val="00B00FF1"/>
    <w:rsid w:val="00B0143A"/>
    <w:rsid w:val="00B02B1A"/>
    <w:rsid w:val="00B039A9"/>
    <w:rsid w:val="00B0515A"/>
    <w:rsid w:val="00B05A45"/>
    <w:rsid w:val="00B05D6F"/>
    <w:rsid w:val="00B06289"/>
    <w:rsid w:val="00B07AEA"/>
    <w:rsid w:val="00B116FA"/>
    <w:rsid w:val="00B11DE6"/>
    <w:rsid w:val="00B1215F"/>
    <w:rsid w:val="00B1295A"/>
    <w:rsid w:val="00B13AA8"/>
    <w:rsid w:val="00B14E50"/>
    <w:rsid w:val="00B155F0"/>
    <w:rsid w:val="00B15EF1"/>
    <w:rsid w:val="00B16765"/>
    <w:rsid w:val="00B16C2C"/>
    <w:rsid w:val="00B16DA1"/>
    <w:rsid w:val="00B204C4"/>
    <w:rsid w:val="00B20A45"/>
    <w:rsid w:val="00B21707"/>
    <w:rsid w:val="00B21790"/>
    <w:rsid w:val="00B21CED"/>
    <w:rsid w:val="00B220B2"/>
    <w:rsid w:val="00B22566"/>
    <w:rsid w:val="00B22ADC"/>
    <w:rsid w:val="00B22C5C"/>
    <w:rsid w:val="00B2382D"/>
    <w:rsid w:val="00B23C6F"/>
    <w:rsid w:val="00B24F30"/>
    <w:rsid w:val="00B260E0"/>
    <w:rsid w:val="00B30E37"/>
    <w:rsid w:val="00B31ABF"/>
    <w:rsid w:val="00B32214"/>
    <w:rsid w:val="00B336F5"/>
    <w:rsid w:val="00B337C5"/>
    <w:rsid w:val="00B337CA"/>
    <w:rsid w:val="00B33BE3"/>
    <w:rsid w:val="00B340A3"/>
    <w:rsid w:val="00B3467B"/>
    <w:rsid w:val="00B3579D"/>
    <w:rsid w:val="00B35C5D"/>
    <w:rsid w:val="00B35C8F"/>
    <w:rsid w:val="00B35F35"/>
    <w:rsid w:val="00B3633A"/>
    <w:rsid w:val="00B36DBA"/>
    <w:rsid w:val="00B3786B"/>
    <w:rsid w:val="00B37945"/>
    <w:rsid w:val="00B37ADE"/>
    <w:rsid w:val="00B406A0"/>
    <w:rsid w:val="00B41D26"/>
    <w:rsid w:val="00B435B6"/>
    <w:rsid w:val="00B436E2"/>
    <w:rsid w:val="00B457D3"/>
    <w:rsid w:val="00B45D1C"/>
    <w:rsid w:val="00B46042"/>
    <w:rsid w:val="00B47CF2"/>
    <w:rsid w:val="00B47D82"/>
    <w:rsid w:val="00B47DB3"/>
    <w:rsid w:val="00B47FA3"/>
    <w:rsid w:val="00B500C0"/>
    <w:rsid w:val="00B50277"/>
    <w:rsid w:val="00B50876"/>
    <w:rsid w:val="00B509D4"/>
    <w:rsid w:val="00B50A85"/>
    <w:rsid w:val="00B50E47"/>
    <w:rsid w:val="00B5165C"/>
    <w:rsid w:val="00B525C8"/>
    <w:rsid w:val="00B53036"/>
    <w:rsid w:val="00B53888"/>
    <w:rsid w:val="00B53B5D"/>
    <w:rsid w:val="00B53DCF"/>
    <w:rsid w:val="00B55E89"/>
    <w:rsid w:val="00B55FC9"/>
    <w:rsid w:val="00B561F6"/>
    <w:rsid w:val="00B56895"/>
    <w:rsid w:val="00B577B7"/>
    <w:rsid w:val="00B57C2B"/>
    <w:rsid w:val="00B6055E"/>
    <w:rsid w:val="00B60B84"/>
    <w:rsid w:val="00B62B47"/>
    <w:rsid w:val="00B6317D"/>
    <w:rsid w:val="00B637C9"/>
    <w:rsid w:val="00B64172"/>
    <w:rsid w:val="00B641DE"/>
    <w:rsid w:val="00B64F2E"/>
    <w:rsid w:val="00B65462"/>
    <w:rsid w:val="00B6576B"/>
    <w:rsid w:val="00B65FE8"/>
    <w:rsid w:val="00B66005"/>
    <w:rsid w:val="00B6613F"/>
    <w:rsid w:val="00B66C78"/>
    <w:rsid w:val="00B67559"/>
    <w:rsid w:val="00B70C6E"/>
    <w:rsid w:val="00B71690"/>
    <w:rsid w:val="00B71E44"/>
    <w:rsid w:val="00B72A68"/>
    <w:rsid w:val="00B72CC7"/>
    <w:rsid w:val="00B73CAB"/>
    <w:rsid w:val="00B76415"/>
    <w:rsid w:val="00B76787"/>
    <w:rsid w:val="00B7723F"/>
    <w:rsid w:val="00B774D9"/>
    <w:rsid w:val="00B801B1"/>
    <w:rsid w:val="00B801F0"/>
    <w:rsid w:val="00B802EE"/>
    <w:rsid w:val="00B80534"/>
    <w:rsid w:val="00B80780"/>
    <w:rsid w:val="00B8117D"/>
    <w:rsid w:val="00B816E1"/>
    <w:rsid w:val="00B82C8D"/>
    <w:rsid w:val="00B839F4"/>
    <w:rsid w:val="00B83A1B"/>
    <w:rsid w:val="00B83F75"/>
    <w:rsid w:val="00B8433C"/>
    <w:rsid w:val="00B8440C"/>
    <w:rsid w:val="00B8456D"/>
    <w:rsid w:val="00B84CEE"/>
    <w:rsid w:val="00B85D14"/>
    <w:rsid w:val="00B864DE"/>
    <w:rsid w:val="00B86CE5"/>
    <w:rsid w:val="00B87491"/>
    <w:rsid w:val="00B916B1"/>
    <w:rsid w:val="00B92443"/>
    <w:rsid w:val="00B92FA9"/>
    <w:rsid w:val="00B933E0"/>
    <w:rsid w:val="00B93B5A"/>
    <w:rsid w:val="00B941DE"/>
    <w:rsid w:val="00B9490D"/>
    <w:rsid w:val="00B957FF"/>
    <w:rsid w:val="00B95DC1"/>
    <w:rsid w:val="00B97244"/>
    <w:rsid w:val="00BA17FD"/>
    <w:rsid w:val="00BA2267"/>
    <w:rsid w:val="00BA2587"/>
    <w:rsid w:val="00BA29E9"/>
    <w:rsid w:val="00BA2B12"/>
    <w:rsid w:val="00BA2C26"/>
    <w:rsid w:val="00BA2DB4"/>
    <w:rsid w:val="00BA310F"/>
    <w:rsid w:val="00BA3FB5"/>
    <w:rsid w:val="00BA489A"/>
    <w:rsid w:val="00BA5E91"/>
    <w:rsid w:val="00BA63AC"/>
    <w:rsid w:val="00BA6B7C"/>
    <w:rsid w:val="00BA6C7F"/>
    <w:rsid w:val="00BA7142"/>
    <w:rsid w:val="00BB0326"/>
    <w:rsid w:val="00BB0656"/>
    <w:rsid w:val="00BB18EF"/>
    <w:rsid w:val="00BB237C"/>
    <w:rsid w:val="00BB2EF6"/>
    <w:rsid w:val="00BB33C1"/>
    <w:rsid w:val="00BB3CF1"/>
    <w:rsid w:val="00BB41A3"/>
    <w:rsid w:val="00BB4C04"/>
    <w:rsid w:val="00BB5743"/>
    <w:rsid w:val="00BB57F1"/>
    <w:rsid w:val="00BB591B"/>
    <w:rsid w:val="00BB641A"/>
    <w:rsid w:val="00BB688F"/>
    <w:rsid w:val="00BB69A8"/>
    <w:rsid w:val="00BB71F7"/>
    <w:rsid w:val="00BB7AF7"/>
    <w:rsid w:val="00BC200A"/>
    <w:rsid w:val="00BC2012"/>
    <w:rsid w:val="00BC2C7C"/>
    <w:rsid w:val="00BC32DC"/>
    <w:rsid w:val="00BC35B6"/>
    <w:rsid w:val="00BC3D41"/>
    <w:rsid w:val="00BC40F0"/>
    <w:rsid w:val="00BC484D"/>
    <w:rsid w:val="00BC516C"/>
    <w:rsid w:val="00BC5CBE"/>
    <w:rsid w:val="00BC62F2"/>
    <w:rsid w:val="00BC6724"/>
    <w:rsid w:val="00BC6981"/>
    <w:rsid w:val="00BC7582"/>
    <w:rsid w:val="00BC7689"/>
    <w:rsid w:val="00BD0B80"/>
    <w:rsid w:val="00BD0DA0"/>
    <w:rsid w:val="00BD1057"/>
    <w:rsid w:val="00BD15FA"/>
    <w:rsid w:val="00BD1B13"/>
    <w:rsid w:val="00BD1B51"/>
    <w:rsid w:val="00BD1CAC"/>
    <w:rsid w:val="00BD1E7C"/>
    <w:rsid w:val="00BD2825"/>
    <w:rsid w:val="00BD28D3"/>
    <w:rsid w:val="00BD34D2"/>
    <w:rsid w:val="00BD3665"/>
    <w:rsid w:val="00BD3824"/>
    <w:rsid w:val="00BD4596"/>
    <w:rsid w:val="00BD486B"/>
    <w:rsid w:val="00BD682D"/>
    <w:rsid w:val="00BD7800"/>
    <w:rsid w:val="00BD7C30"/>
    <w:rsid w:val="00BE1405"/>
    <w:rsid w:val="00BE14FD"/>
    <w:rsid w:val="00BE1646"/>
    <w:rsid w:val="00BE1D60"/>
    <w:rsid w:val="00BE2510"/>
    <w:rsid w:val="00BE2D54"/>
    <w:rsid w:val="00BE30F1"/>
    <w:rsid w:val="00BE312D"/>
    <w:rsid w:val="00BE3E96"/>
    <w:rsid w:val="00BE5826"/>
    <w:rsid w:val="00BE5BC4"/>
    <w:rsid w:val="00BE6431"/>
    <w:rsid w:val="00BE660B"/>
    <w:rsid w:val="00BE693C"/>
    <w:rsid w:val="00BE7483"/>
    <w:rsid w:val="00BF1C20"/>
    <w:rsid w:val="00BF1D0B"/>
    <w:rsid w:val="00BF1FF1"/>
    <w:rsid w:val="00BF22F8"/>
    <w:rsid w:val="00BF3188"/>
    <w:rsid w:val="00BF35BD"/>
    <w:rsid w:val="00BF40EB"/>
    <w:rsid w:val="00BF5A73"/>
    <w:rsid w:val="00BF60CB"/>
    <w:rsid w:val="00BF6E5B"/>
    <w:rsid w:val="00C00761"/>
    <w:rsid w:val="00C00B24"/>
    <w:rsid w:val="00C00D9C"/>
    <w:rsid w:val="00C022AC"/>
    <w:rsid w:val="00C02987"/>
    <w:rsid w:val="00C02C3C"/>
    <w:rsid w:val="00C03652"/>
    <w:rsid w:val="00C03C3B"/>
    <w:rsid w:val="00C04763"/>
    <w:rsid w:val="00C05744"/>
    <w:rsid w:val="00C06589"/>
    <w:rsid w:val="00C06808"/>
    <w:rsid w:val="00C10486"/>
    <w:rsid w:val="00C10578"/>
    <w:rsid w:val="00C10CAB"/>
    <w:rsid w:val="00C11028"/>
    <w:rsid w:val="00C135BC"/>
    <w:rsid w:val="00C149A1"/>
    <w:rsid w:val="00C14BB1"/>
    <w:rsid w:val="00C15C95"/>
    <w:rsid w:val="00C169F0"/>
    <w:rsid w:val="00C16F34"/>
    <w:rsid w:val="00C17503"/>
    <w:rsid w:val="00C209EF"/>
    <w:rsid w:val="00C20A54"/>
    <w:rsid w:val="00C20DF7"/>
    <w:rsid w:val="00C22C73"/>
    <w:rsid w:val="00C24B80"/>
    <w:rsid w:val="00C24C6C"/>
    <w:rsid w:val="00C2596A"/>
    <w:rsid w:val="00C2597B"/>
    <w:rsid w:val="00C264CC"/>
    <w:rsid w:val="00C27537"/>
    <w:rsid w:val="00C3010E"/>
    <w:rsid w:val="00C30366"/>
    <w:rsid w:val="00C30905"/>
    <w:rsid w:val="00C30DA0"/>
    <w:rsid w:val="00C31397"/>
    <w:rsid w:val="00C31CEA"/>
    <w:rsid w:val="00C31EEC"/>
    <w:rsid w:val="00C32697"/>
    <w:rsid w:val="00C328FE"/>
    <w:rsid w:val="00C33403"/>
    <w:rsid w:val="00C33507"/>
    <w:rsid w:val="00C337D7"/>
    <w:rsid w:val="00C33E5B"/>
    <w:rsid w:val="00C35301"/>
    <w:rsid w:val="00C35A2E"/>
    <w:rsid w:val="00C363AD"/>
    <w:rsid w:val="00C36E4D"/>
    <w:rsid w:val="00C42C0A"/>
    <w:rsid w:val="00C42F13"/>
    <w:rsid w:val="00C435E2"/>
    <w:rsid w:val="00C43BE2"/>
    <w:rsid w:val="00C44071"/>
    <w:rsid w:val="00C4409D"/>
    <w:rsid w:val="00C44E72"/>
    <w:rsid w:val="00C45A06"/>
    <w:rsid w:val="00C45FBA"/>
    <w:rsid w:val="00C46DD2"/>
    <w:rsid w:val="00C46E38"/>
    <w:rsid w:val="00C4767B"/>
    <w:rsid w:val="00C47883"/>
    <w:rsid w:val="00C47BFD"/>
    <w:rsid w:val="00C47E5B"/>
    <w:rsid w:val="00C50631"/>
    <w:rsid w:val="00C50D5D"/>
    <w:rsid w:val="00C50FAD"/>
    <w:rsid w:val="00C51168"/>
    <w:rsid w:val="00C51944"/>
    <w:rsid w:val="00C5323A"/>
    <w:rsid w:val="00C5325E"/>
    <w:rsid w:val="00C536D4"/>
    <w:rsid w:val="00C53746"/>
    <w:rsid w:val="00C53C2C"/>
    <w:rsid w:val="00C541B5"/>
    <w:rsid w:val="00C5426E"/>
    <w:rsid w:val="00C54366"/>
    <w:rsid w:val="00C55815"/>
    <w:rsid w:val="00C57504"/>
    <w:rsid w:val="00C6050C"/>
    <w:rsid w:val="00C61093"/>
    <w:rsid w:val="00C61422"/>
    <w:rsid w:val="00C61874"/>
    <w:rsid w:val="00C61E4B"/>
    <w:rsid w:val="00C61FCF"/>
    <w:rsid w:val="00C62862"/>
    <w:rsid w:val="00C63FD0"/>
    <w:rsid w:val="00C64BFF"/>
    <w:rsid w:val="00C65597"/>
    <w:rsid w:val="00C672CF"/>
    <w:rsid w:val="00C67FA8"/>
    <w:rsid w:val="00C70430"/>
    <w:rsid w:val="00C704E9"/>
    <w:rsid w:val="00C70836"/>
    <w:rsid w:val="00C73888"/>
    <w:rsid w:val="00C7466F"/>
    <w:rsid w:val="00C74675"/>
    <w:rsid w:val="00C74F27"/>
    <w:rsid w:val="00C7500E"/>
    <w:rsid w:val="00C763C9"/>
    <w:rsid w:val="00C76561"/>
    <w:rsid w:val="00C76A60"/>
    <w:rsid w:val="00C773FC"/>
    <w:rsid w:val="00C80057"/>
    <w:rsid w:val="00C801AC"/>
    <w:rsid w:val="00C80AC6"/>
    <w:rsid w:val="00C81262"/>
    <w:rsid w:val="00C8152A"/>
    <w:rsid w:val="00C82232"/>
    <w:rsid w:val="00C82913"/>
    <w:rsid w:val="00C8390F"/>
    <w:rsid w:val="00C83D49"/>
    <w:rsid w:val="00C84855"/>
    <w:rsid w:val="00C859D1"/>
    <w:rsid w:val="00C859FC"/>
    <w:rsid w:val="00C85D30"/>
    <w:rsid w:val="00C85D58"/>
    <w:rsid w:val="00C86045"/>
    <w:rsid w:val="00C86621"/>
    <w:rsid w:val="00C86A1B"/>
    <w:rsid w:val="00C878AD"/>
    <w:rsid w:val="00C91230"/>
    <w:rsid w:val="00C91C78"/>
    <w:rsid w:val="00C928F1"/>
    <w:rsid w:val="00C92A32"/>
    <w:rsid w:val="00C93145"/>
    <w:rsid w:val="00C93609"/>
    <w:rsid w:val="00C937EF"/>
    <w:rsid w:val="00C939AF"/>
    <w:rsid w:val="00C940EC"/>
    <w:rsid w:val="00C94962"/>
    <w:rsid w:val="00C94DA2"/>
    <w:rsid w:val="00C95526"/>
    <w:rsid w:val="00C959BA"/>
    <w:rsid w:val="00C9692B"/>
    <w:rsid w:val="00C972B1"/>
    <w:rsid w:val="00C97BD9"/>
    <w:rsid w:val="00CA079E"/>
    <w:rsid w:val="00CA1D5B"/>
    <w:rsid w:val="00CA29D6"/>
    <w:rsid w:val="00CA2CCE"/>
    <w:rsid w:val="00CA2E96"/>
    <w:rsid w:val="00CA3220"/>
    <w:rsid w:val="00CA3D75"/>
    <w:rsid w:val="00CA43FD"/>
    <w:rsid w:val="00CA4A0A"/>
    <w:rsid w:val="00CA5D74"/>
    <w:rsid w:val="00CA641B"/>
    <w:rsid w:val="00CA6E4B"/>
    <w:rsid w:val="00CA6F33"/>
    <w:rsid w:val="00CA748B"/>
    <w:rsid w:val="00CA7EC8"/>
    <w:rsid w:val="00CA7EF8"/>
    <w:rsid w:val="00CB077A"/>
    <w:rsid w:val="00CB1221"/>
    <w:rsid w:val="00CB1D2E"/>
    <w:rsid w:val="00CB2042"/>
    <w:rsid w:val="00CB304A"/>
    <w:rsid w:val="00CB393F"/>
    <w:rsid w:val="00CB3C75"/>
    <w:rsid w:val="00CB57A8"/>
    <w:rsid w:val="00CB5C9B"/>
    <w:rsid w:val="00CB5CB3"/>
    <w:rsid w:val="00CB68A4"/>
    <w:rsid w:val="00CB7E0B"/>
    <w:rsid w:val="00CC0418"/>
    <w:rsid w:val="00CC05BC"/>
    <w:rsid w:val="00CC26AE"/>
    <w:rsid w:val="00CC3E4E"/>
    <w:rsid w:val="00CC40E5"/>
    <w:rsid w:val="00CC46B5"/>
    <w:rsid w:val="00CC489B"/>
    <w:rsid w:val="00CC4A9C"/>
    <w:rsid w:val="00CC56BD"/>
    <w:rsid w:val="00CC5C03"/>
    <w:rsid w:val="00CC6B9D"/>
    <w:rsid w:val="00CC6F80"/>
    <w:rsid w:val="00CC705C"/>
    <w:rsid w:val="00CD046D"/>
    <w:rsid w:val="00CD0654"/>
    <w:rsid w:val="00CD0E6E"/>
    <w:rsid w:val="00CD154D"/>
    <w:rsid w:val="00CD16C6"/>
    <w:rsid w:val="00CD2325"/>
    <w:rsid w:val="00CD2BCD"/>
    <w:rsid w:val="00CD2E1C"/>
    <w:rsid w:val="00CD3036"/>
    <w:rsid w:val="00CD3199"/>
    <w:rsid w:val="00CD3A4C"/>
    <w:rsid w:val="00CD3CC7"/>
    <w:rsid w:val="00CD3FAC"/>
    <w:rsid w:val="00CD4C25"/>
    <w:rsid w:val="00CD5551"/>
    <w:rsid w:val="00CD621C"/>
    <w:rsid w:val="00CD62AE"/>
    <w:rsid w:val="00CD79AB"/>
    <w:rsid w:val="00CE048A"/>
    <w:rsid w:val="00CE10E9"/>
    <w:rsid w:val="00CE11C9"/>
    <w:rsid w:val="00CE1CE5"/>
    <w:rsid w:val="00CE27CF"/>
    <w:rsid w:val="00CE2910"/>
    <w:rsid w:val="00CE2927"/>
    <w:rsid w:val="00CE4164"/>
    <w:rsid w:val="00CE4AED"/>
    <w:rsid w:val="00CE4EF0"/>
    <w:rsid w:val="00CE50BA"/>
    <w:rsid w:val="00CE5393"/>
    <w:rsid w:val="00CE55F0"/>
    <w:rsid w:val="00CE56FE"/>
    <w:rsid w:val="00CF003A"/>
    <w:rsid w:val="00CF18C8"/>
    <w:rsid w:val="00CF1938"/>
    <w:rsid w:val="00CF1EC8"/>
    <w:rsid w:val="00CF33C4"/>
    <w:rsid w:val="00CF3678"/>
    <w:rsid w:val="00CF36BE"/>
    <w:rsid w:val="00CF3E0D"/>
    <w:rsid w:val="00CF404A"/>
    <w:rsid w:val="00CF6000"/>
    <w:rsid w:val="00CF60F0"/>
    <w:rsid w:val="00CF6B34"/>
    <w:rsid w:val="00CF74F3"/>
    <w:rsid w:val="00CF7DE8"/>
    <w:rsid w:val="00D0020B"/>
    <w:rsid w:val="00D00364"/>
    <w:rsid w:val="00D003F3"/>
    <w:rsid w:val="00D018EE"/>
    <w:rsid w:val="00D01A28"/>
    <w:rsid w:val="00D025CF"/>
    <w:rsid w:val="00D028D2"/>
    <w:rsid w:val="00D02BC5"/>
    <w:rsid w:val="00D02CF2"/>
    <w:rsid w:val="00D0364F"/>
    <w:rsid w:val="00D0421A"/>
    <w:rsid w:val="00D06434"/>
    <w:rsid w:val="00D066DB"/>
    <w:rsid w:val="00D06834"/>
    <w:rsid w:val="00D07541"/>
    <w:rsid w:val="00D07BD3"/>
    <w:rsid w:val="00D104FE"/>
    <w:rsid w:val="00D10E31"/>
    <w:rsid w:val="00D1172E"/>
    <w:rsid w:val="00D118A1"/>
    <w:rsid w:val="00D14061"/>
    <w:rsid w:val="00D14628"/>
    <w:rsid w:val="00D146E8"/>
    <w:rsid w:val="00D14AA2"/>
    <w:rsid w:val="00D14BBC"/>
    <w:rsid w:val="00D15564"/>
    <w:rsid w:val="00D15CBD"/>
    <w:rsid w:val="00D15D10"/>
    <w:rsid w:val="00D161D1"/>
    <w:rsid w:val="00D1651A"/>
    <w:rsid w:val="00D173D8"/>
    <w:rsid w:val="00D17803"/>
    <w:rsid w:val="00D17AE0"/>
    <w:rsid w:val="00D220F8"/>
    <w:rsid w:val="00D22F12"/>
    <w:rsid w:val="00D23387"/>
    <w:rsid w:val="00D2481F"/>
    <w:rsid w:val="00D24898"/>
    <w:rsid w:val="00D25268"/>
    <w:rsid w:val="00D2653B"/>
    <w:rsid w:val="00D268E4"/>
    <w:rsid w:val="00D26F6F"/>
    <w:rsid w:val="00D27CD0"/>
    <w:rsid w:val="00D30805"/>
    <w:rsid w:val="00D308ED"/>
    <w:rsid w:val="00D31239"/>
    <w:rsid w:val="00D3145B"/>
    <w:rsid w:val="00D31939"/>
    <w:rsid w:val="00D31BDF"/>
    <w:rsid w:val="00D3248F"/>
    <w:rsid w:val="00D3280A"/>
    <w:rsid w:val="00D343CC"/>
    <w:rsid w:val="00D35299"/>
    <w:rsid w:val="00D3545B"/>
    <w:rsid w:val="00D36ACE"/>
    <w:rsid w:val="00D36BA2"/>
    <w:rsid w:val="00D36D86"/>
    <w:rsid w:val="00D3741D"/>
    <w:rsid w:val="00D37A76"/>
    <w:rsid w:val="00D404EA"/>
    <w:rsid w:val="00D41168"/>
    <w:rsid w:val="00D42217"/>
    <w:rsid w:val="00D4243F"/>
    <w:rsid w:val="00D428AA"/>
    <w:rsid w:val="00D43004"/>
    <w:rsid w:val="00D437F9"/>
    <w:rsid w:val="00D43969"/>
    <w:rsid w:val="00D43D4A"/>
    <w:rsid w:val="00D43E66"/>
    <w:rsid w:val="00D441AC"/>
    <w:rsid w:val="00D4487C"/>
    <w:rsid w:val="00D4507A"/>
    <w:rsid w:val="00D45C38"/>
    <w:rsid w:val="00D461BC"/>
    <w:rsid w:val="00D47CC6"/>
    <w:rsid w:val="00D50A34"/>
    <w:rsid w:val="00D50A48"/>
    <w:rsid w:val="00D50F12"/>
    <w:rsid w:val="00D5182A"/>
    <w:rsid w:val="00D51E95"/>
    <w:rsid w:val="00D52A00"/>
    <w:rsid w:val="00D5325B"/>
    <w:rsid w:val="00D53EFA"/>
    <w:rsid w:val="00D54B84"/>
    <w:rsid w:val="00D565D8"/>
    <w:rsid w:val="00D574A0"/>
    <w:rsid w:val="00D62FC1"/>
    <w:rsid w:val="00D63750"/>
    <w:rsid w:val="00D64ACE"/>
    <w:rsid w:val="00D65D0B"/>
    <w:rsid w:val="00D66136"/>
    <w:rsid w:val="00D6673F"/>
    <w:rsid w:val="00D66A0C"/>
    <w:rsid w:val="00D67214"/>
    <w:rsid w:val="00D67530"/>
    <w:rsid w:val="00D70BC4"/>
    <w:rsid w:val="00D70FDE"/>
    <w:rsid w:val="00D72AF3"/>
    <w:rsid w:val="00D73239"/>
    <w:rsid w:val="00D73248"/>
    <w:rsid w:val="00D7339C"/>
    <w:rsid w:val="00D73589"/>
    <w:rsid w:val="00D73D9C"/>
    <w:rsid w:val="00D74BB8"/>
    <w:rsid w:val="00D74C65"/>
    <w:rsid w:val="00D7540E"/>
    <w:rsid w:val="00D77730"/>
    <w:rsid w:val="00D77C21"/>
    <w:rsid w:val="00D77E89"/>
    <w:rsid w:val="00D80A50"/>
    <w:rsid w:val="00D820AB"/>
    <w:rsid w:val="00D8287F"/>
    <w:rsid w:val="00D8362E"/>
    <w:rsid w:val="00D849D7"/>
    <w:rsid w:val="00D852ED"/>
    <w:rsid w:val="00D853DA"/>
    <w:rsid w:val="00D85907"/>
    <w:rsid w:val="00D867E6"/>
    <w:rsid w:val="00D87CDF"/>
    <w:rsid w:val="00D90713"/>
    <w:rsid w:val="00D914C4"/>
    <w:rsid w:val="00D933A8"/>
    <w:rsid w:val="00D94545"/>
    <w:rsid w:val="00D94972"/>
    <w:rsid w:val="00D94A7C"/>
    <w:rsid w:val="00D94DEA"/>
    <w:rsid w:val="00D95896"/>
    <w:rsid w:val="00D95EB4"/>
    <w:rsid w:val="00D97362"/>
    <w:rsid w:val="00D973F4"/>
    <w:rsid w:val="00D97D65"/>
    <w:rsid w:val="00DA0A96"/>
    <w:rsid w:val="00DA203B"/>
    <w:rsid w:val="00DA28B6"/>
    <w:rsid w:val="00DA376B"/>
    <w:rsid w:val="00DA3BBC"/>
    <w:rsid w:val="00DA3C03"/>
    <w:rsid w:val="00DA41CB"/>
    <w:rsid w:val="00DA48FF"/>
    <w:rsid w:val="00DA5009"/>
    <w:rsid w:val="00DA60C9"/>
    <w:rsid w:val="00DA6A29"/>
    <w:rsid w:val="00DB0D54"/>
    <w:rsid w:val="00DB1466"/>
    <w:rsid w:val="00DB199B"/>
    <w:rsid w:val="00DB19E0"/>
    <w:rsid w:val="00DB2983"/>
    <w:rsid w:val="00DB4227"/>
    <w:rsid w:val="00DB484E"/>
    <w:rsid w:val="00DB490F"/>
    <w:rsid w:val="00DB4A7A"/>
    <w:rsid w:val="00DB4E95"/>
    <w:rsid w:val="00DB5F85"/>
    <w:rsid w:val="00DB7194"/>
    <w:rsid w:val="00DB7CFC"/>
    <w:rsid w:val="00DC00B6"/>
    <w:rsid w:val="00DC0DE9"/>
    <w:rsid w:val="00DC121C"/>
    <w:rsid w:val="00DC1257"/>
    <w:rsid w:val="00DC1646"/>
    <w:rsid w:val="00DC1970"/>
    <w:rsid w:val="00DC2064"/>
    <w:rsid w:val="00DC2A14"/>
    <w:rsid w:val="00DC2D4B"/>
    <w:rsid w:val="00DC2F45"/>
    <w:rsid w:val="00DC3145"/>
    <w:rsid w:val="00DC3B4E"/>
    <w:rsid w:val="00DC3DC0"/>
    <w:rsid w:val="00DC4A09"/>
    <w:rsid w:val="00DC5B2B"/>
    <w:rsid w:val="00DC6751"/>
    <w:rsid w:val="00DC6812"/>
    <w:rsid w:val="00DC7283"/>
    <w:rsid w:val="00DC7316"/>
    <w:rsid w:val="00DC7FDF"/>
    <w:rsid w:val="00DD04ED"/>
    <w:rsid w:val="00DD0536"/>
    <w:rsid w:val="00DD0782"/>
    <w:rsid w:val="00DD0C06"/>
    <w:rsid w:val="00DD14DB"/>
    <w:rsid w:val="00DD1652"/>
    <w:rsid w:val="00DD24F8"/>
    <w:rsid w:val="00DD2FA0"/>
    <w:rsid w:val="00DD318D"/>
    <w:rsid w:val="00DD35E1"/>
    <w:rsid w:val="00DD3B0C"/>
    <w:rsid w:val="00DD3D08"/>
    <w:rsid w:val="00DD4637"/>
    <w:rsid w:val="00DD5C99"/>
    <w:rsid w:val="00DD65E1"/>
    <w:rsid w:val="00DD6B88"/>
    <w:rsid w:val="00DD7007"/>
    <w:rsid w:val="00DD7329"/>
    <w:rsid w:val="00DD74BC"/>
    <w:rsid w:val="00DE0480"/>
    <w:rsid w:val="00DE167A"/>
    <w:rsid w:val="00DE177A"/>
    <w:rsid w:val="00DE1919"/>
    <w:rsid w:val="00DE1E60"/>
    <w:rsid w:val="00DE3102"/>
    <w:rsid w:val="00DE4506"/>
    <w:rsid w:val="00DE4C13"/>
    <w:rsid w:val="00DE72CB"/>
    <w:rsid w:val="00DE76BB"/>
    <w:rsid w:val="00DF0924"/>
    <w:rsid w:val="00DF0E4D"/>
    <w:rsid w:val="00DF140C"/>
    <w:rsid w:val="00DF1A2A"/>
    <w:rsid w:val="00DF1D36"/>
    <w:rsid w:val="00DF2BEF"/>
    <w:rsid w:val="00DF2E12"/>
    <w:rsid w:val="00DF487D"/>
    <w:rsid w:val="00DF488F"/>
    <w:rsid w:val="00DF514A"/>
    <w:rsid w:val="00DF5AA9"/>
    <w:rsid w:val="00DF5D60"/>
    <w:rsid w:val="00DF65B7"/>
    <w:rsid w:val="00DF6690"/>
    <w:rsid w:val="00DF6804"/>
    <w:rsid w:val="00DF7F01"/>
    <w:rsid w:val="00E020BE"/>
    <w:rsid w:val="00E03425"/>
    <w:rsid w:val="00E0358D"/>
    <w:rsid w:val="00E04323"/>
    <w:rsid w:val="00E047F9"/>
    <w:rsid w:val="00E055B8"/>
    <w:rsid w:val="00E05AC9"/>
    <w:rsid w:val="00E05E67"/>
    <w:rsid w:val="00E070A2"/>
    <w:rsid w:val="00E0750B"/>
    <w:rsid w:val="00E07E25"/>
    <w:rsid w:val="00E1024B"/>
    <w:rsid w:val="00E106DC"/>
    <w:rsid w:val="00E10D02"/>
    <w:rsid w:val="00E119DC"/>
    <w:rsid w:val="00E12658"/>
    <w:rsid w:val="00E137AC"/>
    <w:rsid w:val="00E14315"/>
    <w:rsid w:val="00E16111"/>
    <w:rsid w:val="00E16D6B"/>
    <w:rsid w:val="00E21283"/>
    <w:rsid w:val="00E21D1D"/>
    <w:rsid w:val="00E221FD"/>
    <w:rsid w:val="00E23E44"/>
    <w:rsid w:val="00E243BA"/>
    <w:rsid w:val="00E245B3"/>
    <w:rsid w:val="00E25174"/>
    <w:rsid w:val="00E258D1"/>
    <w:rsid w:val="00E2656A"/>
    <w:rsid w:val="00E26743"/>
    <w:rsid w:val="00E26B96"/>
    <w:rsid w:val="00E26E10"/>
    <w:rsid w:val="00E26F2C"/>
    <w:rsid w:val="00E302C9"/>
    <w:rsid w:val="00E30667"/>
    <w:rsid w:val="00E30B27"/>
    <w:rsid w:val="00E30FF5"/>
    <w:rsid w:val="00E3139B"/>
    <w:rsid w:val="00E31990"/>
    <w:rsid w:val="00E31AB2"/>
    <w:rsid w:val="00E31B07"/>
    <w:rsid w:val="00E320F4"/>
    <w:rsid w:val="00E3215F"/>
    <w:rsid w:val="00E32262"/>
    <w:rsid w:val="00E32796"/>
    <w:rsid w:val="00E33327"/>
    <w:rsid w:val="00E33757"/>
    <w:rsid w:val="00E34120"/>
    <w:rsid w:val="00E34B58"/>
    <w:rsid w:val="00E34C32"/>
    <w:rsid w:val="00E34E0D"/>
    <w:rsid w:val="00E34F45"/>
    <w:rsid w:val="00E35961"/>
    <w:rsid w:val="00E35A86"/>
    <w:rsid w:val="00E36319"/>
    <w:rsid w:val="00E36881"/>
    <w:rsid w:val="00E36FAF"/>
    <w:rsid w:val="00E40A47"/>
    <w:rsid w:val="00E40F17"/>
    <w:rsid w:val="00E412D0"/>
    <w:rsid w:val="00E413A3"/>
    <w:rsid w:val="00E41BF0"/>
    <w:rsid w:val="00E42316"/>
    <w:rsid w:val="00E42EDF"/>
    <w:rsid w:val="00E431B5"/>
    <w:rsid w:val="00E43C09"/>
    <w:rsid w:val="00E4420E"/>
    <w:rsid w:val="00E446E0"/>
    <w:rsid w:val="00E449A9"/>
    <w:rsid w:val="00E47675"/>
    <w:rsid w:val="00E47FC5"/>
    <w:rsid w:val="00E50053"/>
    <w:rsid w:val="00E501FC"/>
    <w:rsid w:val="00E5062B"/>
    <w:rsid w:val="00E508B1"/>
    <w:rsid w:val="00E5128A"/>
    <w:rsid w:val="00E52E5A"/>
    <w:rsid w:val="00E536B2"/>
    <w:rsid w:val="00E53858"/>
    <w:rsid w:val="00E54852"/>
    <w:rsid w:val="00E54890"/>
    <w:rsid w:val="00E54B48"/>
    <w:rsid w:val="00E5526F"/>
    <w:rsid w:val="00E56322"/>
    <w:rsid w:val="00E56C9B"/>
    <w:rsid w:val="00E57409"/>
    <w:rsid w:val="00E57D5A"/>
    <w:rsid w:val="00E605DF"/>
    <w:rsid w:val="00E60982"/>
    <w:rsid w:val="00E60BCC"/>
    <w:rsid w:val="00E60DF7"/>
    <w:rsid w:val="00E618FC"/>
    <w:rsid w:val="00E61F6F"/>
    <w:rsid w:val="00E62C62"/>
    <w:rsid w:val="00E62F60"/>
    <w:rsid w:val="00E63069"/>
    <w:rsid w:val="00E63A79"/>
    <w:rsid w:val="00E6426F"/>
    <w:rsid w:val="00E64AC0"/>
    <w:rsid w:val="00E64C7A"/>
    <w:rsid w:val="00E64CD6"/>
    <w:rsid w:val="00E64E8A"/>
    <w:rsid w:val="00E654C1"/>
    <w:rsid w:val="00E65D97"/>
    <w:rsid w:val="00E67389"/>
    <w:rsid w:val="00E678AC"/>
    <w:rsid w:val="00E7015B"/>
    <w:rsid w:val="00E70581"/>
    <w:rsid w:val="00E70B53"/>
    <w:rsid w:val="00E713D7"/>
    <w:rsid w:val="00E71D56"/>
    <w:rsid w:val="00E72A5A"/>
    <w:rsid w:val="00E73354"/>
    <w:rsid w:val="00E73851"/>
    <w:rsid w:val="00E74E6C"/>
    <w:rsid w:val="00E7710D"/>
    <w:rsid w:val="00E77D0A"/>
    <w:rsid w:val="00E80DAB"/>
    <w:rsid w:val="00E80FBA"/>
    <w:rsid w:val="00E8116D"/>
    <w:rsid w:val="00E81578"/>
    <w:rsid w:val="00E826B8"/>
    <w:rsid w:val="00E84DE6"/>
    <w:rsid w:val="00E85B10"/>
    <w:rsid w:val="00E8700A"/>
    <w:rsid w:val="00E875F0"/>
    <w:rsid w:val="00E87A2F"/>
    <w:rsid w:val="00E87EC4"/>
    <w:rsid w:val="00E87F93"/>
    <w:rsid w:val="00E90678"/>
    <w:rsid w:val="00E90E1D"/>
    <w:rsid w:val="00E90EEF"/>
    <w:rsid w:val="00E9121C"/>
    <w:rsid w:val="00E912BB"/>
    <w:rsid w:val="00E91A82"/>
    <w:rsid w:val="00E9242D"/>
    <w:rsid w:val="00E93B88"/>
    <w:rsid w:val="00E93D0F"/>
    <w:rsid w:val="00E95C5B"/>
    <w:rsid w:val="00E95C7E"/>
    <w:rsid w:val="00E96ECD"/>
    <w:rsid w:val="00EA11F3"/>
    <w:rsid w:val="00EA17AB"/>
    <w:rsid w:val="00EA1DDD"/>
    <w:rsid w:val="00EA2EE8"/>
    <w:rsid w:val="00EA3795"/>
    <w:rsid w:val="00EA3EEB"/>
    <w:rsid w:val="00EA4210"/>
    <w:rsid w:val="00EA4BD2"/>
    <w:rsid w:val="00EA4C2D"/>
    <w:rsid w:val="00EA4CC6"/>
    <w:rsid w:val="00EA5DEF"/>
    <w:rsid w:val="00EA60F2"/>
    <w:rsid w:val="00EA7117"/>
    <w:rsid w:val="00EA7329"/>
    <w:rsid w:val="00EB0DDE"/>
    <w:rsid w:val="00EB3400"/>
    <w:rsid w:val="00EB414C"/>
    <w:rsid w:val="00EB426D"/>
    <w:rsid w:val="00EB51E5"/>
    <w:rsid w:val="00EB523B"/>
    <w:rsid w:val="00EB5255"/>
    <w:rsid w:val="00EB5C47"/>
    <w:rsid w:val="00EB648B"/>
    <w:rsid w:val="00EB6ECA"/>
    <w:rsid w:val="00EB7B64"/>
    <w:rsid w:val="00EC205F"/>
    <w:rsid w:val="00EC38EC"/>
    <w:rsid w:val="00EC3A51"/>
    <w:rsid w:val="00EC4630"/>
    <w:rsid w:val="00EC5420"/>
    <w:rsid w:val="00EC6752"/>
    <w:rsid w:val="00EC6AC8"/>
    <w:rsid w:val="00EC7704"/>
    <w:rsid w:val="00EC7830"/>
    <w:rsid w:val="00ED03D1"/>
    <w:rsid w:val="00ED0639"/>
    <w:rsid w:val="00ED07DB"/>
    <w:rsid w:val="00ED1251"/>
    <w:rsid w:val="00ED29A1"/>
    <w:rsid w:val="00ED408C"/>
    <w:rsid w:val="00ED4998"/>
    <w:rsid w:val="00ED4AD9"/>
    <w:rsid w:val="00ED69D8"/>
    <w:rsid w:val="00ED6AA0"/>
    <w:rsid w:val="00ED7324"/>
    <w:rsid w:val="00ED741C"/>
    <w:rsid w:val="00ED75E3"/>
    <w:rsid w:val="00ED7747"/>
    <w:rsid w:val="00EE0454"/>
    <w:rsid w:val="00EE050A"/>
    <w:rsid w:val="00EE0644"/>
    <w:rsid w:val="00EE0C03"/>
    <w:rsid w:val="00EE104A"/>
    <w:rsid w:val="00EE1CA4"/>
    <w:rsid w:val="00EE1F7B"/>
    <w:rsid w:val="00EE1F94"/>
    <w:rsid w:val="00EE3D4F"/>
    <w:rsid w:val="00EE4368"/>
    <w:rsid w:val="00EE5B24"/>
    <w:rsid w:val="00EE5D37"/>
    <w:rsid w:val="00EE7366"/>
    <w:rsid w:val="00EF0672"/>
    <w:rsid w:val="00EF15B3"/>
    <w:rsid w:val="00EF24D3"/>
    <w:rsid w:val="00EF379F"/>
    <w:rsid w:val="00EF4278"/>
    <w:rsid w:val="00EF430B"/>
    <w:rsid w:val="00EF4755"/>
    <w:rsid w:val="00EF4EF6"/>
    <w:rsid w:val="00EF5458"/>
    <w:rsid w:val="00EF5884"/>
    <w:rsid w:val="00EF6EBF"/>
    <w:rsid w:val="00EF7135"/>
    <w:rsid w:val="00EF7928"/>
    <w:rsid w:val="00EF7B4D"/>
    <w:rsid w:val="00F01BE5"/>
    <w:rsid w:val="00F027DB"/>
    <w:rsid w:val="00F04364"/>
    <w:rsid w:val="00F044FA"/>
    <w:rsid w:val="00F045B6"/>
    <w:rsid w:val="00F05A95"/>
    <w:rsid w:val="00F05AA8"/>
    <w:rsid w:val="00F06118"/>
    <w:rsid w:val="00F069DC"/>
    <w:rsid w:val="00F06CE1"/>
    <w:rsid w:val="00F071D9"/>
    <w:rsid w:val="00F07CF1"/>
    <w:rsid w:val="00F10398"/>
    <w:rsid w:val="00F117A7"/>
    <w:rsid w:val="00F117C8"/>
    <w:rsid w:val="00F12BA6"/>
    <w:rsid w:val="00F12F4F"/>
    <w:rsid w:val="00F138A9"/>
    <w:rsid w:val="00F14A7A"/>
    <w:rsid w:val="00F1599A"/>
    <w:rsid w:val="00F15BD1"/>
    <w:rsid w:val="00F17515"/>
    <w:rsid w:val="00F1781D"/>
    <w:rsid w:val="00F17B4D"/>
    <w:rsid w:val="00F20BDC"/>
    <w:rsid w:val="00F20DB9"/>
    <w:rsid w:val="00F2134F"/>
    <w:rsid w:val="00F22985"/>
    <w:rsid w:val="00F230D7"/>
    <w:rsid w:val="00F24FF0"/>
    <w:rsid w:val="00F26772"/>
    <w:rsid w:val="00F27319"/>
    <w:rsid w:val="00F27AE3"/>
    <w:rsid w:val="00F27DFD"/>
    <w:rsid w:val="00F302BE"/>
    <w:rsid w:val="00F30C80"/>
    <w:rsid w:val="00F3166E"/>
    <w:rsid w:val="00F31C15"/>
    <w:rsid w:val="00F32901"/>
    <w:rsid w:val="00F32BA4"/>
    <w:rsid w:val="00F33501"/>
    <w:rsid w:val="00F3383E"/>
    <w:rsid w:val="00F345DE"/>
    <w:rsid w:val="00F3512B"/>
    <w:rsid w:val="00F35DD4"/>
    <w:rsid w:val="00F35F01"/>
    <w:rsid w:val="00F35F89"/>
    <w:rsid w:val="00F3672F"/>
    <w:rsid w:val="00F36747"/>
    <w:rsid w:val="00F40019"/>
    <w:rsid w:val="00F42EFB"/>
    <w:rsid w:val="00F452E7"/>
    <w:rsid w:val="00F465A7"/>
    <w:rsid w:val="00F50B7C"/>
    <w:rsid w:val="00F515BD"/>
    <w:rsid w:val="00F5163A"/>
    <w:rsid w:val="00F52049"/>
    <w:rsid w:val="00F52756"/>
    <w:rsid w:val="00F53114"/>
    <w:rsid w:val="00F54369"/>
    <w:rsid w:val="00F54FDB"/>
    <w:rsid w:val="00F550E6"/>
    <w:rsid w:val="00F552F0"/>
    <w:rsid w:val="00F561C7"/>
    <w:rsid w:val="00F561E3"/>
    <w:rsid w:val="00F564BD"/>
    <w:rsid w:val="00F56A6D"/>
    <w:rsid w:val="00F56F33"/>
    <w:rsid w:val="00F57694"/>
    <w:rsid w:val="00F6063C"/>
    <w:rsid w:val="00F61C29"/>
    <w:rsid w:val="00F627CA"/>
    <w:rsid w:val="00F630D5"/>
    <w:rsid w:val="00F63B3A"/>
    <w:rsid w:val="00F642FA"/>
    <w:rsid w:val="00F643E1"/>
    <w:rsid w:val="00F648AE"/>
    <w:rsid w:val="00F65585"/>
    <w:rsid w:val="00F665AE"/>
    <w:rsid w:val="00F665CC"/>
    <w:rsid w:val="00F665E7"/>
    <w:rsid w:val="00F672DC"/>
    <w:rsid w:val="00F673E2"/>
    <w:rsid w:val="00F6759D"/>
    <w:rsid w:val="00F67B2A"/>
    <w:rsid w:val="00F7073F"/>
    <w:rsid w:val="00F70F15"/>
    <w:rsid w:val="00F70F6B"/>
    <w:rsid w:val="00F7183F"/>
    <w:rsid w:val="00F718C7"/>
    <w:rsid w:val="00F723DB"/>
    <w:rsid w:val="00F726A6"/>
    <w:rsid w:val="00F72B32"/>
    <w:rsid w:val="00F73310"/>
    <w:rsid w:val="00F73C6B"/>
    <w:rsid w:val="00F742F4"/>
    <w:rsid w:val="00F74345"/>
    <w:rsid w:val="00F759BC"/>
    <w:rsid w:val="00F761BF"/>
    <w:rsid w:val="00F80475"/>
    <w:rsid w:val="00F80A0A"/>
    <w:rsid w:val="00F80FFF"/>
    <w:rsid w:val="00F81B30"/>
    <w:rsid w:val="00F81F2B"/>
    <w:rsid w:val="00F82547"/>
    <w:rsid w:val="00F82B19"/>
    <w:rsid w:val="00F834A5"/>
    <w:rsid w:val="00F84774"/>
    <w:rsid w:val="00F84890"/>
    <w:rsid w:val="00F850A0"/>
    <w:rsid w:val="00F8517A"/>
    <w:rsid w:val="00F859F3"/>
    <w:rsid w:val="00F85C3F"/>
    <w:rsid w:val="00F86A70"/>
    <w:rsid w:val="00F86BA8"/>
    <w:rsid w:val="00F86BDA"/>
    <w:rsid w:val="00F87523"/>
    <w:rsid w:val="00F87761"/>
    <w:rsid w:val="00F87B87"/>
    <w:rsid w:val="00F90F14"/>
    <w:rsid w:val="00F91304"/>
    <w:rsid w:val="00F918BF"/>
    <w:rsid w:val="00F9212D"/>
    <w:rsid w:val="00F92AF3"/>
    <w:rsid w:val="00F9385F"/>
    <w:rsid w:val="00F93A72"/>
    <w:rsid w:val="00F942EA"/>
    <w:rsid w:val="00F965DA"/>
    <w:rsid w:val="00F96D0E"/>
    <w:rsid w:val="00F97219"/>
    <w:rsid w:val="00FA014B"/>
    <w:rsid w:val="00FA09E4"/>
    <w:rsid w:val="00FA1805"/>
    <w:rsid w:val="00FA1944"/>
    <w:rsid w:val="00FA25BC"/>
    <w:rsid w:val="00FA2AE5"/>
    <w:rsid w:val="00FA32D3"/>
    <w:rsid w:val="00FA406A"/>
    <w:rsid w:val="00FA4694"/>
    <w:rsid w:val="00FA501F"/>
    <w:rsid w:val="00FA520E"/>
    <w:rsid w:val="00FA563A"/>
    <w:rsid w:val="00FA5B0D"/>
    <w:rsid w:val="00FA5C10"/>
    <w:rsid w:val="00FA65F8"/>
    <w:rsid w:val="00FA6CD3"/>
    <w:rsid w:val="00FA714B"/>
    <w:rsid w:val="00FA79BB"/>
    <w:rsid w:val="00FB0B70"/>
    <w:rsid w:val="00FB145C"/>
    <w:rsid w:val="00FB1A88"/>
    <w:rsid w:val="00FB1ED2"/>
    <w:rsid w:val="00FB22F4"/>
    <w:rsid w:val="00FB2EAE"/>
    <w:rsid w:val="00FB38EB"/>
    <w:rsid w:val="00FB3BD3"/>
    <w:rsid w:val="00FB3DE5"/>
    <w:rsid w:val="00FB3E4B"/>
    <w:rsid w:val="00FB446B"/>
    <w:rsid w:val="00FB5001"/>
    <w:rsid w:val="00FB503A"/>
    <w:rsid w:val="00FB5147"/>
    <w:rsid w:val="00FB516C"/>
    <w:rsid w:val="00FB6A73"/>
    <w:rsid w:val="00FB7370"/>
    <w:rsid w:val="00FB7D9F"/>
    <w:rsid w:val="00FC0251"/>
    <w:rsid w:val="00FC046F"/>
    <w:rsid w:val="00FC17EF"/>
    <w:rsid w:val="00FC23C1"/>
    <w:rsid w:val="00FC2566"/>
    <w:rsid w:val="00FC3730"/>
    <w:rsid w:val="00FC4421"/>
    <w:rsid w:val="00FC4D95"/>
    <w:rsid w:val="00FC7C83"/>
    <w:rsid w:val="00FD0236"/>
    <w:rsid w:val="00FD1049"/>
    <w:rsid w:val="00FD18F4"/>
    <w:rsid w:val="00FD3575"/>
    <w:rsid w:val="00FD3D90"/>
    <w:rsid w:val="00FD415A"/>
    <w:rsid w:val="00FD4F43"/>
    <w:rsid w:val="00FD54DB"/>
    <w:rsid w:val="00FD54ED"/>
    <w:rsid w:val="00FD5EF5"/>
    <w:rsid w:val="00FD619F"/>
    <w:rsid w:val="00FD746F"/>
    <w:rsid w:val="00FD7AC5"/>
    <w:rsid w:val="00FD7B76"/>
    <w:rsid w:val="00FD7EB0"/>
    <w:rsid w:val="00FE0084"/>
    <w:rsid w:val="00FE027C"/>
    <w:rsid w:val="00FE0D66"/>
    <w:rsid w:val="00FE1286"/>
    <w:rsid w:val="00FE144F"/>
    <w:rsid w:val="00FE1C6D"/>
    <w:rsid w:val="00FE2559"/>
    <w:rsid w:val="00FE2EEC"/>
    <w:rsid w:val="00FE3319"/>
    <w:rsid w:val="00FE3CED"/>
    <w:rsid w:val="00FE3D85"/>
    <w:rsid w:val="00FE3D92"/>
    <w:rsid w:val="00FE3E57"/>
    <w:rsid w:val="00FE443C"/>
    <w:rsid w:val="00FE5E52"/>
    <w:rsid w:val="00FE6F51"/>
    <w:rsid w:val="00FE7D4D"/>
    <w:rsid w:val="00FF09C5"/>
    <w:rsid w:val="00FF0A63"/>
    <w:rsid w:val="00FF0BDF"/>
    <w:rsid w:val="00FF1A18"/>
    <w:rsid w:val="00FF1CD0"/>
    <w:rsid w:val="00FF1F5B"/>
    <w:rsid w:val="00FF232C"/>
    <w:rsid w:val="00FF309A"/>
    <w:rsid w:val="00FF3819"/>
    <w:rsid w:val="00FF401C"/>
    <w:rsid w:val="00FF4893"/>
    <w:rsid w:val="00FF495B"/>
    <w:rsid w:val="00FF513B"/>
    <w:rsid w:val="00FF5506"/>
    <w:rsid w:val="00FF5E31"/>
    <w:rsid w:val="00FF60FA"/>
    <w:rsid w:val="00FF73E6"/>
    <w:rsid w:val="01290F7E"/>
    <w:rsid w:val="015D1E09"/>
    <w:rsid w:val="019A6D45"/>
    <w:rsid w:val="02697903"/>
    <w:rsid w:val="02B2496A"/>
    <w:rsid w:val="02F96569"/>
    <w:rsid w:val="030F3417"/>
    <w:rsid w:val="0396570E"/>
    <w:rsid w:val="03A53779"/>
    <w:rsid w:val="03EA7B21"/>
    <w:rsid w:val="04003C23"/>
    <w:rsid w:val="049B63F6"/>
    <w:rsid w:val="04E01C29"/>
    <w:rsid w:val="05826495"/>
    <w:rsid w:val="05A77160"/>
    <w:rsid w:val="05F83EAE"/>
    <w:rsid w:val="063E7D85"/>
    <w:rsid w:val="07293586"/>
    <w:rsid w:val="07295285"/>
    <w:rsid w:val="07636392"/>
    <w:rsid w:val="07770C56"/>
    <w:rsid w:val="07C47DFD"/>
    <w:rsid w:val="08944375"/>
    <w:rsid w:val="090441B5"/>
    <w:rsid w:val="092217DD"/>
    <w:rsid w:val="093A7294"/>
    <w:rsid w:val="09A6701A"/>
    <w:rsid w:val="09FC30DE"/>
    <w:rsid w:val="0A263993"/>
    <w:rsid w:val="0A2D3AC2"/>
    <w:rsid w:val="0A996CB4"/>
    <w:rsid w:val="0AA755DF"/>
    <w:rsid w:val="0B120D44"/>
    <w:rsid w:val="0B4E3288"/>
    <w:rsid w:val="0B696551"/>
    <w:rsid w:val="0BD27BF6"/>
    <w:rsid w:val="0C3B3C7D"/>
    <w:rsid w:val="0C4209D9"/>
    <w:rsid w:val="0C656F59"/>
    <w:rsid w:val="0CAB2EAE"/>
    <w:rsid w:val="0D136775"/>
    <w:rsid w:val="0D621C7D"/>
    <w:rsid w:val="0DE00369"/>
    <w:rsid w:val="0E73034D"/>
    <w:rsid w:val="0F13775A"/>
    <w:rsid w:val="0F5D4F40"/>
    <w:rsid w:val="0F5F45FE"/>
    <w:rsid w:val="0F9A112B"/>
    <w:rsid w:val="0FF4755A"/>
    <w:rsid w:val="103E10A4"/>
    <w:rsid w:val="103F6051"/>
    <w:rsid w:val="106D2F64"/>
    <w:rsid w:val="10B63710"/>
    <w:rsid w:val="10E24031"/>
    <w:rsid w:val="10E826FE"/>
    <w:rsid w:val="10F10820"/>
    <w:rsid w:val="111C2F7A"/>
    <w:rsid w:val="11665CA1"/>
    <w:rsid w:val="11FC3CC1"/>
    <w:rsid w:val="12EE0A5B"/>
    <w:rsid w:val="13951726"/>
    <w:rsid w:val="13F8694C"/>
    <w:rsid w:val="14396509"/>
    <w:rsid w:val="147D7B0F"/>
    <w:rsid w:val="14A34DBA"/>
    <w:rsid w:val="14CB3DD9"/>
    <w:rsid w:val="14DD2C3C"/>
    <w:rsid w:val="14EB1960"/>
    <w:rsid w:val="15015A4D"/>
    <w:rsid w:val="15ED5ED1"/>
    <w:rsid w:val="16087E1D"/>
    <w:rsid w:val="17701D14"/>
    <w:rsid w:val="17735226"/>
    <w:rsid w:val="18431CE4"/>
    <w:rsid w:val="18956E0E"/>
    <w:rsid w:val="189F624C"/>
    <w:rsid w:val="19133002"/>
    <w:rsid w:val="19714C54"/>
    <w:rsid w:val="197E209F"/>
    <w:rsid w:val="19F57610"/>
    <w:rsid w:val="1A1C66C0"/>
    <w:rsid w:val="1A42393B"/>
    <w:rsid w:val="1A6F765F"/>
    <w:rsid w:val="1AAD45DE"/>
    <w:rsid w:val="1B046F80"/>
    <w:rsid w:val="1B3267B5"/>
    <w:rsid w:val="1B390BC4"/>
    <w:rsid w:val="1B40161D"/>
    <w:rsid w:val="1B441859"/>
    <w:rsid w:val="1B6606B1"/>
    <w:rsid w:val="1C33298F"/>
    <w:rsid w:val="1C5E7925"/>
    <w:rsid w:val="1CA7347B"/>
    <w:rsid w:val="1CFD070F"/>
    <w:rsid w:val="1D565CCE"/>
    <w:rsid w:val="1D5F6196"/>
    <w:rsid w:val="1D6132A5"/>
    <w:rsid w:val="1D8E56D5"/>
    <w:rsid w:val="1DEC7CCB"/>
    <w:rsid w:val="1E1C0004"/>
    <w:rsid w:val="1E7A43DA"/>
    <w:rsid w:val="1F423E77"/>
    <w:rsid w:val="1FE7539E"/>
    <w:rsid w:val="20671BE0"/>
    <w:rsid w:val="20931C4F"/>
    <w:rsid w:val="20963CB8"/>
    <w:rsid w:val="20A81A1B"/>
    <w:rsid w:val="20AC4ABE"/>
    <w:rsid w:val="20B07FB6"/>
    <w:rsid w:val="20B646FB"/>
    <w:rsid w:val="213B74B1"/>
    <w:rsid w:val="215A2310"/>
    <w:rsid w:val="21817CF9"/>
    <w:rsid w:val="21C5052E"/>
    <w:rsid w:val="21DE318A"/>
    <w:rsid w:val="21EF5B80"/>
    <w:rsid w:val="22355505"/>
    <w:rsid w:val="22563A79"/>
    <w:rsid w:val="22576990"/>
    <w:rsid w:val="22EE5862"/>
    <w:rsid w:val="22F47480"/>
    <w:rsid w:val="23CB6173"/>
    <w:rsid w:val="23DE1C48"/>
    <w:rsid w:val="240210CD"/>
    <w:rsid w:val="24BF09F7"/>
    <w:rsid w:val="251D5A9C"/>
    <w:rsid w:val="252D53FE"/>
    <w:rsid w:val="259745C1"/>
    <w:rsid w:val="25EC2D81"/>
    <w:rsid w:val="266129C2"/>
    <w:rsid w:val="27167136"/>
    <w:rsid w:val="277057A2"/>
    <w:rsid w:val="28553C8E"/>
    <w:rsid w:val="29116A49"/>
    <w:rsid w:val="29206EB8"/>
    <w:rsid w:val="29595666"/>
    <w:rsid w:val="29874881"/>
    <w:rsid w:val="29E325E0"/>
    <w:rsid w:val="2A332420"/>
    <w:rsid w:val="2A377DFC"/>
    <w:rsid w:val="2A383867"/>
    <w:rsid w:val="2A452503"/>
    <w:rsid w:val="2B001316"/>
    <w:rsid w:val="2B243DF5"/>
    <w:rsid w:val="2BA936A8"/>
    <w:rsid w:val="2C315A5A"/>
    <w:rsid w:val="2C387B4E"/>
    <w:rsid w:val="2C4A68D3"/>
    <w:rsid w:val="2C4B1C25"/>
    <w:rsid w:val="2D9E56F5"/>
    <w:rsid w:val="2E0423DE"/>
    <w:rsid w:val="2E667F96"/>
    <w:rsid w:val="2E8226AB"/>
    <w:rsid w:val="2EB57234"/>
    <w:rsid w:val="2F4B7797"/>
    <w:rsid w:val="2F574B9C"/>
    <w:rsid w:val="2F650C5A"/>
    <w:rsid w:val="2FD065E6"/>
    <w:rsid w:val="2FD96870"/>
    <w:rsid w:val="30580BC9"/>
    <w:rsid w:val="30E97669"/>
    <w:rsid w:val="311E2ED7"/>
    <w:rsid w:val="315619EE"/>
    <w:rsid w:val="315C449C"/>
    <w:rsid w:val="31B82709"/>
    <w:rsid w:val="31D05482"/>
    <w:rsid w:val="32400B34"/>
    <w:rsid w:val="329E6876"/>
    <w:rsid w:val="329F241C"/>
    <w:rsid w:val="32F742BF"/>
    <w:rsid w:val="333015F2"/>
    <w:rsid w:val="334B6320"/>
    <w:rsid w:val="33D934D4"/>
    <w:rsid w:val="33FE2F6A"/>
    <w:rsid w:val="340E07E5"/>
    <w:rsid w:val="341F3840"/>
    <w:rsid w:val="34235BF7"/>
    <w:rsid w:val="345B1864"/>
    <w:rsid w:val="346D293A"/>
    <w:rsid w:val="348051E2"/>
    <w:rsid w:val="34B91017"/>
    <w:rsid w:val="35262389"/>
    <w:rsid w:val="3542595B"/>
    <w:rsid w:val="358C5FA8"/>
    <w:rsid w:val="35C15DF1"/>
    <w:rsid w:val="35DC4CFF"/>
    <w:rsid w:val="35F77B22"/>
    <w:rsid w:val="36074A7F"/>
    <w:rsid w:val="366B6059"/>
    <w:rsid w:val="36923549"/>
    <w:rsid w:val="36B75FBF"/>
    <w:rsid w:val="36BD0C45"/>
    <w:rsid w:val="375012B3"/>
    <w:rsid w:val="37C264CB"/>
    <w:rsid w:val="37E00298"/>
    <w:rsid w:val="38333699"/>
    <w:rsid w:val="385D2BED"/>
    <w:rsid w:val="38B302F9"/>
    <w:rsid w:val="38F12CD3"/>
    <w:rsid w:val="38F94775"/>
    <w:rsid w:val="3906664C"/>
    <w:rsid w:val="392971ED"/>
    <w:rsid w:val="39325651"/>
    <w:rsid w:val="398E5251"/>
    <w:rsid w:val="3A4534DD"/>
    <w:rsid w:val="3A6C2245"/>
    <w:rsid w:val="3A872856"/>
    <w:rsid w:val="3AAE5CDD"/>
    <w:rsid w:val="3B3763D1"/>
    <w:rsid w:val="3C2F6E1E"/>
    <w:rsid w:val="3C4F64BA"/>
    <w:rsid w:val="3C6D7B8F"/>
    <w:rsid w:val="3CDA245A"/>
    <w:rsid w:val="3D1E06B7"/>
    <w:rsid w:val="3D697DFA"/>
    <w:rsid w:val="3DD27661"/>
    <w:rsid w:val="3DF77869"/>
    <w:rsid w:val="3E7676FA"/>
    <w:rsid w:val="3EC23623"/>
    <w:rsid w:val="3EDA0523"/>
    <w:rsid w:val="407A6407"/>
    <w:rsid w:val="40F8361C"/>
    <w:rsid w:val="41CE016A"/>
    <w:rsid w:val="4200449D"/>
    <w:rsid w:val="423A3BCC"/>
    <w:rsid w:val="424E57D2"/>
    <w:rsid w:val="42696C1A"/>
    <w:rsid w:val="42B26C49"/>
    <w:rsid w:val="42E243E9"/>
    <w:rsid w:val="430F2F5F"/>
    <w:rsid w:val="433A6FE6"/>
    <w:rsid w:val="43480868"/>
    <w:rsid w:val="4350713C"/>
    <w:rsid w:val="436653E0"/>
    <w:rsid w:val="4377703C"/>
    <w:rsid w:val="43C4431A"/>
    <w:rsid w:val="43F619F2"/>
    <w:rsid w:val="449255C1"/>
    <w:rsid w:val="44A771C7"/>
    <w:rsid w:val="44B951CC"/>
    <w:rsid w:val="44CD14E0"/>
    <w:rsid w:val="44F20B0B"/>
    <w:rsid w:val="452E5F4C"/>
    <w:rsid w:val="45612018"/>
    <w:rsid w:val="458946E9"/>
    <w:rsid w:val="45A47C0E"/>
    <w:rsid w:val="46577FD6"/>
    <w:rsid w:val="46D955A7"/>
    <w:rsid w:val="47133957"/>
    <w:rsid w:val="47337CB1"/>
    <w:rsid w:val="47A07E0C"/>
    <w:rsid w:val="480A2B5E"/>
    <w:rsid w:val="485745AA"/>
    <w:rsid w:val="4870272E"/>
    <w:rsid w:val="49B02FC2"/>
    <w:rsid w:val="49DC7715"/>
    <w:rsid w:val="4A023139"/>
    <w:rsid w:val="4A7B576F"/>
    <w:rsid w:val="4AF561A9"/>
    <w:rsid w:val="4B315A3D"/>
    <w:rsid w:val="4B4521C2"/>
    <w:rsid w:val="4C0856E3"/>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24B48B1"/>
    <w:rsid w:val="53A039CC"/>
    <w:rsid w:val="53A1505A"/>
    <w:rsid w:val="53DD0F53"/>
    <w:rsid w:val="54063E08"/>
    <w:rsid w:val="543437E8"/>
    <w:rsid w:val="54F73313"/>
    <w:rsid w:val="54F80955"/>
    <w:rsid w:val="555170A7"/>
    <w:rsid w:val="5587536D"/>
    <w:rsid w:val="559B174B"/>
    <w:rsid w:val="55CE0CF4"/>
    <w:rsid w:val="56B22A9C"/>
    <w:rsid w:val="57541431"/>
    <w:rsid w:val="57B72A76"/>
    <w:rsid w:val="57C3426C"/>
    <w:rsid w:val="57CE1F93"/>
    <w:rsid w:val="57E70FFE"/>
    <w:rsid w:val="588743D1"/>
    <w:rsid w:val="5887701A"/>
    <w:rsid w:val="58E80D86"/>
    <w:rsid w:val="59C0439F"/>
    <w:rsid w:val="5ABE2233"/>
    <w:rsid w:val="5AC60945"/>
    <w:rsid w:val="5ADF5797"/>
    <w:rsid w:val="5BDF5D95"/>
    <w:rsid w:val="5BFE7528"/>
    <w:rsid w:val="5CA22C3E"/>
    <w:rsid w:val="5CB85FBE"/>
    <w:rsid w:val="5E2467F1"/>
    <w:rsid w:val="5E546C4B"/>
    <w:rsid w:val="5E9E70A6"/>
    <w:rsid w:val="5F1A2B43"/>
    <w:rsid w:val="5F954394"/>
    <w:rsid w:val="5FB837BB"/>
    <w:rsid w:val="5FF76DFD"/>
    <w:rsid w:val="604F6C39"/>
    <w:rsid w:val="605F0EDB"/>
    <w:rsid w:val="60732A05"/>
    <w:rsid w:val="60CC405A"/>
    <w:rsid w:val="611E1462"/>
    <w:rsid w:val="6146355F"/>
    <w:rsid w:val="6154572E"/>
    <w:rsid w:val="61654B61"/>
    <w:rsid w:val="616E7593"/>
    <w:rsid w:val="61E215D8"/>
    <w:rsid w:val="621B3775"/>
    <w:rsid w:val="62364782"/>
    <w:rsid w:val="6394356A"/>
    <w:rsid w:val="63C61B2C"/>
    <w:rsid w:val="63D40BE9"/>
    <w:rsid w:val="64102431"/>
    <w:rsid w:val="64674B2A"/>
    <w:rsid w:val="64A5243A"/>
    <w:rsid w:val="64F531DE"/>
    <w:rsid w:val="65000356"/>
    <w:rsid w:val="65373578"/>
    <w:rsid w:val="66780783"/>
    <w:rsid w:val="66F347C2"/>
    <w:rsid w:val="671F124A"/>
    <w:rsid w:val="67667E25"/>
    <w:rsid w:val="677A33C6"/>
    <w:rsid w:val="67A23AF2"/>
    <w:rsid w:val="67E877CF"/>
    <w:rsid w:val="681F6961"/>
    <w:rsid w:val="68610A2F"/>
    <w:rsid w:val="68805514"/>
    <w:rsid w:val="69316E2F"/>
    <w:rsid w:val="694E2071"/>
    <w:rsid w:val="69533CD8"/>
    <w:rsid w:val="69766163"/>
    <w:rsid w:val="697A3B33"/>
    <w:rsid w:val="69D44760"/>
    <w:rsid w:val="6A265BF7"/>
    <w:rsid w:val="6A321A42"/>
    <w:rsid w:val="6A520EC7"/>
    <w:rsid w:val="6AF87E20"/>
    <w:rsid w:val="6B122D3D"/>
    <w:rsid w:val="6B322639"/>
    <w:rsid w:val="6B572E46"/>
    <w:rsid w:val="6B7138EC"/>
    <w:rsid w:val="6C636C38"/>
    <w:rsid w:val="6DB34098"/>
    <w:rsid w:val="6DB545B6"/>
    <w:rsid w:val="6DE02FB4"/>
    <w:rsid w:val="6E217E67"/>
    <w:rsid w:val="6E514CED"/>
    <w:rsid w:val="6EA907B3"/>
    <w:rsid w:val="6EB563D5"/>
    <w:rsid w:val="6ED92677"/>
    <w:rsid w:val="6F225983"/>
    <w:rsid w:val="6FFC5590"/>
    <w:rsid w:val="706D1DD0"/>
    <w:rsid w:val="70856B87"/>
    <w:rsid w:val="70D527EE"/>
    <w:rsid w:val="715B5300"/>
    <w:rsid w:val="716F0EE9"/>
    <w:rsid w:val="71D27F8A"/>
    <w:rsid w:val="71DB45C2"/>
    <w:rsid w:val="722A12B4"/>
    <w:rsid w:val="72553024"/>
    <w:rsid w:val="73122968"/>
    <w:rsid w:val="731F5D5E"/>
    <w:rsid w:val="735B0B97"/>
    <w:rsid w:val="73C51AD5"/>
    <w:rsid w:val="73DC213A"/>
    <w:rsid w:val="73FE73A3"/>
    <w:rsid w:val="741E793C"/>
    <w:rsid w:val="745E3944"/>
    <w:rsid w:val="747405C4"/>
    <w:rsid w:val="75594CCF"/>
    <w:rsid w:val="7611562F"/>
    <w:rsid w:val="7635099D"/>
    <w:rsid w:val="76483868"/>
    <w:rsid w:val="76541BCF"/>
    <w:rsid w:val="76567CB5"/>
    <w:rsid w:val="76860773"/>
    <w:rsid w:val="77762421"/>
    <w:rsid w:val="77A10FB4"/>
    <w:rsid w:val="77B56B1F"/>
    <w:rsid w:val="780F09F4"/>
    <w:rsid w:val="78A90480"/>
    <w:rsid w:val="79163B3D"/>
    <w:rsid w:val="7A035633"/>
    <w:rsid w:val="7A364017"/>
    <w:rsid w:val="7A8265E1"/>
    <w:rsid w:val="7B2753A5"/>
    <w:rsid w:val="7B686D42"/>
    <w:rsid w:val="7B826E24"/>
    <w:rsid w:val="7B841746"/>
    <w:rsid w:val="7BE10E64"/>
    <w:rsid w:val="7C6C5AC7"/>
    <w:rsid w:val="7C772DC5"/>
    <w:rsid w:val="7C815F74"/>
    <w:rsid w:val="7CC6544B"/>
    <w:rsid w:val="7D0239FF"/>
    <w:rsid w:val="7D5E40CD"/>
    <w:rsid w:val="7DCD56F2"/>
    <w:rsid w:val="7E663478"/>
    <w:rsid w:val="7F001CE7"/>
    <w:rsid w:val="7F7D7E39"/>
    <w:rsid w:val="7F985183"/>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76"/>
        <o:r id="V:Rule2" type="connector" idref="#_x0000_s2100"/>
        <o:r id="V:Rule3" type="connector" idref="#_x0000_s2101"/>
        <o:r id="V:Rule4" type="connector" idref="#_x0000_s2103"/>
        <o:r id="V:Rule5" type="connector" idref="#_x0000_s2124"/>
        <o:r id="V:Rule6" type="connector" idref="#_x0000_s2126"/>
        <o:r id="V:Rule7" type="connector" idref="#_x0000_s2127"/>
        <o:r id="V:Rule8" type="connector" idref="#_x0000_s2130"/>
        <o:r id="V:Rule9" type="connector" idref="#_x0000_s2142"/>
        <o:r id="V:Rule10" type="connector" idref="#_x0000_s2147"/>
        <o:r id="V:Rule11" type="connector" idref="#_x0000_s2150"/>
        <o:r id="V:Rule12" type="connector" idref="#_x0000_s2154"/>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nhideWhenUsed="0" w:uiPriority="0"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0" w:semiHidden="0" w:name="Message Header" w:locked="1"/>
    <w:lsdException w:qFormat="1" w:unhideWhenUsed="0" w:uiPriority="0" w:semiHidden="0" w:name="Subtitle" w:locked="1"/>
    <w:lsdException w:uiPriority="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0" w:name="Note Heading" w:locked="1"/>
    <w:lsdException w:qFormat="1" w:unhideWhenUsed="0" w:uiPriority="99" w:semiHidden="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99"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57"/>
    <w:autoRedefine/>
    <w:qFormat/>
    <w:locked/>
    <w:uiPriority w:val="0"/>
    <w:rPr>
      <w:rFonts w:ascii="宋体"/>
      <w:sz w:val="18"/>
      <w:szCs w:val="18"/>
    </w:rPr>
  </w:style>
  <w:style w:type="paragraph" w:styleId="4">
    <w:name w:val="annotation text"/>
    <w:basedOn w:val="1"/>
    <w:link w:val="44"/>
    <w:autoRedefine/>
    <w:qFormat/>
    <w:uiPriority w:val="99"/>
    <w:pPr>
      <w:jc w:val="left"/>
    </w:pPr>
    <w:rPr>
      <w:kern w:val="0"/>
      <w:sz w:val="24"/>
      <w:szCs w:val="20"/>
    </w:rPr>
  </w:style>
  <w:style w:type="paragraph" w:styleId="5">
    <w:name w:val="Body Text"/>
    <w:basedOn w:val="1"/>
    <w:next w:val="6"/>
    <w:link w:val="43"/>
    <w:autoRedefine/>
    <w:qFormat/>
    <w:uiPriority w:val="0"/>
    <w:pPr>
      <w:widowControl/>
      <w:snapToGrid w:val="0"/>
      <w:spacing w:before="60" w:after="160" w:line="259" w:lineRule="auto"/>
      <w:ind w:right="113"/>
    </w:pPr>
    <w:rPr>
      <w:kern w:val="0"/>
      <w:sz w:val="18"/>
      <w:szCs w:val="20"/>
    </w:rPr>
  </w:style>
  <w:style w:type="paragraph" w:customStyle="1" w:styleId="6">
    <w:name w:val="Normal (Web)1"/>
    <w:basedOn w:val="1"/>
    <w:next w:val="7"/>
    <w:autoRedefine/>
    <w:qFormat/>
    <w:uiPriority w:val="0"/>
    <w:pPr>
      <w:widowControl/>
    </w:pPr>
    <w:rPr>
      <w:rFonts w:ascii="宋体"/>
      <w:sz w:val="24"/>
      <w:szCs w:val="21"/>
    </w:rPr>
  </w:style>
  <w:style w:type="paragraph" w:customStyle="1" w:styleId="7">
    <w:name w:val="Date1"/>
    <w:basedOn w:val="1"/>
    <w:next w:val="1"/>
    <w:autoRedefine/>
    <w:qFormat/>
    <w:uiPriority w:val="0"/>
    <w:pPr>
      <w:autoSpaceDE w:val="0"/>
      <w:autoSpaceDN w:val="0"/>
      <w:adjustRightInd w:val="0"/>
      <w:textAlignment w:val="baseline"/>
    </w:pPr>
    <w:rPr>
      <w:rFonts w:ascii="宋体"/>
      <w:spacing w:val="5"/>
      <w:kern w:val="0"/>
      <w:sz w:val="24"/>
      <w:szCs w:val="20"/>
    </w:rPr>
  </w:style>
  <w:style w:type="paragraph" w:styleId="8">
    <w:name w:val="Body Text Indent"/>
    <w:basedOn w:val="1"/>
    <w:next w:val="9"/>
    <w:link w:val="54"/>
    <w:autoRedefine/>
    <w:qFormat/>
    <w:uiPriority w:val="0"/>
    <w:pPr>
      <w:spacing w:after="120"/>
      <w:ind w:left="420" w:leftChars="200"/>
    </w:pPr>
    <w:rPr>
      <w:kern w:val="0"/>
      <w:sz w:val="24"/>
      <w:szCs w:val="20"/>
    </w:rPr>
  </w:style>
  <w:style w:type="paragraph" w:styleId="9">
    <w:name w:val="header"/>
    <w:basedOn w:val="1"/>
    <w:next w:val="10"/>
    <w:link w:val="52"/>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0">
    <w:name w:val="样式5"/>
    <w:basedOn w:val="1"/>
    <w:autoRedefine/>
    <w:qFormat/>
    <w:uiPriority w:val="0"/>
    <w:pPr>
      <w:spacing w:line="380" w:lineRule="exact"/>
      <w:ind w:firstLine="566" w:firstLineChars="202"/>
    </w:pPr>
    <w:rPr>
      <w:rFonts w:eastAsia="华文行楷"/>
    </w:rPr>
  </w:style>
  <w:style w:type="paragraph" w:styleId="11">
    <w:name w:val="Plain Text"/>
    <w:basedOn w:val="1"/>
    <w:autoRedefine/>
    <w:qFormat/>
    <w:locked/>
    <w:uiPriority w:val="99"/>
    <w:rPr>
      <w:rFonts w:ascii="宋体" w:hAnsi="Courier New" w:eastAsia="仿宋_GB2312"/>
      <w:sz w:val="28"/>
      <w:szCs w:val="20"/>
    </w:rPr>
  </w:style>
  <w:style w:type="paragraph" w:styleId="12">
    <w:name w:val="Date"/>
    <w:basedOn w:val="1"/>
    <w:next w:val="1"/>
    <w:link w:val="39"/>
    <w:autoRedefine/>
    <w:qFormat/>
    <w:uiPriority w:val="0"/>
    <w:pPr>
      <w:ind w:left="100" w:leftChars="2500"/>
    </w:pPr>
    <w:rPr>
      <w:kern w:val="0"/>
      <w:sz w:val="24"/>
      <w:szCs w:val="20"/>
    </w:rPr>
  </w:style>
  <w:style w:type="paragraph" w:styleId="13">
    <w:name w:val="Balloon Text"/>
    <w:basedOn w:val="1"/>
    <w:link w:val="50"/>
    <w:autoRedefine/>
    <w:semiHidden/>
    <w:qFormat/>
    <w:uiPriority w:val="0"/>
    <w:rPr>
      <w:kern w:val="0"/>
      <w:sz w:val="18"/>
      <w:szCs w:val="20"/>
    </w:rPr>
  </w:style>
  <w:style w:type="paragraph" w:styleId="14">
    <w:name w:val="footer"/>
    <w:basedOn w:val="1"/>
    <w:link w:val="38"/>
    <w:autoRedefine/>
    <w:qFormat/>
    <w:uiPriority w:val="99"/>
    <w:pPr>
      <w:tabs>
        <w:tab w:val="center" w:pos="4153"/>
        <w:tab w:val="right" w:pos="8306"/>
      </w:tabs>
      <w:snapToGrid w:val="0"/>
      <w:jc w:val="left"/>
    </w:pPr>
    <w:rPr>
      <w:kern w:val="0"/>
      <w:sz w:val="18"/>
      <w:szCs w:val="20"/>
    </w:rPr>
  </w:style>
  <w:style w:type="paragraph" w:styleId="15">
    <w:name w:val="toc 1"/>
    <w:basedOn w:val="1"/>
    <w:next w:val="1"/>
    <w:autoRedefine/>
    <w:qFormat/>
    <w:locked/>
    <w:uiPriority w:val="39"/>
  </w:style>
  <w:style w:type="paragraph" w:styleId="16">
    <w:name w:val="toc 2"/>
    <w:basedOn w:val="1"/>
    <w:next w:val="1"/>
    <w:autoRedefine/>
    <w:qFormat/>
    <w:locked/>
    <w:uiPriority w:val="0"/>
    <w:pPr>
      <w:ind w:left="420" w:leftChars="200"/>
    </w:pPr>
  </w:style>
  <w:style w:type="paragraph" w:styleId="17">
    <w:name w:val="Body Text 2"/>
    <w:basedOn w:val="1"/>
    <w:link w:val="76"/>
    <w:autoRedefine/>
    <w:qFormat/>
    <w:locked/>
    <w:uiPriority w:val="99"/>
    <w:pPr>
      <w:spacing w:after="120" w:line="480" w:lineRule="auto"/>
    </w:pPr>
  </w:style>
  <w:style w:type="paragraph" w:styleId="18">
    <w:name w:val="Message Header"/>
    <w:basedOn w:val="1"/>
    <w:autoRedefine/>
    <w:qFormat/>
    <w:locked/>
    <w:uiPriority w:val="0"/>
    <w:pPr>
      <w:keepNext/>
      <w:pBdr>
        <w:top w:val="single" w:color="auto" w:sz="6" w:space="1"/>
        <w:left w:val="single" w:color="auto" w:sz="6" w:space="1"/>
        <w:bottom w:val="single" w:color="auto" w:sz="6" w:space="1"/>
        <w:right w:val="single" w:color="auto" w:sz="6" w:space="1"/>
      </w:pBdr>
      <w:shd w:val="pct20" w:color="auto" w:fill="auto"/>
      <w:spacing w:line="360" w:lineRule="auto"/>
      <w:ind w:left="1000" w:leftChars="500" w:hanging="500" w:hangingChars="500"/>
      <w:jc w:val="left"/>
    </w:pPr>
    <w:rPr>
      <w:rFonts w:ascii="Arial" w:hAnsi="Arial" w:cs="Arial"/>
      <w:color w:val="000000"/>
      <w:sz w:val="24"/>
    </w:rPr>
  </w:style>
  <w:style w:type="paragraph" w:styleId="19">
    <w:name w:val="Normal (Web)"/>
    <w:basedOn w:val="1"/>
    <w:link w:val="41"/>
    <w:autoRedefine/>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4"/>
    <w:next w:val="4"/>
    <w:link w:val="51"/>
    <w:autoRedefine/>
    <w:semiHidden/>
    <w:qFormat/>
    <w:uiPriority w:val="0"/>
    <w:rPr>
      <w:b/>
      <w:kern w:val="2"/>
    </w:rPr>
  </w:style>
  <w:style w:type="paragraph" w:styleId="21">
    <w:name w:val="Body Text First Indent"/>
    <w:basedOn w:val="5"/>
    <w:next w:val="1"/>
    <w:autoRedefine/>
    <w:qFormat/>
    <w:locked/>
    <w:uiPriority w:val="0"/>
    <w:pPr>
      <w:ind w:firstLine="420" w:firstLineChars="100"/>
    </w:pPr>
  </w:style>
  <w:style w:type="paragraph" w:styleId="22">
    <w:name w:val="Body Text First Indent 2"/>
    <w:basedOn w:val="8"/>
    <w:autoRedefine/>
    <w:qFormat/>
    <w:locked/>
    <w:uiPriority w:val="0"/>
    <w:pPr>
      <w:ind w:firstLine="420"/>
    </w:pPr>
    <w:rPr>
      <w:sz w:val="21"/>
      <w:szCs w:val="21"/>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locked/>
    <w:uiPriority w:val="0"/>
  </w:style>
  <w:style w:type="character" w:styleId="27">
    <w:name w:val="Hyperlink"/>
    <w:basedOn w:val="25"/>
    <w:autoRedefine/>
    <w:qFormat/>
    <w:locked/>
    <w:uiPriority w:val="99"/>
    <w:rPr>
      <w:color w:val="0000FF" w:themeColor="hyperlink"/>
      <w:u w:val="single"/>
    </w:rPr>
  </w:style>
  <w:style w:type="character" w:styleId="28">
    <w:name w:val="annotation reference"/>
    <w:autoRedefine/>
    <w:semiHidden/>
    <w:qFormat/>
    <w:uiPriority w:val="99"/>
    <w:rPr>
      <w:sz w:val="21"/>
    </w:rPr>
  </w:style>
  <w:style w:type="paragraph" w:customStyle="1" w:styleId="29">
    <w:name w:val="正文格式"/>
    <w:basedOn w:val="1"/>
    <w:autoRedefine/>
    <w:qFormat/>
    <w:uiPriority w:val="0"/>
    <w:pPr>
      <w:spacing w:line="360" w:lineRule="auto"/>
      <w:ind w:firstLine="482"/>
    </w:pPr>
    <w:rPr>
      <w:sz w:val="24"/>
    </w:rPr>
  </w:style>
  <w:style w:type="paragraph" w:customStyle="1" w:styleId="30">
    <w:name w:val="样式 正文首行缩进 + 首行缩进:  2 字符1"/>
    <w:basedOn w:val="1"/>
    <w:next w:val="15"/>
    <w:autoRedefine/>
    <w:qFormat/>
    <w:uiPriority w:val="0"/>
    <w:pPr>
      <w:spacing w:line="360" w:lineRule="auto"/>
      <w:ind w:firstLine="480" w:firstLineChars="200"/>
    </w:pPr>
    <w:rPr>
      <w:sz w:val="24"/>
    </w:rPr>
  </w:style>
  <w:style w:type="paragraph" w:customStyle="1" w:styleId="31">
    <w:name w:val="样式 标题 1 + 首行缩进:  2 字符"/>
    <w:basedOn w:val="2"/>
    <w:autoRedefine/>
    <w:qFormat/>
    <w:uiPriority w:val="0"/>
    <w:pPr>
      <w:ind w:firstLine="200" w:firstLineChars="200"/>
      <w:jc w:val="center"/>
    </w:pPr>
    <w:rPr>
      <w:rFonts w:cs="宋体"/>
      <w:szCs w:val="20"/>
    </w:rPr>
  </w:style>
  <w:style w:type="paragraph" w:customStyle="1" w:styleId="32">
    <w:name w:val="Default"/>
    <w:basedOn w:val="33"/>
    <w:next w:val="1"/>
    <w:autoRedefine/>
    <w:qFormat/>
    <w:uiPriority w:val="0"/>
    <w:pPr>
      <w:widowControl w:val="0"/>
      <w:tabs>
        <w:tab w:val="left" w:pos="4440"/>
      </w:tabs>
      <w:autoSpaceDE w:val="0"/>
      <w:autoSpaceDN w:val="0"/>
    </w:pPr>
    <w:rPr>
      <w:rFonts w:eastAsia="Times New Roman"/>
      <w:color w:val="000000"/>
    </w:rPr>
  </w:style>
  <w:style w:type="paragraph" w:customStyle="1" w:styleId="33">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34">
    <w:name w:val="通用正文"/>
    <w:basedOn w:val="35"/>
    <w:autoRedefine/>
    <w:qFormat/>
    <w:uiPriority w:val="0"/>
    <w:pPr>
      <w:topLinePunct/>
    </w:pPr>
  </w:style>
  <w:style w:type="paragraph" w:customStyle="1" w:styleId="35">
    <w:name w:val="00通用正文"/>
    <w:basedOn w:val="1"/>
    <w:autoRedefine/>
    <w:qFormat/>
    <w:uiPriority w:val="0"/>
    <w:pPr>
      <w:wordWrap w:val="0"/>
      <w:spacing w:line="360" w:lineRule="auto"/>
      <w:ind w:firstLine="420" w:firstLineChars="200"/>
      <w:jc w:val="left"/>
    </w:pPr>
    <w:rPr>
      <w:rFonts w:cstheme="minorBidi"/>
      <w:color w:val="000000"/>
      <w:sz w:val="24"/>
    </w:rPr>
  </w:style>
  <w:style w:type="paragraph" w:customStyle="1" w:styleId="36">
    <w:name w:val="报告书正文"/>
    <w:basedOn w:val="1"/>
    <w:autoRedefine/>
    <w:qFormat/>
    <w:uiPriority w:val="0"/>
    <w:pPr>
      <w:adjustRightInd w:val="0"/>
      <w:snapToGrid w:val="0"/>
      <w:spacing w:line="400" w:lineRule="atLeast"/>
      <w:ind w:firstLine="200" w:firstLineChars="200"/>
    </w:pPr>
    <w:rPr>
      <w:sz w:val="24"/>
    </w:rPr>
  </w:style>
  <w:style w:type="paragraph" w:customStyle="1" w:styleId="37">
    <w:name w:val="11111"/>
    <w:basedOn w:val="1"/>
    <w:next w:val="1"/>
    <w:autoRedefine/>
    <w:qFormat/>
    <w:uiPriority w:val="0"/>
    <w:pPr>
      <w:spacing w:line="360" w:lineRule="auto"/>
      <w:ind w:firstLine="200" w:firstLineChars="200"/>
    </w:pPr>
    <w:rPr>
      <w:rFonts w:ascii="宋体" w:hAnsi="宋体" w:cs="宋体"/>
      <w:sz w:val="24"/>
    </w:rPr>
  </w:style>
  <w:style w:type="character" w:customStyle="1" w:styleId="38">
    <w:name w:val="页脚 Char"/>
    <w:link w:val="14"/>
    <w:autoRedefine/>
    <w:qFormat/>
    <w:locked/>
    <w:uiPriority w:val="99"/>
    <w:rPr>
      <w:sz w:val="18"/>
    </w:rPr>
  </w:style>
  <w:style w:type="character" w:customStyle="1" w:styleId="39">
    <w:name w:val="日期 Char"/>
    <w:link w:val="12"/>
    <w:autoRedefine/>
    <w:qFormat/>
    <w:locked/>
    <w:uiPriority w:val="0"/>
    <w:rPr>
      <w:rFonts w:ascii="Times New Roman" w:hAnsi="Times New Roman" w:eastAsia="宋体"/>
      <w:sz w:val="24"/>
    </w:rPr>
  </w:style>
  <w:style w:type="character" w:customStyle="1" w:styleId="40">
    <w:name w:val="页脚 字符"/>
    <w:basedOn w:val="25"/>
    <w:autoRedefine/>
    <w:qFormat/>
    <w:uiPriority w:val="99"/>
  </w:style>
  <w:style w:type="character" w:customStyle="1" w:styleId="41">
    <w:name w:val="普通(网站) Char"/>
    <w:link w:val="19"/>
    <w:autoRedefine/>
    <w:qFormat/>
    <w:locked/>
    <w:uiPriority w:val="0"/>
    <w:rPr>
      <w:rFonts w:ascii="宋体" w:hAnsi="宋体" w:eastAsia="宋体"/>
      <w:sz w:val="24"/>
    </w:rPr>
  </w:style>
  <w:style w:type="character" w:customStyle="1" w:styleId="42">
    <w:name w:val="正文文本 字符1"/>
    <w:autoRedefine/>
    <w:semiHidden/>
    <w:qFormat/>
    <w:uiPriority w:val="0"/>
    <w:rPr>
      <w:rFonts w:ascii="Times New Roman" w:hAnsi="Times New Roman" w:eastAsia="宋体"/>
      <w:sz w:val="24"/>
    </w:rPr>
  </w:style>
  <w:style w:type="character" w:customStyle="1" w:styleId="43">
    <w:name w:val="正文文本 Char"/>
    <w:link w:val="5"/>
    <w:autoRedefine/>
    <w:qFormat/>
    <w:locked/>
    <w:uiPriority w:val="0"/>
    <w:rPr>
      <w:sz w:val="18"/>
    </w:rPr>
  </w:style>
  <w:style w:type="character" w:customStyle="1" w:styleId="44">
    <w:name w:val="批注文字 Char"/>
    <w:link w:val="4"/>
    <w:autoRedefine/>
    <w:qFormat/>
    <w:locked/>
    <w:uiPriority w:val="99"/>
    <w:rPr>
      <w:rFonts w:ascii="Times New Roman" w:hAnsi="Times New Roman" w:eastAsia="宋体"/>
      <w:sz w:val="24"/>
    </w:rPr>
  </w:style>
  <w:style w:type="character" w:customStyle="1" w:styleId="45">
    <w:name w:val="表格 Char"/>
    <w:link w:val="46"/>
    <w:autoRedefine/>
    <w:qFormat/>
    <w:locked/>
    <w:uiPriority w:val="0"/>
    <w:rPr>
      <w:rFonts w:ascii="宋体"/>
      <w:sz w:val="21"/>
    </w:rPr>
  </w:style>
  <w:style w:type="paragraph" w:customStyle="1" w:styleId="46">
    <w:name w:val="表格"/>
    <w:basedOn w:val="47"/>
    <w:next w:val="1"/>
    <w:link w:val="45"/>
    <w:autoRedefine/>
    <w:qFormat/>
    <w:uiPriority w:val="0"/>
    <w:pPr>
      <w:adjustRightInd w:val="0"/>
      <w:snapToGrid w:val="0"/>
      <w:spacing w:beforeLines="10" w:afterLines="10" w:line="259" w:lineRule="auto"/>
    </w:pPr>
    <w:rPr>
      <w:rFonts w:ascii="宋体"/>
      <w:kern w:val="0"/>
      <w:szCs w:val="20"/>
    </w:rPr>
  </w:style>
  <w:style w:type="paragraph" w:customStyle="1" w:styleId="47">
    <w:name w:val="表格标题"/>
    <w:basedOn w:val="48"/>
    <w:next w:val="48"/>
    <w:autoRedefine/>
    <w:qFormat/>
    <w:uiPriority w:val="0"/>
    <w:pPr>
      <w:jc w:val="center"/>
    </w:pPr>
    <w:rPr>
      <w:rFonts w:ascii="Arial" w:hAnsi="Arial" w:eastAsia="新宋体" w:cs="黑体"/>
      <w:szCs w:val="21"/>
    </w:rPr>
  </w:style>
  <w:style w:type="paragraph" w:customStyle="1" w:styleId="48">
    <w:name w:val="报告表正文"/>
    <w:basedOn w:val="1"/>
    <w:next w:val="1"/>
    <w:autoRedefine/>
    <w:qFormat/>
    <w:uiPriority w:val="0"/>
    <w:pPr>
      <w:spacing w:line="360" w:lineRule="auto"/>
      <w:ind w:firstLine="420" w:firstLineChars="200"/>
    </w:pPr>
    <w:rPr>
      <w:sz w:val="24"/>
      <w:szCs w:val="22"/>
      <w:lang w:val="zh-CN"/>
    </w:rPr>
  </w:style>
  <w:style w:type="character" w:customStyle="1" w:styleId="49">
    <w:name w:val="日期 字符"/>
    <w:autoRedefine/>
    <w:semiHidden/>
    <w:qFormat/>
    <w:uiPriority w:val="0"/>
    <w:rPr>
      <w:rFonts w:ascii="Times New Roman" w:hAnsi="Times New Roman" w:eastAsia="宋体"/>
      <w:sz w:val="24"/>
    </w:rPr>
  </w:style>
  <w:style w:type="character" w:customStyle="1" w:styleId="50">
    <w:name w:val="批注框文本 Char"/>
    <w:link w:val="13"/>
    <w:autoRedefine/>
    <w:semiHidden/>
    <w:qFormat/>
    <w:locked/>
    <w:uiPriority w:val="0"/>
    <w:rPr>
      <w:rFonts w:ascii="Times New Roman" w:hAnsi="Times New Roman" w:eastAsia="宋体"/>
      <w:sz w:val="18"/>
    </w:rPr>
  </w:style>
  <w:style w:type="character" w:customStyle="1" w:styleId="51">
    <w:name w:val="批注主题 Char"/>
    <w:link w:val="20"/>
    <w:autoRedefine/>
    <w:semiHidden/>
    <w:qFormat/>
    <w:locked/>
    <w:uiPriority w:val="0"/>
    <w:rPr>
      <w:rFonts w:ascii="Times New Roman" w:hAnsi="Times New Roman" w:eastAsia="宋体"/>
      <w:b/>
      <w:kern w:val="2"/>
      <w:sz w:val="24"/>
    </w:rPr>
  </w:style>
  <w:style w:type="character" w:customStyle="1" w:styleId="52">
    <w:name w:val="页眉 Char"/>
    <w:link w:val="9"/>
    <w:autoRedefine/>
    <w:qFormat/>
    <w:locked/>
    <w:uiPriority w:val="0"/>
    <w:rPr>
      <w:sz w:val="18"/>
    </w:rPr>
  </w:style>
  <w:style w:type="character" w:customStyle="1" w:styleId="53">
    <w:name w:val="批注文字 字符1"/>
    <w:autoRedefine/>
    <w:semiHidden/>
    <w:qFormat/>
    <w:uiPriority w:val="0"/>
    <w:rPr>
      <w:rFonts w:ascii="Times New Roman" w:hAnsi="Times New Roman" w:eastAsia="宋体"/>
      <w:sz w:val="24"/>
    </w:rPr>
  </w:style>
  <w:style w:type="character" w:customStyle="1" w:styleId="54">
    <w:name w:val="正文文本缩进 Char"/>
    <w:link w:val="8"/>
    <w:autoRedefine/>
    <w:semiHidden/>
    <w:qFormat/>
    <w:locked/>
    <w:uiPriority w:val="0"/>
    <w:rPr>
      <w:rFonts w:ascii="Times New Roman" w:hAnsi="Times New Roman" w:eastAsia="宋体"/>
      <w:sz w:val="24"/>
    </w:rPr>
  </w:style>
  <w:style w:type="paragraph" w:customStyle="1" w:styleId="5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57">
    <w:name w:val="文档结构图 Char"/>
    <w:basedOn w:val="25"/>
    <w:link w:val="3"/>
    <w:autoRedefine/>
    <w:qFormat/>
    <w:uiPriority w:val="0"/>
    <w:rPr>
      <w:rFonts w:ascii="宋体"/>
      <w:kern w:val="2"/>
      <w:sz w:val="18"/>
      <w:szCs w:val="18"/>
    </w:rPr>
  </w:style>
  <w:style w:type="character" w:customStyle="1" w:styleId="58">
    <w:name w:val="内容 Char"/>
    <w:link w:val="59"/>
    <w:autoRedefine/>
    <w:qFormat/>
    <w:uiPriority w:val="0"/>
    <w:rPr>
      <w:color w:val="000000"/>
      <w:kern w:val="2"/>
      <w:sz w:val="24"/>
      <w:szCs w:val="24"/>
    </w:rPr>
  </w:style>
  <w:style w:type="paragraph" w:customStyle="1" w:styleId="59">
    <w:name w:val="内容"/>
    <w:basedOn w:val="1"/>
    <w:link w:val="58"/>
    <w:autoRedefine/>
    <w:qFormat/>
    <w:uiPriority w:val="0"/>
    <w:pPr>
      <w:spacing w:beforeLines="50" w:afterLines="50"/>
      <w:ind w:firstLine="200" w:firstLineChars="200"/>
    </w:pPr>
    <w:rPr>
      <w:color w:val="000000"/>
      <w:sz w:val="24"/>
    </w:rPr>
  </w:style>
  <w:style w:type="paragraph" w:styleId="60">
    <w:name w:val="List Paragraph"/>
    <w:basedOn w:val="1"/>
    <w:autoRedefine/>
    <w:qFormat/>
    <w:uiPriority w:val="34"/>
    <w:pPr>
      <w:ind w:firstLine="420" w:firstLineChars="200"/>
    </w:pPr>
  </w:style>
  <w:style w:type="paragraph" w:customStyle="1" w:styleId="61">
    <w:name w:val="Char Char Char Char Char Char Char2"/>
    <w:basedOn w:val="1"/>
    <w:autoRedefine/>
    <w:qFormat/>
    <w:uiPriority w:val="0"/>
    <w:pPr>
      <w:snapToGrid w:val="0"/>
      <w:spacing w:line="360" w:lineRule="auto"/>
      <w:ind w:firstLine="529" w:firstLineChars="200"/>
    </w:pPr>
  </w:style>
  <w:style w:type="paragraph" w:customStyle="1" w:styleId="62">
    <w:name w:val="表内格式"/>
    <w:basedOn w:val="1"/>
    <w:next w:val="1"/>
    <w:autoRedefine/>
    <w:qFormat/>
    <w:uiPriority w:val="0"/>
    <w:pPr>
      <w:spacing w:line="240" w:lineRule="exact"/>
      <w:jc w:val="center"/>
    </w:pPr>
    <w:rPr>
      <w:rFonts w:ascii="宋体" w:hAnsi="宋体"/>
      <w:szCs w:val="22"/>
    </w:rPr>
  </w:style>
  <w:style w:type="paragraph" w:customStyle="1" w:styleId="63">
    <w:name w:val="环评表中文字"/>
    <w:basedOn w:val="1"/>
    <w:autoRedefine/>
    <w:qFormat/>
    <w:uiPriority w:val="0"/>
    <w:pPr>
      <w:spacing w:line="360" w:lineRule="auto"/>
      <w:jc w:val="center"/>
    </w:pPr>
    <w:rPr>
      <w:sz w:val="24"/>
      <w:szCs w:val="22"/>
    </w:rPr>
  </w:style>
  <w:style w:type="character" w:customStyle="1" w:styleId="64">
    <w:name w:val="【正文】 Char"/>
    <w:link w:val="65"/>
    <w:autoRedefine/>
    <w:qFormat/>
    <w:uiPriority w:val="0"/>
    <w:rPr>
      <w:kern w:val="2"/>
      <w:sz w:val="24"/>
      <w:szCs w:val="24"/>
    </w:rPr>
  </w:style>
  <w:style w:type="paragraph" w:customStyle="1" w:styleId="65">
    <w:name w:val="【正文】"/>
    <w:basedOn w:val="1"/>
    <w:link w:val="64"/>
    <w:autoRedefine/>
    <w:qFormat/>
    <w:uiPriority w:val="0"/>
    <w:pPr>
      <w:spacing w:line="360" w:lineRule="auto"/>
      <w:ind w:firstLine="480" w:firstLineChars="200"/>
    </w:pPr>
    <w:rPr>
      <w:sz w:val="24"/>
    </w:rPr>
  </w:style>
  <w:style w:type="paragraph" w:customStyle="1" w:styleId="66">
    <w:name w:val="表格题目"/>
    <w:basedOn w:val="1"/>
    <w:autoRedefine/>
    <w:qFormat/>
    <w:uiPriority w:val="0"/>
    <w:pPr>
      <w:spacing w:line="240" w:lineRule="atLeast"/>
      <w:jc w:val="center"/>
    </w:pPr>
    <w:rPr>
      <w:rFonts w:ascii="黑体" w:hAnsi="宋体" w:eastAsia="黑体"/>
      <w:sz w:val="24"/>
    </w:rPr>
  </w:style>
  <w:style w:type="character" w:customStyle="1" w:styleId="67">
    <w:name w:val="表格内容 Char"/>
    <w:link w:val="68"/>
    <w:autoRedefine/>
    <w:qFormat/>
    <w:locked/>
    <w:uiPriority w:val="0"/>
    <w:rPr>
      <w:rFonts w:ascii="宋体" w:hAnsi="宋体"/>
      <w:kern w:val="2"/>
      <w:sz w:val="21"/>
      <w:szCs w:val="21"/>
    </w:rPr>
  </w:style>
  <w:style w:type="paragraph" w:customStyle="1" w:styleId="68">
    <w:name w:val="表格内容"/>
    <w:basedOn w:val="1"/>
    <w:link w:val="67"/>
    <w:autoRedefine/>
    <w:qFormat/>
    <w:uiPriority w:val="0"/>
    <w:pPr>
      <w:spacing w:line="340" w:lineRule="exact"/>
      <w:jc w:val="center"/>
    </w:pPr>
    <w:rPr>
      <w:rFonts w:ascii="宋体" w:hAnsi="宋体"/>
      <w:szCs w:val="21"/>
    </w:rPr>
  </w:style>
  <w:style w:type="paragraph" w:customStyle="1" w:styleId="69">
    <w:name w:val="盂县"/>
    <w:basedOn w:val="1"/>
    <w:autoRedefine/>
    <w:qFormat/>
    <w:uiPriority w:val="0"/>
    <w:pPr>
      <w:adjustRightInd w:val="0"/>
      <w:snapToGrid w:val="0"/>
      <w:spacing w:line="312" w:lineRule="auto"/>
      <w:ind w:firstLine="560" w:firstLineChars="200"/>
    </w:pPr>
    <w:rPr>
      <w:sz w:val="28"/>
    </w:rPr>
  </w:style>
  <w:style w:type="paragraph" w:customStyle="1" w:styleId="70">
    <w:name w:val="表内容"/>
    <w:basedOn w:val="1"/>
    <w:next w:val="1"/>
    <w:autoRedefine/>
    <w:qFormat/>
    <w:uiPriority w:val="0"/>
    <w:pPr>
      <w:spacing w:line="320" w:lineRule="exact"/>
      <w:jc w:val="center"/>
    </w:pPr>
    <w:rPr>
      <w:szCs w:val="20"/>
    </w:rPr>
  </w:style>
  <w:style w:type="paragraph" w:customStyle="1" w:styleId="71">
    <w:name w:val="xl24"/>
    <w:basedOn w:val="1"/>
    <w:autoRedefine/>
    <w:qFormat/>
    <w:uiPriority w:val="0"/>
    <w:pPr>
      <w:widowControl/>
      <w:pBdr>
        <w:right w:val="single" w:color="auto" w:sz="4" w:space="0"/>
      </w:pBdr>
      <w:spacing w:before="100" w:beforeAutospacing="1" w:after="100" w:afterAutospacing="1"/>
      <w:jc w:val="center"/>
    </w:pPr>
    <w:rPr>
      <w:rFonts w:hint="eastAsia" w:ascii="仿宋_GB2312" w:hAnsi="宋体" w:eastAsia="仿宋_GB2312"/>
      <w:kern w:val="0"/>
      <w:szCs w:val="21"/>
    </w:rPr>
  </w:style>
  <w:style w:type="paragraph" w:customStyle="1" w:styleId="72">
    <w:name w:val="正文文字进缩"/>
    <w:basedOn w:val="1"/>
    <w:autoRedefine/>
    <w:qFormat/>
    <w:uiPriority w:val="0"/>
    <w:pPr>
      <w:spacing w:line="360" w:lineRule="auto"/>
      <w:ind w:firstLine="200" w:firstLineChars="200"/>
    </w:pPr>
    <w:rPr>
      <w:rFonts w:ascii="仿宋_GB2312" w:eastAsia="仿宋_GB2312"/>
      <w:sz w:val="30"/>
      <w:szCs w:val="20"/>
    </w:rPr>
  </w:style>
  <w:style w:type="paragraph" w:customStyle="1" w:styleId="73">
    <w:name w:val="单元格"/>
    <w:basedOn w:val="1"/>
    <w:autoRedefine/>
    <w:qFormat/>
    <w:uiPriority w:val="0"/>
    <w:pPr>
      <w:jc w:val="center"/>
    </w:pPr>
    <w:rPr>
      <w:rFonts w:ascii="楷体_GB2312" w:eastAsia="楷体_GB2312"/>
      <w:szCs w:val="20"/>
    </w:rPr>
  </w:style>
  <w:style w:type="character" w:customStyle="1" w:styleId="74">
    <w:name w:val="【表头】 Char"/>
    <w:link w:val="75"/>
    <w:autoRedefine/>
    <w:qFormat/>
    <w:uiPriority w:val="0"/>
    <w:rPr>
      <w:rFonts w:ascii="宋体" w:hAnsi="宋体"/>
      <w:b/>
      <w:szCs w:val="21"/>
    </w:rPr>
  </w:style>
  <w:style w:type="paragraph" w:customStyle="1" w:styleId="75">
    <w:name w:val="【表头】"/>
    <w:basedOn w:val="1"/>
    <w:link w:val="74"/>
    <w:autoRedefine/>
    <w:qFormat/>
    <w:uiPriority w:val="0"/>
    <w:pPr>
      <w:spacing w:line="500" w:lineRule="atLeast"/>
      <w:ind w:firstLine="425" w:firstLineChars="177"/>
      <w:jc w:val="center"/>
    </w:pPr>
    <w:rPr>
      <w:rFonts w:ascii="宋体" w:hAnsi="宋体"/>
      <w:b/>
      <w:kern w:val="0"/>
      <w:sz w:val="20"/>
      <w:szCs w:val="21"/>
    </w:rPr>
  </w:style>
  <w:style w:type="character" w:customStyle="1" w:styleId="76">
    <w:name w:val="正文文本 2 Char"/>
    <w:basedOn w:val="25"/>
    <w:link w:val="17"/>
    <w:autoRedefine/>
    <w:qFormat/>
    <w:uiPriority w:val="99"/>
    <w:rPr>
      <w:kern w:val="2"/>
      <w:sz w:val="21"/>
      <w:szCs w:val="24"/>
    </w:rPr>
  </w:style>
  <w:style w:type="paragraph" w:customStyle="1" w:styleId="7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Char Char Char Char"/>
    <w:basedOn w:val="1"/>
    <w:autoRedefine/>
    <w:qFormat/>
    <w:uiPriority w:val="0"/>
  </w:style>
  <w:style w:type="paragraph" w:customStyle="1" w:styleId="79">
    <w:name w:val="正文00"/>
    <w:basedOn w:val="1"/>
    <w:autoRedefine/>
    <w:qFormat/>
    <w:uiPriority w:val="0"/>
    <w:pPr>
      <w:spacing w:line="360" w:lineRule="auto"/>
      <w:ind w:firstLine="480" w:firstLineChars="200"/>
    </w:pPr>
    <w:rPr>
      <w:rFonts w:cs="宋体"/>
      <w:sz w:val="24"/>
    </w:rPr>
  </w:style>
  <w:style w:type="paragraph" w:customStyle="1" w:styleId="80">
    <w:name w:val="01图表头"/>
    <w:basedOn w:val="35"/>
    <w:next w:val="81"/>
    <w:autoRedefine/>
    <w:qFormat/>
    <w:uiPriority w:val="0"/>
    <w:pPr>
      <w:topLinePunct/>
      <w:spacing w:line="240" w:lineRule="auto"/>
      <w:ind w:firstLine="0" w:firstLineChars="0"/>
      <w:jc w:val="center"/>
    </w:pPr>
    <w:rPr>
      <w:b/>
    </w:rPr>
  </w:style>
  <w:style w:type="paragraph" w:customStyle="1" w:styleId="81">
    <w:name w:val="02表格式"/>
    <w:basedOn w:val="1"/>
    <w:autoRedefine/>
    <w:qFormat/>
    <w:uiPriority w:val="0"/>
    <w:pPr>
      <w:wordWrap w:val="0"/>
      <w:topLinePunct/>
      <w:jc w:val="center"/>
    </w:pPr>
    <w:rPr>
      <w:color w:val="000000"/>
      <w:szCs w:val="21"/>
    </w:rPr>
  </w:style>
  <w:style w:type="paragraph" w:customStyle="1" w:styleId="82">
    <w:name w:val="03表段"/>
    <w:basedOn w:val="1"/>
    <w:autoRedefine/>
    <w:qFormat/>
    <w:uiPriority w:val="0"/>
    <w:pPr>
      <w:wordWrap w:val="0"/>
      <w:topLinePunct/>
      <w:ind w:firstLine="720" w:firstLineChars="200"/>
      <w:jc w:val="left"/>
    </w:pPr>
    <w:rPr>
      <w:color w:val="000000"/>
      <w:szCs w:val="21"/>
    </w:rPr>
  </w:style>
  <w:style w:type="paragraph" w:customStyle="1" w:styleId="83">
    <w:name w:val="首行缩进正文"/>
    <w:basedOn w:val="65"/>
    <w:autoRedefine/>
    <w:qFormat/>
    <w:uiPriority w:val="0"/>
    <w:rPr>
      <w:sz w:val="21"/>
    </w:rPr>
  </w:style>
  <w:style w:type="paragraph" w:customStyle="1" w:styleId="84">
    <w:name w:val="【表中文字】-"/>
    <w:basedOn w:val="1"/>
    <w:autoRedefine/>
    <w:qFormat/>
    <w:uiPriority w:val="0"/>
    <w:pPr>
      <w:adjustRightInd w:val="0"/>
      <w:snapToGrid w:val="0"/>
      <w:jc w:val="center"/>
    </w:pPr>
    <w:rPr>
      <w:kern w:val="0"/>
      <w:sz w:val="18"/>
      <w:szCs w:val="20"/>
    </w:rPr>
  </w:style>
  <w:style w:type="paragraph" w:customStyle="1" w:styleId="85">
    <w:name w:val="正文首行缩进 2 + Times New Roman"/>
    <w:basedOn w:val="1"/>
    <w:autoRedefine/>
    <w:qFormat/>
    <w:uiPriority w:val="0"/>
    <w:pPr>
      <w:tabs>
        <w:tab w:val="left" w:pos="0"/>
        <w:tab w:val="left" w:pos="870"/>
        <w:tab w:val="left" w:pos="3150"/>
      </w:tabs>
      <w:autoSpaceDE w:val="0"/>
      <w:autoSpaceDN w:val="0"/>
      <w:spacing w:line="360" w:lineRule="auto"/>
      <w:ind w:firstLine="480" w:firstLineChars="200"/>
      <w:jc w:val="left"/>
    </w:pPr>
    <w:rPr>
      <w:rFonts w:ascii="宋体" w:hAnsi="宋体"/>
      <w:kern w:val="0"/>
      <w:sz w:val="24"/>
    </w:rPr>
  </w:style>
  <w:style w:type="paragraph" w:customStyle="1" w:styleId="86">
    <w:name w:val="C【表中文字】-"/>
    <w:basedOn w:val="1"/>
    <w:autoRedefine/>
    <w:qFormat/>
    <w:uiPriority w:val="0"/>
    <w:pPr>
      <w:adjustRightInd w:val="0"/>
      <w:snapToGrid w:val="0"/>
      <w:spacing w:line="360" w:lineRule="auto"/>
      <w:ind w:firstLine="480" w:firstLineChars="200"/>
      <w:jc w:val="center"/>
    </w:pPr>
    <w:rPr>
      <w:rFonts w:ascii="宋体" w:hAnsi="宋体" w:cs="宋体"/>
      <w:bCs/>
      <w:kern w:val="0"/>
      <w:sz w:val="18"/>
      <w:szCs w:val="20"/>
    </w:rPr>
  </w:style>
  <w:style w:type="character" w:customStyle="1" w:styleId="87">
    <w:name w:val="font21"/>
    <w:basedOn w:val="25"/>
    <w:autoRedefine/>
    <w:qFormat/>
    <w:uiPriority w:val="0"/>
    <w:rPr>
      <w:rFonts w:hint="eastAsia" w:ascii="宋体" w:hAnsi="宋体" w:eastAsia="宋体" w:cs="宋体"/>
      <w:color w:val="0000FF"/>
      <w:sz w:val="21"/>
      <w:szCs w:val="21"/>
      <w:u w:val="none"/>
    </w:rPr>
  </w:style>
  <w:style w:type="character" w:customStyle="1" w:styleId="88">
    <w:name w:val="font11"/>
    <w:basedOn w:val="25"/>
    <w:autoRedefine/>
    <w:qFormat/>
    <w:uiPriority w:val="0"/>
    <w:rPr>
      <w:rFonts w:hint="eastAsia" w:ascii="宋体" w:hAnsi="宋体" w:eastAsia="宋体" w:cs="宋体"/>
      <w:color w:val="0000FF"/>
      <w:sz w:val="21"/>
      <w:szCs w:val="21"/>
      <w:u w:val="none"/>
    </w:rPr>
  </w:style>
  <w:style w:type="paragraph" w:customStyle="1" w:styleId="89">
    <w:name w:val="表表头"/>
    <w:autoRedefine/>
    <w:qFormat/>
    <w:uiPriority w:val="0"/>
    <w:pPr>
      <w:widowControl w:val="0"/>
      <w:jc w:val="center"/>
    </w:pPr>
    <w:rPr>
      <w:rFonts w:ascii="Times New Roman" w:hAnsi="Times New Roman" w:eastAsia="黑体" w:cs="Times New Roman"/>
      <w:kern w:val="2"/>
      <w:sz w:val="21"/>
      <w:lang w:val="en-US" w:eastAsia="zh-CN" w:bidi="ar-SA"/>
    </w:rPr>
  </w:style>
  <w:style w:type="paragraph" w:customStyle="1" w:styleId="90">
    <w:name w:val="Table Text"/>
    <w:basedOn w:val="1"/>
    <w:autoRedefine/>
    <w:semiHidden/>
    <w:qFormat/>
    <w:uiPriority w:val="0"/>
    <w:rPr>
      <w:rFonts w:ascii="宋体" w:hAnsi="宋体" w:cs="宋体"/>
      <w:sz w:val="24"/>
      <w:lang w:eastAsia="en-US"/>
    </w:rPr>
  </w:style>
  <w:style w:type="table" w:customStyle="1" w:styleId="91">
    <w:name w:val="Table Normal"/>
    <w:autoRedefine/>
    <w:semiHidden/>
    <w:unhideWhenUsed/>
    <w:qFormat/>
    <w:uiPriority w:val="0"/>
    <w:tblPr>
      <w:tblCellMar>
        <w:top w:w="0" w:type="dxa"/>
        <w:left w:w="0" w:type="dxa"/>
        <w:bottom w:w="0" w:type="dxa"/>
        <w:right w:w="0" w:type="dxa"/>
      </w:tblCellMar>
    </w:tblPr>
  </w:style>
  <w:style w:type="paragraph" w:customStyle="1" w:styleId="92">
    <w:name w:val="表中文字"/>
    <w:basedOn w:val="1"/>
    <w:autoRedefine/>
    <w:qFormat/>
    <w:uiPriority w:val="0"/>
    <w:pPr>
      <w:jc w:val="center"/>
    </w:pPr>
  </w:style>
  <w:style w:type="paragraph" w:customStyle="1" w:styleId="93">
    <w:name w:val="【表中文字】"/>
    <w:basedOn w:val="1"/>
    <w:autoRedefine/>
    <w:qFormat/>
    <w:uiPriority w:val="0"/>
    <w:pPr>
      <w:jc w:val="center"/>
    </w:pPr>
    <w:rPr>
      <w:szCs w:val="20"/>
    </w:rPr>
  </w:style>
  <w:style w:type="paragraph" w:customStyle="1" w:styleId="94">
    <w:name w:val="我的正文"/>
    <w:basedOn w:val="1"/>
    <w:autoRedefine/>
    <w:qFormat/>
    <w:uiPriority w:val="0"/>
    <w:pPr>
      <w:adjustRightInd w:val="0"/>
      <w:snapToGrid w:val="0"/>
      <w:spacing w:line="480" w:lineRule="exact"/>
      <w:ind w:firstLine="720" w:firstLineChars="200"/>
      <w:jc w:val="left"/>
    </w:pPr>
    <w:rPr>
      <w:rFonts w:cs="宋体"/>
      <w:bCs/>
      <w:szCs w:val="21"/>
    </w:rPr>
  </w:style>
  <w:style w:type="paragraph" w:customStyle="1" w:styleId="95">
    <w:name w:val="_Style 4"/>
    <w:basedOn w:val="1"/>
    <w:autoRedefine/>
    <w:qFormat/>
    <w:uiPriority w:val="0"/>
    <w:pPr>
      <w:snapToGrid w:val="0"/>
      <w:spacing w:line="360" w:lineRule="auto"/>
      <w:ind w:firstLine="529"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122"/>
    <customShpInfo spid="_x0000_s2098"/>
    <customShpInfo spid="_x0000_s2099"/>
    <customShpInfo spid="_x0000_s2100"/>
    <customShpInfo spid="_x0000_s2101"/>
    <customShpInfo spid="_x0000_s2102"/>
    <customShpInfo spid="_x0000_s2103"/>
    <customShpInfo spid="_x0000_s2123"/>
    <customShpInfo spid="_x0000_s2124"/>
    <customShpInfo spid="_x0000_s2125"/>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073"/>
    <customShpInfo spid="_x0000_s2076"/>
    <customShpInfo spid="_x0000_s2077"/>
    <customShpInfo spid="_x0000_s2071"/>
    <customShpInfo spid="_x0000_s2072"/>
    <customShpInfo spid="_x0000_s2126"/>
    <customShpInfo spid="_x0000_s2127"/>
    <customShpInfo spid="_x0000_s2128"/>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07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62141-E851-4DF5-A227-EBB0874CE182}">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32</Pages>
  <Words>3002</Words>
  <Characters>17113</Characters>
  <Lines>142</Lines>
  <Paragraphs>40</Paragraphs>
  <TotalTime>58</TotalTime>
  <ScaleCrop>false</ScaleCrop>
  <LinksUpToDate>false</LinksUpToDate>
  <CharactersWithSpaces>20075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啤酒奶盖</cp:lastModifiedBy>
  <cp:lastPrinted>2020-12-29T02:43:00Z</cp:lastPrinted>
  <dcterms:modified xsi:type="dcterms:W3CDTF">2024-04-23T03:37:59Z</dcterms:modified>
  <dc:title>附件2</dc:title>
  <cp:revision>2763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6B335B25D6844EBB8107CD6E7C7E3857_13</vt:lpwstr>
  </property>
</Properties>
</file>